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205B"/>
        </w:rPr>
        <w:t>Statement of Values</w:t>
      </w:r>
    </w:p>
    <w:p>
      <w:r>
        <w:rPr>
          <w:color w:val="64748B"/>
          <w:sz w:val="20"/>
        </w:rPr>
        <w:t>AIG Commercial Property  |  Prepared: February 2026  |  Effective: 03/01/2026</w:t>
      </w:r>
    </w:p>
    <w:p/>
    <w:p>
      <w:pPr>
        <w:pStyle w:val="Heading2"/>
      </w:pPr>
      <w:r>
        <w:rPr>
          <w:color w:val="00205B"/>
        </w:rPr>
        <w:t>Insured Information</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sz w:val="18"/>
              </w:rPr>
              <w:t>Named Insured</w:t>
            </w:r>
          </w:p>
        </w:tc>
        <w:tc>
          <w:tcPr>
            <w:tcW w:type="dxa" w:w="4320"/>
          </w:tcPr>
          <w:p>
            <w:r>
              <w:rPr>
                <w:sz w:val="18"/>
              </w:rPr>
              <w:t>Meridian Steel Corporation</w:t>
            </w:r>
          </w:p>
        </w:tc>
      </w:tr>
      <w:tr>
        <w:tc>
          <w:tcPr>
            <w:tcW w:type="dxa" w:w="4320"/>
          </w:tcPr>
          <w:p>
            <w:r>
              <w:rPr>
                <w:b/>
                <w:sz w:val="18"/>
              </w:rPr>
              <w:t>Policy Number</w:t>
            </w:r>
          </w:p>
        </w:tc>
        <w:tc>
          <w:tcPr>
            <w:tcW w:type="dxa" w:w="4320"/>
          </w:tcPr>
          <w:p>
            <w:r>
              <w:rPr>
                <w:sz w:val="18"/>
              </w:rPr>
              <w:t>AIG-CPP-2026-04871</w:t>
            </w:r>
          </w:p>
        </w:tc>
      </w:tr>
      <w:tr>
        <w:tc>
          <w:tcPr>
            <w:tcW w:type="dxa" w:w="4320"/>
          </w:tcPr>
          <w:p>
            <w:r>
              <w:rPr>
                <w:b/>
                <w:sz w:val="18"/>
              </w:rPr>
              <w:t>Producer</w:t>
            </w:r>
          </w:p>
        </w:tc>
        <w:tc>
          <w:tcPr>
            <w:tcW w:type="dxa" w:w="4320"/>
          </w:tcPr>
          <w:p>
            <w:r>
              <w:rPr>
                <w:sz w:val="18"/>
              </w:rPr>
              <w:t>Marsh &amp; McLennan — David Chen, SVP</w:t>
            </w:r>
          </w:p>
        </w:tc>
      </w:tr>
      <w:tr>
        <w:tc>
          <w:tcPr>
            <w:tcW w:type="dxa" w:w="4320"/>
          </w:tcPr>
          <w:p>
            <w:r>
              <w:rPr>
                <w:b/>
                <w:sz w:val="18"/>
              </w:rPr>
              <w:t>Valuation Basis</w:t>
            </w:r>
          </w:p>
        </w:tc>
        <w:tc>
          <w:tcPr>
            <w:tcW w:type="dxa" w:w="4320"/>
          </w:tcPr>
          <w:p>
            <w:r>
              <w:rPr>
                <w:sz w:val="18"/>
              </w:rPr>
              <w:t>Replacement Cost (unless noted)</w:t>
            </w:r>
          </w:p>
        </w:tc>
      </w:tr>
      <w:tr>
        <w:tc>
          <w:tcPr>
            <w:tcW w:type="dxa" w:w="4320"/>
          </w:tcPr>
          <w:p>
            <w:r>
              <w:rPr>
                <w:b/>
                <w:sz w:val="18"/>
              </w:rPr>
              <w:t>Currency</w:t>
            </w:r>
          </w:p>
        </w:tc>
        <w:tc>
          <w:tcPr>
            <w:tcW w:type="dxa" w:w="4320"/>
          </w:tcPr>
          <w:p>
            <w:r>
              <w:rPr>
                <w:sz w:val="18"/>
              </w:rPr>
              <w:t>USD</w:t>
            </w:r>
          </w:p>
        </w:tc>
      </w:tr>
      <w:tr>
        <w:tc>
          <w:tcPr>
            <w:tcW w:type="dxa" w:w="4320"/>
          </w:tcPr>
          <w:p>
            <w:r>
              <w:rPr>
                <w:b/>
                <w:sz w:val="18"/>
              </w:rPr>
              <w:t>Total Insured Value</w:t>
            </w:r>
          </w:p>
        </w:tc>
        <w:tc>
          <w:tcPr>
            <w:tcW w:type="dxa" w:w="4320"/>
          </w:tcPr>
          <w:p>
            <w:r>
              <w:rPr>
                <w:sz w:val="18"/>
              </w:rPr>
              <w:t>$148,250,000</w:t>
            </w:r>
          </w:p>
        </w:tc>
      </w:tr>
    </w:tbl>
    <w:p/>
    <w:p>
      <w:pPr>
        <w:pStyle w:val="Heading2"/>
      </w:pPr>
      <w:r>
        <w:rPr>
          <w:color w:val="00205B"/>
        </w:rPr>
        <w:t>Location 1 — Houston Manufacturing Facility</w:t>
      </w:r>
    </w:p>
    <w:p>
      <w:pPr>
        <w:spacing w:after="120"/>
      </w:pPr>
      <w:r>
        <w:rPr>
          <w:b w:val="0"/>
          <w:color w:val="334155"/>
          <w:sz w:val="20"/>
        </w:rPr>
        <w:t>4200 Industrial Parkway, Suite 100, Houston, TX 77041</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Occupancy</w:t>
            </w:r>
          </w:p>
        </w:tc>
        <w:tc>
          <w:tcPr>
            <w:tcW w:type="dxa" w:w="4320"/>
          </w:tcPr>
          <w:p>
            <w:r>
              <w:rPr>
                <w:sz w:val="18"/>
              </w:rPr>
              <w:t>Steel Manufacturing &amp; Warehouse</w:t>
            </w:r>
          </w:p>
        </w:tc>
      </w:tr>
      <w:tr>
        <w:tc>
          <w:tcPr>
            <w:tcW w:type="dxa" w:w="4320"/>
          </w:tcPr>
          <w:p>
            <w:r>
              <w:rPr>
                <w:b/>
                <w:sz w:val="18"/>
              </w:rPr>
              <w:t>Construction Type</w:t>
            </w:r>
          </w:p>
        </w:tc>
        <w:tc>
          <w:tcPr>
            <w:tcW w:type="dxa" w:w="4320"/>
          </w:tcPr>
          <w:p>
            <w:r>
              <w:rPr>
                <w:sz w:val="18"/>
              </w:rPr>
              <w:t>Fire Resistive (ISO Class 6)</w:t>
            </w:r>
          </w:p>
        </w:tc>
      </w:tr>
      <w:tr>
        <w:tc>
          <w:tcPr>
            <w:tcW w:type="dxa" w:w="4320"/>
          </w:tcPr>
          <w:p>
            <w:r>
              <w:rPr>
                <w:b/>
                <w:sz w:val="18"/>
              </w:rPr>
              <w:t>Year Built</w:t>
            </w:r>
          </w:p>
        </w:tc>
        <w:tc>
          <w:tcPr>
            <w:tcW w:type="dxa" w:w="4320"/>
          </w:tcPr>
          <w:p>
            <w:r>
              <w:rPr>
                <w:sz w:val="18"/>
              </w:rPr>
              <w:t>2008  |  Last Renovated: 2022</w:t>
            </w:r>
          </w:p>
        </w:tc>
      </w:tr>
      <w:tr>
        <w:tc>
          <w:tcPr>
            <w:tcW w:type="dxa" w:w="4320"/>
          </w:tcPr>
          <w:p>
            <w:r>
              <w:rPr>
                <w:b/>
                <w:sz w:val="18"/>
              </w:rPr>
              <w:t>Total Area</w:t>
            </w:r>
          </w:p>
        </w:tc>
        <w:tc>
          <w:tcPr>
            <w:tcW w:type="dxa" w:w="4320"/>
          </w:tcPr>
          <w:p>
            <w:r>
              <w:rPr>
                <w:sz w:val="18"/>
              </w:rPr>
              <w:t>120,000 sq ft (Main: 95,000 / Office: 25,000)</w:t>
            </w:r>
          </w:p>
        </w:tc>
      </w:tr>
      <w:tr>
        <w:tc>
          <w:tcPr>
            <w:tcW w:type="dxa" w:w="4320"/>
          </w:tcPr>
          <w:p>
            <w:r>
              <w:rPr>
                <w:b/>
                <w:sz w:val="18"/>
              </w:rPr>
              <w:t>Stories</w:t>
            </w:r>
          </w:p>
        </w:tc>
        <w:tc>
          <w:tcPr>
            <w:tcW w:type="dxa" w:w="4320"/>
          </w:tcPr>
          <w:p>
            <w:r>
              <w:rPr>
                <w:sz w:val="18"/>
              </w:rPr>
              <w:t>1 (Manufacturing) / 2 (Office wing)</w:t>
            </w:r>
          </w:p>
        </w:tc>
      </w:tr>
      <w:tr>
        <w:tc>
          <w:tcPr>
            <w:tcW w:type="dxa" w:w="4320"/>
          </w:tcPr>
          <w:p>
            <w:r>
              <w:rPr>
                <w:b/>
                <w:sz w:val="18"/>
              </w:rPr>
              <w:t>Roof Type</w:t>
            </w:r>
          </w:p>
        </w:tc>
        <w:tc>
          <w:tcPr>
            <w:tcW w:type="dxa" w:w="4320"/>
          </w:tcPr>
          <w:p>
            <w:r>
              <w:rPr>
                <w:sz w:val="18"/>
              </w:rPr>
              <w:t>Built-up with modified bitumen membrane — inspected 06/2025</w:t>
            </w:r>
          </w:p>
        </w:tc>
      </w:tr>
      <w:tr>
        <w:tc>
          <w:tcPr>
            <w:tcW w:type="dxa" w:w="4320"/>
          </w:tcPr>
          <w:p>
            <w:r>
              <w:rPr>
                <w:b/>
                <w:sz w:val="18"/>
              </w:rPr>
              <w:t>Sprinkler System</w:t>
            </w:r>
          </w:p>
        </w:tc>
        <w:tc>
          <w:tcPr>
            <w:tcW w:type="dxa" w:w="4320"/>
          </w:tcPr>
          <w:p>
            <w:r>
              <w:rPr>
                <w:sz w:val="18"/>
              </w:rPr>
              <w:t>Full ESFR — NFPA 13 compliant, last tested 01/2026</w:t>
            </w:r>
          </w:p>
        </w:tc>
      </w:tr>
      <w:tr>
        <w:tc>
          <w:tcPr>
            <w:tcW w:type="dxa" w:w="4320"/>
          </w:tcPr>
          <w:p>
            <w:r>
              <w:rPr>
                <w:b/>
                <w:sz w:val="18"/>
              </w:rPr>
              <w:t>Fire Alarm</w:t>
            </w:r>
          </w:p>
        </w:tc>
        <w:tc>
          <w:tcPr>
            <w:tcW w:type="dxa" w:w="4320"/>
          </w:tcPr>
          <w:p>
            <w:r>
              <w:rPr>
                <w:sz w:val="18"/>
              </w:rPr>
              <w:t>Addressable system — central station monitored (ADT)</w:t>
            </w:r>
          </w:p>
        </w:tc>
      </w:tr>
      <w:tr>
        <w:tc>
          <w:tcPr>
            <w:tcW w:type="dxa" w:w="4320"/>
          </w:tcPr>
          <w:p>
            <w:r>
              <w:rPr>
                <w:b/>
                <w:sz w:val="18"/>
              </w:rPr>
              <w:t>Electrical</w:t>
            </w:r>
          </w:p>
        </w:tc>
        <w:tc>
          <w:tcPr>
            <w:tcW w:type="dxa" w:w="4320"/>
          </w:tcPr>
          <w:p>
            <w:r>
              <w:rPr>
                <w:sz w:val="18"/>
              </w:rPr>
              <w:t>Primary: 4,160V / 480V transformer. Emergency generator: 500kW Caterpillar</w:t>
            </w:r>
          </w:p>
        </w:tc>
      </w:tr>
      <w:tr>
        <w:tc>
          <w:tcPr>
            <w:tcW w:type="dxa" w:w="4320"/>
          </w:tcPr>
          <w:p>
            <w:r>
              <w:rPr>
                <w:b/>
                <w:sz w:val="18"/>
              </w:rPr>
              <w:t>HVAC</w:t>
            </w:r>
          </w:p>
        </w:tc>
        <w:tc>
          <w:tcPr>
            <w:tcW w:type="dxa" w:w="4320"/>
          </w:tcPr>
          <w:p>
            <w:r>
              <w:rPr>
                <w:sz w:val="18"/>
              </w:rPr>
              <w:t>12 rooftop units — replaced 2022. Industrial ventilation + dust collection.</w:t>
            </w:r>
          </w:p>
        </w:tc>
      </w:tr>
      <w:tr>
        <w:tc>
          <w:tcPr>
            <w:tcW w:type="dxa" w:w="4320"/>
          </w:tcPr>
          <w:p>
            <w:r>
              <w:rPr>
                <w:b/>
                <w:sz w:val="18"/>
              </w:rPr>
              <w:t>Flood Zone</w:t>
            </w:r>
          </w:p>
        </w:tc>
        <w:tc>
          <w:tcPr>
            <w:tcW w:type="dxa" w:w="4320"/>
          </w:tcPr>
          <w:p>
            <w:r>
              <w:rPr>
                <w:sz w:val="18"/>
              </w:rPr>
              <w:t>Zone X (Minimal Risk) — Community Panel: 48201C0405J</w:t>
            </w:r>
          </w:p>
        </w:tc>
      </w:tr>
      <w:tr>
        <w:tc>
          <w:tcPr>
            <w:tcW w:type="dxa" w:w="4320"/>
          </w:tcPr>
          <w:p>
            <w:r>
              <w:rPr>
                <w:b/>
                <w:sz w:val="18"/>
              </w:rPr>
              <w:t>Wind Tier</w:t>
            </w:r>
          </w:p>
        </w:tc>
        <w:tc>
          <w:tcPr>
            <w:tcW w:type="dxa" w:w="4320"/>
          </w:tcPr>
          <w:p>
            <w:r>
              <w:rPr>
                <w:sz w:val="18"/>
              </w:rPr>
              <w:t>Tier 2 — Harris County inland (&gt;10 mi from coast)</w:t>
            </w:r>
          </w:p>
        </w:tc>
      </w:tr>
      <w:tr>
        <w:tc>
          <w:tcPr>
            <w:tcW w:type="dxa" w:w="4320"/>
          </w:tcPr>
          <w:p>
            <w:r>
              <w:rPr>
                <w:b/>
                <w:sz w:val="18"/>
              </w:rPr>
              <w:t>Distance to Fire Station</w:t>
            </w:r>
          </w:p>
        </w:tc>
        <w:tc>
          <w:tcPr>
            <w:tcW w:type="dxa" w:w="4320"/>
          </w:tcPr>
          <w:p>
            <w:r>
              <w:rPr>
                <w:sz w:val="18"/>
              </w:rPr>
              <w:t>2.4 miles — Houston FD Station #82 (ISO PPC: 2)</w:t>
            </w:r>
          </w:p>
        </w:tc>
      </w:tr>
    </w:tbl>
    <w:p/>
    <w:p>
      <w:pPr>
        <w:pStyle w:val="Heading3"/>
      </w:pPr>
      <w:r>
        <w:rPr>
          <w:color w:val="00205B"/>
        </w:rPr>
        <w:t>Location 1 — Values Detail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205B"/>
          </w:tcPr>
          <w:p>
            <w:pPr>
              <w:jc w:val="center"/>
            </w:pPr>
            <w:r>
              <w:rPr>
                <w:b/>
                <w:color w:val="FFFFFF"/>
                <w:sz w:val="18"/>
              </w:rPr>
              <w:t>Category</w:t>
            </w:r>
          </w:p>
        </w:tc>
        <w:tc>
          <w:tcPr>
            <w:tcW w:type="dxa" w:w="2160"/>
            <w:shd w:fill="00205B"/>
          </w:tcPr>
          <w:p>
            <w:pPr>
              <w:jc w:val="center"/>
            </w:pPr>
            <w:r>
              <w:rPr>
                <w:b/>
                <w:color w:val="FFFFFF"/>
                <w:sz w:val="18"/>
              </w:rPr>
              <w:t>Replacement Cost</w:t>
            </w:r>
          </w:p>
        </w:tc>
        <w:tc>
          <w:tcPr>
            <w:tcW w:type="dxa" w:w="2160"/>
            <w:shd w:fill="00205B"/>
          </w:tcPr>
          <w:p>
            <w:pPr>
              <w:jc w:val="center"/>
            </w:pPr>
            <w:r>
              <w:rPr>
                <w:b/>
                <w:color w:val="FFFFFF"/>
                <w:sz w:val="18"/>
              </w:rPr>
              <w:t>ACV</w:t>
            </w:r>
          </w:p>
        </w:tc>
        <w:tc>
          <w:tcPr>
            <w:tcW w:type="dxa" w:w="2160"/>
            <w:shd w:fill="00205B"/>
          </w:tcPr>
          <w:p>
            <w:pPr>
              <w:jc w:val="center"/>
            </w:pPr>
            <w:r>
              <w:rPr>
                <w:b/>
                <w:color w:val="FFFFFF"/>
                <w:sz w:val="18"/>
              </w:rPr>
              <w:t>Notes</w:t>
            </w:r>
          </w:p>
        </w:tc>
      </w:tr>
      <w:tr>
        <w:tc>
          <w:tcPr>
            <w:tcW w:type="dxa" w:w="2160"/>
          </w:tcPr>
          <w:p>
            <w:r>
              <w:rPr>
                <w:sz w:val="17"/>
              </w:rPr>
              <w:t>Building — Main Structure</w:t>
            </w:r>
          </w:p>
        </w:tc>
        <w:tc>
          <w:tcPr>
            <w:tcW w:type="dxa" w:w="2160"/>
          </w:tcPr>
          <w:p>
            <w:r>
              <w:rPr>
                <w:sz w:val="17"/>
              </w:rPr>
              <w:t>$32,000,000</w:t>
            </w:r>
          </w:p>
        </w:tc>
        <w:tc>
          <w:tcPr>
            <w:tcW w:type="dxa" w:w="2160"/>
          </w:tcPr>
          <w:p>
            <w:r>
              <w:rPr>
                <w:sz w:val="17"/>
              </w:rPr>
              <w:t>$24,800,000</w:t>
            </w:r>
          </w:p>
        </w:tc>
        <w:tc>
          <w:tcPr>
            <w:tcW w:type="dxa" w:w="2160"/>
          </w:tcPr>
          <w:p>
            <w:r>
              <w:rPr>
                <w:sz w:val="17"/>
              </w:rPr>
              <w:t>Includes foundation, walls, roof</w:t>
            </w:r>
          </w:p>
        </w:tc>
      </w:tr>
      <w:tr>
        <w:tc>
          <w:tcPr>
            <w:tcW w:type="dxa" w:w="2160"/>
          </w:tcPr>
          <w:p>
            <w:r>
              <w:rPr>
                <w:sz w:val="17"/>
              </w:rPr>
              <w:t>Building — Office Wing</w:t>
            </w:r>
          </w:p>
        </w:tc>
        <w:tc>
          <w:tcPr>
            <w:tcW w:type="dxa" w:w="2160"/>
          </w:tcPr>
          <w:p>
            <w:r>
              <w:rPr>
                <w:sz w:val="17"/>
              </w:rPr>
              <w:t>$6,500,000</w:t>
            </w:r>
          </w:p>
        </w:tc>
        <w:tc>
          <w:tcPr>
            <w:tcW w:type="dxa" w:w="2160"/>
          </w:tcPr>
          <w:p>
            <w:r>
              <w:rPr>
                <w:sz w:val="17"/>
              </w:rPr>
              <w:t>$4,200,000</w:t>
            </w:r>
          </w:p>
        </w:tc>
        <w:tc>
          <w:tcPr>
            <w:tcW w:type="dxa" w:w="2160"/>
          </w:tcPr>
          <w:p>
            <w:r>
              <w:rPr>
                <w:sz w:val="17"/>
              </w:rPr>
              <w:t>2-story steel frame</w:t>
            </w:r>
          </w:p>
        </w:tc>
      </w:tr>
      <w:tr>
        <w:tc>
          <w:tcPr>
            <w:tcW w:type="dxa" w:w="2160"/>
          </w:tcPr>
          <w:p>
            <w:r>
              <w:rPr>
                <w:sz w:val="17"/>
              </w:rPr>
              <w:t>Business Personal Property</w:t>
            </w:r>
          </w:p>
        </w:tc>
        <w:tc>
          <w:tcPr>
            <w:tcW w:type="dxa" w:w="2160"/>
          </w:tcPr>
          <w:p>
            <w:r>
              <w:rPr>
                <w:sz w:val="17"/>
              </w:rPr>
              <w:t>$12,400,000</w:t>
            </w:r>
          </w:p>
        </w:tc>
        <w:tc>
          <w:tcPr>
            <w:tcW w:type="dxa" w:w="2160"/>
          </w:tcPr>
          <w:p>
            <w:r>
              <w:rPr>
                <w:sz w:val="17"/>
              </w:rPr>
              <w:t>$8,600,000</w:t>
            </w:r>
          </w:p>
        </w:tc>
        <w:tc>
          <w:tcPr>
            <w:tcW w:type="dxa" w:w="2160"/>
          </w:tcPr>
          <w:p>
            <w:r>
              <w:rPr>
                <w:sz w:val="17"/>
              </w:rPr>
              <w:t>Machinery, raw materials, finished goods</w:t>
            </w:r>
          </w:p>
        </w:tc>
      </w:tr>
      <w:tr>
        <w:tc>
          <w:tcPr>
            <w:tcW w:type="dxa" w:w="2160"/>
          </w:tcPr>
          <w:p>
            <w:r>
              <w:rPr>
                <w:sz w:val="17"/>
              </w:rPr>
              <w:t>CNC Machinery &amp; Equipment</w:t>
            </w:r>
          </w:p>
        </w:tc>
        <w:tc>
          <w:tcPr>
            <w:tcW w:type="dxa" w:w="2160"/>
          </w:tcPr>
          <w:p>
            <w:r>
              <w:rPr>
                <w:sz w:val="17"/>
              </w:rPr>
              <w:t>$8,200,000</w:t>
            </w:r>
          </w:p>
        </w:tc>
        <w:tc>
          <w:tcPr>
            <w:tcW w:type="dxa" w:w="2160"/>
          </w:tcPr>
          <w:p>
            <w:r>
              <w:rPr>
                <w:sz w:val="17"/>
              </w:rPr>
              <w:t>$5,100,000</w:t>
            </w:r>
          </w:p>
        </w:tc>
        <w:tc>
          <w:tcPr>
            <w:tcW w:type="dxa" w:w="2160"/>
          </w:tcPr>
          <w:p>
            <w:r>
              <w:rPr>
                <w:sz w:val="17"/>
              </w:rPr>
              <w:t>6 CNC mills, 4 lathes, 2 plasma cutters</w:t>
            </w:r>
          </w:p>
        </w:tc>
      </w:tr>
      <w:tr>
        <w:tc>
          <w:tcPr>
            <w:tcW w:type="dxa" w:w="2160"/>
          </w:tcPr>
          <w:p>
            <w:r>
              <w:rPr>
                <w:sz w:val="17"/>
              </w:rPr>
              <w:t>Electrical &amp; HVAC Systems</w:t>
            </w:r>
          </w:p>
        </w:tc>
        <w:tc>
          <w:tcPr>
            <w:tcW w:type="dxa" w:w="2160"/>
          </w:tcPr>
          <w:p>
            <w:r>
              <w:rPr>
                <w:sz w:val="17"/>
              </w:rPr>
              <w:t>$3,800,000</w:t>
            </w:r>
          </w:p>
        </w:tc>
        <w:tc>
          <w:tcPr>
            <w:tcW w:type="dxa" w:w="2160"/>
          </w:tcPr>
          <w:p>
            <w:r>
              <w:rPr>
                <w:sz w:val="17"/>
              </w:rPr>
              <w:t>$2,400,000</w:t>
            </w:r>
          </w:p>
        </w:tc>
        <w:tc>
          <w:tcPr>
            <w:tcW w:type="dxa" w:w="2160"/>
          </w:tcPr>
          <w:p>
            <w:r>
              <w:rPr>
                <w:sz w:val="17"/>
              </w:rPr>
              <w:t>Transformer, generator, HVAC units</w:t>
            </w:r>
          </w:p>
        </w:tc>
      </w:tr>
      <w:tr>
        <w:tc>
          <w:tcPr>
            <w:tcW w:type="dxa" w:w="2160"/>
          </w:tcPr>
          <w:p>
            <w:r>
              <w:rPr>
                <w:sz w:val="17"/>
              </w:rPr>
              <w:t>EDP Equipment</w:t>
            </w:r>
          </w:p>
        </w:tc>
        <w:tc>
          <w:tcPr>
            <w:tcW w:type="dxa" w:w="2160"/>
          </w:tcPr>
          <w:p>
            <w:r>
              <w:rPr>
                <w:sz w:val="17"/>
              </w:rPr>
              <w:t>$1,200,000</w:t>
            </w:r>
          </w:p>
        </w:tc>
        <w:tc>
          <w:tcPr>
            <w:tcW w:type="dxa" w:w="2160"/>
          </w:tcPr>
          <w:p>
            <w:r>
              <w:rPr>
                <w:sz w:val="17"/>
              </w:rPr>
              <w:t>$800,000</w:t>
            </w:r>
          </w:p>
        </w:tc>
        <w:tc>
          <w:tcPr>
            <w:tcW w:type="dxa" w:w="2160"/>
          </w:tcPr>
          <w:p>
            <w:r>
              <w:rPr>
                <w:sz w:val="17"/>
              </w:rPr>
              <w:t>Servers, network, CAD workstations</w:t>
            </w:r>
          </w:p>
        </w:tc>
      </w:tr>
      <w:tr>
        <w:tc>
          <w:tcPr>
            <w:tcW w:type="dxa" w:w="2160"/>
          </w:tcPr>
          <w:p>
            <w:r>
              <w:rPr>
                <w:sz w:val="17"/>
              </w:rPr>
              <w:t>Improvements &amp; Betterments</w:t>
            </w:r>
          </w:p>
        </w:tc>
        <w:tc>
          <w:tcPr>
            <w:tcW w:type="dxa" w:w="2160"/>
          </w:tcPr>
          <w:p>
            <w:r>
              <w:rPr>
                <w:sz w:val="17"/>
              </w:rPr>
              <w:t>$1,800,000</w:t>
            </w:r>
          </w:p>
        </w:tc>
        <w:tc>
          <w:tcPr>
            <w:tcW w:type="dxa" w:w="2160"/>
          </w:tcPr>
          <w:p>
            <w:r>
              <w:rPr>
                <w:sz w:val="17"/>
              </w:rPr>
              <w:t>$1,200,000</w:t>
            </w:r>
          </w:p>
        </w:tc>
        <w:tc>
          <w:tcPr>
            <w:tcW w:type="dxa" w:w="2160"/>
          </w:tcPr>
          <w:p>
            <w:r>
              <w:rPr>
                <w:sz w:val="17"/>
              </w:rPr>
              <w:t>2022 renovation — upgraded loading docks</w:t>
            </w:r>
          </w:p>
        </w:tc>
      </w:tr>
      <w:tr>
        <w:tc>
          <w:tcPr>
            <w:tcW w:type="dxa" w:w="2160"/>
          </w:tcPr>
          <w:p>
            <w:r>
              <w:rPr>
                <w:sz w:val="17"/>
              </w:rPr>
              <w:t>Outdoor Property &amp; Signage</w:t>
            </w:r>
          </w:p>
        </w:tc>
        <w:tc>
          <w:tcPr>
            <w:tcW w:type="dxa" w:w="2160"/>
          </w:tcPr>
          <w:p>
            <w:r>
              <w:rPr>
                <w:sz w:val="17"/>
              </w:rPr>
              <w:t>$400,000</w:t>
            </w:r>
          </w:p>
        </w:tc>
        <w:tc>
          <w:tcPr>
            <w:tcW w:type="dxa" w:w="2160"/>
          </w:tcPr>
          <w:p>
            <w:r>
              <w:rPr>
                <w:sz w:val="17"/>
              </w:rPr>
              <w:t>$250,000</w:t>
            </w:r>
          </w:p>
        </w:tc>
        <w:tc>
          <w:tcPr>
            <w:tcW w:type="dxa" w:w="2160"/>
          </w:tcPr>
          <w:p>
            <w:r>
              <w:rPr>
                <w:sz w:val="17"/>
              </w:rPr>
              <w:t>Parking lot, fencing, signage</w:t>
            </w:r>
          </w:p>
        </w:tc>
      </w:tr>
    </w:tbl>
    <w:p>
      <w:pPr>
        <w:spacing w:after="120"/>
      </w:pPr>
      <w:r>
        <w:rPr>
          <w:b/>
          <w:color w:val="334155"/>
          <w:sz w:val="20"/>
        </w:rPr>
        <w:t>Location 1 Total Insured Value: $66,300,000</w:t>
      </w:r>
    </w:p>
    <w:p/>
    <w:p>
      <w:pPr>
        <w:pStyle w:val="Heading2"/>
      </w:pPr>
      <w:r>
        <w:rPr>
          <w:color w:val="00205B"/>
        </w:rPr>
        <w:t>Location 2 — Beaumont Distribution Center</w:t>
      </w:r>
    </w:p>
    <w:p>
      <w:pPr>
        <w:spacing w:after="120"/>
      </w:pPr>
      <w:r>
        <w:rPr>
          <w:b w:val="0"/>
          <w:color w:val="334155"/>
          <w:sz w:val="20"/>
        </w:rPr>
        <w:t>8901 Port Arthur Road, Beaumont, TX 77705</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Occupancy</w:t>
            </w:r>
          </w:p>
        </w:tc>
        <w:tc>
          <w:tcPr>
            <w:tcW w:type="dxa" w:w="4320"/>
          </w:tcPr>
          <w:p>
            <w:r>
              <w:rPr>
                <w:sz w:val="18"/>
              </w:rPr>
              <w:t>Distribution &amp; Light Assembly</w:t>
            </w:r>
          </w:p>
        </w:tc>
      </w:tr>
      <w:tr>
        <w:tc>
          <w:tcPr>
            <w:tcW w:type="dxa" w:w="4320"/>
          </w:tcPr>
          <w:p>
            <w:r>
              <w:rPr>
                <w:b/>
                <w:sz w:val="18"/>
              </w:rPr>
              <w:t>Construction Type</w:t>
            </w:r>
          </w:p>
        </w:tc>
        <w:tc>
          <w:tcPr>
            <w:tcW w:type="dxa" w:w="4320"/>
          </w:tcPr>
          <w:p>
            <w:r>
              <w:rPr>
                <w:sz w:val="18"/>
              </w:rPr>
              <w:t>Masonry Non-Combustible (ISO Class 4)</w:t>
            </w:r>
          </w:p>
        </w:tc>
      </w:tr>
      <w:tr>
        <w:tc>
          <w:tcPr>
            <w:tcW w:type="dxa" w:w="4320"/>
          </w:tcPr>
          <w:p>
            <w:r>
              <w:rPr>
                <w:b/>
                <w:sz w:val="18"/>
              </w:rPr>
              <w:t>Year Built</w:t>
            </w:r>
          </w:p>
        </w:tc>
        <w:tc>
          <w:tcPr>
            <w:tcW w:type="dxa" w:w="4320"/>
          </w:tcPr>
          <w:p>
            <w:r>
              <w:rPr>
                <w:sz w:val="18"/>
              </w:rPr>
              <w:t>2015</w:t>
            </w:r>
          </w:p>
        </w:tc>
      </w:tr>
      <w:tr>
        <w:tc>
          <w:tcPr>
            <w:tcW w:type="dxa" w:w="4320"/>
          </w:tcPr>
          <w:p>
            <w:r>
              <w:rPr>
                <w:b/>
                <w:sz w:val="18"/>
              </w:rPr>
              <w:t>Total Area</w:t>
            </w:r>
          </w:p>
        </w:tc>
        <w:tc>
          <w:tcPr>
            <w:tcW w:type="dxa" w:w="4320"/>
          </w:tcPr>
          <w:p>
            <w:r>
              <w:rPr>
                <w:sz w:val="18"/>
              </w:rPr>
              <w:t>65,000 sq ft (Warehouse: 55,000 / Office: 10,000)</w:t>
            </w:r>
          </w:p>
        </w:tc>
      </w:tr>
      <w:tr>
        <w:tc>
          <w:tcPr>
            <w:tcW w:type="dxa" w:w="4320"/>
          </w:tcPr>
          <w:p>
            <w:r>
              <w:rPr>
                <w:b/>
                <w:sz w:val="18"/>
              </w:rPr>
              <w:t>Stories</w:t>
            </w:r>
          </w:p>
        </w:tc>
        <w:tc>
          <w:tcPr>
            <w:tcW w:type="dxa" w:w="4320"/>
          </w:tcPr>
          <w:p>
            <w:r>
              <w:rPr>
                <w:sz w:val="18"/>
              </w:rPr>
              <w:t>1</w:t>
            </w:r>
          </w:p>
        </w:tc>
      </w:tr>
      <w:tr>
        <w:tc>
          <w:tcPr>
            <w:tcW w:type="dxa" w:w="4320"/>
          </w:tcPr>
          <w:p>
            <w:r>
              <w:rPr>
                <w:b/>
                <w:sz w:val="18"/>
              </w:rPr>
              <w:t>Roof Type</w:t>
            </w:r>
          </w:p>
        </w:tc>
        <w:tc>
          <w:tcPr>
            <w:tcW w:type="dxa" w:w="4320"/>
          </w:tcPr>
          <w:p>
            <w:r>
              <w:rPr>
                <w:sz w:val="18"/>
              </w:rPr>
              <w:t>Standing seam metal — rated for 130 mph wind load</w:t>
            </w:r>
          </w:p>
        </w:tc>
      </w:tr>
      <w:tr>
        <w:tc>
          <w:tcPr>
            <w:tcW w:type="dxa" w:w="4320"/>
          </w:tcPr>
          <w:p>
            <w:r>
              <w:rPr>
                <w:b/>
                <w:sz w:val="18"/>
              </w:rPr>
              <w:t>Sprinkler System</w:t>
            </w:r>
          </w:p>
        </w:tc>
        <w:tc>
          <w:tcPr>
            <w:tcW w:type="dxa" w:w="4320"/>
          </w:tcPr>
          <w:p>
            <w:r>
              <w:rPr>
                <w:sz w:val="18"/>
              </w:rPr>
              <w:t>Full Wet Pipe — NFPA 13 compliant</w:t>
            </w:r>
          </w:p>
        </w:tc>
      </w:tr>
      <w:tr>
        <w:tc>
          <w:tcPr>
            <w:tcW w:type="dxa" w:w="4320"/>
          </w:tcPr>
          <w:p>
            <w:r>
              <w:rPr>
                <w:b/>
                <w:sz w:val="18"/>
              </w:rPr>
              <w:t>Fire Alarm</w:t>
            </w:r>
          </w:p>
        </w:tc>
        <w:tc>
          <w:tcPr>
            <w:tcW w:type="dxa" w:w="4320"/>
          </w:tcPr>
          <w:p>
            <w:r>
              <w:rPr>
                <w:sz w:val="18"/>
              </w:rPr>
              <w:t>Conventional zones — central station monitored</w:t>
            </w:r>
          </w:p>
        </w:tc>
      </w:tr>
      <w:tr>
        <w:tc>
          <w:tcPr>
            <w:tcW w:type="dxa" w:w="4320"/>
          </w:tcPr>
          <w:p>
            <w:r>
              <w:rPr>
                <w:b/>
                <w:sz w:val="18"/>
              </w:rPr>
              <w:t>Electrical</w:t>
            </w:r>
          </w:p>
        </w:tc>
        <w:tc>
          <w:tcPr>
            <w:tcW w:type="dxa" w:w="4320"/>
          </w:tcPr>
          <w:p>
            <w:r>
              <w:rPr>
                <w:sz w:val="18"/>
              </w:rPr>
              <w:t>Primary: 480V service. UPS for IT systems.</w:t>
            </w:r>
          </w:p>
        </w:tc>
      </w:tr>
      <w:tr>
        <w:tc>
          <w:tcPr>
            <w:tcW w:type="dxa" w:w="4320"/>
          </w:tcPr>
          <w:p>
            <w:r>
              <w:rPr>
                <w:b/>
                <w:sz w:val="18"/>
              </w:rPr>
              <w:t>Flood Zone</w:t>
            </w:r>
          </w:p>
        </w:tc>
        <w:tc>
          <w:tcPr>
            <w:tcW w:type="dxa" w:w="4320"/>
          </w:tcPr>
          <w:p>
            <w:r>
              <w:rPr>
                <w:sz w:val="18"/>
              </w:rPr>
              <w:t>Zone AE (High Risk) — BFE: 14.0 ft, Lowest Floor: 16.4 ft</w:t>
            </w:r>
          </w:p>
        </w:tc>
      </w:tr>
      <w:tr>
        <w:tc>
          <w:tcPr>
            <w:tcW w:type="dxa" w:w="4320"/>
          </w:tcPr>
          <w:p>
            <w:r>
              <w:rPr>
                <w:b/>
                <w:sz w:val="18"/>
              </w:rPr>
              <w:t>Wind Tier</w:t>
            </w:r>
          </w:p>
        </w:tc>
        <w:tc>
          <w:tcPr>
            <w:tcW w:type="dxa" w:w="4320"/>
          </w:tcPr>
          <w:p>
            <w:r>
              <w:rPr>
                <w:sz w:val="18"/>
              </w:rPr>
              <w:t>Tier 1 — Jefferson County coastal</w:t>
            </w:r>
          </w:p>
        </w:tc>
      </w:tr>
      <w:tr>
        <w:tc>
          <w:tcPr>
            <w:tcW w:type="dxa" w:w="4320"/>
          </w:tcPr>
          <w:p>
            <w:r>
              <w:rPr>
                <w:b/>
                <w:sz w:val="18"/>
              </w:rPr>
              <w:t>Hurricane Shutters</w:t>
            </w:r>
          </w:p>
        </w:tc>
        <w:tc>
          <w:tcPr>
            <w:tcW w:type="dxa" w:w="4320"/>
          </w:tcPr>
          <w:p>
            <w:r>
              <w:rPr>
                <w:sz w:val="18"/>
              </w:rPr>
              <w:t>Accordion-style on all openings — rated Cat 3</w:t>
            </w:r>
          </w:p>
        </w:tc>
      </w:tr>
      <w:tr>
        <w:tc>
          <w:tcPr>
            <w:tcW w:type="dxa" w:w="4320"/>
          </w:tcPr>
          <w:p>
            <w:r>
              <w:rPr>
                <w:b/>
                <w:sz w:val="18"/>
              </w:rPr>
              <w:t>Distance to Fire Station</w:t>
            </w:r>
          </w:p>
        </w:tc>
        <w:tc>
          <w:tcPr>
            <w:tcW w:type="dxa" w:w="4320"/>
          </w:tcPr>
          <w:p>
            <w:r>
              <w:rPr>
                <w:sz w:val="18"/>
              </w:rPr>
              <w:t>3.8 miles — Beaumont FD Station #6 (ISO PPC: 3)</w:t>
            </w:r>
          </w:p>
        </w:tc>
      </w:tr>
    </w:tbl>
    <w:p/>
    <w:p>
      <w:pPr>
        <w:pStyle w:val="Heading3"/>
      </w:pPr>
      <w:r>
        <w:rPr>
          <w:color w:val="00205B"/>
        </w:rPr>
        <w:t>Location 2 — Values Detail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205B"/>
          </w:tcPr>
          <w:p>
            <w:pPr>
              <w:jc w:val="center"/>
            </w:pPr>
            <w:r>
              <w:rPr>
                <w:b/>
                <w:color w:val="FFFFFF"/>
                <w:sz w:val="18"/>
              </w:rPr>
              <w:t>Category</w:t>
            </w:r>
          </w:p>
        </w:tc>
        <w:tc>
          <w:tcPr>
            <w:tcW w:type="dxa" w:w="2160"/>
            <w:shd w:fill="00205B"/>
          </w:tcPr>
          <w:p>
            <w:pPr>
              <w:jc w:val="center"/>
            </w:pPr>
            <w:r>
              <w:rPr>
                <w:b/>
                <w:color w:val="FFFFFF"/>
                <w:sz w:val="18"/>
              </w:rPr>
              <w:t>Replacement Cost</w:t>
            </w:r>
          </w:p>
        </w:tc>
        <w:tc>
          <w:tcPr>
            <w:tcW w:type="dxa" w:w="2160"/>
            <w:shd w:fill="00205B"/>
          </w:tcPr>
          <w:p>
            <w:pPr>
              <w:jc w:val="center"/>
            </w:pPr>
            <w:r>
              <w:rPr>
                <w:b/>
                <w:color w:val="FFFFFF"/>
                <w:sz w:val="18"/>
              </w:rPr>
              <w:t>ACV</w:t>
            </w:r>
          </w:p>
        </w:tc>
        <w:tc>
          <w:tcPr>
            <w:tcW w:type="dxa" w:w="2160"/>
            <w:shd w:fill="00205B"/>
          </w:tcPr>
          <w:p>
            <w:pPr>
              <w:jc w:val="center"/>
            </w:pPr>
            <w:r>
              <w:rPr>
                <w:b/>
                <w:color w:val="FFFFFF"/>
                <w:sz w:val="18"/>
              </w:rPr>
              <w:t>Notes</w:t>
            </w:r>
          </w:p>
        </w:tc>
      </w:tr>
      <w:tr>
        <w:tc>
          <w:tcPr>
            <w:tcW w:type="dxa" w:w="2160"/>
          </w:tcPr>
          <w:p>
            <w:r>
              <w:rPr>
                <w:sz w:val="17"/>
              </w:rPr>
              <w:t>Building</w:t>
            </w:r>
          </w:p>
        </w:tc>
        <w:tc>
          <w:tcPr>
            <w:tcW w:type="dxa" w:w="2160"/>
          </w:tcPr>
          <w:p>
            <w:r>
              <w:rPr>
                <w:sz w:val="17"/>
              </w:rPr>
              <w:t>$14,200,000</w:t>
            </w:r>
          </w:p>
        </w:tc>
        <w:tc>
          <w:tcPr>
            <w:tcW w:type="dxa" w:w="2160"/>
          </w:tcPr>
          <w:p>
            <w:r>
              <w:rPr>
                <w:sz w:val="17"/>
              </w:rPr>
              <w:t>$11,600,000</w:t>
            </w:r>
          </w:p>
        </w:tc>
        <w:tc>
          <w:tcPr>
            <w:tcW w:type="dxa" w:w="2160"/>
          </w:tcPr>
          <w:p>
            <w:r>
              <w:rPr>
                <w:sz w:val="17"/>
              </w:rPr>
              <w:t>Masonry construction</w:t>
            </w:r>
          </w:p>
        </w:tc>
      </w:tr>
      <w:tr>
        <w:tc>
          <w:tcPr>
            <w:tcW w:type="dxa" w:w="2160"/>
          </w:tcPr>
          <w:p>
            <w:r>
              <w:rPr>
                <w:sz w:val="17"/>
              </w:rPr>
              <w:t>Business Personal Property</w:t>
            </w:r>
          </w:p>
        </w:tc>
        <w:tc>
          <w:tcPr>
            <w:tcW w:type="dxa" w:w="2160"/>
          </w:tcPr>
          <w:p>
            <w:r>
              <w:rPr>
                <w:sz w:val="17"/>
              </w:rPr>
              <w:t>$6,800,000</w:t>
            </w:r>
          </w:p>
        </w:tc>
        <w:tc>
          <w:tcPr>
            <w:tcW w:type="dxa" w:w="2160"/>
          </w:tcPr>
          <w:p>
            <w:r>
              <w:rPr>
                <w:sz w:val="17"/>
              </w:rPr>
              <w:t>$4,900,000</w:t>
            </w:r>
          </w:p>
        </w:tc>
        <w:tc>
          <w:tcPr>
            <w:tcW w:type="dxa" w:w="2160"/>
          </w:tcPr>
          <w:p>
            <w:r>
              <w:rPr>
                <w:sz w:val="17"/>
              </w:rPr>
              <w:t>Inventory, packaging equipment</w:t>
            </w:r>
          </w:p>
        </w:tc>
      </w:tr>
      <w:tr>
        <w:tc>
          <w:tcPr>
            <w:tcW w:type="dxa" w:w="2160"/>
          </w:tcPr>
          <w:p>
            <w:r>
              <w:rPr>
                <w:sz w:val="17"/>
              </w:rPr>
              <w:t>Conveyor &amp; Sorting Systems</w:t>
            </w:r>
          </w:p>
        </w:tc>
        <w:tc>
          <w:tcPr>
            <w:tcW w:type="dxa" w:w="2160"/>
          </w:tcPr>
          <w:p>
            <w:r>
              <w:rPr>
                <w:sz w:val="17"/>
              </w:rPr>
              <w:t>$3,400,000</w:t>
            </w:r>
          </w:p>
        </w:tc>
        <w:tc>
          <w:tcPr>
            <w:tcW w:type="dxa" w:w="2160"/>
          </w:tcPr>
          <w:p>
            <w:r>
              <w:rPr>
                <w:sz w:val="17"/>
              </w:rPr>
              <w:t>$2,100,000</w:t>
            </w:r>
          </w:p>
        </w:tc>
        <w:tc>
          <w:tcPr>
            <w:tcW w:type="dxa" w:w="2160"/>
          </w:tcPr>
          <w:p>
            <w:r>
              <w:rPr>
                <w:sz w:val="17"/>
              </w:rPr>
              <w:t>Automated conveyor installed 2020</w:t>
            </w:r>
          </w:p>
        </w:tc>
      </w:tr>
      <w:tr>
        <w:tc>
          <w:tcPr>
            <w:tcW w:type="dxa" w:w="2160"/>
          </w:tcPr>
          <w:p>
            <w:r>
              <w:rPr>
                <w:sz w:val="17"/>
              </w:rPr>
              <w:t>Loading Dock Equipment</w:t>
            </w:r>
          </w:p>
        </w:tc>
        <w:tc>
          <w:tcPr>
            <w:tcW w:type="dxa" w:w="2160"/>
          </w:tcPr>
          <w:p>
            <w:r>
              <w:rPr>
                <w:sz w:val="17"/>
              </w:rPr>
              <w:t>$1,200,000</w:t>
            </w:r>
          </w:p>
        </w:tc>
        <w:tc>
          <w:tcPr>
            <w:tcW w:type="dxa" w:w="2160"/>
          </w:tcPr>
          <w:p>
            <w:r>
              <w:rPr>
                <w:sz w:val="17"/>
              </w:rPr>
              <w:t>$850,000</w:t>
            </w:r>
          </w:p>
        </w:tc>
        <w:tc>
          <w:tcPr>
            <w:tcW w:type="dxa" w:w="2160"/>
          </w:tcPr>
          <w:p>
            <w:r>
              <w:rPr>
                <w:sz w:val="17"/>
              </w:rPr>
              <w:t>8 dock levelers, truck restraints</w:t>
            </w:r>
          </w:p>
        </w:tc>
      </w:tr>
      <w:tr>
        <w:tc>
          <w:tcPr>
            <w:tcW w:type="dxa" w:w="2160"/>
          </w:tcPr>
          <w:p>
            <w:r>
              <w:rPr>
                <w:sz w:val="17"/>
              </w:rPr>
              <w:t>EDP &amp; Communication</w:t>
            </w:r>
          </w:p>
        </w:tc>
        <w:tc>
          <w:tcPr>
            <w:tcW w:type="dxa" w:w="2160"/>
          </w:tcPr>
          <w:p>
            <w:r>
              <w:rPr>
                <w:sz w:val="17"/>
              </w:rPr>
              <w:t>$450,000</w:t>
            </w:r>
          </w:p>
        </w:tc>
        <w:tc>
          <w:tcPr>
            <w:tcW w:type="dxa" w:w="2160"/>
          </w:tcPr>
          <w:p>
            <w:r>
              <w:rPr>
                <w:sz w:val="17"/>
              </w:rPr>
              <w:t>$300,000</w:t>
            </w:r>
          </w:p>
        </w:tc>
        <w:tc>
          <w:tcPr>
            <w:tcW w:type="dxa" w:w="2160"/>
          </w:tcPr>
          <w:p>
            <w:r>
              <w:rPr>
                <w:sz w:val="17"/>
              </w:rPr>
              <w:t>WMS system, RF scanners</w:t>
            </w:r>
          </w:p>
        </w:tc>
      </w:tr>
      <w:tr>
        <w:tc>
          <w:tcPr>
            <w:tcW w:type="dxa" w:w="2160"/>
          </w:tcPr>
          <w:p>
            <w:r>
              <w:rPr>
                <w:sz w:val="17"/>
              </w:rPr>
              <w:t>Outdoor Property</w:t>
            </w:r>
          </w:p>
        </w:tc>
        <w:tc>
          <w:tcPr>
            <w:tcW w:type="dxa" w:w="2160"/>
          </w:tcPr>
          <w:p>
            <w:r>
              <w:rPr>
                <w:sz w:val="17"/>
              </w:rPr>
              <w:t>$350,000</w:t>
            </w:r>
          </w:p>
        </w:tc>
        <w:tc>
          <w:tcPr>
            <w:tcW w:type="dxa" w:w="2160"/>
          </w:tcPr>
          <w:p>
            <w:r>
              <w:rPr>
                <w:sz w:val="17"/>
              </w:rPr>
              <w:t>$220,000</w:t>
            </w:r>
          </w:p>
        </w:tc>
        <w:tc>
          <w:tcPr>
            <w:tcW w:type="dxa" w:w="2160"/>
          </w:tcPr>
          <w:p>
            <w:r>
              <w:rPr>
                <w:sz w:val="17"/>
              </w:rPr>
              <w:t>Truck yard, fencing, lighting</w:t>
            </w:r>
          </w:p>
        </w:tc>
      </w:tr>
    </w:tbl>
    <w:p>
      <w:pPr>
        <w:spacing w:after="120"/>
      </w:pPr>
      <w:r>
        <w:rPr>
          <w:b/>
          <w:color w:val="334155"/>
          <w:sz w:val="20"/>
        </w:rPr>
        <w:t>Location 2 Total Insured Value: $26,400,000</w:t>
      </w:r>
    </w:p>
    <w:p/>
    <w:p>
      <w:pPr>
        <w:pStyle w:val="Heading2"/>
      </w:pPr>
      <w:r>
        <w:rPr>
          <w:color w:val="00205B"/>
        </w:rPr>
        <w:t>Business Income Worksheet</w:t>
      </w:r>
    </w:p>
    <w:tbl>
      <w:tblPr>
        <w:tblStyle w:val="TableGrid"/>
        <w:tblW w:type="auto" w:w="0"/>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Item</w:t>
            </w:r>
          </w:p>
        </w:tc>
        <w:tc>
          <w:tcPr>
            <w:tcW w:type="dxa" w:w="2880"/>
            <w:shd w:fill="00205B"/>
          </w:tcPr>
          <w:p>
            <w:pPr>
              <w:jc w:val="center"/>
            </w:pPr>
            <w:r>
              <w:rPr>
                <w:b/>
                <w:color w:val="FFFFFF"/>
                <w:sz w:val="18"/>
              </w:rPr>
              <w:t>Location 1</w:t>
            </w:r>
          </w:p>
        </w:tc>
        <w:tc>
          <w:tcPr>
            <w:tcW w:type="dxa" w:w="2880"/>
            <w:shd w:fill="00205B"/>
          </w:tcPr>
          <w:p>
            <w:pPr>
              <w:jc w:val="center"/>
            </w:pPr>
            <w:r>
              <w:rPr>
                <w:b/>
                <w:color w:val="FFFFFF"/>
                <w:sz w:val="18"/>
              </w:rPr>
              <w:t>Location 2</w:t>
            </w:r>
          </w:p>
        </w:tc>
      </w:tr>
      <w:tr>
        <w:tc>
          <w:tcPr>
            <w:tcW w:type="dxa" w:w="2880"/>
          </w:tcPr>
          <w:p>
            <w:r>
              <w:rPr>
                <w:b/>
                <w:sz w:val="17"/>
              </w:rPr>
              <w:t>Annual Gross Revenue</w:t>
            </w:r>
          </w:p>
        </w:tc>
        <w:tc>
          <w:tcPr>
            <w:tcW w:type="dxa" w:w="2880"/>
          </w:tcPr>
          <w:p>
            <w:r>
              <w:rPr>
                <w:sz w:val="17"/>
              </w:rPr>
              <w:t>$68,400,000</w:t>
            </w:r>
          </w:p>
        </w:tc>
        <w:tc>
          <w:tcPr>
            <w:tcW w:type="dxa" w:w="2880"/>
          </w:tcPr>
          <w:p>
            <w:r>
              <w:rPr>
                <w:sz w:val="17"/>
              </w:rPr>
              <w:t>$24,200,000</w:t>
            </w:r>
          </w:p>
        </w:tc>
      </w:tr>
      <w:tr>
        <w:tc>
          <w:tcPr>
            <w:tcW w:type="dxa" w:w="2880"/>
          </w:tcPr>
          <w:p>
            <w:r>
              <w:rPr>
                <w:b/>
                <w:sz w:val="17"/>
              </w:rPr>
              <w:t>Cost of Goods Sold (non-continuing)</w:t>
            </w:r>
          </w:p>
        </w:tc>
        <w:tc>
          <w:tcPr>
            <w:tcW w:type="dxa" w:w="2880"/>
          </w:tcPr>
          <w:p>
            <w:r>
              <w:rPr>
                <w:sz w:val="17"/>
              </w:rPr>
              <w:t>$38,700,000</w:t>
            </w:r>
          </w:p>
        </w:tc>
        <w:tc>
          <w:tcPr>
            <w:tcW w:type="dxa" w:w="2880"/>
          </w:tcPr>
          <w:p>
            <w:r>
              <w:rPr>
                <w:sz w:val="17"/>
              </w:rPr>
              <w:t>$15,100,000</w:t>
            </w:r>
          </w:p>
        </w:tc>
      </w:tr>
      <w:tr>
        <w:tc>
          <w:tcPr>
            <w:tcW w:type="dxa" w:w="2880"/>
          </w:tcPr>
          <w:p>
            <w:r>
              <w:rPr>
                <w:b/>
                <w:sz w:val="17"/>
              </w:rPr>
              <w:t>Gross Earnings</w:t>
            </w:r>
          </w:p>
        </w:tc>
        <w:tc>
          <w:tcPr>
            <w:tcW w:type="dxa" w:w="2880"/>
          </w:tcPr>
          <w:p>
            <w:r>
              <w:rPr>
                <w:sz w:val="17"/>
              </w:rPr>
              <w:t>$29,700,000</w:t>
            </w:r>
          </w:p>
        </w:tc>
        <w:tc>
          <w:tcPr>
            <w:tcW w:type="dxa" w:w="2880"/>
          </w:tcPr>
          <w:p>
            <w:r>
              <w:rPr>
                <w:sz w:val="17"/>
              </w:rPr>
              <w:t>$9,100,000</w:t>
            </w:r>
          </w:p>
        </w:tc>
      </w:tr>
      <w:tr>
        <w:tc>
          <w:tcPr>
            <w:tcW w:type="dxa" w:w="2880"/>
          </w:tcPr>
          <w:p>
            <w:r>
              <w:rPr>
                <w:b/>
                <w:sz w:val="17"/>
              </w:rPr>
              <w:t>Payroll (continuing)</w:t>
            </w:r>
          </w:p>
        </w:tc>
        <w:tc>
          <w:tcPr>
            <w:tcW w:type="dxa" w:w="2880"/>
          </w:tcPr>
          <w:p>
            <w:r>
              <w:rPr>
                <w:sz w:val="17"/>
              </w:rPr>
              <w:t>$12,400,000</w:t>
            </w:r>
          </w:p>
        </w:tc>
        <w:tc>
          <w:tcPr>
            <w:tcW w:type="dxa" w:w="2880"/>
          </w:tcPr>
          <w:p>
            <w:r>
              <w:rPr>
                <w:sz w:val="17"/>
              </w:rPr>
              <w:t>$4,800,000</w:t>
            </w:r>
          </w:p>
        </w:tc>
      </w:tr>
      <w:tr>
        <w:tc>
          <w:tcPr>
            <w:tcW w:type="dxa" w:w="2880"/>
          </w:tcPr>
          <w:p>
            <w:r>
              <w:rPr>
                <w:b/>
                <w:sz w:val="17"/>
              </w:rPr>
              <w:t>Estimated Period of Restoration</w:t>
            </w:r>
          </w:p>
        </w:tc>
        <w:tc>
          <w:tcPr>
            <w:tcW w:type="dxa" w:w="2880"/>
          </w:tcPr>
          <w:p>
            <w:r>
              <w:rPr>
                <w:sz w:val="17"/>
              </w:rPr>
              <w:t>6-9 months</w:t>
            </w:r>
          </w:p>
        </w:tc>
        <w:tc>
          <w:tcPr>
            <w:tcW w:type="dxa" w:w="2880"/>
          </w:tcPr>
          <w:p>
            <w:r>
              <w:rPr>
                <w:sz w:val="17"/>
              </w:rPr>
              <w:t>4-6 months</w:t>
            </w:r>
          </w:p>
        </w:tc>
      </w:tr>
      <w:tr>
        <w:tc>
          <w:tcPr>
            <w:tcW w:type="dxa" w:w="2880"/>
          </w:tcPr>
          <w:p>
            <w:r>
              <w:rPr>
                <w:b/>
                <w:sz w:val="17"/>
              </w:rPr>
              <w:t>Maximum Foreseeable Loss (BI)</w:t>
            </w:r>
          </w:p>
        </w:tc>
        <w:tc>
          <w:tcPr>
            <w:tcW w:type="dxa" w:w="2880"/>
          </w:tcPr>
          <w:p>
            <w:r>
              <w:rPr>
                <w:sz w:val="17"/>
              </w:rPr>
              <w:t>$22,000,000</w:t>
            </w:r>
          </w:p>
        </w:tc>
        <w:tc>
          <w:tcPr>
            <w:tcW w:type="dxa" w:w="2880"/>
          </w:tcPr>
          <w:p>
            <w:r>
              <w:rPr>
                <w:sz w:val="17"/>
              </w:rPr>
              <w:t>$6,800,000</w:t>
            </w:r>
          </w:p>
        </w:tc>
      </w:tr>
      <w:tr>
        <w:tc>
          <w:tcPr>
            <w:tcW w:type="dxa" w:w="2880"/>
          </w:tcPr>
          <w:p>
            <w:r>
              <w:rPr>
                <w:b/>
                <w:sz w:val="17"/>
              </w:rPr>
              <w:t>Selected BI Limit</w:t>
            </w:r>
          </w:p>
        </w:tc>
        <w:tc>
          <w:tcPr>
            <w:tcW w:type="dxa" w:w="2880"/>
          </w:tcPr>
          <w:p>
            <w:r>
              <w:rPr>
                <w:sz w:val="17"/>
              </w:rPr>
              <w:t>$18,000,000</w:t>
            </w:r>
          </w:p>
        </w:tc>
        <w:tc>
          <w:tcPr>
            <w:tcW w:type="dxa" w:w="2880"/>
          </w:tcPr>
          <w:p>
            <w:r>
              <w:rPr>
                <w:sz w:val="17"/>
              </w:rPr>
              <w:t>$6,000,000</w:t>
            </w:r>
          </w:p>
        </w:tc>
      </w:tr>
      <w:tr>
        <w:tc>
          <w:tcPr>
            <w:tcW w:type="dxa" w:w="2880"/>
          </w:tcPr>
          <w:p>
            <w:r>
              <w:rPr>
                <w:b/>
                <w:sz w:val="17"/>
              </w:rPr>
              <w:t>Extra Expense Estimate</w:t>
            </w:r>
          </w:p>
        </w:tc>
        <w:tc>
          <w:tcPr>
            <w:tcW w:type="dxa" w:w="2880"/>
          </w:tcPr>
          <w:p>
            <w:r>
              <w:rPr>
                <w:sz w:val="17"/>
              </w:rPr>
              <w:t>$2,000,000</w:t>
            </w:r>
          </w:p>
        </w:tc>
        <w:tc>
          <w:tcPr>
            <w:tcW w:type="dxa" w:w="2880"/>
          </w:tcPr>
          <w:p>
            <w:r>
              <w:rPr>
                <w:sz w:val="17"/>
              </w:rPr>
              <w:t>$800,000</w:t>
            </w:r>
          </w:p>
        </w:tc>
      </w:tr>
      <w:tr>
        <w:tc>
          <w:tcPr>
            <w:tcW w:type="dxa" w:w="2880"/>
          </w:tcPr>
          <w:p>
            <w:r>
              <w:rPr>
                <w:b/>
                <w:sz w:val="17"/>
              </w:rPr>
              <w:t>Combined BI + EE Limit</w:t>
            </w:r>
          </w:p>
        </w:tc>
        <w:tc>
          <w:tcPr>
            <w:tcW w:type="dxa" w:w="2880"/>
          </w:tcPr>
          <w:p>
            <w:r>
              <w:rPr>
                <w:sz w:val="17"/>
              </w:rPr>
              <w:t>$20,000,000</w:t>
            </w:r>
          </w:p>
        </w:tc>
        <w:tc>
          <w:tcPr>
            <w:tcW w:type="dxa" w:w="2880"/>
          </w:tcPr>
          <w:p>
            <w:r>
              <w:rPr>
                <w:sz w:val="17"/>
              </w:rPr>
              <w:t>$6,800,000</w:t>
            </w:r>
          </w:p>
        </w:tc>
      </w:tr>
    </w:tbl>
    <w:p/>
    <w:p>
      <w:pPr>
        <w:spacing w:after="120"/>
      </w:pPr>
      <w:r>
        <w:rPr>
          <w:b/>
          <w:color w:val="334155"/>
          <w:sz w:val="20"/>
        </w:rPr>
        <w:t>Grand Total — All Locations TIV: $148,250,000</w:t>
      </w:r>
    </w:p>
    <w:p>
      <w:pPr>
        <w:spacing w:after="120"/>
      </w:pPr>
      <w:r>
        <w:rPr>
          <w:b w:val="0"/>
          <w:color w:val="334155"/>
          <w:sz w:val="20"/>
        </w:rPr>
        <w:t>(Buildings: $52,700,000 + BPP: $34,800,000 + Machinery/Equipment: $16,850,000 + BI/EE: $26,800,000 + Other: $17,100,000)</w:t>
      </w:r>
    </w:p>
    <w:p>
      <w:r>
        <w:rPr>
          <w:color w:val="64748B"/>
          <w:sz w:val="17"/>
        </w:rPr>
        <w:br/>
        <w:t>This Statement of Values is provided in conjunction with the insurance application and is incorporated by reference into the policy. The insured certifies that the values reported herein are accurate to the best of their knowledge as of the preparation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