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05B"/>
        </w:rPr>
        <w:t>Underwriting Submission Summary</w:t>
      </w:r>
    </w:p>
    <w:p>
      <w:r>
        <w:rPr>
          <w:color w:val="64748B"/>
          <w:sz w:val="20"/>
        </w:rPr>
        <w:t>CONFIDENTIAL — For Internal Underwriting Use Only</w:t>
        <w:br/>
        <w:t>Prepared by: UW Companion AI  |  Date: February 15, 2026</w:t>
      </w:r>
    </w:p>
    <w:p/>
    <w:p>
      <w:pPr>
        <w:pStyle w:val="Heading2"/>
      </w:pPr>
      <w:r>
        <w:rPr>
          <w:color w:val="00205B"/>
        </w:rPr>
        <w:t>Executive Summary</w:t>
      </w:r>
    </w:p>
    <w:p>
      <w:pPr>
        <w:spacing w:after="120"/>
      </w:pPr>
      <w:r>
        <w:rPr>
          <w:b w:val="0"/>
          <w:color w:val="334155"/>
          <w:sz w:val="20"/>
        </w:rPr>
        <w:t>This submission summary has been prepared by the UW Companion AI system for the environmental liability new business submission from Greenfield Agricultural Holdings, Inc. The submission was received from Lockton Companies on February 7, 2026, and requests coverage effective April 1, 2026.</w:t>
      </w:r>
    </w:p>
    <w:p>
      <w:pPr>
        <w:spacing w:after="120"/>
      </w:pPr>
      <w:r>
        <w:rPr>
          <w:b/>
          <w:color w:val="334155"/>
          <w:sz w:val="20"/>
        </w:rPr>
        <w:t>AI RISK ASSESSMENT: HIGH RISK — Manual review required before quotation.</w:t>
      </w:r>
    </w:p>
    <w:p/>
    <w:p>
      <w:pPr>
        <w:pStyle w:val="Heading2"/>
      </w:pPr>
      <w:r>
        <w:rPr>
          <w:color w:val="00205B"/>
        </w:rPr>
        <w:t>Submission Overview</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Submission ID</w:t>
            </w:r>
          </w:p>
        </w:tc>
        <w:tc>
          <w:tcPr>
            <w:tcW w:type="dxa" w:w="4320"/>
          </w:tcPr>
          <w:p>
            <w:r>
              <w:rPr>
                <w:sz w:val="18"/>
              </w:rPr>
              <w:t>SUB-1039</w:t>
            </w:r>
          </w:p>
        </w:tc>
      </w:tr>
      <w:tr>
        <w:tc>
          <w:tcPr>
            <w:tcW w:type="dxa" w:w="4320"/>
          </w:tcPr>
          <w:p>
            <w:r>
              <w:rPr>
                <w:b/>
                <w:sz w:val="18"/>
              </w:rPr>
              <w:t>Named Insured</w:t>
            </w:r>
          </w:p>
        </w:tc>
        <w:tc>
          <w:tcPr>
            <w:tcW w:type="dxa" w:w="4320"/>
          </w:tcPr>
          <w:p>
            <w:r>
              <w:rPr>
                <w:sz w:val="18"/>
              </w:rPr>
              <w:t>Greenfield Agricultural Holdings, Inc.</w:t>
            </w:r>
          </w:p>
        </w:tc>
      </w:tr>
      <w:tr>
        <w:tc>
          <w:tcPr>
            <w:tcW w:type="dxa" w:w="4320"/>
          </w:tcPr>
          <w:p>
            <w:r>
              <w:rPr>
                <w:b/>
                <w:sz w:val="18"/>
              </w:rPr>
              <w:t>DBA</w:t>
            </w:r>
          </w:p>
        </w:tc>
        <w:tc>
          <w:tcPr>
            <w:tcW w:type="dxa" w:w="4320"/>
          </w:tcPr>
          <w:p>
            <w:r>
              <w:rPr>
                <w:sz w:val="18"/>
              </w:rPr>
              <w:t>Greenfield Farms, Greenfield Organics, Valley Fresh Produce</w:t>
            </w:r>
          </w:p>
        </w:tc>
      </w:tr>
      <w:tr>
        <w:tc>
          <w:tcPr>
            <w:tcW w:type="dxa" w:w="4320"/>
          </w:tcPr>
          <w:p>
            <w:r>
              <w:rPr>
                <w:b/>
                <w:sz w:val="18"/>
              </w:rPr>
              <w:t>Line of Business</w:t>
            </w:r>
          </w:p>
        </w:tc>
        <w:tc>
          <w:tcPr>
            <w:tcW w:type="dxa" w:w="4320"/>
          </w:tcPr>
          <w:p>
            <w:r>
              <w:rPr>
                <w:sz w:val="18"/>
              </w:rPr>
              <w:t>Environmental Liability (Site Pollution + Contractors Pollution)</w:t>
            </w:r>
          </w:p>
        </w:tc>
      </w:tr>
      <w:tr>
        <w:tc>
          <w:tcPr>
            <w:tcW w:type="dxa" w:w="4320"/>
          </w:tcPr>
          <w:p>
            <w:r>
              <w:rPr>
                <w:b/>
                <w:sz w:val="18"/>
              </w:rPr>
              <w:t>Requested Limit</w:t>
            </w:r>
          </w:p>
        </w:tc>
        <w:tc>
          <w:tcPr>
            <w:tcW w:type="dxa" w:w="4320"/>
          </w:tcPr>
          <w:p>
            <w:r>
              <w:rPr>
                <w:sz w:val="18"/>
              </w:rPr>
              <w:t>$5,000,000 per incident / $10,000,000 aggregate</w:t>
            </w:r>
          </w:p>
        </w:tc>
      </w:tr>
      <w:tr>
        <w:tc>
          <w:tcPr>
            <w:tcW w:type="dxa" w:w="4320"/>
          </w:tcPr>
          <w:p>
            <w:r>
              <w:rPr>
                <w:b/>
                <w:sz w:val="18"/>
              </w:rPr>
              <w:t>Requested Deductible</w:t>
            </w:r>
          </w:p>
        </w:tc>
        <w:tc>
          <w:tcPr>
            <w:tcW w:type="dxa" w:w="4320"/>
          </w:tcPr>
          <w:p>
            <w:r>
              <w:rPr>
                <w:sz w:val="18"/>
              </w:rPr>
              <w:t>$50,000 per incident</w:t>
            </w:r>
          </w:p>
        </w:tc>
      </w:tr>
      <w:tr>
        <w:tc>
          <w:tcPr>
            <w:tcW w:type="dxa" w:w="4320"/>
          </w:tcPr>
          <w:p>
            <w:r>
              <w:rPr>
                <w:b/>
                <w:sz w:val="18"/>
              </w:rPr>
              <w:t>Proposed Premium</w:t>
            </w:r>
          </w:p>
        </w:tc>
        <w:tc>
          <w:tcPr>
            <w:tcW w:type="dxa" w:w="4320"/>
          </w:tcPr>
          <w:p>
            <w:r>
              <w:rPr>
                <w:sz w:val="18"/>
              </w:rPr>
              <w:t>$560,000 (estimated)</w:t>
            </w:r>
          </w:p>
        </w:tc>
      </w:tr>
      <w:tr>
        <w:tc>
          <w:tcPr>
            <w:tcW w:type="dxa" w:w="4320"/>
          </w:tcPr>
          <w:p>
            <w:r>
              <w:rPr>
                <w:b/>
                <w:sz w:val="18"/>
              </w:rPr>
              <w:t>Policy Period</w:t>
            </w:r>
          </w:p>
        </w:tc>
        <w:tc>
          <w:tcPr>
            <w:tcW w:type="dxa" w:w="4320"/>
          </w:tcPr>
          <w:p>
            <w:r>
              <w:rPr>
                <w:sz w:val="18"/>
              </w:rPr>
              <w:t>04/01/2026 — 04/01/2029 (3-year term requested)</w:t>
            </w:r>
          </w:p>
        </w:tc>
      </w:tr>
      <w:tr>
        <w:tc>
          <w:tcPr>
            <w:tcW w:type="dxa" w:w="4320"/>
          </w:tcPr>
          <w:p>
            <w:r>
              <w:rPr>
                <w:b/>
                <w:sz w:val="18"/>
              </w:rPr>
              <w:t>Producer</w:t>
            </w:r>
          </w:p>
        </w:tc>
        <w:tc>
          <w:tcPr>
            <w:tcW w:type="dxa" w:w="4320"/>
          </w:tcPr>
          <w:p>
            <w:r>
              <w:rPr>
                <w:sz w:val="18"/>
              </w:rPr>
              <w:t>Lockton Companies — Austin, TX</w:t>
              <w:br/>
              <w:t>Account Executive: James Whitfield</w:t>
            </w:r>
          </w:p>
        </w:tc>
      </w:tr>
      <w:tr>
        <w:tc>
          <w:tcPr>
            <w:tcW w:type="dxa" w:w="4320"/>
          </w:tcPr>
          <w:p>
            <w:r>
              <w:rPr>
                <w:b/>
                <w:sz w:val="18"/>
              </w:rPr>
              <w:t>Prior Carrier</w:t>
            </w:r>
          </w:p>
        </w:tc>
        <w:tc>
          <w:tcPr>
            <w:tcW w:type="dxa" w:w="4320"/>
          </w:tcPr>
          <w:p>
            <w:r>
              <w:rPr>
                <w:sz w:val="18"/>
              </w:rPr>
              <w:t>Great American Insurance — declining to renew</w:t>
            </w:r>
          </w:p>
        </w:tc>
      </w:tr>
      <w:tr>
        <w:tc>
          <w:tcPr>
            <w:tcW w:type="dxa" w:w="4320"/>
          </w:tcPr>
          <w:p>
            <w:r>
              <w:rPr>
                <w:b/>
                <w:sz w:val="18"/>
              </w:rPr>
              <w:t>Reason for Marketing</w:t>
            </w:r>
          </w:p>
        </w:tc>
        <w:tc>
          <w:tcPr>
            <w:tcW w:type="dxa" w:w="4320"/>
          </w:tcPr>
          <w:p>
            <w:r>
              <w:rPr>
                <w:sz w:val="18"/>
              </w:rPr>
              <w:t>Non-renewal by incumbent due to emerging PFAS contamination exposure</w:t>
            </w:r>
          </w:p>
        </w:tc>
      </w:tr>
      <w:tr>
        <w:tc>
          <w:tcPr>
            <w:tcW w:type="dxa" w:w="4320"/>
          </w:tcPr>
          <w:p>
            <w:r>
              <w:rPr>
                <w:b/>
                <w:sz w:val="18"/>
              </w:rPr>
              <w:t>AI Confidence Score</w:t>
            </w:r>
          </w:p>
        </w:tc>
        <w:tc>
          <w:tcPr>
            <w:tcW w:type="dxa" w:w="4320"/>
          </w:tcPr>
          <w:p>
            <w:r>
              <w:rPr>
                <w:sz w:val="18"/>
              </w:rPr>
              <w:t>72/100 (Moderate — insufficient historical data on PFAS exposure)</w:t>
            </w:r>
          </w:p>
        </w:tc>
      </w:tr>
    </w:tbl>
    <w:p>
      <w:r>
        <w:br w:type="page"/>
      </w:r>
    </w:p>
    <w:p>
      <w:pPr>
        <w:pStyle w:val="Heading2"/>
      </w:pPr>
      <w:r>
        <w:rPr>
          <w:color w:val="00205B"/>
        </w:rPr>
        <w:t>AI-Generated Risk Analysis</w:t>
      </w:r>
    </w:p>
    <w:p>
      <w:pPr>
        <w:pStyle w:val="Heading3"/>
      </w:pPr>
      <w:r>
        <w:rPr>
          <w:color w:val="00205B"/>
        </w:rPr>
        <w:t>1. PFAS Contamination Exposure (CRITICAL)</w:t>
      </w:r>
    </w:p>
    <w:p>
      <w:pPr>
        <w:spacing w:after="120"/>
      </w:pPr>
      <w:r>
        <w:rPr>
          <w:b w:val="0"/>
          <w:color w:val="334155"/>
          <w:sz w:val="20"/>
        </w:rPr>
        <w:t>Greenfield operates 4 agricultural processing facilities in Central Texas. Phase II Environmental Site Assessments (ESAs) from 2024 indicate detectable levels of PFAS compounds (specifically PFOA and PFOS) in groundwater monitoring wells at 2 of 4 facilities. Concentrations range from 12-28 ppt (parts per trillion), which currently fall below the EPA's proposed MCL of 4 ppt for PFOA and PFOS individually when measured in drinking water sources. However, the onsite levels exceed several state advisory levels and represent a significant emerging risk.</w:t>
        <w:br/>
        <w:br/>
        <w:t>The source of contamination has been preliminarily linked to the use of PFAS-containing biosolids as agricultural soil amendments between 2015-2022. Greenfield ceased using biosolids in 2022 after the Texas Commission on Environmental Quality (TCEQ) issued an advisory. However, PFAS compounds are persistent and remediation costs are uncertain.</w:t>
      </w:r>
    </w:p>
    <w:p>
      <w:pPr>
        <w:pStyle w:val="Heading3"/>
      </w:pPr>
      <w:r>
        <w:rPr>
          <w:color w:val="00205B"/>
        </w:rPr>
        <w:t>2. Regulatory Environment (HIGH)</w:t>
      </w:r>
    </w:p>
    <w:p>
      <w:pPr>
        <w:spacing w:after="120"/>
      </w:pPr>
      <w:r>
        <w:rPr>
          <w:b w:val="0"/>
          <w:color w:val="334155"/>
          <w:sz w:val="20"/>
        </w:rPr>
        <w:t>The EPA finalized the PFAS National Primary Drinking Water Regulation in April 2024, establishing enforceable MCLs for 6 PFAS compounds. Texas has not yet adopted state-specific PFAS standards but TCEQ has been actively monitoring agricultural operations. Greenfield is currently subject to a TCEQ Compliance Investigation (Case #CI-2025-14782) related to groundwater monitoring requirements.</w:t>
        <w:br/>
        <w:br/>
        <w:t>Additionally, the Comprehensive Environmental Response, Compensation, and Liability Act (CERCLA) designation of PFOA and PFOS as hazardous substances (effective July 2026) could expose Greenfield to Superfund liability for any contamination that migrates off-site.</w:t>
      </w:r>
    </w:p>
    <w:p>
      <w:pPr>
        <w:pStyle w:val="Heading3"/>
      </w:pPr>
      <w:r>
        <w:rPr>
          <w:color w:val="00205B"/>
        </w:rPr>
        <w:t>3. Third-Party Bodily Injury Risk (MODERATE)</w:t>
      </w:r>
    </w:p>
    <w:p>
      <w:pPr>
        <w:spacing w:after="120"/>
      </w:pPr>
      <w:r>
        <w:rPr>
          <w:b w:val="0"/>
          <w:color w:val="334155"/>
          <w:sz w:val="20"/>
        </w:rPr>
        <w:t>Three neighboring residential properties are served by private water wells within a 1-mile radius of the affected facilities. While current testing shows no PFAS detection in these wells, the potential for groundwater migration exists. Two neighboring property owners have retained counsel (Rodriguez &amp; Associates) and sent preservation of evidence letters to Greenfield. No formal claims have been filed to date.</w:t>
      </w:r>
    </w:p>
    <w:p>
      <w:pPr>
        <w:pStyle w:val="Heading3"/>
      </w:pPr>
      <w:r>
        <w:rPr>
          <w:color w:val="00205B"/>
        </w:rPr>
        <w:t>4. Remediation Cost Uncertainty (HIGH)</w:t>
      </w:r>
    </w:p>
    <w:p>
      <w:pPr>
        <w:spacing w:after="120"/>
      </w:pPr>
      <w:r>
        <w:rPr>
          <w:b w:val="0"/>
          <w:color w:val="334155"/>
          <w:sz w:val="20"/>
        </w:rPr>
        <w:t>Environmental consultants (Tetra Tech) have estimated remediation costs ranging from $2.8M to $12.4M depending on the scope and method of cleanup:</w:t>
        <w:br/>
        <w:br/>
        <w:t>• Monitored Natural Attenuation: $2.8M over 10 years (least aggressive)</w:t>
        <w:br/>
        <w:t>• Pump-and-Treat with GAC Filtration: $5.2M over 5-7 years</w:t>
        <w:br/>
        <w:t>• In-Situ Soil Treatment + Groundwater: $8.7M over 3-5 years</w:t>
        <w:br/>
        <w:t>• Full Excavation &amp; Off-Site Disposal: $12.4M over 2-3 years</w:t>
        <w:br/>
        <w:br/>
        <w:t>The remediation approach has not been finalized pending the outcome of the TCEQ investigation.</w:t>
      </w:r>
    </w:p>
    <w:p>
      <w:pPr>
        <w:pStyle w:val="Heading3"/>
      </w:pPr>
      <w:r>
        <w:rPr>
          <w:color w:val="00205B"/>
        </w:rPr>
        <w:t>5. Financial Capacity (MODERATE)</w:t>
      </w:r>
    </w:p>
    <w:p>
      <w:pPr>
        <w:spacing w:after="120"/>
      </w:pPr>
      <w:r>
        <w:rPr>
          <w:b w:val="0"/>
          <w:color w:val="334155"/>
          <w:sz w:val="20"/>
        </w:rPr>
        <w:t>Greenfield Agricultural Holdings reported FY 2025 revenue of $142M with net income of $8.7M. Debt-to-equity ratio is 0.84. The company has $12M in available credit facilities. While the balance sheet is generally healthy, a worst-case remediation scenario ($12.4M) would represent significant financial stress.</w:t>
        <w:br/>
        <w:br/>
        <w:t>AIG Financial Analysis Unit recommends requiring audited financial statements and a letter of credit for the deductible amount ($50,000) as a condition of binding.</w:t>
      </w:r>
    </w:p>
    <w:p>
      <w:r>
        <w:br w:type="page"/>
      </w:r>
    </w:p>
    <w:p>
      <w:pPr>
        <w:pStyle w:val="Heading2"/>
      </w:pPr>
      <w:r>
        <w:rPr>
          <w:color w:val="00205B"/>
        </w:rPr>
        <w:t>AI Underwriting Recommendations</w:t>
      </w:r>
    </w:p>
    <w:p>
      <w:pPr>
        <w:pStyle w:val="Heading3"/>
      </w:pPr>
      <w:r>
        <w:rPr>
          <w:color w:val="00205B"/>
        </w:rPr>
        <w:t>Coverage Modifications</w:t>
      </w:r>
    </w:p>
    <w:p>
      <w:pPr>
        <w:spacing w:after="120"/>
      </w:pPr>
      <w:r>
        <w:rPr>
          <w:b w:val="0"/>
          <w:color w:val="334155"/>
          <w:sz w:val="20"/>
        </w:rPr>
        <w:t>1. Reduce per-incident limit from $5M to $3M given PFAS uncertainty</w:t>
        <w:br/>
        <w:t>2. Apply PFAS-specific sublimit of $1M per incident / $2M aggregate</w:t>
        <w:br/>
        <w:t>3. Increase deductible to $100K per incident (minimum)</w:t>
        <w:br/>
        <w:t>4. Exclude pre-existing conditions at Facilities 2 and 3 (where PFAS detected)</w:t>
        <w:br/>
        <w:t>5. Add regulatory defense cost sublimit of $500K</w:t>
        <w:br/>
        <w:t>6. Policy term: 1-year only (not 3-year as requested) — reassess at renewal</w:t>
      </w:r>
    </w:p>
    <w:p>
      <w:pPr>
        <w:pStyle w:val="Heading3"/>
      </w:pPr>
      <w:r>
        <w:rPr>
          <w:color w:val="00205B"/>
        </w:rPr>
        <w:t>Required Documentation Before Quoting</w:t>
      </w:r>
    </w:p>
    <w:p>
      <w:pPr>
        <w:spacing w:after="120"/>
      </w:pPr>
      <w:r>
        <w:rPr>
          <w:b w:val="0"/>
          <w:color w:val="334155"/>
          <w:sz w:val="20"/>
        </w:rPr>
        <w:t>1. Complete Phase II ESA reports for all 4 facilities (2024 reports on file)</w:t>
        <w:br/>
        <w:t>2. Groundwater monitoring data from last 4 quarters</w:t>
        <w:br/>
        <w:t>3. TCEQ Compliance Investigation correspondence and status</w:t>
        <w:br/>
        <w:t>4. Audited financial statements (FY 2024 and FY 2025)</w:t>
        <w:br/>
        <w:t>5. Copy of remediation consultant's scope of work proposal</w:t>
        <w:br/>
        <w:t>6. Environmental compliance history for past 10 years</w:t>
        <w:br/>
        <w:t>7. Third-party claim correspondence (Rodriguez &amp; Associates letters)</w:t>
      </w:r>
    </w:p>
    <w:p>
      <w:pPr>
        <w:pStyle w:val="Heading3"/>
      </w:pPr>
      <w:r>
        <w:rPr>
          <w:color w:val="00205B"/>
        </w:rPr>
        <w:t>Pricing Guidance</w:t>
      </w:r>
    </w:p>
    <w:p>
      <w:pPr>
        <w:spacing w:after="120"/>
      </w:pPr>
      <w:r>
        <w:rPr>
          <w:b w:val="0"/>
          <w:color w:val="334155"/>
          <w:sz w:val="20"/>
        </w:rPr>
        <w:t>Base Rate: $560,000 (as quoted by producer)</w:t>
        <w:br/>
        <w:t>AI-Recommended Rate: $685,000 - $740,000</w:t>
        <w:br/>
        <w:br/>
        <w:t>Rate Adjustments:</w:t>
        <w:br/>
        <w:t>• +15% for PFAS exposure surcharge</w:t>
        <w:br/>
        <w:t>• +8% for active regulatory investigation</w:t>
        <w:br/>
        <w:t>• +5% for 3rd party BI potential</w:t>
        <w:br/>
        <w:t>• -3% credit for proactive biosolid cessation (2022)</w:t>
        <w:br/>
        <w:t>• -2% credit for environmental consultant engagement</w:t>
        <w:br/>
        <w:br/>
        <w:t>Minimum Acceptable Premium: $685,000 for reduced limits as recommended above.</w:t>
        <w:br/>
        <w:t>If full $5M limits are maintained: Minimum premium $920,000 with PFAS exclusion.</w:t>
      </w:r>
    </w:p>
    <w:p/>
    <w:p>
      <w:pPr>
        <w:pStyle w:val="Heading2"/>
      </w:pPr>
      <w:r>
        <w:rPr>
          <w:color w:val="00205B"/>
        </w:rPr>
        <w:t>Conclusion &amp; Next Steps</w:t>
      </w:r>
    </w:p>
    <w:p>
      <w:pPr>
        <w:spacing w:after="120"/>
      </w:pPr>
      <w:r>
        <w:rPr>
          <w:b w:val="0"/>
          <w:color w:val="334155"/>
          <w:sz w:val="20"/>
        </w:rPr>
        <w:t>The UW Companion AI system has flagged this submission as HIGH RISK due to the emerging PFAS contamination exposure, active regulatory investigation, and potential third-party claims. While Greenfield Agricultural Holdings has demonstrated proactive risk management by ceasing biosolid use and engaging environmental consultants, the uncertainty around remediation costs and regulatory outcomes warrants careful underwriting consideration.</w:t>
      </w:r>
    </w:p>
    <w:p>
      <w:pPr>
        <w:spacing w:after="120"/>
      </w:pPr>
      <w:r>
        <w:rPr>
          <w:b/>
          <w:color w:val="334155"/>
          <w:sz w:val="20"/>
        </w:rPr>
        <w:t>Recommended Action: Refer to Senior Environmental Underwriter for manual review. Do not issue quote until all required documentation is received and reviewed.</w:t>
      </w:r>
    </w:p>
    <w:p/>
    <w:p>
      <w:r>
        <w:rPr>
          <w:i/>
          <w:color w:val="64748B"/>
          <w:sz w:val="17"/>
        </w:rPr>
        <w:t>This report was generated by UW Companion AI. All analysis and recommendations are advisory and should be reviewed by a qualified underwriter before any binding decisions are made. AI confidence score: 72/100.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