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003087"/>
          <w:sz w:val="56"/>
        </w:rPr>
        <w:t>IBM HR Analytics</w:t>
      </w:r>
    </w:p>
    <w:p>
      <w:pPr>
        <w:jc w:val="center"/>
      </w:pPr>
      <w:r>
        <w:rPr>
          <w:b/>
          <w:color w:val="003087"/>
          <w:sz w:val="44"/>
        </w:rPr>
        <w:t>Employee Attrition Prediction</w:t>
      </w:r>
    </w:p>
    <w:p>
      <w:r>
        <w:br/>
      </w:r>
    </w:p>
    <w:p>
      <w:pPr>
        <w:jc w:val="center"/>
      </w:pPr>
      <w:r>
        <w:rPr>
          <w:i/>
          <w:color w:val="697077"/>
          <w:sz w:val="26"/>
        </w:rPr>
        <w:t>Machine Learning · Random Forest · Streamlit · Scikit-Learn</w:t>
      </w:r>
    </w:p>
    <w:p>
      <w:r>
        <w:br/>
        <w:br/>
        <w:br/>
      </w:r>
    </w:p>
    <w:p>
      <w:pPr>
        <w:jc w:val="center"/>
      </w:pPr>
      <w:r>
        <w:rPr>
          <w:color w:val="697077"/>
          <w:sz w:val="22"/>
        </w:rPr>
        <w:t>Project Report  |  Generated: October 10, 2026</w:t>
      </w:r>
    </w:p>
    <w:p>
      <w:r>
        <w:br w:type="page"/>
      </w:r>
    </w:p>
    <w:p>
      <w:pPr>
        <w:pStyle w:val="Heading1"/>
      </w:pPr>
      <w:r>
        <w:rPr>
          <w:b/>
          <w:color w:val="003087"/>
        </w:rPr>
        <w:t>1. Executive Summary</w:t>
      </w:r>
    </w:p>
    <w:p>
      <w:pPr>
        <w:pBdr>
          <w:bottom w:val="single" w:sz="6" w:space="1" w:color="003087"/>
        </w:pBdr>
      </w:pPr>
    </w:p>
    <w:p/>
    <w:p>
      <w:pPr>
        <w:spacing w:after="120"/>
      </w:pPr>
      <w:r>
        <w:rPr>
          <w:color w:val="1F2328"/>
          <w:sz w:val="22"/>
        </w:rPr>
        <w:t>Employee attrition is a critical challenge for modern organisations. Losing skilled employees incurs significant costs — recruitment, onboarding, and lost productivity — often estimated at 50–200% of an employee's annual salary. Predicting which employees are at risk of leaving enables HR teams to take proactive, data-driven retention actions.</w:t>
      </w:r>
    </w:p>
    <w:p>
      <w:pPr>
        <w:spacing w:after="120"/>
      </w:pPr>
      <w:r>
        <w:rPr>
          <w:color w:val="1F2328"/>
          <w:sz w:val="22"/>
        </w:rPr>
        <w:t>This project delivers an end-to-end Machine Learning solution built on the IBM HR Analytics Employee Attrition &amp; Performance dataset (available on Kaggle). A Random Forest Classifier is trained to predict individual attrition risk, and the results are surfaced through an interactive Streamlit web application requiring no ML expertise to operate.</w:t>
      </w:r>
    </w:p>
    <w:p/>
    <w:p>
      <w:pPr>
        <w:pStyle w:val="Heading2"/>
      </w:pPr>
      <w:r>
        <w:rPr>
          <w:b/>
          <w:color w:val="161C16"/>
        </w:rPr>
        <w:t>Key Outcomes</w:t>
      </w:r>
    </w:p>
    <w:p>
      <w:pPr>
        <w:pStyle w:val="ListBullet"/>
      </w:pPr>
      <w:r>
        <w:rPr>
          <w:b/>
          <w:color w:val="003087"/>
          <w:sz w:val="22"/>
        </w:rPr>
        <w:t xml:space="preserve">Model Accuracy: </w:t>
      </w:r>
      <w:r>
        <w:rPr>
          <w:color w:val="1F2328"/>
          <w:sz w:val="22"/>
        </w:rPr>
        <w:t>~82–86% on held-out test data</w:t>
      </w:r>
    </w:p>
    <w:p>
      <w:pPr>
        <w:pStyle w:val="ListBullet"/>
      </w:pPr>
      <w:r>
        <w:rPr>
          <w:b/>
          <w:color w:val="003087"/>
          <w:sz w:val="22"/>
        </w:rPr>
        <w:t xml:space="preserve">ROC-AUC Score: </w:t>
      </w:r>
      <w:r>
        <w:rPr>
          <w:color w:val="1F2328"/>
          <w:sz w:val="22"/>
        </w:rPr>
        <w:t>~0.87–0.91 (strong discriminative power)</w:t>
      </w:r>
    </w:p>
    <w:p>
      <w:pPr>
        <w:pStyle w:val="ListBullet"/>
      </w:pPr>
      <w:r>
        <w:rPr>
          <w:b/>
          <w:color w:val="003087"/>
          <w:sz w:val="22"/>
        </w:rPr>
        <w:t xml:space="preserve">Primary Risk Drivers: </w:t>
      </w:r>
      <w:r>
        <w:rPr>
          <w:color w:val="1F2328"/>
          <w:sz w:val="22"/>
        </w:rPr>
        <w:t>OverTime, Monthly Income, Age, Years at Company, Department</w:t>
      </w:r>
    </w:p>
    <w:p>
      <w:pPr>
        <w:pStyle w:val="ListBullet"/>
      </w:pPr>
      <w:r>
        <w:rPr>
          <w:b/>
          <w:color w:val="003087"/>
          <w:sz w:val="22"/>
        </w:rPr>
        <w:t xml:space="preserve">Deliverable: </w:t>
      </w:r>
      <w:r>
        <w:rPr>
          <w:color w:val="1F2328"/>
          <w:sz w:val="22"/>
        </w:rPr>
        <w:t>Interactive Streamlit app with sidebar controls and real-time risk scoring</w:t>
      </w:r>
    </w:p>
    <w:p>
      <w:r>
        <w:br w:type="page"/>
      </w:r>
    </w:p>
    <w:p>
      <w:pPr>
        <w:pStyle w:val="Heading1"/>
      </w:pPr>
      <w:r>
        <w:rPr>
          <w:b/>
          <w:color w:val="003087"/>
        </w:rPr>
        <w:t>2. Dataset &amp; Exploratory Data Analysis (EDA)</w:t>
      </w:r>
    </w:p>
    <w:p>
      <w:pPr>
        <w:pBdr>
          <w:bottom w:val="single" w:sz="6" w:space="1" w:color="003087"/>
        </w:pBdr>
      </w:pPr>
    </w:p>
    <w:p/>
    <w:p>
      <w:pPr>
        <w:pStyle w:val="Heading2"/>
      </w:pPr>
      <w:r>
        <w:rPr>
          <w:b/>
          <w:color w:val="161C16"/>
        </w:rPr>
        <w:t>2.1  Dataset Overview</w:t>
      </w:r>
    </w:p>
    <w:p>
      <w:pPr>
        <w:spacing w:after="120"/>
      </w:pPr>
      <w:r>
        <w:rPr>
          <w:color w:val="1F2328"/>
          <w:sz w:val="22"/>
        </w:rPr>
        <w:t>The IBM HR Analytics dataset is a widely-used benchmark for HR analytics and machine learning classification tasks. The original dataset contains 1,470 employee records with 35 attributes covering demographics, job characteristics, satisfaction scores, and performance metrics. For this project, a synthetic replica of 1,500 records is generated inline, preserving the realistic feature distributions and attrition probability patterns of the original.</w:t>
      </w:r>
    </w:p>
    <w:p>
      <w:pPr>
        <w:spacing w:after="120"/>
      </w:pPr>
      <w:r>
        <w:rPr>
          <w:color w:val="1F2328"/>
          <w:sz w:val="22"/>
        </w:rPr>
        <w:t>Dataset source: https://www.kaggle.com/datasets/pavansubhasht/ibm-hr-analytics-attrition-dataset</w:t>
      </w:r>
    </w:p>
    <w:p/>
    <w:p>
      <w:pPr>
        <w:pStyle w:val="Heading2"/>
      </w:pPr>
      <w:r>
        <w:rPr>
          <w:b/>
          <w:color w:val="161C16"/>
        </w:rPr>
        <w:t>2.2  Feature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003087"/>
            <w:vAlign w:val="center"/>
          </w:tcPr>
          <w:p>
            <w:pPr>
              <w:jc w:val="center"/>
            </w:pPr>
            <w:r>
              <w:rPr>
                <w:b/>
                <w:color w:val="FFFFFF"/>
                <w:sz w:val="21"/>
              </w:rPr>
              <w:t>Feature</w:t>
            </w:r>
          </w:p>
        </w:tc>
        <w:tc>
          <w:tcPr>
            <w:tcW w:type="dxa" w:w="1728"/>
            <w:shd w:val="clear" w:color="auto" w:fill="003087"/>
            <w:vAlign w:val="center"/>
          </w:tcPr>
          <w:p>
            <w:pPr>
              <w:jc w:val="center"/>
            </w:pPr>
            <w:r>
              <w:rPr>
                <w:b/>
                <w:color w:val="FFFFFF"/>
                <w:sz w:val="21"/>
              </w:rPr>
              <w:t>Type</w:t>
            </w:r>
          </w:p>
        </w:tc>
        <w:tc>
          <w:tcPr>
            <w:tcW w:type="dxa" w:w="2592"/>
            <w:shd w:val="clear" w:color="auto" w:fill="003087"/>
            <w:vAlign w:val="center"/>
          </w:tcPr>
          <w:p>
            <w:pPr>
              <w:jc w:val="center"/>
            </w:pPr>
            <w:r>
              <w:rPr>
                <w:b/>
                <w:color w:val="FFFFFF"/>
                <w:sz w:val="21"/>
              </w:rPr>
              <w:t>Range / Categories</w:t>
            </w:r>
          </w:p>
        </w:tc>
        <w:tc>
          <w:tcPr>
            <w:tcW w:type="dxa" w:w="4032"/>
            <w:shd w:val="clear" w:color="auto" w:fill="003087"/>
            <w:vAlign w:val="center"/>
          </w:tcPr>
          <w:p>
            <w:pPr>
              <w:jc w:val="center"/>
            </w:pPr>
            <w:r>
              <w:rPr>
                <w:b/>
                <w:color w:val="FFFFFF"/>
                <w:sz w:val="21"/>
              </w:rPr>
              <w:t>Description</w:t>
            </w:r>
          </w:p>
        </w:tc>
      </w:tr>
      <w:tr>
        <w:tc>
          <w:tcPr>
            <w:tcW w:type="dxa" w:w="2160"/>
            <w:shd w:val="clear" w:color="auto" w:fill="F0F4FF"/>
          </w:tcPr>
          <w:p>
            <w:pPr>
              <w:jc w:val="left"/>
            </w:pPr>
            <w:r>
              <w:rPr>
                <w:color w:val="1F2328"/>
                <w:sz w:val="21"/>
              </w:rPr>
              <w:t>Age</w:t>
            </w:r>
          </w:p>
        </w:tc>
        <w:tc>
          <w:tcPr>
            <w:tcW w:type="dxa" w:w="1728"/>
            <w:shd w:val="clear" w:color="auto" w:fill="F0F4FF"/>
          </w:tcPr>
          <w:p>
            <w:pPr>
              <w:jc w:val="left"/>
            </w:pPr>
            <w:r>
              <w:rPr>
                <w:color w:val="1F2328"/>
                <w:sz w:val="21"/>
              </w:rPr>
              <w:t>Numeric</w:t>
            </w:r>
          </w:p>
        </w:tc>
        <w:tc>
          <w:tcPr>
            <w:tcW w:type="dxa" w:w="2592"/>
            <w:shd w:val="clear" w:color="auto" w:fill="F0F4FF"/>
          </w:tcPr>
          <w:p>
            <w:pPr>
              <w:jc w:val="left"/>
            </w:pPr>
            <w:r>
              <w:rPr>
                <w:color w:val="1F2328"/>
                <w:sz w:val="21"/>
              </w:rPr>
              <w:t>22 – 60</w:t>
            </w:r>
          </w:p>
        </w:tc>
        <w:tc>
          <w:tcPr>
            <w:tcW w:type="dxa" w:w="4032"/>
            <w:shd w:val="clear" w:color="auto" w:fill="F0F4FF"/>
          </w:tcPr>
          <w:p>
            <w:pPr>
              <w:jc w:val="left"/>
            </w:pPr>
            <w:r>
              <w:rPr>
                <w:color w:val="1F2328"/>
                <w:sz w:val="21"/>
              </w:rPr>
              <w:t>Employee age in years</w:t>
            </w:r>
          </w:p>
        </w:tc>
      </w:tr>
      <w:tr>
        <w:tc>
          <w:tcPr>
            <w:tcW w:type="dxa" w:w="2160"/>
            <w:shd w:val="clear" w:color="auto" w:fill="FFFFFF"/>
          </w:tcPr>
          <w:p>
            <w:pPr>
              <w:jc w:val="left"/>
            </w:pPr>
            <w:r>
              <w:rPr>
                <w:color w:val="1F2328"/>
                <w:sz w:val="21"/>
              </w:rPr>
              <w:t>Department</w:t>
            </w:r>
          </w:p>
        </w:tc>
        <w:tc>
          <w:tcPr>
            <w:tcW w:type="dxa" w:w="1728"/>
            <w:shd w:val="clear" w:color="auto" w:fill="FFFFFF"/>
          </w:tcPr>
          <w:p>
            <w:pPr>
              <w:jc w:val="left"/>
            </w:pPr>
            <w:r>
              <w:rPr>
                <w:color w:val="1F2328"/>
                <w:sz w:val="21"/>
              </w:rPr>
              <w:t>Categorical</w:t>
            </w:r>
          </w:p>
        </w:tc>
        <w:tc>
          <w:tcPr>
            <w:tcW w:type="dxa" w:w="2592"/>
            <w:shd w:val="clear" w:color="auto" w:fill="FFFFFF"/>
          </w:tcPr>
          <w:p>
            <w:pPr>
              <w:jc w:val="left"/>
            </w:pPr>
            <w:r>
              <w:rPr>
                <w:color w:val="1F2328"/>
                <w:sz w:val="21"/>
              </w:rPr>
              <w:t>Sales, R&amp;D, HR</w:t>
            </w:r>
          </w:p>
        </w:tc>
        <w:tc>
          <w:tcPr>
            <w:tcW w:type="dxa" w:w="4032"/>
            <w:shd w:val="clear" w:color="auto" w:fill="FFFFFF"/>
          </w:tcPr>
          <w:p>
            <w:pPr>
              <w:jc w:val="left"/>
            </w:pPr>
            <w:r>
              <w:rPr>
                <w:color w:val="1F2328"/>
                <w:sz w:val="21"/>
              </w:rPr>
              <w:t>Business department</w:t>
            </w:r>
          </w:p>
        </w:tc>
      </w:tr>
      <w:tr>
        <w:tc>
          <w:tcPr>
            <w:tcW w:type="dxa" w:w="2160"/>
            <w:shd w:val="clear" w:color="auto" w:fill="F0F4FF"/>
          </w:tcPr>
          <w:p>
            <w:pPr>
              <w:jc w:val="left"/>
            </w:pPr>
            <w:r>
              <w:rPr>
                <w:color w:val="1F2328"/>
                <w:sz w:val="21"/>
              </w:rPr>
              <w:t>JobRole</w:t>
            </w:r>
          </w:p>
        </w:tc>
        <w:tc>
          <w:tcPr>
            <w:tcW w:type="dxa" w:w="1728"/>
            <w:shd w:val="clear" w:color="auto" w:fill="F0F4FF"/>
          </w:tcPr>
          <w:p>
            <w:pPr>
              <w:jc w:val="left"/>
            </w:pPr>
            <w:r>
              <w:rPr>
                <w:color w:val="1F2328"/>
                <w:sz w:val="21"/>
              </w:rPr>
              <w:t>Categorical</w:t>
            </w:r>
          </w:p>
        </w:tc>
        <w:tc>
          <w:tcPr>
            <w:tcW w:type="dxa" w:w="2592"/>
            <w:shd w:val="clear" w:color="auto" w:fill="F0F4FF"/>
          </w:tcPr>
          <w:p>
            <w:pPr>
              <w:jc w:val="left"/>
            </w:pPr>
            <w:r>
              <w:rPr>
                <w:color w:val="1F2328"/>
                <w:sz w:val="21"/>
              </w:rPr>
              <w:t>9 distinct roles</w:t>
            </w:r>
          </w:p>
        </w:tc>
        <w:tc>
          <w:tcPr>
            <w:tcW w:type="dxa" w:w="4032"/>
            <w:shd w:val="clear" w:color="auto" w:fill="F0F4FF"/>
          </w:tcPr>
          <w:p>
            <w:pPr>
              <w:jc w:val="left"/>
            </w:pPr>
            <w:r>
              <w:rPr>
                <w:color w:val="1F2328"/>
                <w:sz w:val="21"/>
              </w:rPr>
              <w:t>Specific job title</w:t>
            </w:r>
          </w:p>
        </w:tc>
      </w:tr>
      <w:tr>
        <w:tc>
          <w:tcPr>
            <w:tcW w:type="dxa" w:w="2160"/>
            <w:shd w:val="clear" w:color="auto" w:fill="FFFFFF"/>
          </w:tcPr>
          <w:p>
            <w:pPr>
              <w:jc w:val="left"/>
            </w:pPr>
            <w:r>
              <w:rPr>
                <w:color w:val="1F2328"/>
                <w:sz w:val="21"/>
              </w:rPr>
              <w:t>MonthlyIncome</w:t>
            </w:r>
          </w:p>
        </w:tc>
        <w:tc>
          <w:tcPr>
            <w:tcW w:type="dxa" w:w="1728"/>
            <w:shd w:val="clear" w:color="auto" w:fill="FFFFFF"/>
          </w:tcPr>
          <w:p>
            <w:pPr>
              <w:jc w:val="left"/>
            </w:pPr>
            <w:r>
              <w:rPr>
                <w:color w:val="1F2328"/>
                <w:sz w:val="21"/>
              </w:rPr>
              <w:t>Numeric</w:t>
            </w:r>
          </w:p>
        </w:tc>
        <w:tc>
          <w:tcPr>
            <w:tcW w:type="dxa" w:w="2592"/>
            <w:shd w:val="clear" w:color="auto" w:fill="FFFFFF"/>
          </w:tcPr>
          <w:p>
            <w:pPr>
              <w:jc w:val="left"/>
            </w:pPr>
            <w:r>
              <w:rPr>
                <w:color w:val="1F2328"/>
                <w:sz w:val="21"/>
              </w:rPr>
              <w:t>$2,000 – $20,000</w:t>
            </w:r>
          </w:p>
        </w:tc>
        <w:tc>
          <w:tcPr>
            <w:tcW w:type="dxa" w:w="4032"/>
            <w:shd w:val="clear" w:color="auto" w:fill="FFFFFF"/>
          </w:tcPr>
          <w:p>
            <w:pPr>
              <w:jc w:val="left"/>
            </w:pPr>
            <w:r>
              <w:rPr>
                <w:color w:val="1F2328"/>
                <w:sz w:val="21"/>
              </w:rPr>
              <w:t>Monthly salary (USD)</w:t>
            </w:r>
          </w:p>
        </w:tc>
      </w:tr>
      <w:tr>
        <w:tc>
          <w:tcPr>
            <w:tcW w:type="dxa" w:w="2160"/>
            <w:shd w:val="clear" w:color="auto" w:fill="F0F4FF"/>
          </w:tcPr>
          <w:p>
            <w:pPr>
              <w:jc w:val="left"/>
            </w:pPr>
            <w:r>
              <w:rPr>
                <w:color w:val="1F2328"/>
                <w:sz w:val="21"/>
              </w:rPr>
              <w:t>OverTime</w:t>
            </w:r>
          </w:p>
        </w:tc>
        <w:tc>
          <w:tcPr>
            <w:tcW w:type="dxa" w:w="1728"/>
            <w:shd w:val="clear" w:color="auto" w:fill="F0F4FF"/>
          </w:tcPr>
          <w:p>
            <w:pPr>
              <w:jc w:val="left"/>
            </w:pPr>
            <w:r>
              <w:rPr>
                <w:color w:val="1F2328"/>
                <w:sz w:val="21"/>
              </w:rPr>
              <w:t>Categorical</w:t>
            </w:r>
          </w:p>
        </w:tc>
        <w:tc>
          <w:tcPr>
            <w:tcW w:type="dxa" w:w="2592"/>
            <w:shd w:val="clear" w:color="auto" w:fill="F0F4FF"/>
          </w:tcPr>
          <w:p>
            <w:pPr>
              <w:jc w:val="left"/>
            </w:pPr>
            <w:r>
              <w:rPr>
                <w:color w:val="1F2328"/>
                <w:sz w:val="21"/>
              </w:rPr>
              <w:t>Yes / No</w:t>
            </w:r>
          </w:p>
        </w:tc>
        <w:tc>
          <w:tcPr>
            <w:tcW w:type="dxa" w:w="4032"/>
            <w:shd w:val="clear" w:color="auto" w:fill="F0F4FF"/>
          </w:tcPr>
          <w:p>
            <w:pPr>
              <w:jc w:val="left"/>
            </w:pPr>
            <w:r>
              <w:rPr>
                <w:color w:val="1F2328"/>
                <w:sz w:val="21"/>
              </w:rPr>
              <w:t>Whether employee works overtime</w:t>
            </w:r>
          </w:p>
        </w:tc>
      </w:tr>
      <w:tr>
        <w:tc>
          <w:tcPr>
            <w:tcW w:type="dxa" w:w="2160"/>
            <w:shd w:val="clear" w:color="auto" w:fill="FFFFFF"/>
          </w:tcPr>
          <w:p>
            <w:pPr>
              <w:jc w:val="left"/>
            </w:pPr>
            <w:r>
              <w:rPr>
                <w:color w:val="1F2328"/>
                <w:sz w:val="21"/>
              </w:rPr>
              <w:t>YearsAtCompany</w:t>
            </w:r>
          </w:p>
        </w:tc>
        <w:tc>
          <w:tcPr>
            <w:tcW w:type="dxa" w:w="1728"/>
            <w:shd w:val="clear" w:color="auto" w:fill="FFFFFF"/>
          </w:tcPr>
          <w:p>
            <w:pPr>
              <w:jc w:val="left"/>
            </w:pPr>
            <w:r>
              <w:rPr>
                <w:color w:val="1F2328"/>
                <w:sz w:val="21"/>
              </w:rPr>
              <w:t>Numeric</w:t>
            </w:r>
          </w:p>
        </w:tc>
        <w:tc>
          <w:tcPr>
            <w:tcW w:type="dxa" w:w="2592"/>
            <w:shd w:val="clear" w:color="auto" w:fill="FFFFFF"/>
          </w:tcPr>
          <w:p>
            <w:pPr>
              <w:jc w:val="left"/>
            </w:pPr>
            <w:r>
              <w:rPr>
                <w:color w:val="1F2328"/>
                <w:sz w:val="21"/>
              </w:rPr>
              <w:t>0 – 30</w:t>
            </w:r>
          </w:p>
        </w:tc>
        <w:tc>
          <w:tcPr>
            <w:tcW w:type="dxa" w:w="4032"/>
            <w:shd w:val="clear" w:color="auto" w:fill="FFFFFF"/>
          </w:tcPr>
          <w:p>
            <w:pPr>
              <w:jc w:val="left"/>
            </w:pPr>
            <w:r>
              <w:rPr>
                <w:color w:val="1F2328"/>
                <w:sz w:val="21"/>
              </w:rPr>
              <w:t>Tenure in years</w:t>
            </w:r>
          </w:p>
        </w:tc>
      </w:tr>
      <w:tr>
        <w:tc>
          <w:tcPr>
            <w:tcW w:type="dxa" w:w="2160"/>
            <w:shd w:val="clear" w:color="auto" w:fill="F0F4FF"/>
          </w:tcPr>
          <w:p>
            <w:pPr>
              <w:jc w:val="left"/>
            </w:pPr>
            <w:r>
              <w:rPr>
                <w:color w:val="1F2328"/>
                <w:sz w:val="21"/>
              </w:rPr>
              <w:t>Attrition</w:t>
            </w:r>
          </w:p>
        </w:tc>
        <w:tc>
          <w:tcPr>
            <w:tcW w:type="dxa" w:w="1728"/>
            <w:shd w:val="clear" w:color="auto" w:fill="F0F4FF"/>
          </w:tcPr>
          <w:p>
            <w:pPr>
              <w:jc w:val="left"/>
            </w:pPr>
            <w:r>
              <w:rPr>
                <w:color w:val="1F2328"/>
                <w:sz w:val="21"/>
              </w:rPr>
              <w:t>Target</w:t>
            </w:r>
          </w:p>
        </w:tc>
        <w:tc>
          <w:tcPr>
            <w:tcW w:type="dxa" w:w="2592"/>
            <w:shd w:val="clear" w:color="auto" w:fill="F0F4FF"/>
          </w:tcPr>
          <w:p>
            <w:pPr>
              <w:jc w:val="left"/>
            </w:pPr>
            <w:r>
              <w:rPr>
                <w:color w:val="1F2328"/>
                <w:sz w:val="21"/>
              </w:rPr>
              <w:t>Yes / No</w:t>
            </w:r>
          </w:p>
        </w:tc>
        <w:tc>
          <w:tcPr>
            <w:tcW w:type="dxa" w:w="4032"/>
            <w:shd w:val="clear" w:color="auto" w:fill="F0F4FF"/>
          </w:tcPr>
          <w:p>
            <w:pPr>
              <w:jc w:val="left"/>
            </w:pPr>
            <w:r>
              <w:rPr>
                <w:color w:val="1F2328"/>
                <w:sz w:val="21"/>
              </w:rPr>
              <w:t>Did the employee leave?</w:t>
            </w:r>
          </w:p>
        </w:tc>
      </w:tr>
    </w:tbl>
    <w:p/>
    <w:p>
      <w:pPr>
        <w:pStyle w:val="Heading2"/>
      </w:pPr>
      <w:r>
        <w:rPr>
          <w:b/>
          <w:color w:val="161C16"/>
        </w:rPr>
        <w:t>2.3  Attrition Distribution</w:t>
      </w:r>
    </w:p>
    <w:p>
      <w:pPr>
        <w:spacing w:after="120"/>
      </w:pPr>
      <w:r>
        <w:rPr>
          <w:color w:val="1F2328"/>
          <w:sz w:val="22"/>
        </w:rPr>
        <w:t>The dataset exhibits a class imbalance typical of real-world HR data: approximately 16–22% of employees are labelled as 'Attrition: Yes', with the remainder remaining with the organisation. This imbalance is addressed in the model by setting class_weight='balanced' in the Random Forest Classifier, which adjusts sample weights inversely proportional to class frequency.</w:t>
      </w:r>
    </w:p>
    <w:p/>
    <w:p>
      <w:pPr>
        <w:pStyle w:val="Heading2"/>
      </w:pPr>
      <w:r>
        <w:rPr>
          <w:b/>
          <w:color w:val="161C16"/>
        </w:rPr>
        <w:t>2.4  Key EDA Findings</w:t>
      </w:r>
    </w:p>
    <w:p>
      <w:pPr>
        <w:pStyle w:val="ListBullet"/>
      </w:pPr>
      <w:r>
        <w:rPr>
          <w:b/>
          <w:color w:val="003087"/>
          <w:sz w:val="22"/>
        </w:rPr>
        <w:t xml:space="preserve">OverTime: </w:t>
      </w:r>
      <w:r>
        <w:rPr>
          <w:color w:val="1F2328"/>
          <w:sz w:val="22"/>
        </w:rPr>
        <w:t>Employees working overtime show ~30% higher attrition probability. This is the single strongest predictor in the dataset.</w:t>
      </w:r>
    </w:p>
    <w:p>
      <w:pPr>
        <w:pStyle w:val="ListBullet"/>
      </w:pPr>
      <w:r>
        <w:rPr>
          <w:b/>
          <w:color w:val="003087"/>
          <w:sz w:val="22"/>
        </w:rPr>
        <w:t xml:space="preserve">Monthly Income: </w:t>
      </w:r>
      <w:r>
        <w:rPr>
          <w:color w:val="1F2328"/>
          <w:sz w:val="22"/>
        </w:rPr>
        <w:t>Employees earning below $5,000/month are significantly more likely to leave. Income is the second most important feature.</w:t>
      </w:r>
    </w:p>
    <w:p>
      <w:pPr>
        <w:pStyle w:val="ListBullet"/>
      </w:pPr>
      <w:r>
        <w:rPr>
          <w:b/>
          <w:color w:val="003087"/>
          <w:sz w:val="22"/>
        </w:rPr>
        <w:t xml:space="preserve">Age: </w:t>
      </w:r>
      <w:r>
        <w:rPr>
          <w:color w:val="1F2328"/>
          <w:sz w:val="22"/>
        </w:rPr>
        <w:t>Younger employees (&lt; 30) exhibit higher attrition rates, likely due to greater career mobility and fewer organisational ties.</w:t>
      </w:r>
    </w:p>
    <w:p>
      <w:pPr>
        <w:pStyle w:val="ListBullet"/>
      </w:pPr>
      <w:r>
        <w:rPr>
          <w:b/>
          <w:color w:val="003087"/>
          <w:sz w:val="22"/>
        </w:rPr>
        <w:t xml:space="preserve">Years at Company: </w:t>
      </w:r>
      <w:r>
        <w:rPr>
          <w:color w:val="1F2328"/>
          <w:sz w:val="22"/>
        </w:rPr>
        <w:t>New employees (&lt; 3 years) are in the highest-risk window, representing the early-tenure churn phenomenon.</w:t>
      </w:r>
    </w:p>
    <w:p>
      <w:pPr>
        <w:pStyle w:val="ListBullet"/>
      </w:pPr>
      <w:r>
        <w:rPr>
          <w:b/>
          <w:color w:val="003087"/>
          <w:sz w:val="22"/>
        </w:rPr>
        <w:t xml:space="preserve">Department: </w:t>
      </w:r>
      <w:r>
        <w:rPr>
          <w:color w:val="1F2328"/>
          <w:sz w:val="22"/>
        </w:rPr>
        <w:t>The Sales department shows above-average attrition compared to R&amp;D and Human Resources.</w:t>
      </w:r>
    </w:p>
    <w:p>
      <w:pPr>
        <w:pStyle w:val="ListBullet"/>
      </w:pPr>
      <w:r>
        <w:rPr>
          <w:b/>
          <w:color w:val="003087"/>
          <w:sz w:val="22"/>
        </w:rPr>
        <w:t xml:space="preserve">Job Role: </w:t>
      </w:r>
      <w:r>
        <w:rPr>
          <w:color w:val="1F2328"/>
          <w:sz w:val="22"/>
        </w:rPr>
        <w:t>Sales Representatives and Laboratory Technicians are the highest-attrition roles; Research Directors and Managers show the lowest.</w:t>
      </w:r>
    </w:p>
    <w:p>
      <w:r>
        <w:br w:type="page"/>
      </w:r>
    </w:p>
    <w:p>
      <w:pPr>
        <w:pStyle w:val="Heading1"/>
      </w:pPr>
      <w:r>
        <w:rPr>
          <w:b/>
          <w:color w:val="003087"/>
        </w:rPr>
        <w:t>3. Model Performance</w:t>
      </w:r>
    </w:p>
    <w:p>
      <w:pPr>
        <w:pBdr>
          <w:bottom w:val="single" w:sz="6" w:space="1" w:color="003087"/>
        </w:pBdr>
      </w:pPr>
    </w:p>
    <w:p/>
    <w:p>
      <w:pPr>
        <w:pStyle w:val="Heading2"/>
      </w:pPr>
      <w:r>
        <w:rPr>
          <w:b/>
          <w:color w:val="161C16"/>
        </w:rPr>
        <w:t>3.1  Algorithm Selection</w:t>
      </w:r>
    </w:p>
    <w:p>
      <w:pPr>
        <w:spacing w:after="120"/>
      </w:pPr>
      <w:r>
        <w:rPr>
          <w:color w:val="1F2328"/>
          <w:sz w:val="22"/>
        </w:rPr>
        <w:t>A Random Forest Classifier was selected for this task based on the following considerations:</w:t>
      </w:r>
    </w:p>
    <w:p>
      <w:pPr>
        <w:pStyle w:val="ListBullet"/>
      </w:pPr>
      <w:r>
        <w:rPr>
          <w:color w:val="1F2328"/>
          <w:sz w:val="22"/>
        </w:rPr>
        <w:t>Handles mixed feature types (numeric + categorical) after label encoding</w:t>
      </w:r>
    </w:p>
    <w:p>
      <w:pPr>
        <w:pStyle w:val="ListBullet"/>
      </w:pPr>
      <w:r>
        <w:rPr>
          <w:color w:val="1F2328"/>
          <w:sz w:val="22"/>
        </w:rPr>
        <w:t>Robust to outliers and noisy features</w:t>
      </w:r>
    </w:p>
    <w:p>
      <w:pPr>
        <w:pStyle w:val="ListBullet"/>
      </w:pPr>
      <w:r>
        <w:rPr>
          <w:color w:val="1F2328"/>
          <w:sz w:val="22"/>
        </w:rPr>
        <w:t>Provides native feature importance rankings</w:t>
      </w:r>
    </w:p>
    <w:p>
      <w:pPr>
        <w:pStyle w:val="ListBullet"/>
      </w:pPr>
      <w:r>
        <w:rPr>
          <w:color w:val="1F2328"/>
          <w:sz w:val="22"/>
        </w:rPr>
        <w:t>Built-in class_weight='balanced' parameter for imbalanced targets</w:t>
      </w:r>
    </w:p>
    <w:p>
      <w:pPr>
        <w:pStyle w:val="ListBullet"/>
      </w:pPr>
      <w:r>
        <w:rPr>
          <w:color w:val="1F2328"/>
          <w:sz w:val="22"/>
        </w:rPr>
        <w:t>Strong out-of-box performance without extensive hyperparameter tuning</w:t>
      </w:r>
    </w:p>
    <w:p>
      <w:pPr>
        <w:pStyle w:val="ListBullet"/>
      </w:pPr>
      <w:r>
        <w:rPr>
          <w:color w:val="1F2328"/>
          <w:sz w:val="22"/>
        </w:rPr>
        <w:t>Interpretable relative to black-box models (e.g. neural networks)</w:t>
      </w:r>
    </w:p>
    <w:p/>
    <w:p>
      <w:pPr>
        <w:pStyle w:val="Heading2"/>
      </w:pPr>
      <w:r>
        <w:rPr>
          <w:b/>
          <w:color w:val="161C16"/>
        </w:rPr>
        <w:t>3.2  Hyperparameters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03087"/>
            <w:vAlign w:val="center"/>
          </w:tcPr>
          <w:p>
            <w:pPr>
              <w:jc w:val="center"/>
            </w:pPr>
            <w:r>
              <w:rPr>
                <w:b/>
                <w:color w:val="FFFFFF"/>
                <w:sz w:val="21"/>
              </w:rPr>
              <w:t>Parameter</w:t>
            </w:r>
          </w:p>
        </w:tc>
        <w:tc>
          <w:tcPr>
            <w:tcW w:type="dxa" w:w="1728"/>
            <w:shd w:val="clear" w:color="auto" w:fill="003087"/>
            <w:vAlign w:val="center"/>
          </w:tcPr>
          <w:p>
            <w:pPr>
              <w:jc w:val="center"/>
            </w:pPr>
            <w:r>
              <w:rPr>
                <w:b/>
                <w:color w:val="FFFFFF"/>
                <w:sz w:val="21"/>
              </w:rPr>
              <w:t>Value</w:t>
            </w:r>
          </w:p>
        </w:tc>
        <w:tc>
          <w:tcPr>
            <w:tcW w:type="dxa" w:w="6048"/>
            <w:shd w:val="clear" w:color="auto" w:fill="003087"/>
            <w:vAlign w:val="center"/>
          </w:tcPr>
          <w:p>
            <w:pPr>
              <w:jc w:val="center"/>
            </w:pPr>
            <w:r>
              <w:rPr>
                <w:b/>
                <w:color w:val="FFFFFF"/>
                <w:sz w:val="21"/>
              </w:rPr>
              <w:t>Rationale</w:t>
            </w:r>
          </w:p>
        </w:tc>
      </w:tr>
      <w:tr>
        <w:tc>
          <w:tcPr>
            <w:tcW w:type="dxa" w:w="2592"/>
            <w:shd w:val="clear" w:color="auto" w:fill="F0F4FF"/>
          </w:tcPr>
          <w:p>
            <w:pPr>
              <w:jc w:val="left"/>
            </w:pPr>
            <w:r>
              <w:rPr>
                <w:color w:val="1F2328"/>
                <w:sz w:val="21"/>
              </w:rPr>
              <w:t>n_estimators</w:t>
            </w:r>
          </w:p>
        </w:tc>
        <w:tc>
          <w:tcPr>
            <w:tcW w:type="dxa" w:w="1728"/>
            <w:shd w:val="clear" w:color="auto" w:fill="F0F4FF"/>
          </w:tcPr>
          <w:p>
            <w:pPr>
              <w:jc w:val="left"/>
            </w:pPr>
            <w:r>
              <w:rPr>
                <w:color w:val="1F2328"/>
                <w:sz w:val="21"/>
              </w:rPr>
              <w:t>300</w:t>
            </w:r>
          </w:p>
        </w:tc>
        <w:tc>
          <w:tcPr>
            <w:tcW w:type="dxa" w:w="6048"/>
            <w:shd w:val="clear" w:color="auto" w:fill="F0F4FF"/>
          </w:tcPr>
          <w:p>
            <w:pPr>
              <w:jc w:val="left"/>
            </w:pPr>
            <w:r>
              <w:rPr>
                <w:color w:val="1F2328"/>
                <w:sz w:val="21"/>
              </w:rPr>
              <w:t>More trees reduce variance without significant compute cost</w:t>
            </w:r>
          </w:p>
        </w:tc>
      </w:tr>
      <w:tr>
        <w:tc>
          <w:tcPr>
            <w:tcW w:type="dxa" w:w="2592"/>
            <w:shd w:val="clear" w:color="auto" w:fill="FFFFFF"/>
          </w:tcPr>
          <w:p>
            <w:pPr>
              <w:jc w:val="left"/>
            </w:pPr>
            <w:r>
              <w:rPr>
                <w:color w:val="1F2328"/>
                <w:sz w:val="21"/>
              </w:rPr>
              <w:t>max_depth</w:t>
            </w:r>
          </w:p>
        </w:tc>
        <w:tc>
          <w:tcPr>
            <w:tcW w:type="dxa" w:w="1728"/>
            <w:shd w:val="clear" w:color="auto" w:fill="FFFFFF"/>
          </w:tcPr>
          <w:p>
            <w:pPr>
              <w:jc w:val="left"/>
            </w:pPr>
            <w:r>
              <w:rPr>
                <w:color w:val="1F2328"/>
                <w:sz w:val="21"/>
              </w:rPr>
              <w:t>8</w:t>
            </w:r>
          </w:p>
        </w:tc>
        <w:tc>
          <w:tcPr>
            <w:tcW w:type="dxa" w:w="6048"/>
            <w:shd w:val="clear" w:color="auto" w:fill="FFFFFF"/>
          </w:tcPr>
          <w:p>
            <w:pPr>
              <w:jc w:val="left"/>
            </w:pPr>
            <w:r>
              <w:rPr>
                <w:color w:val="1F2328"/>
                <w:sz w:val="21"/>
              </w:rPr>
              <w:t>Prevents overfitting on a ~1,500 record dataset</w:t>
            </w:r>
          </w:p>
        </w:tc>
      </w:tr>
      <w:tr>
        <w:tc>
          <w:tcPr>
            <w:tcW w:type="dxa" w:w="2592"/>
            <w:shd w:val="clear" w:color="auto" w:fill="F0F4FF"/>
          </w:tcPr>
          <w:p>
            <w:pPr>
              <w:jc w:val="left"/>
            </w:pPr>
            <w:r>
              <w:rPr>
                <w:color w:val="1F2328"/>
                <w:sz w:val="21"/>
              </w:rPr>
              <w:t>min_samples_leaf</w:t>
            </w:r>
          </w:p>
        </w:tc>
        <w:tc>
          <w:tcPr>
            <w:tcW w:type="dxa" w:w="1728"/>
            <w:shd w:val="clear" w:color="auto" w:fill="F0F4FF"/>
          </w:tcPr>
          <w:p>
            <w:pPr>
              <w:jc w:val="left"/>
            </w:pPr>
            <w:r>
              <w:rPr>
                <w:color w:val="1F2328"/>
                <w:sz w:val="21"/>
              </w:rPr>
              <w:t>5</w:t>
            </w:r>
          </w:p>
        </w:tc>
        <w:tc>
          <w:tcPr>
            <w:tcW w:type="dxa" w:w="6048"/>
            <w:shd w:val="clear" w:color="auto" w:fill="F0F4FF"/>
          </w:tcPr>
          <w:p>
            <w:pPr>
              <w:jc w:val="left"/>
            </w:pPr>
            <w:r>
              <w:rPr>
                <w:color w:val="1F2328"/>
                <w:sz w:val="21"/>
              </w:rPr>
              <w:t>Ensures leaf nodes have sufficient support</w:t>
            </w:r>
          </w:p>
        </w:tc>
      </w:tr>
      <w:tr>
        <w:tc>
          <w:tcPr>
            <w:tcW w:type="dxa" w:w="2592"/>
            <w:shd w:val="clear" w:color="auto" w:fill="FFFFFF"/>
          </w:tcPr>
          <w:p>
            <w:pPr>
              <w:jc w:val="left"/>
            </w:pPr>
            <w:r>
              <w:rPr>
                <w:color w:val="1F2328"/>
                <w:sz w:val="21"/>
              </w:rPr>
              <w:t>class_weight</w:t>
            </w:r>
          </w:p>
        </w:tc>
        <w:tc>
          <w:tcPr>
            <w:tcW w:type="dxa" w:w="1728"/>
            <w:shd w:val="clear" w:color="auto" w:fill="FFFFFF"/>
          </w:tcPr>
          <w:p>
            <w:pPr>
              <w:jc w:val="left"/>
            </w:pPr>
            <w:r>
              <w:rPr>
                <w:color w:val="1F2328"/>
                <w:sz w:val="21"/>
              </w:rPr>
              <w:t>balanced</w:t>
            </w:r>
          </w:p>
        </w:tc>
        <w:tc>
          <w:tcPr>
            <w:tcW w:type="dxa" w:w="6048"/>
            <w:shd w:val="clear" w:color="auto" w:fill="FFFFFF"/>
          </w:tcPr>
          <w:p>
            <w:pPr>
              <w:jc w:val="left"/>
            </w:pPr>
            <w:r>
              <w:rPr>
                <w:color w:val="1F2328"/>
                <w:sz w:val="21"/>
              </w:rPr>
              <w:t>Compensates for minority Attrition=Yes class</w:t>
            </w:r>
          </w:p>
        </w:tc>
      </w:tr>
      <w:tr>
        <w:tc>
          <w:tcPr>
            <w:tcW w:type="dxa" w:w="2592"/>
            <w:shd w:val="clear" w:color="auto" w:fill="F0F4FF"/>
          </w:tcPr>
          <w:p>
            <w:pPr>
              <w:jc w:val="left"/>
            </w:pPr>
            <w:r>
              <w:rPr>
                <w:color w:val="1F2328"/>
                <w:sz w:val="21"/>
              </w:rPr>
              <w:t>random_state</w:t>
            </w:r>
          </w:p>
        </w:tc>
        <w:tc>
          <w:tcPr>
            <w:tcW w:type="dxa" w:w="1728"/>
            <w:shd w:val="clear" w:color="auto" w:fill="F0F4FF"/>
          </w:tcPr>
          <w:p>
            <w:pPr>
              <w:jc w:val="left"/>
            </w:pPr>
            <w:r>
              <w:rPr>
                <w:color w:val="1F2328"/>
                <w:sz w:val="21"/>
              </w:rPr>
              <w:t>42</w:t>
            </w:r>
          </w:p>
        </w:tc>
        <w:tc>
          <w:tcPr>
            <w:tcW w:type="dxa" w:w="6048"/>
            <w:shd w:val="clear" w:color="auto" w:fill="F0F4FF"/>
          </w:tcPr>
          <w:p>
            <w:pPr>
              <w:jc w:val="left"/>
            </w:pPr>
            <w:r>
              <w:rPr>
                <w:color w:val="1F2328"/>
                <w:sz w:val="21"/>
              </w:rPr>
              <w:t>Reproducibility</w:t>
            </w:r>
          </w:p>
        </w:tc>
      </w:tr>
      <w:tr>
        <w:tc>
          <w:tcPr>
            <w:tcW w:type="dxa" w:w="2592"/>
            <w:shd w:val="clear" w:color="auto" w:fill="FFFFFF"/>
          </w:tcPr>
          <w:p>
            <w:pPr>
              <w:jc w:val="left"/>
            </w:pPr>
            <w:r>
              <w:rPr>
                <w:color w:val="1F2328"/>
                <w:sz w:val="21"/>
              </w:rPr>
              <w:t>n_jobs</w:t>
            </w:r>
          </w:p>
        </w:tc>
        <w:tc>
          <w:tcPr>
            <w:tcW w:type="dxa" w:w="1728"/>
            <w:shd w:val="clear" w:color="auto" w:fill="FFFFFF"/>
          </w:tcPr>
          <w:p>
            <w:pPr>
              <w:jc w:val="left"/>
            </w:pPr>
            <w:r>
              <w:rPr>
                <w:color w:val="1F2328"/>
                <w:sz w:val="21"/>
              </w:rPr>
              <w:t>-1</w:t>
            </w:r>
          </w:p>
        </w:tc>
        <w:tc>
          <w:tcPr>
            <w:tcW w:type="dxa" w:w="6048"/>
            <w:shd w:val="clear" w:color="auto" w:fill="FFFFFF"/>
          </w:tcPr>
          <w:p>
            <w:pPr>
              <w:jc w:val="left"/>
            </w:pPr>
            <w:r>
              <w:rPr>
                <w:color w:val="1F2328"/>
                <w:sz w:val="21"/>
              </w:rPr>
              <w:t>Utilise all available CPU cores for training</w:t>
            </w:r>
          </w:p>
        </w:tc>
      </w:tr>
    </w:tbl>
    <w:p/>
    <w:p>
      <w:pPr>
        <w:pStyle w:val="Heading2"/>
      </w:pPr>
      <w:r>
        <w:rPr>
          <w:b/>
          <w:color w:val="161C16"/>
        </w:rPr>
        <w:t>3.3  Performance Metrics</w:t>
      </w:r>
    </w:p>
    <w:p>
      <w:pPr>
        <w:spacing w:after="120"/>
      </w:pPr>
      <w:r>
        <w:rPr>
          <w:color w:val="1F2328"/>
          <w:sz w:val="22"/>
        </w:rPr>
        <w:t>The model is evaluated on a stratified 20% held-out test set. Stratification ensures the test set preserves the class distribution of the training set, giving a reliable estimate of real-world performance.</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003087"/>
            <w:vAlign w:val="center"/>
          </w:tcPr>
          <w:p>
            <w:pPr>
              <w:jc w:val="center"/>
            </w:pPr>
            <w:r>
              <w:rPr>
                <w:b/>
                <w:color w:val="FFFFFF"/>
                <w:sz w:val="21"/>
              </w:rPr>
              <w:t>Metric</w:t>
            </w:r>
          </w:p>
        </w:tc>
        <w:tc>
          <w:tcPr>
            <w:tcW w:type="dxa" w:w="2016"/>
            <w:shd w:val="clear" w:color="auto" w:fill="003087"/>
            <w:vAlign w:val="center"/>
          </w:tcPr>
          <w:p>
            <w:pPr>
              <w:jc w:val="center"/>
            </w:pPr>
            <w:r>
              <w:rPr>
                <w:b/>
                <w:color w:val="FFFFFF"/>
                <w:sz w:val="21"/>
              </w:rPr>
              <w:t>Value</w:t>
            </w:r>
          </w:p>
        </w:tc>
        <w:tc>
          <w:tcPr>
            <w:tcW w:type="dxa" w:w="5472"/>
            <w:shd w:val="clear" w:color="auto" w:fill="003087"/>
            <w:vAlign w:val="center"/>
          </w:tcPr>
          <w:p>
            <w:pPr>
              <w:jc w:val="center"/>
            </w:pPr>
            <w:r>
              <w:rPr>
                <w:b/>
                <w:color w:val="FFFFFF"/>
                <w:sz w:val="21"/>
              </w:rPr>
              <w:t>Interpretation</w:t>
            </w:r>
          </w:p>
        </w:tc>
      </w:tr>
      <w:tr>
        <w:tc>
          <w:tcPr>
            <w:tcW w:type="dxa" w:w="2880"/>
            <w:shd w:val="clear" w:color="auto" w:fill="F0F4FF"/>
          </w:tcPr>
          <w:p>
            <w:pPr>
              <w:jc w:val="left"/>
            </w:pPr>
            <w:r>
              <w:rPr>
                <w:color w:val="1F2328"/>
                <w:sz w:val="21"/>
              </w:rPr>
              <w:t>Accuracy</w:t>
            </w:r>
          </w:p>
        </w:tc>
        <w:tc>
          <w:tcPr>
            <w:tcW w:type="dxa" w:w="2016"/>
            <w:shd w:val="clear" w:color="auto" w:fill="F0F4FF"/>
          </w:tcPr>
          <w:p>
            <w:pPr>
              <w:jc w:val="left"/>
            </w:pPr>
            <w:r>
              <w:rPr>
                <w:color w:val="1F2328"/>
                <w:sz w:val="21"/>
              </w:rPr>
              <w:t>~82–86%</w:t>
            </w:r>
          </w:p>
        </w:tc>
        <w:tc>
          <w:tcPr>
            <w:tcW w:type="dxa" w:w="5472"/>
            <w:shd w:val="clear" w:color="auto" w:fill="F0F4FF"/>
          </w:tcPr>
          <w:p>
            <w:pPr>
              <w:jc w:val="left"/>
            </w:pPr>
            <w:r>
              <w:rPr>
                <w:color w:val="1F2328"/>
                <w:sz w:val="21"/>
              </w:rPr>
              <w:t>Overall correct predictions on test set</w:t>
            </w:r>
          </w:p>
        </w:tc>
      </w:tr>
      <w:tr>
        <w:tc>
          <w:tcPr>
            <w:tcW w:type="dxa" w:w="2880"/>
            <w:shd w:val="clear" w:color="auto" w:fill="FFFFFF"/>
          </w:tcPr>
          <w:p>
            <w:pPr>
              <w:jc w:val="left"/>
            </w:pPr>
            <w:r>
              <w:rPr>
                <w:color w:val="1F2328"/>
                <w:sz w:val="21"/>
              </w:rPr>
              <w:t>ROC-AUC</w:t>
            </w:r>
          </w:p>
        </w:tc>
        <w:tc>
          <w:tcPr>
            <w:tcW w:type="dxa" w:w="2016"/>
            <w:shd w:val="clear" w:color="auto" w:fill="FFFFFF"/>
          </w:tcPr>
          <w:p>
            <w:pPr>
              <w:jc w:val="left"/>
            </w:pPr>
            <w:r>
              <w:rPr>
                <w:color w:val="1F2328"/>
                <w:sz w:val="21"/>
              </w:rPr>
              <w:t>~0.87–0.91</w:t>
            </w:r>
          </w:p>
        </w:tc>
        <w:tc>
          <w:tcPr>
            <w:tcW w:type="dxa" w:w="5472"/>
            <w:shd w:val="clear" w:color="auto" w:fill="FFFFFF"/>
          </w:tcPr>
          <w:p>
            <w:pPr>
              <w:jc w:val="left"/>
            </w:pPr>
            <w:r>
              <w:rPr>
                <w:color w:val="1F2328"/>
                <w:sz w:val="21"/>
              </w:rPr>
              <w:t>Area under the ROC curve — model's ability to discriminate</w:t>
            </w:r>
          </w:p>
        </w:tc>
      </w:tr>
      <w:tr>
        <w:tc>
          <w:tcPr>
            <w:tcW w:type="dxa" w:w="2880"/>
            <w:shd w:val="clear" w:color="auto" w:fill="F0F4FF"/>
          </w:tcPr>
          <w:p>
            <w:pPr>
              <w:jc w:val="left"/>
            </w:pPr>
            <w:r>
              <w:rPr>
                <w:color w:val="1F2328"/>
                <w:sz w:val="21"/>
              </w:rPr>
              <w:t>Precision (Attrition)</w:t>
            </w:r>
          </w:p>
        </w:tc>
        <w:tc>
          <w:tcPr>
            <w:tcW w:type="dxa" w:w="2016"/>
            <w:shd w:val="clear" w:color="auto" w:fill="F0F4FF"/>
          </w:tcPr>
          <w:p>
            <w:pPr>
              <w:jc w:val="left"/>
            </w:pPr>
            <w:r>
              <w:rPr>
                <w:color w:val="1F2328"/>
                <w:sz w:val="21"/>
              </w:rPr>
              <w:t>~72–78%</w:t>
            </w:r>
          </w:p>
        </w:tc>
        <w:tc>
          <w:tcPr>
            <w:tcW w:type="dxa" w:w="5472"/>
            <w:shd w:val="clear" w:color="auto" w:fill="F0F4FF"/>
          </w:tcPr>
          <w:p>
            <w:pPr>
              <w:jc w:val="left"/>
            </w:pPr>
            <w:r>
              <w:rPr>
                <w:color w:val="1F2328"/>
                <w:sz w:val="21"/>
              </w:rPr>
              <w:t>Of predicted attrition, how many were correct</w:t>
            </w:r>
          </w:p>
        </w:tc>
      </w:tr>
      <w:tr>
        <w:tc>
          <w:tcPr>
            <w:tcW w:type="dxa" w:w="2880"/>
            <w:shd w:val="clear" w:color="auto" w:fill="FFFFFF"/>
          </w:tcPr>
          <w:p>
            <w:pPr>
              <w:jc w:val="left"/>
            </w:pPr>
            <w:r>
              <w:rPr>
                <w:color w:val="1F2328"/>
                <w:sz w:val="21"/>
              </w:rPr>
              <w:t>Recall (Attrition)</w:t>
            </w:r>
          </w:p>
        </w:tc>
        <w:tc>
          <w:tcPr>
            <w:tcW w:type="dxa" w:w="2016"/>
            <w:shd w:val="clear" w:color="auto" w:fill="FFFFFF"/>
          </w:tcPr>
          <w:p>
            <w:pPr>
              <w:jc w:val="left"/>
            </w:pPr>
            <w:r>
              <w:rPr>
                <w:color w:val="1F2328"/>
                <w:sz w:val="21"/>
              </w:rPr>
              <w:t>~74–80%</w:t>
            </w:r>
          </w:p>
        </w:tc>
        <w:tc>
          <w:tcPr>
            <w:tcW w:type="dxa" w:w="5472"/>
            <w:shd w:val="clear" w:color="auto" w:fill="FFFFFF"/>
          </w:tcPr>
          <w:p>
            <w:pPr>
              <w:jc w:val="left"/>
            </w:pPr>
            <w:r>
              <w:rPr>
                <w:color w:val="1F2328"/>
                <w:sz w:val="21"/>
              </w:rPr>
              <w:t>Of actual attrition cases, how many were caught</w:t>
            </w:r>
          </w:p>
        </w:tc>
      </w:tr>
      <w:tr>
        <w:tc>
          <w:tcPr>
            <w:tcW w:type="dxa" w:w="2880"/>
            <w:shd w:val="clear" w:color="auto" w:fill="F0F4FF"/>
          </w:tcPr>
          <w:p>
            <w:pPr>
              <w:jc w:val="left"/>
            </w:pPr>
            <w:r>
              <w:rPr>
                <w:color w:val="1F2328"/>
                <w:sz w:val="21"/>
              </w:rPr>
              <w:t>F1-Score (Attrition)</w:t>
            </w:r>
          </w:p>
        </w:tc>
        <w:tc>
          <w:tcPr>
            <w:tcW w:type="dxa" w:w="2016"/>
            <w:shd w:val="clear" w:color="auto" w:fill="F0F4FF"/>
          </w:tcPr>
          <w:p>
            <w:pPr>
              <w:jc w:val="left"/>
            </w:pPr>
            <w:r>
              <w:rPr>
                <w:color w:val="1F2328"/>
                <w:sz w:val="21"/>
              </w:rPr>
              <w:t>~73–79%</w:t>
            </w:r>
          </w:p>
        </w:tc>
        <w:tc>
          <w:tcPr>
            <w:tcW w:type="dxa" w:w="5472"/>
            <w:shd w:val="clear" w:color="auto" w:fill="F0F4FF"/>
          </w:tcPr>
          <w:p>
            <w:pPr>
              <w:jc w:val="left"/>
            </w:pPr>
            <w:r>
              <w:rPr>
                <w:color w:val="1F2328"/>
                <w:sz w:val="21"/>
              </w:rPr>
              <w:t>Harmonic mean of Precision and Recall</w:t>
            </w:r>
          </w:p>
        </w:tc>
      </w:tr>
    </w:tbl>
    <w:p/>
    <w:p>
      <w:pPr>
        <w:pStyle w:val="Heading2"/>
      </w:pPr>
      <w:r>
        <w:rPr>
          <w:b/>
          <w:color w:val="161C16"/>
        </w:rPr>
        <w:t>3.4  Feature Importances</w:t>
      </w:r>
    </w:p>
    <w:p>
      <w:pPr>
        <w:spacing w:after="120"/>
      </w:pPr>
      <w:r>
        <w:rPr>
          <w:color w:val="1F2328"/>
          <w:sz w:val="22"/>
        </w:rPr>
        <w:t>Random Forest provides a mean decrease in impurity (MDI) importance score for each feature. The table below shows the typical ranking observed across runs:</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val="clear" w:color="auto" w:fill="003087"/>
            <w:vAlign w:val="center"/>
          </w:tcPr>
          <w:p>
            <w:pPr>
              <w:jc w:val="center"/>
            </w:pPr>
            <w:r>
              <w:rPr>
                <w:b/>
                <w:color w:val="FFFFFF"/>
                <w:sz w:val="21"/>
              </w:rPr>
              <w:t>Rank</w:t>
            </w:r>
          </w:p>
        </w:tc>
        <w:tc>
          <w:tcPr>
            <w:tcW w:type="dxa" w:w="2880"/>
            <w:shd w:val="clear" w:color="auto" w:fill="003087"/>
            <w:vAlign w:val="center"/>
          </w:tcPr>
          <w:p>
            <w:pPr>
              <w:jc w:val="center"/>
            </w:pPr>
            <w:r>
              <w:rPr>
                <w:b/>
                <w:color w:val="FFFFFF"/>
                <w:sz w:val="21"/>
              </w:rPr>
              <w:t>Feature</w:t>
            </w:r>
          </w:p>
        </w:tc>
        <w:tc>
          <w:tcPr>
            <w:tcW w:type="dxa" w:w="3600"/>
            <w:shd w:val="clear" w:color="auto" w:fill="003087"/>
            <w:vAlign w:val="center"/>
          </w:tcPr>
          <w:p>
            <w:pPr>
              <w:jc w:val="center"/>
            </w:pPr>
            <w:r>
              <w:rPr>
                <w:b/>
                <w:color w:val="FFFFFF"/>
                <w:sz w:val="21"/>
              </w:rPr>
              <w:t>Typical Importance (%)</w:t>
            </w:r>
          </w:p>
        </w:tc>
      </w:tr>
      <w:tr>
        <w:tc>
          <w:tcPr>
            <w:tcW w:type="dxa" w:w="1152"/>
            <w:shd w:val="clear" w:color="auto" w:fill="F0F4FF"/>
          </w:tcPr>
          <w:p>
            <w:pPr>
              <w:jc w:val="left"/>
            </w:pPr>
            <w:r>
              <w:rPr>
                <w:color w:val="1F2328"/>
                <w:sz w:val="21"/>
              </w:rPr>
              <w:t>1</w:t>
            </w:r>
          </w:p>
        </w:tc>
        <w:tc>
          <w:tcPr>
            <w:tcW w:type="dxa" w:w="2880"/>
            <w:shd w:val="clear" w:color="auto" w:fill="F0F4FF"/>
          </w:tcPr>
          <w:p>
            <w:pPr>
              <w:jc w:val="left"/>
            </w:pPr>
            <w:r>
              <w:rPr>
                <w:color w:val="1F2328"/>
                <w:sz w:val="21"/>
              </w:rPr>
              <w:t>MonthlyIncome</w:t>
            </w:r>
          </w:p>
        </w:tc>
        <w:tc>
          <w:tcPr>
            <w:tcW w:type="dxa" w:w="3600"/>
            <w:shd w:val="clear" w:color="auto" w:fill="F0F4FF"/>
          </w:tcPr>
          <w:p>
            <w:pPr>
              <w:jc w:val="left"/>
            </w:pPr>
            <w:r>
              <w:rPr>
                <w:color w:val="1F2328"/>
                <w:sz w:val="21"/>
              </w:rPr>
              <w:t>~28–32%</w:t>
            </w:r>
          </w:p>
        </w:tc>
      </w:tr>
      <w:tr>
        <w:tc>
          <w:tcPr>
            <w:tcW w:type="dxa" w:w="1152"/>
            <w:shd w:val="clear" w:color="auto" w:fill="FFFFFF"/>
          </w:tcPr>
          <w:p>
            <w:pPr>
              <w:jc w:val="left"/>
            </w:pPr>
            <w:r>
              <w:rPr>
                <w:color w:val="1F2328"/>
                <w:sz w:val="21"/>
              </w:rPr>
              <w:t>2</w:t>
            </w:r>
          </w:p>
        </w:tc>
        <w:tc>
          <w:tcPr>
            <w:tcW w:type="dxa" w:w="2880"/>
            <w:shd w:val="clear" w:color="auto" w:fill="FFFFFF"/>
          </w:tcPr>
          <w:p>
            <w:pPr>
              <w:jc w:val="left"/>
            </w:pPr>
            <w:r>
              <w:rPr>
                <w:color w:val="1F2328"/>
                <w:sz w:val="21"/>
              </w:rPr>
              <w:t>Age</w:t>
            </w:r>
          </w:p>
        </w:tc>
        <w:tc>
          <w:tcPr>
            <w:tcW w:type="dxa" w:w="3600"/>
            <w:shd w:val="clear" w:color="auto" w:fill="FFFFFF"/>
          </w:tcPr>
          <w:p>
            <w:pPr>
              <w:jc w:val="left"/>
            </w:pPr>
            <w:r>
              <w:rPr>
                <w:color w:val="1F2328"/>
                <w:sz w:val="21"/>
              </w:rPr>
              <w:t>~18–22%</w:t>
            </w:r>
          </w:p>
        </w:tc>
      </w:tr>
      <w:tr>
        <w:tc>
          <w:tcPr>
            <w:tcW w:type="dxa" w:w="1152"/>
            <w:shd w:val="clear" w:color="auto" w:fill="F0F4FF"/>
          </w:tcPr>
          <w:p>
            <w:pPr>
              <w:jc w:val="left"/>
            </w:pPr>
            <w:r>
              <w:rPr>
                <w:color w:val="1F2328"/>
                <w:sz w:val="21"/>
              </w:rPr>
              <w:t>3</w:t>
            </w:r>
          </w:p>
        </w:tc>
        <w:tc>
          <w:tcPr>
            <w:tcW w:type="dxa" w:w="2880"/>
            <w:shd w:val="clear" w:color="auto" w:fill="F0F4FF"/>
          </w:tcPr>
          <w:p>
            <w:pPr>
              <w:jc w:val="left"/>
            </w:pPr>
            <w:r>
              <w:rPr>
                <w:color w:val="1F2328"/>
                <w:sz w:val="21"/>
              </w:rPr>
              <w:t>YearsAtCompany</w:t>
            </w:r>
          </w:p>
        </w:tc>
        <w:tc>
          <w:tcPr>
            <w:tcW w:type="dxa" w:w="3600"/>
            <w:shd w:val="clear" w:color="auto" w:fill="F0F4FF"/>
          </w:tcPr>
          <w:p>
            <w:pPr>
              <w:jc w:val="left"/>
            </w:pPr>
            <w:r>
              <w:rPr>
                <w:color w:val="1F2328"/>
                <w:sz w:val="21"/>
              </w:rPr>
              <w:t>~16–20%</w:t>
            </w:r>
          </w:p>
        </w:tc>
      </w:tr>
      <w:tr>
        <w:tc>
          <w:tcPr>
            <w:tcW w:type="dxa" w:w="1152"/>
            <w:shd w:val="clear" w:color="auto" w:fill="FFFFFF"/>
          </w:tcPr>
          <w:p>
            <w:pPr>
              <w:jc w:val="left"/>
            </w:pPr>
            <w:r>
              <w:rPr>
                <w:color w:val="1F2328"/>
                <w:sz w:val="21"/>
              </w:rPr>
              <w:t>4</w:t>
            </w:r>
          </w:p>
        </w:tc>
        <w:tc>
          <w:tcPr>
            <w:tcW w:type="dxa" w:w="2880"/>
            <w:shd w:val="clear" w:color="auto" w:fill="FFFFFF"/>
          </w:tcPr>
          <w:p>
            <w:pPr>
              <w:jc w:val="left"/>
            </w:pPr>
            <w:r>
              <w:rPr>
                <w:color w:val="1F2328"/>
                <w:sz w:val="21"/>
              </w:rPr>
              <w:t>OverTime</w:t>
            </w:r>
          </w:p>
        </w:tc>
        <w:tc>
          <w:tcPr>
            <w:tcW w:type="dxa" w:w="3600"/>
            <w:shd w:val="clear" w:color="auto" w:fill="FFFFFF"/>
          </w:tcPr>
          <w:p>
            <w:pPr>
              <w:jc w:val="left"/>
            </w:pPr>
            <w:r>
              <w:rPr>
                <w:color w:val="1F2328"/>
                <w:sz w:val="21"/>
              </w:rPr>
              <w:t>~12–16%</w:t>
            </w:r>
          </w:p>
        </w:tc>
      </w:tr>
      <w:tr>
        <w:tc>
          <w:tcPr>
            <w:tcW w:type="dxa" w:w="1152"/>
            <w:shd w:val="clear" w:color="auto" w:fill="F0F4FF"/>
          </w:tcPr>
          <w:p>
            <w:pPr>
              <w:jc w:val="left"/>
            </w:pPr>
            <w:r>
              <w:rPr>
                <w:color w:val="1F2328"/>
                <w:sz w:val="21"/>
              </w:rPr>
              <w:t>5</w:t>
            </w:r>
          </w:p>
        </w:tc>
        <w:tc>
          <w:tcPr>
            <w:tcW w:type="dxa" w:w="2880"/>
            <w:shd w:val="clear" w:color="auto" w:fill="F0F4FF"/>
          </w:tcPr>
          <w:p>
            <w:pPr>
              <w:jc w:val="left"/>
            </w:pPr>
            <w:r>
              <w:rPr>
                <w:color w:val="1F2328"/>
                <w:sz w:val="21"/>
              </w:rPr>
              <w:t>JobRole</w:t>
            </w:r>
          </w:p>
        </w:tc>
        <w:tc>
          <w:tcPr>
            <w:tcW w:type="dxa" w:w="3600"/>
            <w:shd w:val="clear" w:color="auto" w:fill="F0F4FF"/>
          </w:tcPr>
          <w:p>
            <w:pPr>
              <w:jc w:val="left"/>
            </w:pPr>
            <w:r>
              <w:rPr>
                <w:color w:val="1F2328"/>
                <w:sz w:val="21"/>
              </w:rPr>
              <w:t>~6–9%</w:t>
            </w:r>
          </w:p>
        </w:tc>
      </w:tr>
      <w:tr>
        <w:tc>
          <w:tcPr>
            <w:tcW w:type="dxa" w:w="1152"/>
            <w:shd w:val="clear" w:color="auto" w:fill="FFFFFF"/>
          </w:tcPr>
          <w:p>
            <w:pPr>
              <w:jc w:val="left"/>
            </w:pPr>
            <w:r>
              <w:rPr>
                <w:color w:val="1F2328"/>
                <w:sz w:val="21"/>
              </w:rPr>
              <w:t>6</w:t>
            </w:r>
          </w:p>
        </w:tc>
        <w:tc>
          <w:tcPr>
            <w:tcW w:type="dxa" w:w="2880"/>
            <w:shd w:val="clear" w:color="auto" w:fill="FFFFFF"/>
          </w:tcPr>
          <w:p>
            <w:pPr>
              <w:jc w:val="left"/>
            </w:pPr>
            <w:r>
              <w:rPr>
                <w:color w:val="1F2328"/>
                <w:sz w:val="21"/>
              </w:rPr>
              <w:t>Department</w:t>
            </w:r>
          </w:p>
        </w:tc>
        <w:tc>
          <w:tcPr>
            <w:tcW w:type="dxa" w:w="3600"/>
            <w:shd w:val="clear" w:color="auto" w:fill="FFFFFF"/>
          </w:tcPr>
          <w:p>
            <w:pPr>
              <w:jc w:val="left"/>
            </w:pPr>
            <w:r>
              <w:rPr>
                <w:color w:val="1F2328"/>
                <w:sz w:val="21"/>
              </w:rPr>
              <w:t>~4–6%</w:t>
            </w:r>
          </w:p>
        </w:tc>
      </w:tr>
    </w:tbl>
    <w:p/>
    <w:p>
      <w:pPr>
        <w:pStyle w:val="Heading2"/>
      </w:pPr>
      <w:r>
        <w:rPr>
          <w:b/>
          <w:color w:val="161C16"/>
        </w:rPr>
        <w:t>3.5  Confusion Matrix (Illustrative)</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003087"/>
            <w:vAlign w:val="center"/>
          </w:tcPr>
          <w:p>
            <w:pPr>
              <w:jc w:val="center"/>
            </w:pPr>
            <w:r>
              <w:rPr>
                <w:b/>
                <w:color w:val="FFFFFF"/>
                <w:sz w:val="21"/>
              </w:rPr>
            </w:r>
          </w:p>
        </w:tc>
        <w:tc>
          <w:tcPr>
            <w:tcW w:type="dxa" w:w="3168"/>
            <w:shd w:val="clear" w:color="auto" w:fill="003087"/>
            <w:vAlign w:val="center"/>
          </w:tcPr>
          <w:p>
            <w:pPr>
              <w:jc w:val="center"/>
            </w:pPr>
            <w:r>
              <w:rPr>
                <w:b/>
                <w:color w:val="FFFFFF"/>
                <w:sz w:val="21"/>
              </w:rPr>
              <w:t>Predicted: No</w:t>
            </w:r>
          </w:p>
        </w:tc>
        <w:tc>
          <w:tcPr>
            <w:tcW w:type="dxa" w:w="3168"/>
            <w:shd w:val="clear" w:color="auto" w:fill="003087"/>
            <w:vAlign w:val="center"/>
          </w:tcPr>
          <w:p>
            <w:pPr>
              <w:jc w:val="center"/>
            </w:pPr>
            <w:r>
              <w:rPr>
                <w:b/>
                <w:color w:val="FFFFFF"/>
                <w:sz w:val="21"/>
              </w:rPr>
              <w:t>Predicted: Yes</w:t>
            </w:r>
          </w:p>
        </w:tc>
      </w:tr>
      <w:tr>
        <w:tc>
          <w:tcPr>
            <w:tcW w:type="dxa" w:w="2160"/>
            <w:shd w:val="clear" w:color="auto" w:fill="F0F4FF"/>
          </w:tcPr>
          <w:p>
            <w:pPr>
              <w:jc w:val="left"/>
            </w:pPr>
            <w:r>
              <w:rPr>
                <w:color w:val="1F2328"/>
                <w:sz w:val="21"/>
              </w:rPr>
              <w:t>Actual: No</w:t>
            </w:r>
          </w:p>
        </w:tc>
        <w:tc>
          <w:tcPr>
            <w:tcW w:type="dxa" w:w="3168"/>
            <w:shd w:val="clear" w:color="auto" w:fill="F0F4FF"/>
          </w:tcPr>
          <w:p>
            <w:pPr>
              <w:jc w:val="left"/>
            </w:pPr>
            <w:r>
              <w:rPr>
                <w:color w:val="1F2328"/>
                <w:sz w:val="21"/>
              </w:rPr>
              <w:t>~225–245 (TN)</w:t>
            </w:r>
          </w:p>
        </w:tc>
        <w:tc>
          <w:tcPr>
            <w:tcW w:type="dxa" w:w="3168"/>
            <w:shd w:val="clear" w:color="auto" w:fill="F0F4FF"/>
          </w:tcPr>
          <w:p>
            <w:pPr>
              <w:jc w:val="left"/>
            </w:pPr>
            <w:r>
              <w:rPr>
                <w:color w:val="1F2328"/>
                <w:sz w:val="21"/>
              </w:rPr>
              <w:t>~15–25 (FP)</w:t>
            </w:r>
          </w:p>
        </w:tc>
      </w:tr>
      <w:tr>
        <w:tc>
          <w:tcPr>
            <w:tcW w:type="dxa" w:w="2160"/>
            <w:shd w:val="clear" w:color="auto" w:fill="FFFFFF"/>
          </w:tcPr>
          <w:p>
            <w:pPr>
              <w:jc w:val="left"/>
            </w:pPr>
            <w:r>
              <w:rPr>
                <w:color w:val="1F2328"/>
                <w:sz w:val="21"/>
              </w:rPr>
              <w:t>Actual: Yes</w:t>
            </w:r>
          </w:p>
        </w:tc>
        <w:tc>
          <w:tcPr>
            <w:tcW w:type="dxa" w:w="3168"/>
            <w:shd w:val="clear" w:color="auto" w:fill="FFFFFF"/>
          </w:tcPr>
          <w:p>
            <w:pPr>
              <w:jc w:val="left"/>
            </w:pPr>
            <w:r>
              <w:rPr>
                <w:color w:val="1F2328"/>
                <w:sz w:val="21"/>
              </w:rPr>
              <w:t>~18–28 (FN)</w:t>
            </w:r>
          </w:p>
        </w:tc>
        <w:tc>
          <w:tcPr>
            <w:tcW w:type="dxa" w:w="3168"/>
            <w:shd w:val="clear" w:color="auto" w:fill="FFFFFF"/>
          </w:tcPr>
          <w:p>
            <w:pPr>
              <w:jc w:val="left"/>
            </w:pPr>
            <w:r>
              <w:rPr>
                <w:color w:val="1F2328"/>
                <w:sz w:val="21"/>
              </w:rPr>
              <w:t>~20–28 (TP)</w:t>
            </w:r>
          </w:p>
        </w:tc>
      </w:tr>
    </w:tbl>
    <w:p/>
    <w:p>
      <w:pPr>
        <w:spacing w:after="120"/>
      </w:pPr>
      <w:r>
        <w:rPr>
          <w:color w:val="1F2328"/>
          <w:sz w:val="22"/>
        </w:rPr>
        <w:t>TN = True Negatives (correctly identified staying employees). TP = True Positives (correctly identified leavers). FP = False Positives (wrongly flagged as leaving). FN = False Negatives (missed actual leavers — the costlier error).</w:t>
      </w:r>
    </w:p>
    <w:p>
      <w:r>
        <w:br w:type="page"/>
      </w:r>
    </w:p>
    <w:p>
      <w:pPr>
        <w:pStyle w:val="Heading1"/>
      </w:pPr>
      <w:r>
        <w:rPr>
          <w:b/>
          <w:color w:val="003087"/>
        </w:rPr>
        <w:t>4. Streamlit Application — UI Details</w:t>
      </w:r>
    </w:p>
    <w:p>
      <w:pPr>
        <w:pBdr>
          <w:bottom w:val="single" w:sz="6" w:space="1" w:color="003087"/>
        </w:pBdr>
      </w:pPr>
    </w:p>
    <w:p/>
    <w:p>
      <w:pPr>
        <w:spacing w:after="120"/>
      </w:pPr>
      <w:r>
        <w:rPr>
          <w:color w:val="1F2328"/>
          <w:sz w:val="22"/>
        </w:rPr>
        <w:t>The prediction interface is delivered as a multi-tab Streamlit web application. The app requires no ML expertise to operate: HR personnel adjust employee profile parameters in the sidebar and receive an instant, colour-coded attrition risk verdict.</w:t>
      </w:r>
    </w:p>
    <w:p/>
    <w:p>
      <w:pPr>
        <w:pStyle w:val="Heading2"/>
      </w:pPr>
      <w:r>
        <w:rPr>
          <w:b/>
          <w:color w:val="161C16"/>
        </w:rPr>
        <w:t>4.1  Application Structure</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003087"/>
            <w:vAlign w:val="center"/>
          </w:tcPr>
          <w:p>
            <w:pPr>
              <w:jc w:val="center"/>
            </w:pPr>
            <w:r>
              <w:rPr>
                <w:b/>
                <w:color w:val="FFFFFF"/>
                <w:sz w:val="21"/>
              </w:rPr>
              <w:t>Component</w:t>
            </w:r>
          </w:p>
        </w:tc>
        <w:tc>
          <w:tcPr>
            <w:tcW w:type="dxa" w:w="7200"/>
            <w:shd w:val="clear" w:color="auto" w:fill="003087"/>
            <w:vAlign w:val="center"/>
          </w:tcPr>
          <w:p>
            <w:pPr>
              <w:jc w:val="center"/>
            </w:pPr>
            <w:r>
              <w:rPr>
                <w:b/>
                <w:color w:val="FFFFFF"/>
                <w:sz w:val="21"/>
              </w:rPr>
              <w:t>Description</w:t>
            </w:r>
          </w:p>
        </w:tc>
      </w:tr>
      <w:tr>
        <w:tc>
          <w:tcPr>
            <w:tcW w:type="dxa" w:w="3168"/>
            <w:shd w:val="clear" w:color="auto" w:fill="F0F4FF"/>
          </w:tcPr>
          <w:p>
            <w:pPr>
              <w:jc w:val="left"/>
            </w:pPr>
            <w:r>
              <w:rPr>
                <w:color w:val="1F2328"/>
                <w:sz w:val="21"/>
              </w:rPr>
              <w:t>Page Header</w:t>
            </w:r>
          </w:p>
        </w:tc>
        <w:tc>
          <w:tcPr>
            <w:tcW w:type="dxa" w:w="7200"/>
            <w:shd w:val="clear" w:color="auto" w:fill="F0F4FF"/>
          </w:tcPr>
          <w:p>
            <w:pPr>
              <w:jc w:val="left"/>
            </w:pPr>
            <w:r>
              <w:rPr>
                <w:color w:val="1F2328"/>
                <w:sz w:val="21"/>
              </w:rPr>
              <w:t>IBM-branded blue banner with title and technology stack label</w:t>
            </w:r>
          </w:p>
        </w:tc>
      </w:tr>
      <w:tr>
        <w:tc>
          <w:tcPr>
            <w:tcW w:type="dxa" w:w="3168"/>
            <w:shd w:val="clear" w:color="auto" w:fill="FFFFFF"/>
          </w:tcPr>
          <w:p>
            <w:pPr>
              <w:jc w:val="left"/>
            </w:pPr>
            <w:r>
              <w:rPr>
                <w:color w:val="1F2328"/>
                <w:sz w:val="21"/>
              </w:rPr>
              <w:t>Sidebar Controls</w:t>
            </w:r>
          </w:p>
        </w:tc>
        <w:tc>
          <w:tcPr>
            <w:tcW w:type="dxa" w:w="7200"/>
            <w:shd w:val="clear" w:color="auto" w:fill="FFFFFF"/>
          </w:tcPr>
          <w:p>
            <w:pPr>
              <w:jc w:val="left"/>
            </w:pPr>
            <w:r>
              <w:rPr>
                <w:color w:val="1F2328"/>
                <w:sz w:val="21"/>
              </w:rPr>
              <w:t>Slider and dropdown inputs for all 6 employee features</w:t>
            </w:r>
          </w:p>
        </w:tc>
      </w:tr>
      <w:tr>
        <w:tc>
          <w:tcPr>
            <w:tcW w:type="dxa" w:w="3168"/>
            <w:shd w:val="clear" w:color="auto" w:fill="F0F4FF"/>
          </w:tcPr>
          <w:p>
            <w:pPr>
              <w:jc w:val="left"/>
            </w:pPr>
            <w:r>
              <w:rPr>
                <w:color w:val="1F2328"/>
                <w:sz w:val="21"/>
              </w:rPr>
              <w:t>Tab: Risk Prediction</w:t>
            </w:r>
          </w:p>
        </w:tc>
        <w:tc>
          <w:tcPr>
            <w:tcW w:type="dxa" w:w="7200"/>
            <w:shd w:val="clear" w:color="auto" w:fill="F0F4FF"/>
          </w:tcPr>
          <w:p>
            <w:pPr>
              <w:jc w:val="left"/>
            </w:pPr>
            <w:r>
              <w:rPr>
                <w:color w:val="1F2328"/>
                <w:sz w:val="21"/>
              </w:rPr>
              <w:t>Employee profile summary table, Predict button, colour-coded risk card</w:t>
            </w:r>
          </w:p>
        </w:tc>
      </w:tr>
      <w:tr>
        <w:tc>
          <w:tcPr>
            <w:tcW w:type="dxa" w:w="3168"/>
            <w:shd w:val="clear" w:color="auto" w:fill="FFFFFF"/>
          </w:tcPr>
          <w:p>
            <w:pPr>
              <w:jc w:val="left"/>
            </w:pPr>
            <w:r>
              <w:rPr>
                <w:color w:val="1F2328"/>
                <w:sz w:val="21"/>
              </w:rPr>
              <w:t>Tab: Model Metrics</w:t>
            </w:r>
          </w:p>
        </w:tc>
        <w:tc>
          <w:tcPr>
            <w:tcW w:type="dxa" w:w="7200"/>
            <w:shd w:val="clear" w:color="auto" w:fill="FFFFFF"/>
          </w:tcPr>
          <w:p>
            <w:pPr>
              <w:jc w:val="left"/>
            </w:pPr>
            <w:r>
              <w:rPr>
                <w:color w:val="1F2328"/>
                <w:sz w:val="21"/>
              </w:rPr>
              <w:t>KPI metric cards, Confusion Matrix, Feature Importances, Classification Report</w:t>
            </w:r>
          </w:p>
        </w:tc>
      </w:tr>
      <w:tr>
        <w:tc>
          <w:tcPr>
            <w:tcW w:type="dxa" w:w="3168"/>
            <w:shd w:val="clear" w:color="auto" w:fill="F0F4FF"/>
          </w:tcPr>
          <w:p>
            <w:pPr>
              <w:jc w:val="left"/>
            </w:pPr>
            <w:r>
              <w:rPr>
                <w:color w:val="1F2328"/>
                <w:sz w:val="21"/>
              </w:rPr>
              <w:t>Tab: Dataset Explorer</w:t>
            </w:r>
          </w:p>
        </w:tc>
        <w:tc>
          <w:tcPr>
            <w:tcW w:type="dxa" w:w="7200"/>
            <w:shd w:val="clear" w:color="auto" w:fill="F0F4FF"/>
          </w:tcPr>
          <w:p>
            <w:pPr>
              <w:jc w:val="left"/>
            </w:pPr>
            <w:r>
              <w:rPr>
                <w:color w:val="1F2328"/>
                <w:sz w:val="21"/>
              </w:rPr>
              <w:t>Summary statistics, attrition by department, raw data table, CSV download</w:t>
            </w:r>
          </w:p>
        </w:tc>
      </w:tr>
      <w:tr>
        <w:tc>
          <w:tcPr>
            <w:tcW w:type="dxa" w:w="3168"/>
            <w:shd w:val="clear" w:color="auto" w:fill="FFFFFF"/>
          </w:tcPr>
          <w:p>
            <w:pPr>
              <w:jc w:val="left"/>
            </w:pPr>
            <w:r>
              <w:rPr>
                <w:color w:val="1F2328"/>
                <w:sz w:val="21"/>
              </w:rPr>
              <w:t>Footer</w:t>
            </w:r>
          </w:p>
        </w:tc>
        <w:tc>
          <w:tcPr>
            <w:tcW w:type="dxa" w:w="7200"/>
            <w:shd w:val="clear" w:color="auto" w:fill="FFFFFF"/>
          </w:tcPr>
          <w:p>
            <w:pPr>
              <w:jc w:val="left"/>
            </w:pPr>
            <w:r>
              <w:rPr>
                <w:color w:val="1F2328"/>
                <w:sz w:val="21"/>
              </w:rPr>
              <w:t>Dataset and model attribution caption</w:t>
            </w:r>
          </w:p>
        </w:tc>
      </w:tr>
    </w:tbl>
    <w:p/>
    <w:p>
      <w:pPr>
        <w:pStyle w:val="Heading2"/>
      </w:pPr>
      <w:r>
        <w:rPr>
          <w:b/>
          <w:color w:val="161C16"/>
        </w:rPr>
        <w:t>4.2  Sidebar Input Controls</w:t>
      </w:r>
    </w:p>
    <w:p>
      <w:pPr>
        <w:pStyle w:val="ListBullet"/>
      </w:pPr>
      <w:r>
        <w:rPr>
          <w:b/>
          <w:color w:val="003087"/>
          <w:sz w:val="22"/>
        </w:rPr>
        <w:t xml:space="preserve">Age: </w:t>
      </w:r>
      <w:r>
        <w:rPr>
          <w:color w:val="1F2328"/>
          <w:sz w:val="22"/>
        </w:rPr>
        <w:t>Slider — range 22 to 60, default 35</w:t>
      </w:r>
    </w:p>
    <w:p>
      <w:pPr>
        <w:pStyle w:val="ListBullet"/>
      </w:pPr>
      <w:r>
        <w:rPr>
          <w:b/>
          <w:color w:val="003087"/>
          <w:sz w:val="22"/>
        </w:rPr>
        <w:t xml:space="preserve">Department: </w:t>
      </w:r>
      <w:r>
        <w:rPr>
          <w:color w:val="1F2328"/>
          <w:sz w:val="22"/>
        </w:rPr>
        <w:t>Dropdown — Sales / Research &amp; Development / Human Resources</w:t>
      </w:r>
    </w:p>
    <w:p>
      <w:pPr>
        <w:pStyle w:val="ListBullet"/>
      </w:pPr>
      <w:r>
        <w:rPr>
          <w:b/>
          <w:color w:val="003087"/>
          <w:sz w:val="22"/>
        </w:rPr>
        <w:t xml:space="preserve">Job Role: </w:t>
      </w:r>
      <w:r>
        <w:rPr>
          <w:color w:val="1F2328"/>
          <w:sz w:val="22"/>
        </w:rPr>
        <w:t>Dropdown — dynamically filtered by selected Department</w:t>
      </w:r>
    </w:p>
    <w:p>
      <w:pPr>
        <w:pStyle w:val="ListBullet"/>
      </w:pPr>
      <w:r>
        <w:rPr>
          <w:b/>
          <w:color w:val="003087"/>
          <w:sz w:val="22"/>
        </w:rPr>
        <w:t xml:space="preserve">Monthly Income: </w:t>
      </w:r>
      <w:r>
        <w:rPr>
          <w:color w:val="1F2328"/>
          <w:sz w:val="22"/>
        </w:rPr>
        <w:t>Slider — $2,000 to $20,000, step $500</w:t>
      </w:r>
    </w:p>
    <w:p>
      <w:pPr>
        <w:pStyle w:val="ListBullet"/>
      </w:pPr>
      <w:r>
        <w:rPr>
          <w:b/>
          <w:color w:val="003087"/>
          <w:sz w:val="22"/>
        </w:rPr>
        <w:t xml:space="preserve">OverTime: </w:t>
      </w:r>
      <w:r>
        <w:rPr>
          <w:color w:val="1F2328"/>
          <w:sz w:val="22"/>
        </w:rPr>
        <w:t>Radio button — Yes / No</w:t>
      </w:r>
    </w:p>
    <w:p>
      <w:pPr>
        <w:pStyle w:val="ListBullet"/>
      </w:pPr>
      <w:r>
        <w:rPr>
          <w:b/>
          <w:color w:val="003087"/>
          <w:sz w:val="22"/>
        </w:rPr>
        <w:t xml:space="preserve">Years at Company: </w:t>
      </w:r>
      <w:r>
        <w:rPr>
          <w:color w:val="1F2328"/>
          <w:sz w:val="22"/>
        </w:rPr>
        <w:t>Slider — 0 to 30, default 5</w:t>
      </w:r>
    </w:p>
    <w:p/>
    <w:p>
      <w:pPr>
        <w:pStyle w:val="Heading2"/>
      </w:pPr>
      <w:r>
        <w:rPr>
          <w:b/>
          <w:color w:val="161C16"/>
        </w:rPr>
        <w:t>4.3  Risk Prediction Tab</w:t>
      </w:r>
    </w:p>
    <w:p>
      <w:pPr>
        <w:spacing w:after="120"/>
      </w:pPr>
      <w:r>
        <w:rPr>
          <w:color w:val="1F2328"/>
          <w:sz w:val="22"/>
        </w:rPr>
        <w:t>After clicking the Predict button, the app encodes the employee profile using the stored LabelEncoders and invokes clf.predict_proba() to obtain the attrition probability. The result is displayed as:</w:t>
      </w:r>
    </w:p>
    <w:p>
      <w:pPr>
        <w:pStyle w:val="ListBullet"/>
      </w:pPr>
      <w:r>
        <w:rPr>
          <w:color w:val="1F2328"/>
          <w:sz w:val="22"/>
        </w:rPr>
        <w:t>🟢 LOW RISK — probability &lt; 35%: green card, employee profile is stable</w:t>
      </w:r>
    </w:p>
    <w:p>
      <w:pPr>
        <w:pStyle w:val="ListBullet"/>
      </w:pPr>
      <w:r>
        <w:rPr>
          <w:color w:val="1F2328"/>
          <w:sz w:val="22"/>
        </w:rPr>
        <w:t>🟡 MODERATE RISK — probability 35–59%: yellow card, watch-list candidate</w:t>
      </w:r>
    </w:p>
    <w:p>
      <w:pPr>
        <w:pStyle w:val="ListBullet"/>
      </w:pPr>
      <w:r>
        <w:rPr>
          <w:color w:val="1F2328"/>
          <w:sz w:val="22"/>
        </w:rPr>
        <w:t>🔴 HIGH RISK — probability ≥ 60%: red card, immediate retention action advised</w:t>
      </w:r>
    </w:p>
    <w:p>
      <w:pPr>
        <w:spacing w:after="120"/>
      </w:pPr>
      <w:r>
        <w:rPr>
          <w:color w:val="1F2328"/>
          <w:sz w:val="22"/>
        </w:rPr>
        <w:t>A progress bar visualises the raw probability score. Below the risk card, a contextual risk factor breakdown lists the specific profile attributes contributing to the elevated risk (overtime, low income, young age, low tenure, or Sales department membership).</w:t>
      </w:r>
    </w:p>
    <w:p/>
    <w:p>
      <w:pPr>
        <w:pStyle w:val="Heading2"/>
      </w:pPr>
      <w:r>
        <w:rPr>
          <w:b/>
          <w:color w:val="161C16"/>
        </w:rPr>
        <w:t>4.4  Model Metrics Tab</w:t>
      </w:r>
    </w:p>
    <w:p>
      <w:pPr>
        <w:pStyle w:val="ListBullet"/>
      </w:pPr>
      <w:r>
        <w:rPr>
          <w:b/>
          <w:color w:val="003087"/>
          <w:sz w:val="22"/>
        </w:rPr>
        <w:t xml:space="preserve">KPI Cards: </w:t>
      </w:r>
      <w:r>
        <w:rPr>
          <w:color w:val="1F2328"/>
          <w:sz w:val="22"/>
        </w:rPr>
        <w:t>Accuracy, ROC-AUC, Precision (Attrition), Recall (Attrition) — displayed as st.metric tiles</w:t>
      </w:r>
    </w:p>
    <w:p>
      <w:pPr>
        <w:pStyle w:val="ListBullet"/>
      </w:pPr>
      <w:r>
        <w:rPr>
          <w:b/>
          <w:color w:val="003087"/>
          <w:sz w:val="22"/>
        </w:rPr>
        <w:t xml:space="preserve">Confusion Matrix: </w:t>
      </w:r>
      <w:r>
        <w:rPr>
          <w:color w:val="1F2328"/>
          <w:sz w:val="22"/>
        </w:rPr>
        <w:t>2×2 table with alternating row shading and bold maximum-value highlighting</w:t>
      </w:r>
    </w:p>
    <w:p>
      <w:pPr>
        <w:pStyle w:val="ListBullet"/>
      </w:pPr>
      <w:r>
        <w:rPr>
          <w:b/>
          <w:color w:val="003087"/>
          <w:sz w:val="22"/>
        </w:rPr>
        <w:t xml:space="preserve">Feature Importances: </w:t>
      </w:r>
      <w:r>
        <w:rPr>
          <w:color w:val="1F2328"/>
          <w:sz w:val="22"/>
        </w:rPr>
        <w:t>Sorted table with Importance % column derived from RF's feature_importances_ attribute</w:t>
      </w:r>
    </w:p>
    <w:p>
      <w:pPr>
        <w:pStyle w:val="ListBullet"/>
      </w:pPr>
      <w:r>
        <w:rPr>
          <w:b/>
          <w:color w:val="003087"/>
          <w:sz w:val="22"/>
        </w:rPr>
        <w:t xml:space="preserve">Classification Report: </w:t>
      </w:r>
      <w:r>
        <w:rPr>
          <w:color w:val="1F2328"/>
          <w:sz w:val="22"/>
        </w:rPr>
        <w:t>Full precision / recall / f1-score / support for both classes</w:t>
      </w:r>
    </w:p>
    <w:p/>
    <w:p>
      <w:pPr>
        <w:pStyle w:val="Heading2"/>
      </w:pPr>
      <w:r>
        <w:rPr>
          <w:b/>
          <w:color w:val="161C16"/>
        </w:rPr>
        <w:t>4.5  Dataset Explorer Tab</w:t>
      </w:r>
    </w:p>
    <w:p>
      <w:pPr>
        <w:pStyle w:val="ListBullet"/>
      </w:pPr>
      <w:r>
        <w:rPr>
          <w:b/>
          <w:color w:val="003087"/>
          <w:sz w:val="22"/>
        </w:rPr>
        <w:t xml:space="preserve">Summary Stats: </w:t>
      </w:r>
      <w:r>
        <w:rPr>
          <w:color w:val="1F2328"/>
          <w:sz w:val="22"/>
        </w:rPr>
        <w:t>Total records, number of attrition=Yes records, overall attrition rate</w:t>
      </w:r>
    </w:p>
    <w:p>
      <w:pPr>
        <w:pStyle w:val="ListBullet"/>
      </w:pPr>
      <w:r>
        <w:rPr>
          <w:b/>
          <w:color w:val="003087"/>
          <w:sz w:val="22"/>
        </w:rPr>
        <w:t xml:space="preserve">Dept Breakdown: </w:t>
      </w:r>
      <w:r>
        <w:rPr>
          <w:color w:val="1F2328"/>
          <w:sz w:val="22"/>
        </w:rPr>
        <w:t>Table showing attrition rate (%) per department</w:t>
      </w:r>
    </w:p>
    <w:p>
      <w:pPr>
        <w:pStyle w:val="ListBullet"/>
      </w:pPr>
      <w:r>
        <w:rPr>
          <w:b/>
          <w:color w:val="003087"/>
          <w:sz w:val="22"/>
        </w:rPr>
        <w:t xml:space="preserve">Raw Data Sample: </w:t>
      </w:r>
      <w:r>
        <w:rPr>
          <w:color w:val="1F2328"/>
          <w:sz w:val="22"/>
        </w:rPr>
        <w:t>50 randomly sampled rows from the full synthetic dataset</w:t>
      </w:r>
    </w:p>
    <w:p>
      <w:pPr>
        <w:pStyle w:val="ListBullet"/>
      </w:pPr>
      <w:r>
        <w:rPr>
          <w:b/>
          <w:color w:val="003087"/>
          <w:sz w:val="22"/>
        </w:rPr>
        <w:t xml:space="preserve">CSV Download: </w:t>
      </w:r>
      <w:r>
        <w:rPr>
          <w:color w:val="1F2328"/>
          <w:sz w:val="22"/>
        </w:rPr>
        <w:t>st.download_button to export the full 1,500-row dataset as a CSV file</w:t>
      </w:r>
    </w:p>
    <w:p>
      <w:r>
        <w:br w:type="page"/>
      </w:r>
    </w:p>
    <w:p>
      <w:pPr>
        <w:pStyle w:val="Heading1"/>
      </w:pPr>
      <w:r>
        <w:rPr>
          <w:b/>
          <w:color w:val="003087"/>
        </w:rPr>
        <w:t>5. Conclusion</w:t>
      </w:r>
    </w:p>
    <w:p>
      <w:pPr>
        <w:pBdr>
          <w:bottom w:val="single" w:sz="6" w:space="1" w:color="003087"/>
        </w:pBdr>
      </w:pPr>
    </w:p>
    <w:p/>
    <w:p>
      <w:pPr>
        <w:spacing w:after="120"/>
      </w:pPr>
      <w:r>
        <w:rPr>
          <w:color w:val="1F2328"/>
          <w:sz w:val="22"/>
        </w:rPr>
        <w:t>This project successfully demonstrates an end-to-end machine learning pipeline for HR attrition prediction, from data synthesis and feature engineering through model training, evaluation, and deployment as an interactive web application.</w:t>
      </w:r>
    </w:p>
    <w:p>
      <w:pPr>
        <w:spacing w:after="120"/>
      </w:pPr>
      <w:r>
        <w:rPr>
          <w:color w:val="1F2328"/>
          <w:sz w:val="22"/>
        </w:rPr>
        <w:t>The Random Forest Classifier achieves strong predictive performance (ROC-AUC ~0.89) while remaining interpretable through feature importance rankings. The Streamlit interface makes the model accessible to non-technical HR stakeholders, enabling data-driven retention decisions at the individual employee level.</w:t>
      </w:r>
    </w:p>
    <w:p/>
    <w:p>
      <w:pPr>
        <w:pStyle w:val="Heading2"/>
      </w:pPr>
      <w:r>
        <w:rPr>
          <w:b/>
          <w:color w:val="161C16"/>
        </w:rPr>
        <w:t>5.1  Business Impact</w:t>
      </w:r>
    </w:p>
    <w:p>
      <w:pPr>
        <w:pStyle w:val="ListBullet"/>
      </w:pPr>
      <w:r>
        <w:rPr>
          <w:color w:val="1F2328"/>
          <w:sz w:val="22"/>
        </w:rPr>
        <w:t>HR teams can proactively identify high-risk employees and initiate targeted retention conversations before formal resignation notices are submitted.</w:t>
      </w:r>
    </w:p>
    <w:p>
      <w:pPr>
        <w:pStyle w:val="ListBullet"/>
      </w:pPr>
      <w:r>
        <w:rPr>
          <w:color w:val="1F2328"/>
          <w:sz w:val="22"/>
        </w:rPr>
        <w:t>The risk factor breakdown provides actionable context — e.g., flagging that overtime reduction or a salary review may mitigate risk for a specific employee.</w:t>
      </w:r>
    </w:p>
    <w:p>
      <w:pPr>
        <w:pStyle w:val="ListBullet"/>
      </w:pPr>
      <w:r>
        <w:rPr>
          <w:color w:val="1F2328"/>
          <w:sz w:val="22"/>
        </w:rPr>
        <w:t>Department-level attrition rate monitoring enables workforce planning and budget allocation for hiring pipelines.</w:t>
      </w:r>
    </w:p>
    <w:p/>
    <w:p>
      <w:pPr>
        <w:pStyle w:val="Heading2"/>
      </w:pPr>
      <w:r>
        <w:rPr>
          <w:b/>
          <w:color w:val="161C16"/>
        </w:rPr>
        <w:t>5.2  Limitations</w:t>
      </w:r>
    </w:p>
    <w:p>
      <w:pPr>
        <w:pStyle w:val="ListBullet"/>
      </w:pPr>
      <w:r>
        <w:rPr>
          <w:color w:val="1F2328"/>
          <w:sz w:val="22"/>
        </w:rPr>
        <w:t>The model is trained on synthetic data. Real-world deployment would require training on actual historical HR records.</w:t>
      </w:r>
    </w:p>
    <w:p>
      <w:pPr>
        <w:pStyle w:val="ListBullet"/>
      </w:pPr>
      <w:r>
        <w:rPr>
          <w:color w:val="1F2328"/>
          <w:sz w:val="22"/>
        </w:rPr>
        <w:t>Only 6 features are used. The full IBM HR dataset contains 35 attributes; including satisfaction scores and performance ratings would likely improve accuracy.</w:t>
      </w:r>
    </w:p>
    <w:p>
      <w:pPr>
        <w:pStyle w:val="ListBullet"/>
      </w:pPr>
      <w:r>
        <w:rPr>
          <w:color w:val="1F2328"/>
          <w:sz w:val="22"/>
        </w:rPr>
        <w:t>Label Encoding introduces ordinal relationships between nominal categories (e.g. job roles). One-hot encoding or target encoding may yield better results.</w:t>
      </w:r>
    </w:p>
    <w:p/>
    <w:p>
      <w:pPr>
        <w:pStyle w:val="Heading2"/>
      </w:pPr>
      <w:r>
        <w:rPr>
          <w:b/>
          <w:color w:val="161C16"/>
        </w:rPr>
        <w:t>5.3  Future Enhancements</w:t>
      </w:r>
    </w:p>
    <w:p>
      <w:pPr>
        <w:pStyle w:val="ListBullet"/>
      </w:pPr>
      <w:r>
        <w:rPr>
          <w:b/>
          <w:color w:val="003087"/>
          <w:sz w:val="22"/>
        </w:rPr>
        <w:t xml:space="preserve">SHAP Explainability: </w:t>
      </w:r>
      <w:r>
        <w:rPr>
          <w:color w:val="1F2328"/>
          <w:sz w:val="22"/>
        </w:rPr>
        <w:t>Integrate SHAP values for per-prediction feature attribution</w:t>
      </w:r>
    </w:p>
    <w:p>
      <w:pPr>
        <w:pStyle w:val="ListBullet"/>
      </w:pPr>
      <w:r>
        <w:rPr>
          <w:b/>
          <w:color w:val="003087"/>
          <w:sz w:val="22"/>
        </w:rPr>
        <w:t xml:space="preserve">Additional Features: </w:t>
      </w:r>
      <w:r>
        <w:rPr>
          <w:color w:val="1F2328"/>
          <w:sz w:val="22"/>
        </w:rPr>
        <w:t>Add JobSatisfaction, WorkLifeBalance, PerformanceRating</w:t>
      </w:r>
    </w:p>
    <w:p>
      <w:pPr>
        <w:pStyle w:val="ListBullet"/>
      </w:pPr>
      <w:r>
        <w:rPr>
          <w:b/>
          <w:color w:val="003087"/>
          <w:sz w:val="22"/>
        </w:rPr>
        <w:t xml:space="preserve">Model Comparison: </w:t>
      </w:r>
      <w:r>
        <w:rPr>
          <w:color w:val="1F2328"/>
          <w:sz w:val="22"/>
        </w:rPr>
        <w:t>Benchmark against XGBoost, LightGBM, and Logistic Regression</w:t>
      </w:r>
    </w:p>
    <w:p>
      <w:pPr>
        <w:pStyle w:val="ListBullet"/>
      </w:pPr>
      <w:r>
        <w:rPr>
          <w:b/>
          <w:color w:val="003087"/>
          <w:sz w:val="22"/>
        </w:rPr>
        <w:t xml:space="preserve">SMOTE Oversampling: </w:t>
      </w:r>
      <w:r>
        <w:rPr>
          <w:color w:val="1F2328"/>
          <w:sz w:val="22"/>
        </w:rPr>
        <w:t>Apply SMOTE to training data to further address class imbalance</w:t>
      </w:r>
    </w:p>
    <w:p>
      <w:pPr>
        <w:pStyle w:val="ListBullet"/>
      </w:pPr>
      <w:r>
        <w:rPr>
          <w:b/>
          <w:color w:val="003087"/>
          <w:sz w:val="22"/>
        </w:rPr>
        <w:t xml:space="preserve">Model Persistence: </w:t>
      </w:r>
      <w:r>
        <w:rPr>
          <w:color w:val="1F2328"/>
          <w:sz w:val="22"/>
        </w:rPr>
        <w:t>Serialize trained model with joblib for production deployment</w:t>
      </w:r>
    </w:p>
    <w:p>
      <w:pPr>
        <w:pStyle w:val="ListBullet"/>
      </w:pPr>
      <w:r>
        <w:rPr>
          <w:b/>
          <w:color w:val="003087"/>
          <w:sz w:val="22"/>
        </w:rPr>
        <w:t xml:space="preserve">Database Integration: </w:t>
      </w:r>
      <w:r>
        <w:rPr>
          <w:color w:val="1F2328"/>
          <w:sz w:val="22"/>
        </w:rPr>
        <w:t>Connect to live HR database for real-time predictions</w:t>
      </w:r>
    </w:p>
    <w:p>
      <w:r>
        <w:br/>
      </w:r>
    </w:p>
    <w:p>
      <w:pPr>
        <w:pBdr>
          <w:bottom w:val="single" w:sz="6" w:space="1" w:color="003087"/>
        </w:pBdr>
      </w:pPr>
    </w:p>
    <w:p>
      <w:pPr>
        <w:jc w:val="center"/>
      </w:pPr>
      <w:r>
        <w:rPr>
          <w:i/>
          <w:color w:val="697077"/>
          <w:sz w:val="20"/>
        </w:rPr>
        <w:t>IBM HR Analytics · Attrition Prediction Report · October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