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NeuroScope</w:t>
      </w:r>
      <w:r>
        <w:t xml:space="preserve"> </w:t>
      </w:r>
      <w:r>
        <w:t xml:space="preserve">3D:</w:t>
      </w:r>
      <w:r>
        <w:t xml:space="preserve"> </w:t>
      </w:r>
      <w:r>
        <w:t xml:space="preserve">Step-by-Step</w:t>
      </w:r>
      <w:r>
        <w:t xml:space="preserve"> </w:t>
      </w:r>
      <w:r>
        <w:t xml:space="preserve">Build</w:t>
      </w:r>
      <w:r>
        <w:t xml:space="preserve"> </w:t>
      </w:r>
      <w:r>
        <w:t xml:space="preserve">Plan</w:t>
      </w:r>
    </w:p>
    <w:p>
      <w:pPr>
        <w:pStyle w:val="FirstParagraph"/>
      </w:pPr>
      <w:r>
        <w:rPr>
          <w:iCs/>
          <w:i/>
        </w:rPr>
        <w:t xml:space="preserve">Build plan. Each step has a goal, the actions, and a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done when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check. Do not skip the checks: the judges’ automated tests depend on them.</w:t>
      </w:r>
    </w:p>
    <w:bookmarkStart w:id="20" w:name="step-0-setup"/>
    <w:p>
      <w:pPr>
        <w:pStyle w:val="Heading1"/>
      </w:pPr>
      <w:r>
        <w:t xml:space="preserve">Step 0: Setup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everyone can run the same code.</w:t>
      </w:r>
    </w:p>
    <w:p>
      <w:pPr>
        <w:numPr>
          <w:ilvl w:val="0"/>
          <w:numId w:val="1001"/>
        </w:numPr>
        <w:pStyle w:val="Compact"/>
      </w:pPr>
      <w:r>
        <w:t xml:space="preserve">Create the repository with folders:</w:t>
      </w:r>
      <w:r>
        <w:t xml:space="preserve"> </w:t>
      </w:r>
      <w:r>
        <w:rPr>
          <w:rStyle w:val="VerbatimChar"/>
        </w:rPr>
        <w:t xml:space="preserve">neuroscope/</w:t>
      </w:r>
      <w:r>
        <w:t xml:space="preserve"> </w:t>
      </w:r>
      <w:r>
        <w:t xml:space="preserve">(core package),</w:t>
      </w:r>
      <w:r>
        <w:t xml:space="preserve"> </w:t>
      </w:r>
      <w:r>
        <w:rPr>
          <w:rStyle w:val="VerbatimChar"/>
        </w:rPr>
        <w:t xml:space="preserve">api/</w:t>
      </w:r>
      <w:r>
        <w:t xml:space="preserve">,</w:t>
      </w:r>
      <w:r>
        <w:t xml:space="preserve"> </w:t>
      </w:r>
      <w:r>
        <w:rPr>
          <w:rStyle w:val="VerbatimChar"/>
        </w:rPr>
        <w:t xml:space="preserve">web/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Install: Python 3.10+, PyTorch with CUDA, MONAI, nibabel, SimpleITK, scikit-image, trimesh, FastAPI, uvicorn, pytest.</w:t>
      </w:r>
    </w:p>
    <w:p>
      <w:pPr>
        <w:numPr>
          <w:ilvl w:val="0"/>
          <w:numId w:val="1001"/>
        </w:numPr>
        <w:pStyle w:val="Compact"/>
      </w:pPr>
      <w:r>
        <w:t xml:space="preserve">Download the MONAI</w:t>
      </w:r>
      <w:r>
        <w:t xml:space="preserve"> </w:t>
      </w:r>
      <w:r>
        <w:rPr>
          <w:rStyle w:val="VerbatimChar"/>
        </w:rPr>
        <w:t xml:space="preserve">brats_mri_segmentation</w:t>
      </w:r>
      <w:r>
        <w:t xml:space="preserve"> </w:t>
      </w:r>
      <w:r>
        <w:t xml:space="preserve">bundle. Record its version and licence for the model card.</w:t>
      </w:r>
    </w:p>
    <w:p>
      <w:pPr>
        <w:numPr>
          <w:ilvl w:val="0"/>
          <w:numId w:val="1001"/>
        </w:numPr>
        <w:pStyle w:val="Compact"/>
      </w:pPr>
      <w:r>
        <w:t xml:space="preserve">Unpack the starter kit: dev subset, notebook, judges’ scorer.</w:t>
      </w:r>
    </w:p>
    <w:p>
      <w:pPr>
        <w:numPr>
          <w:ilvl w:val="0"/>
          <w:numId w:val="1001"/>
        </w:numPr>
        <w:pStyle w:val="Compact"/>
      </w:pPr>
      <w:r>
        <w:t xml:space="preserve">Agree on roles (suggested: model/CLI, backend, 2D viewer, 3D viewer and report).</w:t>
      </w:r>
    </w:p>
    <w:p>
      <w:pPr>
        <w:pStyle w:val="FirstParagraph"/>
      </w:pPr>
      <w:r>
        <w:rPr>
          <w:bCs/>
          <w:b/>
        </w:rPr>
        <w:t xml:space="preserve">Done when:</w:t>
      </w:r>
      <w:r>
        <w:t xml:space="preserve"> </w:t>
      </w:r>
      <w:r>
        <w:t xml:space="preserve">the starter notebook runs the bundle on one case on every machine.</w:t>
      </w:r>
    </w:p>
    <w:bookmarkEnd w:id="20"/>
    <w:bookmarkStart w:id="21" w:name="step-1-core-pipeline-and-cli"/>
    <w:p>
      <w:pPr>
        <w:pStyle w:val="Heading1"/>
      </w:pPr>
      <w:r>
        <w:t xml:space="preserve">Step 1: Core pipeline and CLI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four files in, correct label NIfTI out.</w:t>
      </w:r>
    </w:p>
    <w:p>
      <w:pPr>
        <w:numPr>
          <w:ilvl w:val="0"/>
          <w:numId w:val="1002"/>
        </w:numPr>
        <w:pStyle w:val="Compact"/>
      </w:pPr>
      <w:r>
        <w:t xml:space="preserve">Load each sequence with nibabel. Stack in the order</w:t>
      </w:r>
      <w:r>
        <w:t xml:space="preserve"> </w:t>
      </w:r>
      <w:r>
        <w:rPr>
          <w:bCs/>
          <w:b/>
        </w:rPr>
        <w:t xml:space="preserve">T1Gd, T1, T2, FLAIR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Reorient to RAS using the affine. Resample to 1 mm.</w:t>
      </w:r>
    </w:p>
    <w:p>
      <w:pPr>
        <w:numPr>
          <w:ilvl w:val="0"/>
          <w:numId w:val="1002"/>
        </w:numPr>
        <w:pStyle w:val="Compact"/>
      </w:pPr>
      <w:r>
        <w:t xml:space="preserve">Normalise each channel (non-zero voxels, z-score, as the bundle expects).</w:t>
      </w:r>
    </w:p>
    <w:p>
      <w:pPr>
        <w:numPr>
          <w:ilvl w:val="0"/>
          <w:numId w:val="1002"/>
        </w:numPr>
        <w:pStyle w:val="Compact"/>
      </w:pPr>
      <w:r>
        <w:t xml:space="preserve">Run sliding-window inference with fixed seeds and deterministic settings.</w:t>
      </w:r>
    </w:p>
    <w:p>
      <w:pPr>
        <w:numPr>
          <w:ilvl w:val="0"/>
          <w:numId w:val="1002"/>
        </w:numPr>
        <w:pStyle w:val="Compact"/>
      </w:pPr>
      <w:r>
        <w:t xml:space="preserve">Threshold the three output channels (TC, WT, ET).</w:t>
      </w:r>
    </w:p>
    <w:p>
      <w:pPr>
        <w:numPr>
          <w:ilvl w:val="0"/>
          <w:numId w:val="1002"/>
        </w:numPr>
        <w:pStyle w:val="Compact"/>
      </w:pPr>
      <w:r>
        <w:t xml:space="preserve">Convert: ET becomes 4, TC minus ET becomes 1, WT minus TC becomes 2.</w:t>
      </w:r>
    </w:p>
    <w:p>
      <w:pPr>
        <w:numPr>
          <w:ilvl w:val="0"/>
          <w:numId w:val="1002"/>
        </w:numPr>
        <w:pStyle w:val="Compact"/>
      </w:pPr>
      <w:r>
        <w:t xml:space="preserve">Resample the label map back to the original grid with nearest-neighbour interpolation. Save with the original affine.</w:t>
      </w:r>
    </w:p>
    <w:p>
      <w:pPr>
        <w:numPr>
          <w:ilvl w:val="0"/>
          <w:numId w:val="1002"/>
        </w:numPr>
        <w:pStyle w:val="Compact"/>
      </w:pPr>
      <w:r>
        <w:t xml:space="preserve">Wrap this as</w:t>
      </w:r>
      <w:r>
        <w:t xml:space="preserve"> </w:t>
      </w:r>
      <w:r>
        <w:rPr>
          <w:rStyle w:val="VerbatimChar"/>
        </w:rPr>
        <w:t xml:space="preserve">neuroscope predict --t1 ... --t1gd ... --t2 ... --flair ... --out pred.nii.gz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Run the judges’ scorer on a few dev cases.</w:t>
      </w:r>
    </w:p>
    <w:p>
      <w:pPr>
        <w:pStyle w:val="FirstParagraph"/>
      </w:pPr>
      <w:r>
        <w:rPr>
          <w:bCs/>
          <w:b/>
        </w:rPr>
        <w:t xml:space="preserve">Done when:</w:t>
      </w:r>
      <w:r>
        <w:t xml:space="preserve"> </w:t>
      </w:r>
      <w:r>
        <w:t xml:space="preserve">the output has the same shape and affine as the input, contains only 0, 1, 2, 4, and Dice on dev cases is in the expected range.</w:t>
      </w:r>
    </w:p>
    <w:bookmarkEnd w:id="21"/>
    <w:bookmarkStart w:id="22" w:name="X0674ab83aab07f724afcb93a6644e00a208498a"/>
    <w:p>
      <w:pPr>
        <w:pStyle w:val="Heading1"/>
      </w:pPr>
      <w:r>
        <w:t xml:space="preserve">Step 2: Early correctness tests (run alongside Step 1)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catch the traps before building a UI on top of them.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Volume cube:</w:t>
      </w:r>
      <w:r>
        <w:t xml:space="preserve"> </w:t>
      </w:r>
      <w:r>
        <w:t xml:space="preserve">make a mask with a 20x20x20 block labelled 2 at 1x1x2 mm. Check WT is 16.0 mL, TC and ET are 0.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Skipped slices:</w:t>
      </w:r>
      <w:r>
        <w:t xml:space="preserve"> </w:t>
      </w:r>
      <w:r>
        <w:t xml:space="preserve">drop every second axial slice (spacing becomes 1x1x2). Check predicted WT volumes agree within 10%.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Same-anatomy flip:</w:t>
      </w:r>
      <w:r>
        <w:t xml:space="preserve"> </w:t>
      </w:r>
      <w:r>
        <w:t xml:space="preserve">flip voxels left to right and edit the affine to match. Check the tumour keeps the same labelled side and WT volume is within 2%.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Mirrored flip:</w:t>
      </w:r>
      <w:r>
        <w:t xml:space="preserve"> </w:t>
      </w:r>
      <w:r>
        <w:t xml:space="preserve">flip voxels with the affine unchanged. Check the tumour moves to the other labelled side. Do not auto-correct.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Reproducibility:</w:t>
      </w:r>
      <w:r>
        <w:t xml:space="preserve"> </w:t>
      </w:r>
      <w:r>
        <w:t xml:space="preserve">run one case twice and check Dice of at least 0.99.</w:t>
      </w:r>
    </w:p>
    <w:p>
      <w:pPr>
        <w:numPr>
          <w:ilvl w:val="0"/>
          <w:numId w:val="1003"/>
        </w:numPr>
        <w:pStyle w:val="Compact"/>
      </w:pPr>
      <w:r>
        <w:t xml:space="preserve">Save these as automated pytest cases.</w:t>
      </w:r>
    </w:p>
    <w:p>
      <w:pPr>
        <w:pStyle w:val="FirstParagraph"/>
      </w:pPr>
      <w:r>
        <w:rPr>
          <w:bCs/>
          <w:b/>
        </w:rPr>
        <w:t xml:space="preserve">Done when:</w:t>
      </w:r>
      <w:r>
        <w:t xml:space="preserve"> </w:t>
      </w:r>
      <w:r>
        <w:t xml:space="preserve">all five tests pass from the command line.</w:t>
      </w:r>
    </w:p>
    <w:bookmarkEnd w:id="22"/>
    <w:bookmarkStart w:id="23" w:name="step-3-validation-and-failure-pack"/>
    <w:p>
      <w:pPr>
        <w:pStyle w:val="Heading1"/>
      </w:pPr>
      <w:r>
        <w:t xml:space="preserve">Step 3: Validation and failure pack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every bad input gets a clear message and no result.</w:t>
      </w:r>
    </w:p>
    <w:p>
      <w:pPr>
        <w:numPr>
          <w:ilvl w:val="0"/>
          <w:numId w:val="1004"/>
        </w:numPr>
        <w:pStyle w:val="Compact"/>
      </w:pPr>
      <w:r>
        <w:t xml:space="preserve">Build a validator returning a structured error (code plus plain-language message).</w:t>
      </w:r>
    </w:p>
    <w:p>
      <w:pPr>
        <w:numPr>
          <w:ilvl w:val="0"/>
          <w:numId w:val="1004"/>
        </w:numPr>
        <w:pStyle w:val="Compact"/>
      </w:pPr>
      <w:r>
        <w:t xml:space="preserve">Cover the eight judge cases: non-NIfTI file named .nii.gz, corrupt gzip, only three sequences, mismatched shapes, 2D image, all-zero volume, NaN values, file over 1 GB. Also check mismatched affines.</w:t>
      </w:r>
    </w:p>
    <w:p>
      <w:pPr>
        <w:numPr>
          <w:ilvl w:val="0"/>
          <w:numId w:val="1004"/>
        </w:numPr>
        <w:pStyle w:val="Compact"/>
      </w:pPr>
      <w:r>
        <w:t xml:space="preserve">Check file size before reading the whole file.</w:t>
      </w:r>
    </w:p>
    <w:p>
      <w:pPr>
        <w:numPr>
          <w:ilvl w:val="0"/>
          <w:numId w:val="1004"/>
        </w:numPr>
        <w:pStyle w:val="Compact"/>
      </w:pPr>
      <w:r>
        <w:t xml:space="preserve">Create the eight fixture files in</w:t>
      </w:r>
      <w:r>
        <w:t xml:space="preserve"> </w:t>
      </w:r>
      <w:r>
        <w:rPr>
          <w:rStyle w:val="VerbatimChar"/>
        </w:rPr>
        <w:t xml:space="preserve">tests/fixtures/</w:t>
      </w:r>
      <w:r>
        <w:t xml:space="preserve"> </w:t>
      </w:r>
      <w:r>
        <w:t xml:space="preserve">and a test for each.</w:t>
      </w:r>
    </w:p>
    <w:p>
      <w:pPr>
        <w:numPr>
          <w:ilvl w:val="0"/>
          <w:numId w:val="1004"/>
        </w:numPr>
        <w:pStyle w:val="Compact"/>
      </w:pPr>
      <w:r>
        <w:t xml:space="preserve">Add the sanity check: fraction of zero background, brain extent in mm, intensity range, signs of skull or neck. Warn or refuse for non-skull-stripped or non-brain input.</w:t>
      </w:r>
    </w:p>
    <w:p>
      <w:pPr>
        <w:numPr>
          <w:ilvl w:val="0"/>
          <w:numId w:val="1004"/>
        </w:numPr>
        <w:pStyle w:val="Compact"/>
      </w:pPr>
      <w:r>
        <w:t xml:space="preserve">Test with a non-skull-stripped volume and a non-brain volume (for example, a synthetic or a different organ image from a public dataset).</w:t>
      </w:r>
    </w:p>
    <w:p>
      <w:pPr>
        <w:pStyle w:val="FirstParagraph"/>
      </w:pPr>
      <w:r>
        <w:rPr>
          <w:bCs/>
          <w:b/>
        </w:rPr>
        <w:t xml:space="preserve">Done when:</w:t>
      </w:r>
      <w:r>
        <w:t xml:space="preserve"> </w:t>
      </w:r>
      <w:r>
        <w:t xml:space="preserve">all eight fixtures produce a clear message, the app does not crash, and no mask is produced.</w:t>
      </w:r>
    </w:p>
    <w:bookmarkEnd w:id="23"/>
    <w:bookmarkStart w:id="24" w:name="step-4-backend-api"/>
    <w:p>
      <w:pPr>
        <w:pStyle w:val="Heading1"/>
      </w:pPr>
      <w:r>
        <w:t xml:space="preserve">Step 4: Backend API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 job-based API the frontend can call.</w:t>
      </w:r>
    </w:p>
    <w:p>
      <w:pPr>
        <w:numPr>
          <w:ilvl w:val="0"/>
          <w:numId w:val="1005"/>
        </w:numPr>
        <w:pStyle w:val="Compact"/>
      </w:pPr>
      <w:r>
        <w:t xml:space="preserve">Endpoints: upload, validate, start job, job status, get masks, get meshes, get metrics, get report, and a direct predict endpoint returning the label NIfTI.</w:t>
      </w:r>
    </w:p>
    <w:p>
      <w:pPr>
        <w:numPr>
          <w:ilvl w:val="0"/>
          <w:numId w:val="1005"/>
        </w:numPr>
        <w:pStyle w:val="Compact"/>
      </w:pPr>
      <w:r>
        <w:t xml:space="preserve">Run inference as a background job so the UI shows progress.</w:t>
      </w:r>
    </w:p>
    <w:p>
      <w:pPr>
        <w:numPr>
          <w:ilvl w:val="0"/>
          <w:numId w:val="1005"/>
        </w:numPr>
        <w:pStyle w:val="Compact"/>
      </w:pPr>
      <w:r>
        <w:t xml:space="preserve">Compute volumes: voxel count times (sx times sy times sz) divided by 1000. Return the formula, counts and spacing.</w:t>
      </w:r>
    </w:p>
    <w:p>
      <w:pPr>
        <w:numPr>
          <w:ilvl w:val="0"/>
          <w:numId w:val="1005"/>
        </w:numPr>
        <w:pStyle w:val="Compact"/>
      </w:pPr>
      <w:r>
        <w:t xml:space="preserve">Compute SHA-256 for each input, and capture model version, code commit and timestamp.</w:t>
      </w:r>
    </w:p>
    <w:p>
      <w:pPr>
        <w:numPr>
          <w:ilvl w:val="0"/>
          <w:numId w:val="1005"/>
        </w:numPr>
        <w:pStyle w:val="Compact"/>
      </w:pPr>
      <w:r>
        <w:t xml:space="preserve">If an expert mask is present, compute its volumes and Dice and sensitivity per region against the prediction.</w:t>
      </w:r>
    </w:p>
    <w:p>
      <w:pPr>
        <w:numPr>
          <w:ilvl w:val="0"/>
          <w:numId w:val="1005"/>
        </w:numPr>
        <w:pStyle w:val="Compact"/>
      </w:pPr>
      <w:r>
        <w:t xml:space="preserve">Add a cleanup task that deletes uploads within 24 hours.</w:t>
      </w:r>
    </w:p>
    <w:p>
      <w:pPr>
        <w:numPr>
          <w:ilvl w:val="0"/>
          <w:numId w:val="1005"/>
        </w:numPr>
        <w:pStyle w:val="Compact"/>
      </w:pPr>
      <w:r>
        <w:t xml:space="preserve">Time the full path on a T4-class GPU. Target: under 2 minutes.</w:t>
      </w:r>
    </w:p>
    <w:p>
      <w:pPr>
        <w:pStyle w:val="FirstParagraph"/>
      </w:pPr>
      <w:r>
        <w:rPr>
          <w:bCs/>
          <w:b/>
        </w:rPr>
        <w:t xml:space="preserve">Done when:</w:t>
      </w:r>
      <w:r>
        <w:t xml:space="preserve"> </w:t>
      </w:r>
      <w:r>
        <w:t xml:space="preserve">a case uploaded through the API returns masks, volumes and metadata within 2 minutes.</w:t>
      </w:r>
    </w:p>
    <w:bookmarkEnd w:id="24"/>
    <w:bookmarkStart w:id="25" w:name="step-5-meshes"/>
    <w:p>
      <w:pPr>
        <w:pStyle w:val="Heading1"/>
      </w:pPr>
      <w:r>
        <w:t xml:space="preserve">Step 5: Meshes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3D meshes in world millimetres.</w:t>
      </w:r>
    </w:p>
    <w:p>
      <w:pPr>
        <w:numPr>
          <w:ilvl w:val="0"/>
          <w:numId w:val="1006"/>
        </w:numPr>
        <w:pStyle w:val="Compact"/>
      </w:pPr>
      <w:r>
        <w:t xml:space="preserve">Build a brain surface mask (non-zero voxels, smoothed) and run marching cubes.</w:t>
      </w:r>
    </w:p>
    <w:p>
      <w:pPr>
        <w:numPr>
          <w:ilvl w:val="0"/>
          <w:numId w:val="1006"/>
        </w:numPr>
        <w:pStyle w:val="Compact"/>
      </w:pPr>
      <w:r>
        <w:t xml:space="preserve">Run marching cubes for WT, TC and ET (and optionally NCR, ED, ET).</w:t>
      </w:r>
    </w:p>
    <w:p>
      <w:pPr>
        <w:numPr>
          <w:ilvl w:val="0"/>
          <w:numId w:val="1006"/>
        </w:numPr>
        <w:pStyle w:val="Compact"/>
      </w:pPr>
      <w:r>
        <w:t xml:space="preserve">Apply the affine to every vertex so coordinates are in world mm.</w:t>
      </w:r>
    </w:p>
    <w:p>
      <w:pPr>
        <w:numPr>
          <w:ilvl w:val="0"/>
          <w:numId w:val="1006"/>
        </w:numPr>
        <w:pStyle w:val="Compact"/>
      </w:pPr>
      <w:r>
        <w:t xml:space="preserve">Decimate lightly and serve as glTF or binary buffers.</w:t>
      </w:r>
    </w:p>
    <w:p>
      <w:pPr>
        <w:pStyle w:val="FirstParagraph"/>
      </w:pPr>
      <w:r>
        <w:rPr>
          <w:bCs/>
          <w:b/>
        </w:rPr>
        <w:t xml:space="preserve">Done when:</w:t>
      </w:r>
      <w:r>
        <w:t xml:space="preserve"> </w:t>
      </w:r>
      <w:r>
        <w:t xml:space="preserve">a mesh vertex placed at a known voxel lands at the expected world coordinate.</w:t>
      </w:r>
    </w:p>
    <w:bookmarkEnd w:id="25"/>
    <w:bookmarkStart w:id="26" w:name="step-6-linked-slice-viewer"/>
    <w:p>
      <w:pPr>
        <w:pStyle w:val="Heading1"/>
      </w:pPr>
      <w:r>
        <w:t xml:space="preserve">Step 6: Linked slice viewer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three slice views with one crosshair.</w:t>
      </w:r>
    </w:p>
    <w:p>
      <w:pPr>
        <w:numPr>
          <w:ilvl w:val="0"/>
          <w:numId w:val="1007"/>
        </w:numPr>
        <w:pStyle w:val="Compact"/>
      </w:pPr>
      <w:r>
        <w:t xml:space="preserve">Embed NiiVue with the base volume (for example FLAIR) and the label overlay.</w:t>
      </w:r>
    </w:p>
    <w:p>
      <w:pPr>
        <w:numPr>
          <w:ilvl w:val="0"/>
          <w:numId w:val="1007"/>
        </w:numPr>
        <w:pStyle w:val="Compact"/>
      </w:pPr>
      <w:r>
        <w:t xml:space="preserve">Show orientation labels L/R, A/P, S/I.</w:t>
      </w:r>
    </w:p>
    <w:p>
      <w:pPr>
        <w:numPr>
          <w:ilvl w:val="0"/>
          <w:numId w:val="1007"/>
        </w:numPr>
        <w:pStyle w:val="Compact"/>
      </w:pPr>
      <w:r>
        <w:t xml:space="preserve">Show voxel indices and world mm for the crosshair position.</w:t>
      </w:r>
    </w:p>
    <w:p>
      <w:pPr>
        <w:numPr>
          <w:ilvl w:val="0"/>
          <w:numId w:val="1007"/>
        </w:numPr>
        <w:pStyle w:val="Compact"/>
      </w:pPr>
      <w:r>
        <w:t xml:space="preserve">Add controls: region toggles, opacity, sequence selector.</w:t>
      </w:r>
    </w:p>
    <w:p>
      <w:pPr>
        <w:numPr>
          <w:ilvl w:val="0"/>
          <w:numId w:val="1007"/>
        </w:numPr>
        <w:pStyle w:val="Compact"/>
      </w:pPr>
      <w:r>
        <w:t xml:space="preserve">Show the disclaimer on every screen.</w:t>
      </w:r>
    </w:p>
    <w:p>
      <w:pPr>
        <w:pStyle w:val="FirstParagraph"/>
      </w:pPr>
      <w:r>
        <w:rPr>
          <w:bCs/>
          <w:b/>
        </w:rPr>
        <w:t xml:space="preserve">Done when:</w:t>
      </w:r>
      <w:r>
        <w:t xml:space="preserve"> </w:t>
      </w:r>
      <w:r>
        <w:t xml:space="preserve">clicking a bright marker block in any view puts the crosshair on it within 2 voxels in all views.</w:t>
      </w:r>
    </w:p>
    <w:bookmarkEnd w:id="26"/>
    <w:bookmarkStart w:id="27" w:name="step-7-3d-viewer-and-linking"/>
    <w:p>
      <w:pPr>
        <w:pStyle w:val="Heading1"/>
      </w:pPr>
      <w:r>
        <w:t xml:space="preserve">Step 7: 3D viewer and linking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Three.js scene linked to the crosshair.</w:t>
      </w:r>
    </w:p>
    <w:p>
      <w:pPr>
        <w:numPr>
          <w:ilvl w:val="0"/>
          <w:numId w:val="1008"/>
        </w:numPr>
        <w:pStyle w:val="Compact"/>
      </w:pPr>
      <w:r>
        <w:t xml:space="preserve">Render the brain surface (semi-transparent) and the region meshes, with colours and a legend.</w:t>
      </w:r>
    </w:p>
    <w:p>
      <w:pPr>
        <w:numPr>
          <w:ilvl w:val="0"/>
          <w:numId w:val="1008"/>
        </w:numPr>
        <w:pStyle w:val="Compact"/>
      </w:pPr>
      <w:r>
        <w:t xml:space="preserve">Add rotate, zoom, per-region toggles and opacity sliders.</w:t>
      </w:r>
    </w:p>
    <w:p>
      <w:pPr>
        <w:numPr>
          <w:ilvl w:val="0"/>
          <w:numId w:val="1008"/>
        </w:numPr>
        <w:pStyle w:val="Compact"/>
      </w:pPr>
      <w:r>
        <w:t xml:space="preserve">Add a 3D marker at the crosshair world position. Convert once, from world mm, so all views share one source of truth.</w:t>
      </w:r>
    </w:p>
    <w:p>
      <w:pPr>
        <w:numPr>
          <w:ilvl w:val="0"/>
          <w:numId w:val="1008"/>
        </w:numPr>
        <w:pStyle w:val="Compact"/>
      </w:pPr>
      <w:r>
        <w:t xml:space="preserve">Allow clicking on a mesh to set the crosshair.</w:t>
      </w:r>
    </w:p>
    <w:p>
      <w:pPr>
        <w:pStyle w:val="FirstParagraph"/>
      </w:pPr>
      <w:r>
        <w:rPr>
          <w:bCs/>
          <w:b/>
        </w:rPr>
        <w:t xml:space="preserve">Done when:</w:t>
      </w:r>
      <w:r>
        <w:t xml:space="preserve"> </w:t>
      </w:r>
      <w:r>
        <w:t xml:space="preserve">moving the crosshair in a slice moves the 3D marker, and clicking in 3D moves the slices.</w:t>
      </w:r>
    </w:p>
    <w:bookmarkEnd w:id="27"/>
    <w:bookmarkStart w:id="28" w:name="Xe8ad53c246678a74af5af8229b534c8c7795354"/>
    <w:p>
      <w:pPr>
        <w:pStyle w:val="Heading1"/>
      </w:pPr>
      <w:r>
        <w:t xml:space="preserve">Step 8: Volume panel and expert comparison</w:t>
      </w:r>
    </w:p>
    <w:p>
      <w:pPr>
        <w:numPr>
          <w:ilvl w:val="0"/>
          <w:numId w:val="1009"/>
        </w:numPr>
        <w:pStyle w:val="Compact"/>
      </w:pPr>
      <w:r>
        <w:t xml:space="preserve">Show WT, TC and ET with voxel count, voxel volume, formula and result in mL.</w:t>
      </w:r>
    </w:p>
    <w:p>
      <w:pPr>
        <w:numPr>
          <w:ilvl w:val="0"/>
          <w:numId w:val="1009"/>
        </w:numPr>
        <w:pStyle w:val="Compact"/>
      </w:pPr>
      <w:r>
        <w:t xml:space="preserve">If an expert mask exists, show its regions and volumes beside the prediction.</w:t>
      </w:r>
    </w:p>
    <w:p>
      <w:pPr>
        <w:numPr>
          <w:ilvl w:val="0"/>
          <w:numId w:val="1009"/>
        </w:numPr>
        <w:pStyle w:val="Compact"/>
      </w:pPr>
      <w:r>
        <w:t xml:space="preserve">Use the wording</w:t>
      </w:r>
      <w:r>
        <w:t xml:space="preserve"> </w:t>
      </w:r>
      <w:r>
        <w:t xml:space="preserve">“</w:t>
      </w:r>
      <w:r>
        <w:t xml:space="preserve">estimated volume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suspected tumour region predicted by the model</w:t>
      </w:r>
      <w:r>
        <w:t xml:space="preserve">”</w:t>
      </w:r>
      <w:r>
        <w:t xml:space="preserve">.</w:t>
      </w:r>
    </w:p>
    <w:bookmarkEnd w:id="28"/>
    <w:bookmarkStart w:id="29" w:name="step-9-evaluation"/>
    <w:p>
      <w:pPr>
        <w:pStyle w:val="Heading1"/>
      </w:pPr>
      <w:r>
        <w:t xml:space="preserve">Step 9: Evaluation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honest metrics on at least 10 held-out labelled cases.</w:t>
      </w:r>
    </w:p>
    <w:p>
      <w:pPr>
        <w:numPr>
          <w:ilvl w:val="0"/>
          <w:numId w:val="1010"/>
        </w:numPr>
        <w:pStyle w:val="Compact"/>
      </w:pPr>
      <w:r>
        <w:t xml:space="preserve">Choose 10 or more labelled cases from the dev subset, split by patient. List the case IDs.</w:t>
      </w:r>
    </w:p>
    <w:p>
      <w:pPr>
        <w:numPr>
          <w:ilvl w:val="0"/>
          <w:numId w:val="1010"/>
        </w:numPr>
        <w:pStyle w:val="Compact"/>
      </w:pPr>
      <w:r>
        <w:t xml:space="preserve">Check that none were used to fine-tune. If using the pretrained bundle only, no fine-tuning split is needed, but disclose training overlap.</w:t>
      </w:r>
    </w:p>
    <w:p>
      <w:pPr>
        <w:numPr>
          <w:ilvl w:val="0"/>
          <w:numId w:val="1010"/>
        </w:numPr>
        <w:pStyle w:val="Compact"/>
      </w:pPr>
      <w:r>
        <w:t xml:space="preserve">Run the pipeline and compute Dice and sensitivity for WT, TC and ET per case, plus mean and spread.</w:t>
      </w:r>
    </w:p>
    <w:p>
      <w:pPr>
        <w:numPr>
          <w:ilvl w:val="0"/>
          <w:numId w:val="1010"/>
        </w:numPr>
        <w:pStyle w:val="Compact"/>
      </w:pPr>
      <w:r>
        <w:t xml:space="preserve">State plainly that the bundle was trained on BraTS 2018, which overlaps heavily with BraTS 2021, so these results may be optimistic.</w:t>
      </w:r>
    </w:p>
    <w:p>
      <w:pPr>
        <w:numPr>
          <w:ilvl w:val="0"/>
          <w:numId w:val="1010"/>
        </w:numPr>
        <w:pStyle w:val="Compact"/>
      </w:pPr>
      <w:r>
        <w:t xml:space="preserve">Save results as a table and chart for the report.</w:t>
      </w:r>
    </w:p>
    <w:p>
      <w:pPr>
        <w:numPr>
          <w:ilvl w:val="0"/>
          <w:numId w:val="1010"/>
        </w:numPr>
        <w:pStyle w:val="Compact"/>
      </w:pPr>
      <w:r>
        <w:t xml:space="preserve">Never use the judges’ hidden cases for training or tuning.</w:t>
      </w:r>
    </w:p>
    <w:p>
      <w:pPr>
        <w:pStyle w:val="FirstParagraph"/>
      </w:pPr>
      <w:r>
        <w:rPr>
          <w:bCs/>
          <w:b/>
        </w:rPr>
        <w:t xml:space="preserve">Done when:</w:t>
      </w:r>
      <w:r>
        <w:t xml:space="preserve"> </w:t>
      </w:r>
      <w:r>
        <w:t xml:space="preserve">a metrics table and a split list are saved and shown in the app.</w:t>
      </w:r>
    </w:p>
    <w:bookmarkEnd w:id="29"/>
    <w:bookmarkStart w:id="30" w:name="step-10-report-model-card-sample"/>
    <w:p>
      <w:pPr>
        <w:pStyle w:val="Heading1"/>
      </w:pPr>
      <w:r>
        <w:t xml:space="preserve">Step 10: Report, model card, sample</w:t>
      </w:r>
    </w:p>
    <w:p>
      <w:pPr>
        <w:numPr>
          <w:ilvl w:val="0"/>
          <w:numId w:val="1011"/>
        </w:numPr>
        <w:pStyle w:val="Compact"/>
      </w:pPr>
      <w:r>
        <w:t xml:space="preserve">Report page with volumes, metrics, provenance (model name, version, licence, preprocessing, input SHA-256, code commit, timestamp), limitations and disclaimer. Export to PDF.</w:t>
      </w:r>
    </w:p>
    <w:p>
      <w:pPr>
        <w:numPr>
          <w:ilvl w:val="0"/>
          <w:numId w:val="1011"/>
        </w:numPr>
        <w:pStyle w:val="Compact"/>
      </w:pPr>
      <w:r>
        <w:t xml:space="preserve">One-page model card: model, version, licence, training data, preprocessing, limits.</w:t>
      </w:r>
    </w:p>
    <w:p>
      <w:pPr>
        <w:numPr>
          <w:ilvl w:val="0"/>
          <w:numId w:val="1011"/>
        </w:numPr>
        <w:pStyle w:val="Compact"/>
      </w:pPr>
      <w:r>
        <w:t xml:space="preserve">Generate one sample report from a dev case.</w:t>
      </w:r>
    </w:p>
    <w:p>
      <w:pPr>
        <w:numPr>
          <w:ilvl w:val="0"/>
          <w:numId w:val="1011"/>
        </w:numPr>
        <w:pStyle w:val="Compact"/>
      </w:pPr>
      <w:r>
        <w:t xml:space="preserve">Write the README: one start command, setup, usage, data credits (BraTS 2021 DOI 10.7937/jc8x-9874, Medical Segmentation Decathlon).</w:t>
      </w:r>
    </w:p>
    <w:bookmarkEnd w:id="30"/>
    <w:bookmarkStart w:id="31" w:name="step-11-packaging-and-clean-machine-test"/>
    <w:p>
      <w:pPr>
        <w:pStyle w:val="Heading1"/>
      </w:pPr>
      <w:r>
        <w:t xml:space="preserve">Step 11: Packaging and clean-machine test</w:t>
      </w:r>
    </w:p>
    <w:p>
      <w:pPr>
        <w:numPr>
          <w:ilvl w:val="0"/>
          <w:numId w:val="1012"/>
        </w:numPr>
        <w:pStyle w:val="Compact"/>
      </w:pPr>
      <w:r>
        <w:t xml:space="preserve">Provide Docker Compose (or one script) that starts everything.</w:t>
      </w:r>
    </w:p>
    <w:p>
      <w:pPr>
        <w:numPr>
          <w:ilvl w:val="0"/>
          <w:numId w:val="1012"/>
        </w:numPr>
        <w:pStyle w:val="Compact"/>
      </w:pPr>
      <w:r>
        <w:t xml:space="preserve">Test on a fresh machine with no cached files.</w:t>
      </w:r>
    </w:p>
    <w:p>
      <w:pPr>
        <w:numPr>
          <w:ilvl w:val="0"/>
          <w:numId w:val="1012"/>
        </w:numPr>
        <w:pStyle w:val="Compact"/>
      </w:pPr>
      <w:r>
        <w:t xml:space="preserve">Prepare a labelled pre-computed backup case.</w:t>
      </w:r>
    </w:p>
    <w:p>
      <w:pPr>
        <w:numPr>
          <w:ilvl w:val="0"/>
          <w:numId w:val="1012"/>
        </w:numPr>
        <w:pStyle w:val="Compact"/>
      </w:pPr>
      <w:r>
        <w:t xml:space="preserve">Run the full set of judge-style tests one more time.</w:t>
      </w:r>
    </w:p>
    <w:bookmarkEnd w:id="31"/>
    <w:bookmarkStart w:id="32" w:name="step-12-demo-and-viva"/>
    <w:p>
      <w:pPr>
        <w:pStyle w:val="Heading1"/>
      </w:pPr>
      <w:r>
        <w:t xml:space="preserve">Step 12: Demo and viva</w:t>
      </w:r>
    </w:p>
    <w:p>
      <w:pPr>
        <w:pStyle w:val="FirstParagraph"/>
      </w:pPr>
      <w:r>
        <w:rPr>
          <w:bCs/>
          <w:b/>
        </w:rPr>
        <w:t xml:space="preserve">Five-minute demo order:</w:t>
      </w:r>
    </w:p>
    <w:p>
      <w:pPr>
        <w:numPr>
          <w:ilvl w:val="0"/>
          <w:numId w:val="1013"/>
        </w:numPr>
        <w:pStyle w:val="Compact"/>
      </w:pPr>
      <w:r>
        <w:t xml:space="preserve">Upload four files, show validation passing.</w:t>
      </w:r>
    </w:p>
    <w:p>
      <w:pPr>
        <w:numPr>
          <w:ilvl w:val="0"/>
          <w:numId w:val="1013"/>
        </w:numPr>
        <w:pStyle w:val="Compact"/>
      </w:pPr>
      <w:r>
        <w:t xml:space="preserve">Run live segmentation and show progress.</w:t>
      </w:r>
    </w:p>
    <w:p>
      <w:pPr>
        <w:numPr>
          <w:ilvl w:val="0"/>
          <w:numId w:val="1013"/>
        </w:numPr>
        <w:pStyle w:val="Compact"/>
      </w:pPr>
      <w:r>
        <w:t xml:space="preserve">Show linked slices and the 3D view, move the crosshair.</w:t>
      </w:r>
    </w:p>
    <w:p>
      <w:pPr>
        <w:numPr>
          <w:ilvl w:val="0"/>
          <w:numId w:val="1013"/>
        </w:numPr>
        <w:pStyle w:val="Compact"/>
      </w:pPr>
      <w:r>
        <w:t xml:space="preserve">Show volumes with the formula.</w:t>
      </w:r>
    </w:p>
    <w:p>
      <w:pPr>
        <w:numPr>
          <w:ilvl w:val="0"/>
          <w:numId w:val="1013"/>
        </w:numPr>
        <w:pStyle w:val="Compact"/>
      </w:pPr>
      <w:r>
        <w:t xml:space="preserve">Show a failure case (for example a missing sequence) with a clear message.</w:t>
      </w:r>
    </w:p>
    <w:p>
      <w:pPr>
        <w:numPr>
          <w:ilvl w:val="0"/>
          <w:numId w:val="1013"/>
        </w:numPr>
        <w:pStyle w:val="Compact"/>
      </w:pPr>
      <w:r>
        <w:t xml:space="preserve">Show evaluation, limitations and the report.</w:t>
      </w:r>
    </w:p>
    <w:p>
      <w:pPr>
        <w:pStyle w:val="FirstParagraph"/>
      </w:pPr>
      <w:r>
        <w:rPr>
          <w:bCs/>
          <w:b/>
        </w:rPr>
        <w:t xml:space="preserve">Viva preparation, be ready to explain:</w:t>
      </w:r>
    </w:p>
    <w:p>
      <w:pPr>
        <w:numPr>
          <w:ilvl w:val="0"/>
          <w:numId w:val="1014"/>
        </w:numPr>
        <w:pStyle w:val="Compact"/>
      </w:pPr>
      <w:r>
        <w:t xml:space="preserve">Why channel order matters and how the labels are converted.</w:t>
      </w:r>
    </w:p>
    <w:p>
      <w:pPr>
        <w:numPr>
          <w:ilvl w:val="0"/>
          <w:numId w:val="1014"/>
        </w:numPr>
        <w:pStyle w:val="Compact"/>
      </w:pPr>
      <w:r>
        <w:t xml:space="preserve">How the affine keeps orientation and volume correct.</w:t>
      </w:r>
    </w:p>
    <w:p>
      <w:pPr>
        <w:numPr>
          <w:ilvl w:val="0"/>
          <w:numId w:val="1014"/>
        </w:numPr>
        <w:pStyle w:val="Compact"/>
      </w:pPr>
      <w:r>
        <w:t xml:space="preserve">Why the evaluation may be optimistic (training overlap).</w:t>
      </w:r>
    </w:p>
    <w:p>
      <w:pPr>
        <w:numPr>
          <w:ilvl w:val="0"/>
          <w:numId w:val="1014"/>
        </w:numPr>
        <w:pStyle w:val="Compact"/>
      </w:pPr>
      <w:r>
        <w:t xml:space="preserve">What the app refuses to claim (diagnosis, grading, prognosis).</w:t>
      </w:r>
    </w:p>
    <w:p>
      <w:pPr>
        <w:numPr>
          <w:ilvl w:val="0"/>
          <w:numId w:val="1014"/>
        </w:numPr>
        <w:pStyle w:val="Compact"/>
      </w:pPr>
      <w:r>
        <w:t xml:space="preserve">How privacy is protected (local processing, auto-delete).</w:t>
      </w:r>
    </w:p>
    <w:bookmarkEnd w:id="32"/>
    <w:bookmarkStart w:id="33" w:name="step-13-extras-only-if-time-remains"/>
    <w:p>
      <w:pPr>
        <w:pStyle w:val="Heading1"/>
      </w:pPr>
      <w:r>
        <w:t xml:space="preserve">Step 13: Extras (only if time remains)</w:t>
      </w:r>
    </w:p>
    <w:p>
      <w:pPr>
        <w:pStyle w:val="FirstParagraph"/>
      </w:pPr>
      <w:r>
        <w:t xml:space="preserve">Pick in this order: agreement colouring against the expert mask, HD95, uncertainty via test-time augmentation, missing-sequence warning mode, modality ablation (labelled not clinical evidence), DICOM input, two-scan comparison.</w:t>
      </w:r>
    </w:p>
    <w:bookmarkEnd w:id="33"/>
    <w:bookmarkStart w:id="34" w:name="suggested-ownership"/>
    <w:p>
      <w:pPr>
        <w:pStyle w:val="Heading1"/>
      </w:pPr>
      <w:r>
        <w:t xml:space="preserve">Suggested ownership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A: model and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0, 1, 2, 9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B: backend and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3, 4, 11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C: 2D viewer and volumes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D: 3D, report and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5, 7, 10, 12</w:t>
            </w:r>
          </w:p>
        </w:tc>
      </w:tr>
    </w:tbl>
    <w:p>
      <w:pPr>
        <w:pStyle w:val="BodyText"/>
      </w:pPr>
      <w:r>
        <w:t xml:space="preserve">Adjust to your team size. If you are fewer people, cut extras first and keep Steps 1 to 4 and 9 as the non-negotiable core.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NeuroScope 3D: Step-by-Step Build Plan</dc:title>
  <dc:creator/>
  <cp:keywords/>
  <dcterms:created xsi:type="dcterms:W3CDTF">2026-10-16T12:24:28Z</dcterms:created>
  <dcterms:modified xsi:type="dcterms:W3CDTF">2026-10-16T12:24:28Z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