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3B5B7A"/>
          <w:sz w:val="26"/>
        </w:rPr>
        <w:t>YUVAINTERN DATA SCIENCE INTERNSHIP</w:t>
      </w:r>
    </w:p>
    <w:p>
      <w:pPr>
        <w:jc w:val="center"/>
      </w:pPr>
      <w:r>
        <w:rPr>
          <w:b/>
          <w:color w:val="667085"/>
          <w:sz w:val="24"/>
        </w:rPr>
        <w:t>WEEK 6  |  INTEGRATIVE CAPSTONE PROJECT</w:t>
      </w:r>
    </w:p>
    <w:p>
      <w:pPr>
        <w:spacing w:before="500"/>
        <w:jc w:val="center"/>
      </w:pPr>
      <w:r>
        <w:rPr>
          <w:b/>
          <w:color w:val="243B53"/>
          <w:sz w:val="54"/>
        </w:rPr>
        <w:t>End-to-End Customer Analytics</w:t>
        <w:br/>
        <w:t>and Repeat-Purchase Prediction</w:t>
      </w:r>
    </w:p>
    <w:p>
      <w:pPr>
        <w:jc w:val="center"/>
      </w:pPr>
      <w:r>
        <w:rPr>
          <w:color w:val="475467"/>
          <w:sz w:val="26"/>
        </w:rPr>
        <w:t>Integrating Data Cleaning, EDA, RFM Clustering, Classical Machine Learning and Deep Learning</w:t>
      </w:r>
    </w:p>
    <w:p>
      <w:pPr>
        <w:jc w:val="center"/>
      </w:pPr>
      <w:r>
        <w:drawing>
          <wp:inline xmlns:a="http://schemas.openxmlformats.org/drawingml/2006/main" xmlns:pic="http://schemas.openxmlformats.org/drawingml/2006/picture">
            <wp:extent cx="5669280" cy="3015114"/>
            <wp:docPr id="1" name="Picture 1"/>
            <wp:cNvGraphicFramePr>
              <a:graphicFrameLocks noChangeAspect="1"/>
            </wp:cNvGraphicFramePr>
            <a:graphic>
              <a:graphicData uri="http://schemas.openxmlformats.org/drawingml/2006/picture">
                <pic:pic>
                  <pic:nvPicPr>
                    <pic:cNvPr id="0" name="capstone_pipeline.png"/>
                    <pic:cNvPicPr/>
                  </pic:nvPicPr>
                  <pic:blipFill>
                    <a:blip r:embed="rId11"/>
                    <a:stretch>
                      <a:fillRect/>
                    </a:stretch>
                  </pic:blipFill>
                  <pic:spPr>
                    <a:xfrm>
                      <a:off x="0" y="0"/>
                      <a:ext cx="5669280" cy="3015114"/>
                    </a:xfrm>
                    <a:prstGeom prst="rect"/>
                  </pic:spPr>
                </pic:pic>
              </a:graphicData>
            </a:graphic>
          </wp:inline>
        </w:drawing>
      </w:r>
    </w:p>
    <w:p>
      <w:pPr>
        <w:jc w:val="center"/>
      </w:pPr>
      <w:r>
        <w:rPr>
          <w:b/>
          <w:color w:val="667085"/>
          <w:sz w:val="17"/>
        </w:rPr>
        <w:t>Integrated capstone workflow.</w:t>
      </w:r>
    </w:p>
    <w:p>
      <w:pPr>
        <w:spacing w:after="20"/>
      </w:pPr>
    </w:p>
    <w:p>
      <w:pPr>
        <w:jc w:val="center"/>
      </w:pPr>
      <w:r>
        <w:rPr>
          <w:i/>
          <w:color w:val="667085"/>
          <w:sz w:val="20"/>
        </w:rPr>
        <w:t>Prepared for internship evaluation</w:t>
      </w:r>
    </w:p>
    <w:p>
      <w:r>
        <w:br w:type="page"/>
      </w:r>
    </w:p>
    <w:p>
      <w:pPr>
        <w:pStyle w:val="Heading1"/>
      </w:pPr>
      <w:r>
        <w:rPr>
          <w:rFonts w:ascii="Aptos Display" w:hAnsi="Aptos Display"/>
          <w:color w:val="243B53"/>
        </w:rPr>
        <w:t>1. Executive Summary</w:t>
      </w:r>
    </w:p>
    <w:p>
      <w:pPr>
        <w:spacing w:after="140" w:line="259" w:lineRule="auto"/>
      </w:pPr>
      <w:r>
        <w:t>This Week 6 capstone consolidates the analytical work completed throughout the internship into one coherent customer-analytics project. The same public Online Retail transaction dataset is taken from raw form through data-quality assessment and cleaning, exploratory analysis, RFM-based customer segmentation, repeat-purchase prediction with classical machine learning, and deep-learning classification with a TensorFlow/Keras Artificial Neural Network.</w:t>
      </w:r>
    </w:p>
    <w:p>
      <w:pPr>
        <w:spacing w:after="140" w:line="259" w:lineRule="auto"/>
      </w:pPr>
      <w:r>
        <w:t>The capstone uses two complementary analytical perspectives. First, unsupervised learning answers the descriptive question of how customers differ in recency, frequency and monetary value. Second, supervised learning answers the predictive question of whether a customer will make another purchase during a future period. The predictive setup uses a chronological cutoff so that future transactions define the target without becoming model inputs.</w:t>
      </w:r>
    </w:p>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Final capstone snapshot</w:t>
            </w:r>
            <w:r>
              <w:rPr>
                <w:sz w:val="19"/>
              </w:rPr>
              <w:br/>
              <w:t>392,692 cleaned transactions | 4,338 customers | 2 customer clusters | 0.4328 silhouette score | 3 predictive models | ANN ROC-AUC 0.7401 | Cluster repeat rates: 28.73% and 96.41%</w:t>
            </w:r>
          </w:p>
        </w:tc>
      </w:tr>
    </w:tbl>
    <w:p/>
    <w:p>
      <w:pPr>
        <w:pStyle w:val="Heading2"/>
      </w:pPr>
      <w:r>
        <w:rPr>
          <w:rFonts w:ascii="Aptos Display" w:hAnsi="Aptos Display"/>
          <w:color w:val="3B5B7A"/>
        </w:rPr>
        <w:t>What the capstone demonstrates</w:t>
      </w:r>
    </w:p>
    <w:p>
      <w:pPr>
        <w:pStyle w:val="ListBullet"/>
        <w:spacing w:after="60"/>
      </w:pPr>
      <w:r>
        <w:t>A complete start-to-finish Python Data Science workflow rather than an isolated algorithm exercise.</w:t>
      </w:r>
    </w:p>
    <w:p>
      <w:pPr>
        <w:pStyle w:val="ListBullet"/>
        <w:spacing w:after="60"/>
      </w:pPr>
      <w:r>
        <w:t>Consistent reuse of validated preprocessing and feature engineering across the internship tasks.</w:t>
      </w:r>
    </w:p>
    <w:p>
      <w:pPr>
        <w:pStyle w:val="ListBullet"/>
        <w:spacing w:after="60"/>
      </w:pPr>
      <w:r>
        <w:t>Both descriptive and predictive analytics: RFM/K-Means for segmentation and classification models for future behavior.</w:t>
      </w:r>
    </w:p>
    <w:p>
      <w:pPr>
        <w:pStyle w:val="ListBullet"/>
        <w:spacing w:after="60"/>
      </w:pPr>
      <w:r>
        <w:t>Critical evaluation of results using multiple metrics and an explicit discussion of limitations and business implications.</w:t>
      </w:r>
    </w:p>
    <w:p>
      <w:pPr>
        <w:pStyle w:val="ListBullet"/>
        <w:spacing w:after="60"/>
      </w:pPr>
      <w:r>
        <w:t>Integration of analytical outputs into a final customer-level interpretation and set of testable recommendations.</w:t>
      </w:r>
    </w:p>
    <w:p>
      <w:pPr>
        <w:pStyle w:val="Heading1"/>
      </w:pPr>
      <w:r>
        <w:rPr>
          <w:rFonts w:ascii="Aptos Display" w:hAnsi="Aptos Display"/>
          <w:color w:val="243B53"/>
        </w:rPr>
        <w:t>2. Problem Statement and Capstone Objectives</w:t>
      </w:r>
    </w:p>
    <w:p>
      <w:pPr>
        <w:spacing w:after="140" w:line="259" w:lineRule="auto"/>
      </w:pPr>
      <w:r>
        <w:t>Online retail transaction data contains detailed information about purchases, but raw transactions do not directly answer strategic customer questions. The capstone therefore frames the project around customer understanding and repeat-purchase behavior: identify meaningful customer patterns, predict future repeat purchase from historical behavior, compare modeling approaches, and translate the results into practical analytical recommendations.</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2592"/>
            <w:vAlign w:val="center"/>
            <w:shd w:fill="243B53"/>
          </w:tcPr>
          <w:p>
            <w:pPr>
              <w:spacing w:after="0"/>
              <w:jc w:val="center"/>
            </w:pPr>
            <w:r/>
            <w:r>
              <w:rPr>
                <w:rFonts w:ascii="Aptos" w:hAnsi="Aptos"/>
                <w:b/>
                <w:color w:val="FFFFFF"/>
                <w:sz w:val="18"/>
              </w:rPr>
              <w:t>Objective</w:t>
            </w:r>
          </w:p>
        </w:tc>
        <w:tc>
          <w:tcPr>
            <w:tcW w:type="dxa" w:w="6912"/>
            <w:vAlign w:val="center"/>
            <w:shd w:fill="243B53"/>
          </w:tcPr>
          <w:p>
            <w:pPr>
              <w:spacing w:after="0"/>
              <w:jc w:val="center"/>
            </w:pPr>
            <w:r/>
            <w:r>
              <w:rPr>
                <w:rFonts w:ascii="Aptos" w:hAnsi="Aptos"/>
                <w:b/>
                <w:color w:val="FFFFFF"/>
                <w:sz w:val="18"/>
              </w:rPr>
              <w:t>How the capstone addresses it</w:t>
            </w:r>
          </w:p>
        </w:tc>
      </w:tr>
      <w:tr>
        <w:tc>
          <w:tcPr>
            <w:tcW w:type="dxa" w:w="2592"/>
            <w:vAlign w:val="center"/>
            <w:shd w:fill="F5F7FA"/>
          </w:tcPr>
          <w:p>
            <w:pPr>
              <w:spacing w:after="0"/>
              <w:jc w:val="left"/>
            </w:pPr>
            <w:r/>
            <w:r>
              <w:rPr>
                <w:rFonts w:ascii="Aptos" w:hAnsi="Aptos"/>
                <w:b w:val="0"/>
                <w:color w:val="1F2937"/>
                <w:sz w:val="18"/>
              </w:rPr>
              <w:t>Acquire public data</w:t>
            </w:r>
          </w:p>
        </w:tc>
        <w:tc>
          <w:tcPr>
            <w:tcW w:type="dxa" w:w="6912"/>
            <w:vAlign w:val="center"/>
            <w:shd w:fill="F5F7FA"/>
          </w:tcPr>
          <w:p>
            <w:pPr>
              <w:spacing w:after="0"/>
              <w:jc w:val="left"/>
            </w:pPr>
            <w:r/>
            <w:r>
              <w:rPr>
                <w:rFonts w:ascii="Aptos" w:hAnsi="Aptos"/>
                <w:b w:val="0"/>
                <w:color w:val="1F2937"/>
                <w:sz w:val="18"/>
              </w:rPr>
              <w:t>Load and inspect the Online Retail transaction dataset.</w:t>
            </w:r>
          </w:p>
        </w:tc>
      </w:tr>
      <w:tr>
        <w:tc>
          <w:tcPr>
            <w:tcW w:type="dxa" w:w="2592"/>
            <w:vAlign w:val="center"/>
            <w:shd w:fill="FFFFFF"/>
          </w:tcPr>
          <w:p>
            <w:pPr>
              <w:spacing w:after="0"/>
              <w:jc w:val="left"/>
            </w:pPr>
            <w:r/>
            <w:r>
              <w:rPr>
                <w:rFonts w:ascii="Aptos" w:hAnsi="Aptos"/>
                <w:b w:val="0"/>
                <w:color w:val="1F2937"/>
                <w:sz w:val="18"/>
              </w:rPr>
              <w:t>Preprocess data</w:t>
            </w:r>
          </w:p>
        </w:tc>
        <w:tc>
          <w:tcPr>
            <w:tcW w:type="dxa" w:w="6912"/>
            <w:vAlign w:val="center"/>
            <w:shd w:fill="FFFFFF"/>
          </w:tcPr>
          <w:p>
            <w:pPr>
              <w:spacing w:after="0"/>
              <w:jc w:val="left"/>
            </w:pPr>
            <w:r/>
            <w:r>
              <w:rPr>
                <w:rFonts w:ascii="Aptos" w:hAnsi="Aptos"/>
                <w:b w:val="0"/>
                <w:color w:val="1F2937"/>
                <w:sz w:val="18"/>
              </w:rPr>
              <w:t>Remove duplicates, missing customer/product information, cancellations and invalid transactions.</w:t>
            </w:r>
          </w:p>
        </w:tc>
      </w:tr>
      <w:tr>
        <w:tc>
          <w:tcPr>
            <w:tcW w:type="dxa" w:w="2592"/>
            <w:vAlign w:val="center"/>
            <w:shd w:fill="F5F7FA"/>
          </w:tcPr>
          <w:p>
            <w:pPr>
              <w:spacing w:after="0"/>
              <w:jc w:val="left"/>
            </w:pPr>
            <w:r/>
            <w:r>
              <w:rPr>
                <w:rFonts w:ascii="Aptos" w:hAnsi="Aptos"/>
                <w:b w:val="0"/>
                <w:color w:val="1F2937"/>
                <w:sz w:val="18"/>
              </w:rPr>
              <w:t>Explore data</w:t>
            </w:r>
          </w:p>
        </w:tc>
        <w:tc>
          <w:tcPr>
            <w:tcW w:type="dxa" w:w="6912"/>
            <w:vAlign w:val="center"/>
            <w:shd w:fill="F5F7FA"/>
          </w:tcPr>
          <w:p>
            <w:pPr>
              <w:spacing w:after="0"/>
              <w:jc w:val="left"/>
            </w:pPr>
            <w:r/>
            <w:r>
              <w:rPr>
                <w:rFonts w:ascii="Aptos" w:hAnsi="Aptos"/>
                <w:b w:val="0"/>
                <w:color w:val="1F2937"/>
                <w:sz w:val="18"/>
              </w:rPr>
              <w:t>Analyze transaction value, time, countries, products, customer frequency and numerical relationships.</w:t>
            </w:r>
          </w:p>
        </w:tc>
      </w:tr>
      <w:tr>
        <w:tc>
          <w:tcPr>
            <w:tcW w:type="dxa" w:w="2592"/>
            <w:vAlign w:val="center"/>
            <w:shd w:fill="FFFFFF"/>
          </w:tcPr>
          <w:p>
            <w:pPr>
              <w:spacing w:after="0"/>
              <w:jc w:val="left"/>
            </w:pPr>
            <w:r/>
            <w:r>
              <w:rPr>
                <w:rFonts w:ascii="Aptos" w:hAnsi="Aptos"/>
                <w:b w:val="0"/>
                <w:color w:val="1F2937"/>
                <w:sz w:val="18"/>
              </w:rPr>
              <w:t>Unsupervised learning</w:t>
            </w:r>
          </w:p>
        </w:tc>
        <w:tc>
          <w:tcPr>
            <w:tcW w:type="dxa" w:w="6912"/>
            <w:vAlign w:val="center"/>
            <w:shd w:fill="FFFFFF"/>
          </w:tcPr>
          <w:p>
            <w:pPr>
              <w:spacing w:after="0"/>
              <w:jc w:val="left"/>
            </w:pPr>
            <w:r/>
            <w:r>
              <w:rPr>
                <w:rFonts w:ascii="Aptos" w:hAnsi="Aptos"/>
                <w:b w:val="0"/>
                <w:color w:val="1F2937"/>
                <w:sz w:val="18"/>
              </w:rPr>
              <w:t>Use RFM features and K-Means to identify customer segments.</w:t>
            </w:r>
          </w:p>
        </w:tc>
      </w:tr>
      <w:tr>
        <w:tc>
          <w:tcPr>
            <w:tcW w:type="dxa" w:w="2592"/>
            <w:vAlign w:val="center"/>
            <w:shd w:fill="F5F7FA"/>
          </w:tcPr>
          <w:p>
            <w:pPr>
              <w:spacing w:after="0"/>
              <w:jc w:val="left"/>
            </w:pPr>
            <w:r/>
            <w:r>
              <w:rPr>
                <w:rFonts w:ascii="Aptos" w:hAnsi="Aptos"/>
                <w:b w:val="0"/>
                <w:color w:val="1F2937"/>
                <w:sz w:val="18"/>
              </w:rPr>
              <w:t>Supervised learning</w:t>
            </w:r>
          </w:p>
        </w:tc>
        <w:tc>
          <w:tcPr>
            <w:tcW w:type="dxa" w:w="6912"/>
            <w:vAlign w:val="center"/>
            <w:shd w:fill="F5F7FA"/>
          </w:tcPr>
          <w:p>
            <w:pPr>
              <w:spacing w:after="0"/>
              <w:jc w:val="left"/>
            </w:pPr>
            <w:r/>
            <w:r>
              <w:rPr>
                <w:rFonts w:ascii="Aptos" w:hAnsi="Aptos"/>
                <w:b w:val="0"/>
                <w:color w:val="1F2937"/>
                <w:sz w:val="18"/>
              </w:rPr>
              <w:t>Predict repeat purchase using Logistic Regression and Random Forest.</w:t>
            </w:r>
          </w:p>
        </w:tc>
      </w:tr>
      <w:tr>
        <w:tc>
          <w:tcPr>
            <w:tcW w:type="dxa" w:w="2592"/>
            <w:vAlign w:val="center"/>
            <w:shd w:fill="FFFFFF"/>
          </w:tcPr>
          <w:p>
            <w:pPr>
              <w:spacing w:after="0"/>
              <w:jc w:val="left"/>
            </w:pPr>
            <w:r/>
            <w:r>
              <w:rPr>
                <w:rFonts w:ascii="Aptos" w:hAnsi="Aptos"/>
                <w:b w:val="0"/>
                <w:color w:val="1F2937"/>
                <w:sz w:val="18"/>
              </w:rPr>
              <w:t>Deep learning</w:t>
            </w:r>
          </w:p>
        </w:tc>
        <w:tc>
          <w:tcPr>
            <w:tcW w:type="dxa" w:w="6912"/>
            <w:vAlign w:val="center"/>
            <w:shd w:fill="FFFFFF"/>
          </w:tcPr>
          <w:p>
            <w:pPr>
              <w:spacing w:after="0"/>
              <w:jc w:val="left"/>
            </w:pPr>
            <w:r/>
            <w:r>
              <w:rPr>
                <w:rFonts w:ascii="Aptos" w:hAnsi="Aptos"/>
                <w:b w:val="0"/>
                <w:color w:val="1F2937"/>
                <w:sz w:val="18"/>
              </w:rPr>
              <w:t>Extend the same prediction problem with a compact TensorFlow/Keras ANN.</w:t>
            </w:r>
          </w:p>
        </w:tc>
      </w:tr>
      <w:tr>
        <w:tc>
          <w:tcPr>
            <w:tcW w:type="dxa" w:w="2592"/>
            <w:vAlign w:val="center"/>
            <w:shd w:fill="F5F7FA"/>
          </w:tcPr>
          <w:p>
            <w:pPr>
              <w:spacing w:after="0"/>
              <w:jc w:val="left"/>
            </w:pPr>
            <w:r/>
            <w:r>
              <w:rPr>
                <w:rFonts w:ascii="Aptos" w:hAnsi="Aptos"/>
                <w:b w:val="0"/>
                <w:color w:val="1F2937"/>
                <w:sz w:val="18"/>
              </w:rPr>
              <w:t>Evaluate models</w:t>
            </w:r>
          </w:p>
        </w:tc>
        <w:tc>
          <w:tcPr>
            <w:tcW w:type="dxa" w:w="6912"/>
            <w:vAlign w:val="center"/>
            <w:shd w:fill="F5F7FA"/>
          </w:tcPr>
          <w:p>
            <w:pPr>
              <w:spacing w:after="0"/>
              <w:jc w:val="left"/>
            </w:pPr>
            <w:r/>
            <w:r>
              <w:rPr>
                <w:rFonts w:ascii="Aptos" w:hAnsi="Aptos"/>
                <w:b w:val="0"/>
                <w:color w:val="1F2937"/>
                <w:sz w:val="18"/>
              </w:rPr>
              <w:t>Use Accuracy, Precision, Recall, F1-score and ROC-AUC plus silhouette score for clustering.</w:t>
            </w:r>
          </w:p>
        </w:tc>
      </w:tr>
      <w:tr>
        <w:tc>
          <w:tcPr>
            <w:tcW w:type="dxa" w:w="2592"/>
            <w:vAlign w:val="center"/>
            <w:shd w:fill="FFFFFF"/>
          </w:tcPr>
          <w:p>
            <w:pPr>
              <w:spacing w:after="0"/>
              <w:jc w:val="left"/>
            </w:pPr>
            <w:r/>
            <w:r>
              <w:rPr>
                <w:rFonts w:ascii="Aptos" w:hAnsi="Aptos"/>
                <w:b w:val="0"/>
                <w:color w:val="1F2937"/>
                <w:sz w:val="18"/>
              </w:rPr>
              <w:t>Integrate insights</w:t>
            </w:r>
          </w:p>
        </w:tc>
        <w:tc>
          <w:tcPr>
            <w:tcW w:type="dxa" w:w="6912"/>
            <w:vAlign w:val="center"/>
            <w:shd w:fill="FFFFFF"/>
          </w:tcPr>
          <w:p>
            <w:pPr>
              <w:spacing w:after="0"/>
              <w:jc w:val="left"/>
            </w:pPr>
            <w:r/>
            <w:r>
              <w:rPr>
                <w:rFonts w:ascii="Aptos" w:hAnsi="Aptos"/>
                <w:b w:val="0"/>
                <w:color w:val="1F2937"/>
                <w:sz w:val="18"/>
              </w:rPr>
              <w:t>Relate customer segments to observed repeat-purchase rates and model findings.</w:t>
            </w:r>
          </w:p>
        </w:tc>
      </w:tr>
      <w:tr>
        <w:tc>
          <w:tcPr>
            <w:tcW w:type="dxa" w:w="2592"/>
            <w:vAlign w:val="center"/>
            <w:shd w:fill="F5F7FA"/>
          </w:tcPr>
          <w:p>
            <w:pPr>
              <w:spacing w:after="0"/>
              <w:jc w:val="left"/>
            </w:pPr>
            <w:r/>
            <w:r>
              <w:rPr>
                <w:rFonts w:ascii="Aptos" w:hAnsi="Aptos"/>
                <w:b w:val="0"/>
                <w:color w:val="1F2937"/>
                <w:sz w:val="18"/>
              </w:rPr>
              <w:t>Recommend next steps</w:t>
            </w:r>
          </w:p>
        </w:tc>
        <w:tc>
          <w:tcPr>
            <w:tcW w:type="dxa" w:w="6912"/>
            <w:vAlign w:val="center"/>
            <w:shd w:fill="F5F7FA"/>
          </w:tcPr>
          <w:p>
            <w:pPr>
              <w:spacing w:after="0"/>
              <w:jc w:val="left"/>
            </w:pPr>
            <w:r/>
            <w:r>
              <w:rPr>
                <w:rFonts w:ascii="Aptos" w:hAnsi="Aptos"/>
                <w:b w:val="0"/>
                <w:color w:val="1F2937"/>
                <w:sz w:val="18"/>
              </w:rPr>
              <w:t>Identify retention, experimentation and feature/model improvement opportunities.</w:t>
            </w:r>
          </w:p>
        </w:tc>
      </w:tr>
    </w:tbl>
    <w:p>
      <w:pPr>
        <w:pStyle w:val="Heading1"/>
      </w:pPr>
      <w:r>
        <w:rPr>
          <w:rFonts w:ascii="Aptos Display" w:hAnsi="Aptos Display"/>
          <w:color w:val="243B53"/>
        </w:rPr>
        <w:t>3. End-to-End Methodology</w:t>
      </w:r>
    </w:p>
    <w:p>
      <w:pPr>
        <w:jc w:val="center"/>
      </w:pPr>
      <w:r>
        <w:drawing>
          <wp:inline xmlns:a="http://schemas.openxmlformats.org/drawingml/2006/main" xmlns:pic="http://schemas.openxmlformats.org/drawingml/2006/picture">
            <wp:extent cx="5760720" cy="3063744"/>
            <wp:docPr id="2" name="Picture 2"/>
            <wp:cNvGraphicFramePr>
              <a:graphicFrameLocks noChangeAspect="1"/>
            </wp:cNvGraphicFramePr>
            <a:graphic>
              <a:graphicData uri="http://schemas.openxmlformats.org/drawingml/2006/picture">
                <pic:pic>
                  <pic:nvPicPr>
                    <pic:cNvPr id="0" name="capstone_pipeline.png"/>
                    <pic:cNvPicPr/>
                  </pic:nvPicPr>
                  <pic:blipFill>
                    <a:blip r:embed="rId11"/>
                    <a:stretch>
                      <a:fillRect/>
                    </a:stretch>
                  </pic:blipFill>
                  <pic:spPr>
                    <a:xfrm>
                      <a:off x="0" y="0"/>
                      <a:ext cx="5760720" cy="3063744"/>
                    </a:xfrm>
                    <a:prstGeom prst="rect"/>
                  </pic:spPr>
                </pic:pic>
              </a:graphicData>
            </a:graphic>
          </wp:inline>
        </w:drawing>
      </w:r>
    </w:p>
    <w:p>
      <w:pPr>
        <w:jc w:val="center"/>
      </w:pPr>
      <w:r>
        <w:rPr>
          <w:b/>
          <w:color w:val="667085"/>
          <w:sz w:val="17"/>
        </w:rPr>
        <w:t>Figure 1. End-to-end capstone workflow integrating descriptive, unsupervised, supervised and deep-learning stages.</w:t>
      </w:r>
    </w:p>
    <w:p>
      <w:pPr>
        <w:spacing w:after="20"/>
      </w:pPr>
    </w:p>
    <w:p>
      <w:pPr>
        <w:pStyle w:val="Heading2"/>
      </w:pPr>
      <w:r>
        <w:rPr>
          <w:rFonts w:ascii="Aptos Display" w:hAnsi="Aptos Display"/>
          <w:color w:val="3B5B7A"/>
        </w:rPr>
        <w:t>3.1 Pipeline logic</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3360"/>
        <w:gridCol w:w="3360"/>
        <w:gridCol w:w="3360"/>
      </w:tblGrid>
      <w:tr>
        <w:tc>
          <w:tcPr>
            <w:tcW w:type="dxa" w:w="2088"/>
            <w:vAlign w:val="center"/>
            <w:shd w:fill="243B53"/>
          </w:tcPr>
          <w:p>
            <w:pPr>
              <w:spacing w:after="0"/>
              <w:jc w:val="center"/>
            </w:pPr>
            <w:r/>
            <w:r>
              <w:rPr>
                <w:rFonts w:ascii="Aptos" w:hAnsi="Aptos"/>
                <w:b/>
                <w:color w:val="FFFFFF"/>
                <w:sz w:val="18"/>
              </w:rPr>
              <w:t>Stage</w:t>
            </w:r>
          </w:p>
        </w:tc>
        <w:tc>
          <w:tcPr>
            <w:tcW w:type="dxa" w:w="4392"/>
            <w:vAlign w:val="center"/>
            <w:shd w:fill="243B53"/>
          </w:tcPr>
          <w:p>
            <w:pPr>
              <w:spacing w:after="0"/>
              <w:jc w:val="center"/>
            </w:pPr>
            <w:r/>
            <w:r>
              <w:rPr>
                <w:rFonts w:ascii="Aptos" w:hAnsi="Aptos"/>
                <w:b/>
                <w:color w:val="FFFFFF"/>
                <w:sz w:val="18"/>
              </w:rPr>
              <w:t>Purpose</w:t>
            </w:r>
          </w:p>
        </w:tc>
        <w:tc>
          <w:tcPr>
            <w:tcW w:type="dxa" w:w="3312"/>
            <w:vAlign w:val="center"/>
            <w:shd w:fill="243B53"/>
          </w:tcPr>
          <w:p>
            <w:pPr>
              <w:spacing w:after="0"/>
              <w:jc w:val="center"/>
            </w:pPr>
            <w:r/>
            <w:r>
              <w:rPr>
                <w:rFonts w:ascii="Aptos" w:hAnsi="Aptos"/>
                <w:b/>
                <w:color w:val="FFFFFF"/>
                <w:sz w:val="18"/>
              </w:rPr>
              <w:t>Primary output</w:t>
            </w:r>
          </w:p>
        </w:tc>
      </w:tr>
      <w:tr>
        <w:tc>
          <w:tcPr>
            <w:tcW w:type="dxa" w:w="2088"/>
            <w:vAlign w:val="center"/>
            <w:shd w:fill="F5F7FA"/>
          </w:tcPr>
          <w:p>
            <w:pPr>
              <w:spacing w:after="0"/>
              <w:jc w:val="left"/>
            </w:pPr>
            <w:r/>
            <w:r>
              <w:rPr>
                <w:rFonts w:ascii="Aptos" w:hAnsi="Aptos"/>
                <w:b w:val="0"/>
                <w:color w:val="1F2937"/>
                <w:sz w:val="18"/>
              </w:rPr>
              <w:t>1. Data acquisition</w:t>
            </w:r>
          </w:p>
        </w:tc>
        <w:tc>
          <w:tcPr>
            <w:tcW w:type="dxa" w:w="4392"/>
            <w:vAlign w:val="center"/>
            <w:shd w:fill="F5F7FA"/>
          </w:tcPr>
          <w:p>
            <w:pPr>
              <w:spacing w:after="0"/>
              <w:jc w:val="left"/>
            </w:pPr>
            <w:r/>
            <w:r>
              <w:rPr>
                <w:rFonts w:ascii="Aptos" w:hAnsi="Aptos"/>
                <w:b w:val="0"/>
                <w:color w:val="1F2937"/>
                <w:sz w:val="18"/>
              </w:rPr>
              <w:t>Load the public transaction dataset.</w:t>
            </w:r>
          </w:p>
        </w:tc>
        <w:tc>
          <w:tcPr>
            <w:tcW w:type="dxa" w:w="3312"/>
            <w:vAlign w:val="center"/>
            <w:shd w:fill="F5F7FA"/>
          </w:tcPr>
          <w:p>
            <w:pPr>
              <w:spacing w:after="0"/>
              <w:jc w:val="left"/>
            </w:pPr>
            <w:r/>
            <w:r>
              <w:rPr>
                <w:rFonts w:ascii="Aptos" w:hAnsi="Aptos"/>
                <w:b w:val="0"/>
                <w:color w:val="1F2937"/>
                <w:sz w:val="18"/>
              </w:rPr>
              <w:t>Raw DataFrame</w:t>
            </w:r>
          </w:p>
        </w:tc>
      </w:tr>
      <w:tr>
        <w:tc>
          <w:tcPr>
            <w:tcW w:type="dxa" w:w="2088"/>
            <w:vAlign w:val="center"/>
            <w:shd w:fill="FFFFFF"/>
          </w:tcPr>
          <w:p>
            <w:pPr>
              <w:spacing w:after="0"/>
              <w:jc w:val="left"/>
            </w:pPr>
            <w:r/>
            <w:r>
              <w:rPr>
                <w:rFonts w:ascii="Aptos" w:hAnsi="Aptos"/>
                <w:b w:val="0"/>
                <w:color w:val="1F2937"/>
                <w:sz w:val="18"/>
              </w:rPr>
              <w:t>2. Data cleaning</w:t>
            </w:r>
          </w:p>
        </w:tc>
        <w:tc>
          <w:tcPr>
            <w:tcW w:type="dxa" w:w="4392"/>
            <w:vAlign w:val="center"/>
            <w:shd w:fill="FFFFFF"/>
          </w:tcPr>
          <w:p>
            <w:pPr>
              <w:spacing w:after="0"/>
              <w:jc w:val="left"/>
            </w:pPr>
            <w:r/>
            <w:r>
              <w:rPr>
                <w:rFonts w:ascii="Aptos" w:hAnsi="Aptos"/>
                <w:b w:val="0"/>
                <w:color w:val="1F2937"/>
                <w:sz w:val="18"/>
              </w:rPr>
              <w:t>Improve validity and consistency.</w:t>
            </w:r>
          </w:p>
        </w:tc>
        <w:tc>
          <w:tcPr>
            <w:tcW w:type="dxa" w:w="3312"/>
            <w:vAlign w:val="center"/>
            <w:shd w:fill="FFFFFF"/>
          </w:tcPr>
          <w:p>
            <w:pPr>
              <w:spacing w:after="0"/>
              <w:jc w:val="left"/>
            </w:pPr>
            <w:r/>
            <w:r>
              <w:rPr>
                <w:rFonts w:ascii="Aptos" w:hAnsi="Aptos"/>
                <w:b w:val="0"/>
                <w:color w:val="1F2937"/>
                <w:sz w:val="18"/>
              </w:rPr>
              <w:t>392,692 cleaned transactions</w:t>
            </w:r>
          </w:p>
        </w:tc>
      </w:tr>
      <w:tr>
        <w:tc>
          <w:tcPr>
            <w:tcW w:type="dxa" w:w="2088"/>
            <w:vAlign w:val="center"/>
            <w:shd w:fill="F5F7FA"/>
          </w:tcPr>
          <w:p>
            <w:pPr>
              <w:spacing w:after="0"/>
              <w:jc w:val="left"/>
            </w:pPr>
            <w:r/>
            <w:r>
              <w:rPr>
                <w:rFonts w:ascii="Aptos" w:hAnsi="Aptos"/>
                <w:b w:val="0"/>
                <w:color w:val="1F2937"/>
                <w:sz w:val="18"/>
              </w:rPr>
              <w:t>3. Feature engineering</w:t>
            </w:r>
          </w:p>
        </w:tc>
        <w:tc>
          <w:tcPr>
            <w:tcW w:type="dxa" w:w="4392"/>
            <w:vAlign w:val="center"/>
            <w:shd w:fill="F5F7FA"/>
          </w:tcPr>
          <w:p>
            <w:pPr>
              <w:spacing w:after="0"/>
              <w:jc w:val="left"/>
            </w:pPr>
            <w:r/>
            <w:r>
              <w:rPr>
                <w:rFonts w:ascii="Aptos" w:hAnsi="Aptos"/>
                <w:b w:val="0"/>
                <w:color w:val="1F2937"/>
                <w:sz w:val="18"/>
              </w:rPr>
              <w:t>Create transaction amount and time fields.</w:t>
            </w:r>
          </w:p>
        </w:tc>
        <w:tc>
          <w:tcPr>
            <w:tcW w:type="dxa" w:w="3312"/>
            <w:vAlign w:val="center"/>
            <w:shd w:fill="F5F7FA"/>
          </w:tcPr>
          <w:p>
            <w:pPr>
              <w:spacing w:after="0"/>
              <w:jc w:val="left"/>
            </w:pPr>
            <w:r/>
            <w:r>
              <w:rPr>
                <w:rFonts w:ascii="Aptos" w:hAnsi="Aptos"/>
                <w:b w:val="0"/>
                <w:color w:val="1F2937"/>
                <w:sz w:val="18"/>
              </w:rPr>
              <w:t>13-column analytical dataset</w:t>
            </w:r>
          </w:p>
        </w:tc>
      </w:tr>
      <w:tr>
        <w:tc>
          <w:tcPr>
            <w:tcW w:type="dxa" w:w="2088"/>
            <w:vAlign w:val="center"/>
            <w:shd w:fill="FFFFFF"/>
          </w:tcPr>
          <w:p>
            <w:pPr>
              <w:spacing w:after="0"/>
              <w:jc w:val="left"/>
            </w:pPr>
            <w:r/>
            <w:r>
              <w:rPr>
                <w:rFonts w:ascii="Aptos" w:hAnsi="Aptos"/>
                <w:b w:val="0"/>
                <w:color w:val="1F2937"/>
                <w:sz w:val="18"/>
              </w:rPr>
              <w:t>4. EDA</w:t>
            </w:r>
          </w:p>
        </w:tc>
        <w:tc>
          <w:tcPr>
            <w:tcW w:type="dxa" w:w="4392"/>
            <w:vAlign w:val="center"/>
            <w:shd w:fill="FFFFFF"/>
          </w:tcPr>
          <w:p>
            <w:pPr>
              <w:spacing w:after="0"/>
              <w:jc w:val="left"/>
            </w:pPr>
            <w:r/>
            <w:r>
              <w:rPr>
                <w:rFonts w:ascii="Aptos" w:hAnsi="Aptos"/>
                <w:b w:val="0"/>
                <w:color w:val="1F2937"/>
                <w:sz w:val="18"/>
              </w:rPr>
              <w:t>Understand time, customer, country and product patterns.</w:t>
            </w:r>
          </w:p>
        </w:tc>
        <w:tc>
          <w:tcPr>
            <w:tcW w:type="dxa" w:w="3312"/>
            <w:vAlign w:val="center"/>
            <w:shd w:fill="FFFFFF"/>
          </w:tcPr>
          <w:p>
            <w:pPr>
              <w:spacing w:after="0"/>
              <w:jc w:val="left"/>
            </w:pPr>
            <w:r/>
            <w:r>
              <w:rPr>
                <w:rFonts w:ascii="Aptos" w:hAnsi="Aptos"/>
                <w:b w:val="0"/>
                <w:color w:val="1F2937"/>
                <w:sz w:val="18"/>
              </w:rPr>
              <w:t>Visual and statistical findings</w:t>
            </w:r>
          </w:p>
        </w:tc>
      </w:tr>
      <w:tr>
        <w:tc>
          <w:tcPr>
            <w:tcW w:type="dxa" w:w="2088"/>
            <w:vAlign w:val="center"/>
            <w:shd w:fill="F5F7FA"/>
          </w:tcPr>
          <w:p>
            <w:pPr>
              <w:spacing w:after="0"/>
              <w:jc w:val="left"/>
            </w:pPr>
            <w:r/>
            <w:r>
              <w:rPr>
                <w:rFonts w:ascii="Aptos" w:hAnsi="Aptos"/>
                <w:b w:val="0"/>
                <w:color w:val="1F2937"/>
                <w:sz w:val="18"/>
              </w:rPr>
              <w:t>5. RFM + K-Means</w:t>
            </w:r>
          </w:p>
        </w:tc>
        <w:tc>
          <w:tcPr>
            <w:tcW w:type="dxa" w:w="4392"/>
            <w:vAlign w:val="center"/>
            <w:shd w:fill="F5F7FA"/>
          </w:tcPr>
          <w:p>
            <w:pPr>
              <w:spacing w:after="0"/>
              <w:jc w:val="left"/>
            </w:pPr>
            <w:r/>
            <w:r>
              <w:rPr>
                <w:rFonts w:ascii="Aptos" w:hAnsi="Aptos"/>
                <w:b w:val="0"/>
                <w:color w:val="1F2937"/>
                <w:sz w:val="18"/>
              </w:rPr>
              <w:t>Describe customer segments.</w:t>
            </w:r>
          </w:p>
        </w:tc>
        <w:tc>
          <w:tcPr>
            <w:tcW w:type="dxa" w:w="3312"/>
            <w:vAlign w:val="center"/>
            <w:shd w:fill="F5F7FA"/>
          </w:tcPr>
          <w:p>
            <w:pPr>
              <w:spacing w:after="0"/>
              <w:jc w:val="left"/>
            </w:pPr>
            <w:r/>
            <w:r>
              <w:rPr>
                <w:rFonts w:ascii="Aptos" w:hAnsi="Aptos"/>
                <w:b w:val="0"/>
                <w:color w:val="1F2937"/>
                <w:sz w:val="18"/>
              </w:rPr>
              <w:t>2 customer clusters</w:t>
            </w:r>
          </w:p>
        </w:tc>
      </w:tr>
      <w:tr>
        <w:tc>
          <w:tcPr>
            <w:tcW w:type="dxa" w:w="2088"/>
            <w:vAlign w:val="center"/>
            <w:shd w:fill="FFFFFF"/>
          </w:tcPr>
          <w:p>
            <w:pPr>
              <w:spacing w:after="0"/>
              <w:jc w:val="left"/>
            </w:pPr>
            <w:r/>
            <w:r>
              <w:rPr>
                <w:rFonts w:ascii="Aptos" w:hAnsi="Aptos"/>
                <w:b w:val="0"/>
                <w:color w:val="1F2937"/>
                <w:sz w:val="18"/>
              </w:rPr>
              <w:t>6. Predictive ML</w:t>
            </w:r>
          </w:p>
        </w:tc>
        <w:tc>
          <w:tcPr>
            <w:tcW w:type="dxa" w:w="4392"/>
            <w:vAlign w:val="center"/>
            <w:shd w:fill="FFFFFF"/>
          </w:tcPr>
          <w:p>
            <w:pPr>
              <w:spacing w:after="0"/>
              <w:jc w:val="left"/>
            </w:pPr>
            <w:r/>
            <w:r>
              <w:rPr>
                <w:rFonts w:ascii="Aptos" w:hAnsi="Aptos"/>
                <w:b w:val="0"/>
                <w:color w:val="1F2937"/>
                <w:sz w:val="18"/>
              </w:rPr>
              <w:t>Estimate repeat-purchase behavior.</w:t>
            </w:r>
          </w:p>
        </w:tc>
        <w:tc>
          <w:tcPr>
            <w:tcW w:type="dxa" w:w="3312"/>
            <w:vAlign w:val="center"/>
            <w:shd w:fill="FFFFFF"/>
          </w:tcPr>
          <w:p>
            <w:pPr>
              <w:spacing w:after="0"/>
              <w:jc w:val="left"/>
            </w:pPr>
            <w:r/>
            <w:r>
              <w:rPr>
                <w:rFonts w:ascii="Aptos" w:hAnsi="Aptos"/>
                <w:b w:val="0"/>
                <w:color w:val="1F2937"/>
                <w:sz w:val="18"/>
              </w:rPr>
              <w:t>Logistic Regression + Random Forest</w:t>
            </w:r>
          </w:p>
        </w:tc>
      </w:tr>
      <w:tr>
        <w:tc>
          <w:tcPr>
            <w:tcW w:type="dxa" w:w="2088"/>
            <w:vAlign w:val="center"/>
            <w:shd w:fill="F5F7FA"/>
          </w:tcPr>
          <w:p>
            <w:pPr>
              <w:spacing w:after="0"/>
              <w:jc w:val="left"/>
            </w:pPr>
            <w:r/>
            <w:r>
              <w:rPr>
                <w:rFonts w:ascii="Aptos" w:hAnsi="Aptos"/>
                <w:b w:val="0"/>
                <w:color w:val="1F2937"/>
                <w:sz w:val="18"/>
              </w:rPr>
              <w:t>7. Deep learning</w:t>
            </w:r>
          </w:p>
        </w:tc>
        <w:tc>
          <w:tcPr>
            <w:tcW w:type="dxa" w:w="4392"/>
            <w:vAlign w:val="center"/>
            <w:shd w:fill="F5F7FA"/>
          </w:tcPr>
          <w:p>
            <w:pPr>
              <w:spacing w:after="0"/>
              <w:jc w:val="left"/>
            </w:pPr>
            <w:r/>
            <w:r>
              <w:rPr>
                <w:rFonts w:ascii="Aptos" w:hAnsi="Aptos"/>
                <w:b w:val="0"/>
                <w:color w:val="1F2937"/>
                <w:sz w:val="18"/>
              </w:rPr>
              <w:t>Benchmark a nonlinear ANN.</w:t>
            </w:r>
          </w:p>
        </w:tc>
        <w:tc>
          <w:tcPr>
            <w:tcW w:type="dxa" w:w="3312"/>
            <w:vAlign w:val="center"/>
            <w:shd w:fill="F5F7FA"/>
          </w:tcPr>
          <w:p>
            <w:pPr>
              <w:spacing w:after="0"/>
              <w:jc w:val="left"/>
            </w:pPr>
            <w:r/>
            <w:r>
              <w:rPr>
                <w:rFonts w:ascii="Aptos" w:hAnsi="Aptos"/>
                <w:b w:val="0"/>
                <w:color w:val="1F2937"/>
                <w:sz w:val="18"/>
              </w:rPr>
              <w:t>TensorFlow/Keras ANN</w:t>
            </w:r>
          </w:p>
        </w:tc>
      </w:tr>
      <w:tr>
        <w:tc>
          <w:tcPr>
            <w:tcW w:type="dxa" w:w="2088"/>
            <w:vAlign w:val="center"/>
            <w:shd w:fill="FFFFFF"/>
          </w:tcPr>
          <w:p>
            <w:pPr>
              <w:spacing w:after="0"/>
              <w:jc w:val="left"/>
            </w:pPr>
            <w:r/>
            <w:r>
              <w:rPr>
                <w:rFonts w:ascii="Aptos" w:hAnsi="Aptos"/>
                <w:b w:val="0"/>
                <w:color w:val="1F2937"/>
                <w:sz w:val="18"/>
              </w:rPr>
              <w:t>8. Integration</w:t>
            </w:r>
          </w:p>
        </w:tc>
        <w:tc>
          <w:tcPr>
            <w:tcW w:type="dxa" w:w="4392"/>
            <w:vAlign w:val="center"/>
            <w:shd w:fill="FFFFFF"/>
          </w:tcPr>
          <w:p>
            <w:pPr>
              <w:spacing w:after="0"/>
              <w:jc w:val="left"/>
            </w:pPr>
            <w:r/>
            <w:r>
              <w:rPr>
                <w:rFonts w:ascii="Aptos" w:hAnsi="Aptos"/>
                <w:b w:val="0"/>
                <w:color w:val="1F2937"/>
                <w:sz w:val="18"/>
              </w:rPr>
              <w:t>Combine segments and predictive behavior.</w:t>
            </w:r>
          </w:p>
        </w:tc>
        <w:tc>
          <w:tcPr>
            <w:tcW w:type="dxa" w:w="3312"/>
            <w:vAlign w:val="center"/>
            <w:shd w:fill="FFFFFF"/>
          </w:tcPr>
          <w:p>
            <w:pPr>
              <w:spacing w:after="0"/>
              <w:jc w:val="left"/>
            </w:pPr>
            <w:r/>
            <w:r>
              <w:rPr>
                <w:rFonts w:ascii="Aptos" w:hAnsi="Aptos"/>
                <w:b w:val="0"/>
                <w:color w:val="1F2937"/>
                <w:sz w:val="18"/>
              </w:rPr>
              <w:t>Customer-level capstone insights</w:t>
            </w:r>
          </w:p>
        </w:tc>
      </w:tr>
      <w:tr>
        <w:tc>
          <w:tcPr>
            <w:tcW w:type="dxa" w:w="2088"/>
            <w:vAlign w:val="center"/>
            <w:shd w:fill="F5F7FA"/>
          </w:tcPr>
          <w:p>
            <w:pPr>
              <w:spacing w:after="0"/>
              <w:jc w:val="left"/>
            </w:pPr>
            <w:r/>
            <w:r>
              <w:rPr>
                <w:rFonts w:ascii="Aptos" w:hAnsi="Aptos"/>
                <w:b w:val="0"/>
                <w:color w:val="1F2937"/>
                <w:sz w:val="18"/>
              </w:rPr>
              <w:t>9. Recommendations</w:t>
            </w:r>
          </w:p>
        </w:tc>
        <w:tc>
          <w:tcPr>
            <w:tcW w:type="dxa" w:w="4392"/>
            <w:vAlign w:val="center"/>
            <w:shd w:fill="F5F7FA"/>
          </w:tcPr>
          <w:p>
            <w:pPr>
              <w:spacing w:after="0"/>
              <w:jc w:val="left"/>
            </w:pPr>
            <w:r/>
            <w:r>
              <w:rPr>
                <w:rFonts w:ascii="Aptos" w:hAnsi="Aptos"/>
                <w:b w:val="0"/>
                <w:color w:val="1F2937"/>
                <w:sz w:val="18"/>
              </w:rPr>
              <w:t>Translate evidence into next actions.</w:t>
            </w:r>
          </w:p>
        </w:tc>
        <w:tc>
          <w:tcPr>
            <w:tcW w:type="dxa" w:w="3312"/>
            <w:vAlign w:val="center"/>
            <w:shd w:fill="F5F7FA"/>
          </w:tcPr>
          <w:p>
            <w:pPr>
              <w:spacing w:after="0"/>
              <w:jc w:val="left"/>
            </w:pPr>
            <w:r/>
            <w:r>
              <w:rPr>
                <w:rFonts w:ascii="Aptos" w:hAnsi="Aptos"/>
                <w:b w:val="0"/>
                <w:color w:val="1F2937"/>
                <w:sz w:val="18"/>
              </w:rPr>
              <w:t>Testable business recommendations</w:t>
            </w:r>
          </w:p>
        </w:tc>
      </w:tr>
    </w:tbl>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Design principle</w:t>
            </w:r>
            <w:r>
              <w:rPr>
                <w:sz w:val="19"/>
              </w:rPr>
              <w:br/>
              <w:t>The capstone treats prediction as decision support. Model outputs describe observed relationships in the dataset; they do not by themselves establish causation or prove that a marketing intervention will increase purchasing.</w:t>
            </w:r>
          </w:p>
        </w:tc>
      </w:tr>
    </w:tbl>
    <w:p/>
    <w:p>
      <w:pPr>
        <w:pStyle w:val="Heading1"/>
      </w:pPr>
      <w:r>
        <w:rPr>
          <w:rFonts w:ascii="Aptos Display" w:hAnsi="Aptos Display"/>
          <w:color w:val="243B53"/>
        </w:rPr>
        <w:t>4. Data Acquisition and Data Cleaning</w:t>
      </w:r>
    </w:p>
    <w:p>
      <w:pPr>
        <w:pStyle w:val="Heading2"/>
      </w:pPr>
      <w:r>
        <w:rPr>
          <w:rFonts w:ascii="Aptos Display" w:hAnsi="Aptos Display"/>
          <w:color w:val="3B5B7A"/>
        </w:rPr>
        <w:t>4.1 Dataset overview</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4896"/>
            <w:vAlign w:val="center"/>
            <w:shd w:fill="243B53"/>
          </w:tcPr>
          <w:p>
            <w:pPr>
              <w:spacing w:after="0"/>
              <w:jc w:val="center"/>
            </w:pPr>
            <w:r/>
            <w:r>
              <w:rPr>
                <w:rFonts w:ascii="Aptos" w:hAnsi="Aptos"/>
                <w:b/>
                <w:color w:val="FFFFFF"/>
                <w:sz w:val="18"/>
              </w:rPr>
              <w:t>Metric</w:t>
            </w:r>
          </w:p>
        </w:tc>
        <w:tc>
          <w:tcPr>
            <w:tcW w:type="dxa" w:w="4896"/>
            <w:vAlign w:val="center"/>
            <w:shd w:fill="243B53"/>
          </w:tcPr>
          <w:p>
            <w:pPr>
              <w:spacing w:after="0"/>
              <w:jc w:val="center"/>
            </w:pPr>
            <w:r/>
            <w:r>
              <w:rPr>
                <w:rFonts w:ascii="Aptos" w:hAnsi="Aptos"/>
                <w:b/>
                <w:color w:val="FFFFFF"/>
                <w:sz w:val="18"/>
              </w:rPr>
              <w:t>Value</w:t>
            </w:r>
          </w:p>
        </w:tc>
      </w:tr>
      <w:tr>
        <w:tc>
          <w:tcPr>
            <w:tcW w:type="dxa" w:w="4896"/>
            <w:vAlign w:val="center"/>
            <w:shd w:fill="F5F7FA"/>
          </w:tcPr>
          <w:p>
            <w:pPr>
              <w:spacing w:after="0"/>
              <w:jc w:val="left"/>
            </w:pPr>
            <w:r/>
            <w:r>
              <w:rPr>
                <w:rFonts w:ascii="Aptos" w:hAnsi="Aptos"/>
                <w:b w:val="0"/>
                <w:color w:val="1F2937"/>
                <w:sz w:val="18"/>
              </w:rPr>
              <w:t>Original rows</w:t>
            </w:r>
          </w:p>
        </w:tc>
        <w:tc>
          <w:tcPr>
            <w:tcW w:type="dxa" w:w="4896"/>
            <w:vAlign w:val="center"/>
            <w:shd w:fill="F5F7FA"/>
          </w:tcPr>
          <w:p>
            <w:pPr>
              <w:spacing w:after="0"/>
              <w:jc w:val="left"/>
            </w:pPr>
            <w:r/>
            <w:r>
              <w:rPr>
                <w:rFonts w:ascii="Aptos" w:hAnsi="Aptos"/>
                <w:b w:val="0"/>
                <w:color w:val="1F2937"/>
                <w:sz w:val="18"/>
              </w:rPr>
              <w:t>541,909</w:t>
            </w:r>
          </w:p>
        </w:tc>
      </w:tr>
      <w:tr>
        <w:tc>
          <w:tcPr>
            <w:tcW w:type="dxa" w:w="4896"/>
            <w:vAlign w:val="center"/>
            <w:shd w:fill="FFFFFF"/>
          </w:tcPr>
          <w:p>
            <w:pPr>
              <w:spacing w:after="0"/>
              <w:jc w:val="left"/>
            </w:pPr>
            <w:r/>
            <w:r>
              <w:rPr>
                <w:rFonts w:ascii="Aptos" w:hAnsi="Aptos"/>
                <w:b w:val="0"/>
                <w:color w:val="1F2937"/>
                <w:sz w:val="18"/>
              </w:rPr>
              <w:t>Original columns</w:t>
            </w:r>
          </w:p>
        </w:tc>
        <w:tc>
          <w:tcPr>
            <w:tcW w:type="dxa" w:w="4896"/>
            <w:vAlign w:val="center"/>
            <w:shd w:fill="FFFFFF"/>
          </w:tcPr>
          <w:p>
            <w:pPr>
              <w:spacing w:after="0"/>
              <w:jc w:val="left"/>
            </w:pPr>
            <w:r/>
            <w:r>
              <w:rPr>
                <w:rFonts w:ascii="Aptos" w:hAnsi="Aptos"/>
                <w:b w:val="0"/>
                <w:color w:val="1F2937"/>
                <w:sz w:val="18"/>
              </w:rPr>
              <w:t>8</w:t>
            </w:r>
          </w:p>
        </w:tc>
      </w:tr>
      <w:tr>
        <w:tc>
          <w:tcPr>
            <w:tcW w:type="dxa" w:w="4896"/>
            <w:vAlign w:val="center"/>
            <w:shd w:fill="F5F7FA"/>
          </w:tcPr>
          <w:p>
            <w:pPr>
              <w:spacing w:after="0"/>
              <w:jc w:val="left"/>
            </w:pPr>
            <w:r/>
            <w:r>
              <w:rPr>
                <w:rFonts w:ascii="Aptos" w:hAnsi="Aptos"/>
                <w:b w:val="0"/>
                <w:color w:val="1F2937"/>
                <w:sz w:val="18"/>
              </w:rPr>
              <w:t>Missing Description values</w:t>
            </w:r>
          </w:p>
        </w:tc>
        <w:tc>
          <w:tcPr>
            <w:tcW w:type="dxa" w:w="4896"/>
            <w:vAlign w:val="center"/>
            <w:shd w:fill="F5F7FA"/>
          </w:tcPr>
          <w:p>
            <w:pPr>
              <w:spacing w:after="0"/>
              <w:jc w:val="left"/>
            </w:pPr>
            <w:r/>
            <w:r>
              <w:rPr>
                <w:rFonts w:ascii="Aptos" w:hAnsi="Aptos"/>
                <w:b w:val="0"/>
                <w:color w:val="1F2937"/>
                <w:sz w:val="18"/>
              </w:rPr>
              <w:t>1,454</w:t>
            </w:r>
          </w:p>
        </w:tc>
      </w:tr>
      <w:tr>
        <w:tc>
          <w:tcPr>
            <w:tcW w:type="dxa" w:w="4896"/>
            <w:vAlign w:val="center"/>
            <w:shd w:fill="FFFFFF"/>
          </w:tcPr>
          <w:p>
            <w:pPr>
              <w:spacing w:after="0"/>
              <w:jc w:val="left"/>
            </w:pPr>
            <w:r/>
            <w:r>
              <w:rPr>
                <w:rFonts w:ascii="Aptos" w:hAnsi="Aptos"/>
                <w:b w:val="0"/>
                <w:color w:val="1F2937"/>
                <w:sz w:val="18"/>
              </w:rPr>
              <w:t>Missing CustomerID values</w:t>
            </w:r>
          </w:p>
        </w:tc>
        <w:tc>
          <w:tcPr>
            <w:tcW w:type="dxa" w:w="4896"/>
            <w:vAlign w:val="center"/>
            <w:shd w:fill="FFFFFF"/>
          </w:tcPr>
          <w:p>
            <w:pPr>
              <w:spacing w:after="0"/>
              <w:jc w:val="left"/>
            </w:pPr>
            <w:r/>
            <w:r>
              <w:rPr>
                <w:rFonts w:ascii="Aptos" w:hAnsi="Aptos"/>
                <w:b w:val="0"/>
                <w:color w:val="1F2937"/>
                <w:sz w:val="18"/>
              </w:rPr>
              <w:t>135,080</w:t>
            </w:r>
          </w:p>
        </w:tc>
      </w:tr>
      <w:tr>
        <w:tc>
          <w:tcPr>
            <w:tcW w:type="dxa" w:w="4896"/>
            <w:vAlign w:val="center"/>
            <w:shd w:fill="F5F7FA"/>
          </w:tcPr>
          <w:p>
            <w:pPr>
              <w:spacing w:after="0"/>
              <w:jc w:val="left"/>
            </w:pPr>
            <w:r/>
            <w:r>
              <w:rPr>
                <w:rFonts w:ascii="Aptos" w:hAnsi="Aptos"/>
                <w:b w:val="0"/>
                <w:color w:val="1F2937"/>
                <w:sz w:val="18"/>
              </w:rPr>
              <w:t>Duplicate rows detected</w:t>
            </w:r>
          </w:p>
        </w:tc>
        <w:tc>
          <w:tcPr>
            <w:tcW w:type="dxa" w:w="4896"/>
            <w:vAlign w:val="center"/>
            <w:shd w:fill="F5F7FA"/>
          </w:tcPr>
          <w:p>
            <w:pPr>
              <w:spacing w:after="0"/>
              <w:jc w:val="left"/>
            </w:pPr>
            <w:r/>
            <w:r>
              <w:rPr>
                <w:rFonts w:ascii="Aptos" w:hAnsi="Aptos"/>
                <w:b w:val="0"/>
                <w:color w:val="1F2937"/>
                <w:sz w:val="18"/>
              </w:rPr>
              <w:t>5,268</w:t>
            </w:r>
          </w:p>
        </w:tc>
      </w:tr>
      <w:tr>
        <w:tc>
          <w:tcPr>
            <w:tcW w:type="dxa" w:w="4896"/>
            <w:vAlign w:val="center"/>
            <w:shd w:fill="FFFFFF"/>
          </w:tcPr>
          <w:p>
            <w:pPr>
              <w:spacing w:after="0"/>
              <w:jc w:val="left"/>
            </w:pPr>
            <w:r/>
            <w:r>
              <w:rPr>
                <w:rFonts w:ascii="Aptos" w:hAnsi="Aptos"/>
                <w:b w:val="0"/>
                <w:color w:val="1F2937"/>
                <w:sz w:val="18"/>
              </w:rPr>
              <w:t>Quantity &lt;= 0</w:t>
            </w:r>
          </w:p>
        </w:tc>
        <w:tc>
          <w:tcPr>
            <w:tcW w:type="dxa" w:w="4896"/>
            <w:vAlign w:val="center"/>
            <w:shd w:fill="FFFFFF"/>
          </w:tcPr>
          <w:p>
            <w:pPr>
              <w:spacing w:after="0"/>
              <w:jc w:val="left"/>
            </w:pPr>
            <w:r/>
            <w:r>
              <w:rPr>
                <w:rFonts w:ascii="Aptos" w:hAnsi="Aptos"/>
                <w:b w:val="0"/>
                <w:color w:val="1F2937"/>
                <w:sz w:val="18"/>
              </w:rPr>
              <w:t>10,624</w:t>
            </w:r>
          </w:p>
        </w:tc>
      </w:tr>
      <w:tr>
        <w:tc>
          <w:tcPr>
            <w:tcW w:type="dxa" w:w="4896"/>
            <w:vAlign w:val="center"/>
            <w:shd w:fill="F5F7FA"/>
          </w:tcPr>
          <w:p>
            <w:pPr>
              <w:spacing w:after="0"/>
              <w:jc w:val="left"/>
            </w:pPr>
            <w:r/>
            <w:r>
              <w:rPr>
                <w:rFonts w:ascii="Aptos" w:hAnsi="Aptos"/>
                <w:b w:val="0"/>
                <w:color w:val="1F2937"/>
                <w:sz w:val="18"/>
              </w:rPr>
              <w:t>UnitPrice &lt;= 0</w:t>
            </w:r>
          </w:p>
        </w:tc>
        <w:tc>
          <w:tcPr>
            <w:tcW w:type="dxa" w:w="4896"/>
            <w:vAlign w:val="center"/>
            <w:shd w:fill="F5F7FA"/>
          </w:tcPr>
          <w:p>
            <w:pPr>
              <w:spacing w:after="0"/>
              <w:jc w:val="left"/>
            </w:pPr>
            <w:r/>
            <w:r>
              <w:rPr>
                <w:rFonts w:ascii="Aptos" w:hAnsi="Aptos"/>
                <w:b w:val="0"/>
                <w:color w:val="1F2937"/>
                <w:sz w:val="18"/>
              </w:rPr>
              <w:t>2,517</w:t>
            </w:r>
          </w:p>
        </w:tc>
      </w:tr>
      <w:tr>
        <w:tc>
          <w:tcPr>
            <w:tcW w:type="dxa" w:w="4896"/>
            <w:vAlign w:val="center"/>
            <w:shd w:fill="FFFFFF"/>
          </w:tcPr>
          <w:p>
            <w:pPr>
              <w:spacing w:after="0"/>
              <w:jc w:val="left"/>
            </w:pPr>
            <w:r/>
            <w:r>
              <w:rPr>
                <w:rFonts w:ascii="Aptos" w:hAnsi="Aptos"/>
                <w:b w:val="0"/>
                <w:color w:val="1F2937"/>
                <w:sz w:val="18"/>
              </w:rPr>
              <w:t>Cancellation invoices</w:t>
            </w:r>
          </w:p>
        </w:tc>
        <w:tc>
          <w:tcPr>
            <w:tcW w:type="dxa" w:w="4896"/>
            <w:vAlign w:val="center"/>
            <w:shd w:fill="FFFFFF"/>
          </w:tcPr>
          <w:p>
            <w:pPr>
              <w:spacing w:after="0"/>
              <w:jc w:val="left"/>
            </w:pPr>
            <w:r/>
            <w:r>
              <w:rPr>
                <w:rFonts w:ascii="Aptos" w:hAnsi="Aptos"/>
                <w:b w:val="0"/>
                <w:color w:val="1F2937"/>
                <w:sz w:val="18"/>
              </w:rPr>
              <w:t>9,288</w:t>
            </w:r>
          </w:p>
        </w:tc>
      </w:tr>
      <w:tr>
        <w:tc>
          <w:tcPr>
            <w:tcW w:type="dxa" w:w="4896"/>
            <w:vAlign w:val="center"/>
            <w:shd w:fill="F5F7FA"/>
          </w:tcPr>
          <w:p>
            <w:pPr>
              <w:spacing w:after="0"/>
              <w:jc w:val="left"/>
            </w:pPr>
            <w:r/>
            <w:r>
              <w:rPr>
                <w:rFonts w:ascii="Aptos" w:hAnsi="Aptos"/>
                <w:b w:val="0"/>
                <w:color w:val="1F2937"/>
                <w:sz w:val="18"/>
              </w:rPr>
              <w:t>Date range</w:t>
            </w:r>
          </w:p>
        </w:tc>
        <w:tc>
          <w:tcPr>
            <w:tcW w:type="dxa" w:w="4896"/>
            <w:vAlign w:val="center"/>
            <w:shd w:fill="F5F7FA"/>
          </w:tcPr>
          <w:p>
            <w:pPr>
              <w:spacing w:after="0"/>
              <w:jc w:val="left"/>
            </w:pPr>
            <w:r/>
            <w:r>
              <w:rPr>
                <w:rFonts w:ascii="Aptos" w:hAnsi="Aptos"/>
                <w:b w:val="0"/>
                <w:color w:val="1F2937"/>
                <w:sz w:val="18"/>
              </w:rPr>
              <w:t>2010-12-01 08:26 to 2011-12-09 12:50</w:t>
            </w:r>
          </w:p>
        </w:tc>
      </w:tr>
    </w:tbl>
    <w:p>
      <w:pPr>
        <w:spacing w:after="140" w:line="259" w:lineRule="auto"/>
      </w:pPr>
      <w:r>
        <w:t>The raw data showed several predictable transaction-data quality issues: missing customer identifiers, missing product descriptions, duplicated records, cancellation invoices, non-positive quantities and non-positive prices. These were addressed before any customer-level analysis or model training.</w:t>
      </w:r>
    </w:p>
    <w:p>
      <w:pPr>
        <w:pStyle w:val="Heading2"/>
      </w:pPr>
      <w:r>
        <w:rPr>
          <w:rFonts w:ascii="Aptos Display" w:hAnsi="Aptos Display"/>
          <w:color w:val="3B5B7A"/>
        </w:rPr>
        <w:t>4.2 Cleaning rules</w:t>
      </w:r>
    </w:p>
    <w:p>
      <w:pPr>
        <w:pStyle w:val="ListBullet"/>
        <w:spacing w:after="60"/>
      </w:pPr>
      <w:r>
        <w:t>Remove duplicate transaction rows.</w:t>
      </w:r>
    </w:p>
    <w:p>
      <w:pPr>
        <w:pStyle w:val="ListBullet"/>
        <w:spacing w:after="60"/>
      </w:pPr>
      <w:r>
        <w:t>Drop records with missing Description.</w:t>
      </w:r>
    </w:p>
    <w:p>
      <w:pPr>
        <w:pStyle w:val="ListBullet"/>
        <w:spacing w:after="60"/>
      </w:pPr>
      <w:r>
        <w:t>Drop records with missing CustomerID.</w:t>
      </w:r>
    </w:p>
    <w:p>
      <w:pPr>
        <w:pStyle w:val="ListBullet"/>
        <w:spacing w:after="60"/>
      </w:pPr>
      <w:r>
        <w:t>Remove invoices beginning with the cancellation marker C.</w:t>
      </w:r>
    </w:p>
    <w:p>
      <w:pPr>
        <w:pStyle w:val="ListBullet"/>
        <w:spacing w:after="60"/>
      </w:pPr>
      <w:r>
        <w:t>Keep only Quantity &gt; 0 and UnitPrice &gt; 0.</w:t>
      </w:r>
    </w:p>
    <w:p>
      <w:pPr>
        <w:pStyle w:val="ListBullet"/>
        <w:spacing w:after="60"/>
      </w:pPr>
      <w:r>
        <w:t>Convert CustomerID to integer.</w:t>
      </w:r>
    </w:p>
    <w:p>
      <w:pPr>
        <w:pStyle w:val="ListBullet"/>
        <w:spacing w:after="60"/>
      </w:pPr>
      <w:r>
        <w:t>Create TotalAmount = Quantity x UnitPrice.</w:t>
      </w:r>
    </w:p>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Cleaning result</w:t>
            </w:r>
            <w:r>
              <w:rPr>
                <w:sz w:val="19"/>
              </w:rPr>
              <w:br/>
              <w:t>Final cleaned dataset: 392,692 rows and 9 columns before time-feature extraction. Rows removed: 149,217. Retention: 72.46%.</w:t>
            </w:r>
          </w:p>
        </w:tc>
      </w:tr>
    </w:tbl>
    <w:p/>
    <w:p>
      <w:pPr>
        <w:pStyle w:val="Heading2"/>
      </w:pPr>
      <w:r>
        <w:rPr>
          <w:rFonts w:ascii="Aptos Display" w:hAnsi="Aptos Display"/>
          <w:color w:val="3B5B7A"/>
        </w:rPr>
        <w:t>4.3 Validation</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5184"/>
            <w:vAlign w:val="center"/>
            <w:shd w:fill="243B53"/>
          </w:tcPr>
          <w:p>
            <w:pPr>
              <w:spacing w:after="0"/>
              <w:jc w:val="center"/>
            </w:pPr>
            <w:r/>
            <w:r>
              <w:rPr>
                <w:rFonts w:ascii="Aptos" w:hAnsi="Aptos"/>
                <w:b/>
                <w:color w:val="FFFFFF"/>
                <w:sz w:val="18"/>
              </w:rPr>
              <w:t>Validation check</w:t>
            </w:r>
          </w:p>
        </w:tc>
        <w:tc>
          <w:tcPr>
            <w:tcW w:type="dxa" w:w="4608"/>
            <w:vAlign w:val="center"/>
            <w:shd w:fill="243B53"/>
          </w:tcPr>
          <w:p>
            <w:pPr>
              <w:spacing w:after="0"/>
              <w:jc w:val="center"/>
            </w:pPr>
            <w:r/>
            <w:r>
              <w:rPr>
                <w:rFonts w:ascii="Aptos" w:hAnsi="Aptos"/>
                <w:b/>
                <w:color w:val="FFFFFF"/>
                <w:sz w:val="18"/>
              </w:rPr>
              <w:t>Result</w:t>
            </w:r>
          </w:p>
        </w:tc>
      </w:tr>
      <w:tr>
        <w:tc>
          <w:tcPr>
            <w:tcW w:type="dxa" w:w="5184"/>
            <w:vAlign w:val="center"/>
            <w:shd w:fill="F5F7FA"/>
          </w:tcPr>
          <w:p>
            <w:pPr>
              <w:spacing w:after="0"/>
              <w:jc w:val="left"/>
            </w:pPr>
            <w:r/>
            <w:r>
              <w:rPr>
                <w:rFonts w:ascii="Aptos" w:hAnsi="Aptos"/>
                <w:b w:val="0"/>
                <w:color w:val="1F2937"/>
                <w:sz w:val="18"/>
              </w:rPr>
              <w:t>Missing values after cleaning</w:t>
            </w:r>
          </w:p>
        </w:tc>
        <w:tc>
          <w:tcPr>
            <w:tcW w:type="dxa" w:w="4608"/>
            <w:vAlign w:val="center"/>
            <w:shd w:fill="F5F7FA"/>
          </w:tcPr>
          <w:p>
            <w:pPr>
              <w:spacing w:after="0"/>
              <w:jc w:val="left"/>
            </w:pPr>
            <w:r/>
            <w:r>
              <w:rPr>
                <w:rFonts w:ascii="Aptos" w:hAnsi="Aptos"/>
                <w:b w:val="0"/>
                <w:color w:val="1F2937"/>
                <w:sz w:val="18"/>
              </w:rPr>
              <w:t>0 across all analytical columns</w:t>
            </w:r>
          </w:p>
        </w:tc>
      </w:tr>
      <w:tr>
        <w:tc>
          <w:tcPr>
            <w:tcW w:type="dxa" w:w="5184"/>
            <w:vAlign w:val="center"/>
            <w:shd w:fill="FFFFFF"/>
          </w:tcPr>
          <w:p>
            <w:pPr>
              <w:spacing w:after="0"/>
              <w:jc w:val="left"/>
            </w:pPr>
            <w:r/>
            <w:r>
              <w:rPr>
                <w:rFonts w:ascii="Aptos" w:hAnsi="Aptos"/>
                <w:b w:val="0"/>
                <w:color w:val="1F2937"/>
                <w:sz w:val="18"/>
              </w:rPr>
              <w:t>Duplicate rows after cleaning</w:t>
            </w:r>
          </w:p>
        </w:tc>
        <w:tc>
          <w:tcPr>
            <w:tcW w:type="dxa" w:w="4608"/>
            <w:vAlign w:val="center"/>
            <w:shd w:fill="FFFFFF"/>
          </w:tcPr>
          <w:p>
            <w:pPr>
              <w:spacing w:after="0"/>
              <w:jc w:val="left"/>
            </w:pPr>
            <w:r/>
            <w:r>
              <w:rPr>
                <w:rFonts w:ascii="Aptos" w:hAnsi="Aptos"/>
                <w:b w:val="0"/>
                <w:color w:val="1F2937"/>
                <w:sz w:val="18"/>
              </w:rPr>
              <w:t>0</w:t>
            </w:r>
          </w:p>
        </w:tc>
      </w:tr>
      <w:tr>
        <w:tc>
          <w:tcPr>
            <w:tcW w:type="dxa" w:w="5184"/>
            <w:vAlign w:val="center"/>
            <w:shd w:fill="F5F7FA"/>
          </w:tcPr>
          <w:p>
            <w:pPr>
              <w:spacing w:after="0"/>
              <w:jc w:val="left"/>
            </w:pPr>
            <w:r/>
            <w:r>
              <w:rPr>
                <w:rFonts w:ascii="Aptos" w:hAnsi="Aptos"/>
                <w:b w:val="0"/>
                <w:color w:val="1F2937"/>
                <w:sz w:val="18"/>
              </w:rPr>
              <w:t>Minimum Quantity</w:t>
            </w:r>
          </w:p>
        </w:tc>
        <w:tc>
          <w:tcPr>
            <w:tcW w:type="dxa" w:w="4608"/>
            <w:vAlign w:val="center"/>
            <w:shd w:fill="F5F7FA"/>
          </w:tcPr>
          <w:p>
            <w:pPr>
              <w:spacing w:after="0"/>
              <w:jc w:val="left"/>
            </w:pPr>
            <w:r/>
            <w:r>
              <w:rPr>
                <w:rFonts w:ascii="Aptos" w:hAnsi="Aptos"/>
                <w:b w:val="0"/>
                <w:color w:val="1F2937"/>
                <w:sz w:val="18"/>
              </w:rPr>
              <w:t>1</w:t>
            </w:r>
          </w:p>
        </w:tc>
      </w:tr>
      <w:tr>
        <w:tc>
          <w:tcPr>
            <w:tcW w:type="dxa" w:w="5184"/>
            <w:vAlign w:val="center"/>
            <w:shd w:fill="FFFFFF"/>
          </w:tcPr>
          <w:p>
            <w:pPr>
              <w:spacing w:after="0"/>
              <w:jc w:val="left"/>
            </w:pPr>
            <w:r/>
            <w:r>
              <w:rPr>
                <w:rFonts w:ascii="Aptos" w:hAnsi="Aptos"/>
                <w:b w:val="0"/>
                <w:color w:val="1F2937"/>
                <w:sz w:val="18"/>
              </w:rPr>
              <w:t>Minimum UnitPrice</w:t>
            </w:r>
          </w:p>
        </w:tc>
        <w:tc>
          <w:tcPr>
            <w:tcW w:type="dxa" w:w="4608"/>
            <w:vAlign w:val="center"/>
            <w:shd w:fill="FFFFFF"/>
          </w:tcPr>
          <w:p>
            <w:pPr>
              <w:spacing w:after="0"/>
              <w:jc w:val="left"/>
            </w:pPr>
            <w:r/>
            <w:r>
              <w:rPr>
                <w:rFonts w:ascii="Aptos" w:hAnsi="Aptos"/>
                <w:b w:val="0"/>
                <w:color w:val="1F2937"/>
                <w:sz w:val="18"/>
              </w:rPr>
              <w:t>0.001</w:t>
            </w:r>
          </w:p>
        </w:tc>
      </w:tr>
      <w:tr>
        <w:tc>
          <w:tcPr>
            <w:tcW w:type="dxa" w:w="5184"/>
            <w:vAlign w:val="center"/>
            <w:shd w:fill="F5F7FA"/>
          </w:tcPr>
          <w:p>
            <w:pPr>
              <w:spacing w:after="0"/>
              <w:jc w:val="left"/>
            </w:pPr>
            <w:r/>
            <w:r>
              <w:rPr>
                <w:rFonts w:ascii="Aptos" w:hAnsi="Aptos"/>
                <w:b w:val="0"/>
                <w:color w:val="1F2937"/>
                <w:sz w:val="18"/>
              </w:rPr>
              <w:t>Cancellation invoices remaining</w:t>
            </w:r>
          </w:p>
        </w:tc>
        <w:tc>
          <w:tcPr>
            <w:tcW w:type="dxa" w:w="4608"/>
            <w:vAlign w:val="center"/>
            <w:shd w:fill="F5F7FA"/>
          </w:tcPr>
          <w:p>
            <w:pPr>
              <w:spacing w:after="0"/>
              <w:jc w:val="left"/>
            </w:pPr>
            <w:r/>
            <w:r>
              <w:rPr>
                <w:rFonts w:ascii="Aptos" w:hAnsi="Aptos"/>
                <w:b w:val="0"/>
                <w:color w:val="1F2937"/>
                <w:sz w:val="18"/>
              </w:rPr>
              <w:t>0</w:t>
            </w:r>
          </w:p>
        </w:tc>
      </w:tr>
      <w:tr>
        <w:tc>
          <w:tcPr>
            <w:tcW w:type="dxa" w:w="5184"/>
            <w:vAlign w:val="center"/>
            <w:shd w:fill="FFFFFF"/>
          </w:tcPr>
          <w:p>
            <w:pPr>
              <w:spacing w:after="0"/>
              <w:jc w:val="left"/>
            </w:pPr>
            <w:r/>
            <w:r>
              <w:rPr>
                <w:rFonts w:ascii="Aptos" w:hAnsi="Aptos"/>
                <w:b w:val="0"/>
                <w:color w:val="1F2937"/>
                <w:sz w:val="18"/>
              </w:rPr>
              <w:t>Final analytical rows after time features</w:t>
            </w:r>
          </w:p>
        </w:tc>
        <w:tc>
          <w:tcPr>
            <w:tcW w:type="dxa" w:w="4608"/>
            <w:vAlign w:val="center"/>
            <w:shd w:fill="FFFFFF"/>
          </w:tcPr>
          <w:p>
            <w:pPr>
              <w:spacing w:after="0"/>
              <w:jc w:val="left"/>
            </w:pPr>
            <w:r/>
            <w:r>
              <w:rPr>
                <w:rFonts w:ascii="Aptos" w:hAnsi="Aptos"/>
                <w:b w:val="0"/>
                <w:color w:val="1F2937"/>
                <w:sz w:val="18"/>
              </w:rPr>
              <w:t>392,692</w:t>
            </w:r>
          </w:p>
        </w:tc>
      </w:tr>
      <w:tr>
        <w:tc>
          <w:tcPr>
            <w:tcW w:type="dxa" w:w="5184"/>
            <w:vAlign w:val="center"/>
            <w:shd w:fill="F5F7FA"/>
          </w:tcPr>
          <w:p>
            <w:pPr>
              <w:spacing w:after="0"/>
              <w:jc w:val="left"/>
            </w:pPr>
            <w:r/>
            <w:r>
              <w:rPr>
                <w:rFonts w:ascii="Aptos" w:hAnsi="Aptos"/>
                <w:b w:val="0"/>
                <w:color w:val="1F2937"/>
                <w:sz w:val="18"/>
              </w:rPr>
              <w:t>Final columns</w:t>
            </w:r>
          </w:p>
        </w:tc>
        <w:tc>
          <w:tcPr>
            <w:tcW w:type="dxa" w:w="4608"/>
            <w:vAlign w:val="center"/>
            <w:shd w:fill="F5F7FA"/>
          </w:tcPr>
          <w:p>
            <w:pPr>
              <w:spacing w:after="0"/>
              <w:jc w:val="left"/>
            </w:pPr>
            <w:r/>
            <w:r>
              <w:rPr>
                <w:rFonts w:ascii="Aptos" w:hAnsi="Aptos"/>
                <w:b w:val="0"/>
                <w:color w:val="1F2937"/>
                <w:sz w:val="18"/>
              </w:rPr>
              <w:t>13</w:t>
            </w:r>
          </w:p>
        </w:tc>
      </w:tr>
    </w:tbl>
    <w:p>
      <w:pPr>
        <w:pStyle w:val="Heading1"/>
      </w:pPr>
      <w:r>
        <w:rPr>
          <w:rFonts w:ascii="Aptos Display" w:hAnsi="Aptos Display"/>
          <w:color w:val="243B53"/>
        </w:rPr>
        <w:t>5. Exploratory Data Analysis</w:t>
      </w:r>
    </w:p>
    <w:p>
      <w:pPr>
        <w:spacing w:after="140" w:line="259" w:lineRule="auto"/>
      </w:pPr>
      <w:r>
        <w:t>The EDA stage is intentionally focused on findings that help explain the later customer-level modeling. Transaction amount is used as the principal monetary measure. The analysis also examines customer activity, geographic concentration, product demand and numerical relationships.</w:t>
      </w:r>
    </w:p>
    <w:p>
      <w:pPr>
        <w:pStyle w:val="Heading2"/>
      </w:pPr>
      <w:r>
        <w:rPr>
          <w:rFonts w:ascii="Aptos Display" w:hAnsi="Aptos Display"/>
          <w:color w:val="3B5B7A"/>
        </w:rPr>
        <w:t>5.1 Overall scale</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5472"/>
            <w:vAlign w:val="center"/>
            <w:shd w:fill="243B53"/>
          </w:tcPr>
          <w:p>
            <w:pPr>
              <w:spacing w:after="0"/>
              <w:jc w:val="center"/>
            </w:pPr>
            <w:r/>
            <w:r>
              <w:rPr>
                <w:rFonts w:ascii="Aptos" w:hAnsi="Aptos"/>
                <w:b/>
                <w:color w:val="FFFFFF"/>
                <w:sz w:val="18"/>
              </w:rPr>
              <w:t>EDA metric</w:t>
            </w:r>
          </w:p>
        </w:tc>
        <w:tc>
          <w:tcPr>
            <w:tcW w:type="dxa" w:w="4320"/>
            <w:vAlign w:val="center"/>
            <w:shd w:fill="243B53"/>
          </w:tcPr>
          <w:p>
            <w:pPr>
              <w:spacing w:after="0"/>
              <w:jc w:val="center"/>
            </w:pPr>
            <w:r/>
            <w:r>
              <w:rPr>
                <w:rFonts w:ascii="Aptos" w:hAnsi="Aptos"/>
                <w:b/>
                <w:color w:val="FFFFFF"/>
                <w:sz w:val="18"/>
              </w:rPr>
              <w:t>Value</w:t>
            </w:r>
          </w:p>
        </w:tc>
      </w:tr>
      <w:tr>
        <w:tc>
          <w:tcPr>
            <w:tcW w:type="dxa" w:w="5472"/>
            <w:vAlign w:val="center"/>
            <w:shd w:fill="F5F7FA"/>
          </w:tcPr>
          <w:p>
            <w:pPr>
              <w:spacing w:after="0"/>
              <w:jc w:val="left"/>
            </w:pPr>
            <w:r/>
            <w:r>
              <w:rPr>
                <w:rFonts w:ascii="Aptos" w:hAnsi="Aptos"/>
                <w:b w:val="0"/>
                <w:color w:val="1F2937"/>
                <w:sz w:val="18"/>
              </w:rPr>
              <w:t>Total transaction amount</w:t>
            </w:r>
          </w:p>
        </w:tc>
        <w:tc>
          <w:tcPr>
            <w:tcW w:type="dxa" w:w="4320"/>
            <w:vAlign w:val="center"/>
            <w:shd w:fill="F5F7FA"/>
          </w:tcPr>
          <w:p>
            <w:pPr>
              <w:spacing w:after="0"/>
              <w:jc w:val="left"/>
            </w:pPr>
            <w:r/>
            <w:r>
              <w:rPr>
                <w:rFonts w:ascii="Aptos" w:hAnsi="Aptos"/>
                <w:b w:val="0"/>
                <w:color w:val="1F2937"/>
                <w:sz w:val="18"/>
              </w:rPr>
              <w:t>£8,887,208.89</w:t>
            </w:r>
          </w:p>
        </w:tc>
      </w:tr>
      <w:tr>
        <w:tc>
          <w:tcPr>
            <w:tcW w:type="dxa" w:w="5472"/>
            <w:vAlign w:val="center"/>
            <w:shd w:fill="FFFFFF"/>
          </w:tcPr>
          <w:p>
            <w:pPr>
              <w:spacing w:after="0"/>
              <w:jc w:val="left"/>
            </w:pPr>
            <w:r/>
            <w:r>
              <w:rPr>
                <w:rFonts w:ascii="Aptos" w:hAnsi="Aptos"/>
                <w:b w:val="0"/>
                <w:color w:val="1F2937"/>
                <w:sz w:val="18"/>
              </w:rPr>
              <w:t>Total quantity sold</w:t>
            </w:r>
          </w:p>
        </w:tc>
        <w:tc>
          <w:tcPr>
            <w:tcW w:type="dxa" w:w="4320"/>
            <w:vAlign w:val="center"/>
            <w:shd w:fill="FFFFFF"/>
          </w:tcPr>
          <w:p>
            <w:pPr>
              <w:spacing w:after="0"/>
              <w:jc w:val="left"/>
            </w:pPr>
            <w:r/>
            <w:r>
              <w:rPr>
                <w:rFonts w:ascii="Aptos" w:hAnsi="Aptos"/>
                <w:b w:val="0"/>
                <w:color w:val="1F2937"/>
                <w:sz w:val="18"/>
              </w:rPr>
              <w:t>5,152,002</w:t>
            </w:r>
          </w:p>
        </w:tc>
      </w:tr>
      <w:tr>
        <w:tc>
          <w:tcPr>
            <w:tcW w:type="dxa" w:w="5472"/>
            <w:vAlign w:val="center"/>
            <w:shd w:fill="F5F7FA"/>
          </w:tcPr>
          <w:p>
            <w:pPr>
              <w:spacing w:after="0"/>
              <w:jc w:val="left"/>
            </w:pPr>
            <w:r/>
            <w:r>
              <w:rPr>
                <w:rFonts w:ascii="Aptos" w:hAnsi="Aptos"/>
                <w:b w:val="0"/>
                <w:color w:val="1F2937"/>
                <w:sz w:val="18"/>
              </w:rPr>
              <w:t>Unique customers</w:t>
            </w:r>
          </w:p>
        </w:tc>
        <w:tc>
          <w:tcPr>
            <w:tcW w:type="dxa" w:w="4320"/>
            <w:vAlign w:val="center"/>
            <w:shd w:fill="F5F7FA"/>
          </w:tcPr>
          <w:p>
            <w:pPr>
              <w:spacing w:after="0"/>
              <w:jc w:val="left"/>
            </w:pPr>
            <w:r/>
            <w:r>
              <w:rPr>
                <w:rFonts w:ascii="Aptos" w:hAnsi="Aptos"/>
                <w:b w:val="0"/>
                <w:color w:val="1F2937"/>
                <w:sz w:val="18"/>
              </w:rPr>
              <w:t>4,338</w:t>
            </w:r>
          </w:p>
        </w:tc>
      </w:tr>
      <w:tr>
        <w:tc>
          <w:tcPr>
            <w:tcW w:type="dxa" w:w="5472"/>
            <w:vAlign w:val="center"/>
            <w:shd w:fill="FFFFFF"/>
          </w:tcPr>
          <w:p>
            <w:pPr>
              <w:spacing w:after="0"/>
              <w:jc w:val="left"/>
            </w:pPr>
            <w:r/>
            <w:r>
              <w:rPr>
                <w:rFonts w:ascii="Aptos" w:hAnsi="Aptos"/>
                <w:b w:val="0"/>
                <w:color w:val="1F2937"/>
                <w:sz w:val="18"/>
              </w:rPr>
              <w:t>Unique invoices</w:t>
            </w:r>
          </w:p>
        </w:tc>
        <w:tc>
          <w:tcPr>
            <w:tcW w:type="dxa" w:w="4320"/>
            <w:vAlign w:val="center"/>
            <w:shd w:fill="FFFFFF"/>
          </w:tcPr>
          <w:p>
            <w:pPr>
              <w:spacing w:after="0"/>
              <w:jc w:val="left"/>
            </w:pPr>
            <w:r/>
            <w:r>
              <w:rPr>
                <w:rFonts w:ascii="Aptos" w:hAnsi="Aptos"/>
                <w:b w:val="0"/>
                <w:color w:val="1F2937"/>
                <w:sz w:val="18"/>
              </w:rPr>
              <w:t>18,532</w:t>
            </w:r>
          </w:p>
        </w:tc>
      </w:tr>
      <w:tr>
        <w:tc>
          <w:tcPr>
            <w:tcW w:type="dxa" w:w="5472"/>
            <w:vAlign w:val="center"/>
            <w:shd w:fill="F5F7FA"/>
          </w:tcPr>
          <w:p>
            <w:pPr>
              <w:spacing w:after="0"/>
              <w:jc w:val="left"/>
            </w:pPr>
            <w:r/>
            <w:r>
              <w:rPr>
                <w:rFonts w:ascii="Aptos" w:hAnsi="Aptos"/>
                <w:b w:val="0"/>
                <w:color w:val="1F2937"/>
                <w:sz w:val="18"/>
              </w:rPr>
              <w:t>Unique products</w:t>
            </w:r>
          </w:p>
        </w:tc>
        <w:tc>
          <w:tcPr>
            <w:tcW w:type="dxa" w:w="4320"/>
            <w:vAlign w:val="center"/>
            <w:shd w:fill="F5F7FA"/>
          </w:tcPr>
          <w:p>
            <w:pPr>
              <w:spacing w:after="0"/>
              <w:jc w:val="left"/>
            </w:pPr>
            <w:r/>
            <w:r>
              <w:rPr>
                <w:rFonts w:ascii="Aptos" w:hAnsi="Aptos"/>
                <w:b w:val="0"/>
                <w:color w:val="1F2937"/>
                <w:sz w:val="18"/>
              </w:rPr>
              <w:t>3,665</w:t>
            </w:r>
          </w:p>
        </w:tc>
      </w:tr>
      <w:tr>
        <w:tc>
          <w:tcPr>
            <w:tcW w:type="dxa" w:w="5472"/>
            <w:vAlign w:val="center"/>
            <w:shd w:fill="FFFFFF"/>
          </w:tcPr>
          <w:p>
            <w:pPr>
              <w:spacing w:after="0"/>
              <w:jc w:val="left"/>
            </w:pPr>
            <w:r/>
            <w:r>
              <w:rPr>
                <w:rFonts w:ascii="Aptos" w:hAnsi="Aptos"/>
                <w:b w:val="0"/>
                <w:color w:val="1F2937"/>
                <w:sz w:val="18"/>
              </w:rPr>
              <w:t>Unique countries</w:t>
            </w:r>
          </w:p>
        </w:tc>
        <w:tc>
          <w:tcPr>
            <w:tcW w:type="dxa" w:w="4320"/>
            <w:vAlign w:val="center"/>
            <w:shd w:fill="FFFFFF"/>
          </w:tcPr>
          <w:p>
            <w:pPr>
              <w:spacing w:after="0"/>
              <w:jc w:val="left"/>
            </w:pPr>
            <w:r/>
            <w:r>
              <w:rPr>
                <w:rFonts w:ascii="Aptos" w:hAnsi="Aptos"/>
                <w:b w:val="0"/>
                <w:color w:val="1F2937"/>
                <w:sz w:val="18"/>
              </w:rPr>
              <w:t>37</w:t>
            </w:r>
          </w:p>
        </w:tc>
      </w:tr>
    </w:tbl>
    <w:p>
      <w:pPr>
        <w:jc w:val="center"/>
      </w:pPr>
      <w:r>
        <w:drawing>
          <wp:inline xmlns:a="http://schemas.openxmlformats.org/drawingml/2006/main" xmlns:pic="http://schemas.openxmlformats.org/drawingml/2006/picture">
            <wp:extent cx="5577840" cy="3032438"/>
            <wp:docPr id="3" name="Picture 3"/>
            <wp:cNvGraphicFramePr>
              <a:graphicFrameLocks noChangeAspect="1"/>
            </wp:cNvGraphicFramePr>
            <a:graphic>
              <a:graphicData uri="http://schemas.openxmlformats.org/drawingml/2006/picture">
                <pic:pic>
                  <pic:nvPicPr>
                    <pic:cNvPr id="0" name="monthly_trend.png"/>
                    <pic:cNvPicPr/>
                  </pic:nvPicPr>
                  <pic:blipFill>
                    <a:blip r:embed="rId12"/>
                    <a:stretch>
                      <a:fillRect/>
                    </a:stretch>
                  </pic:blipFill>
                  <pic:spPr>
                    <a:xfrm>
                      <a:off x="0" y="0"/>
                      <a:ext cx="5577840" cy="3032438"/>
                    </a:xfrm>
                    <a:prstGeom prst="rect"/>
                  </pic:spPr>
                </pic:pic>
              </a:graphicData>
            </a:graphic>
          </wp:inline>
        </w:drawing>
      </w:r>
    </w:p>
    <w:p>
      <w:pPr>
        <w:jc w:val="center"/>
      </w:pPr>
      <w:r>
        <w:rPr>
          <w:b/>
          <w:color w:val="667085"/>
          <w:sz w:val="17"/>
        </w:rPr>
        <w:t>Figure 2. Monthly transaction amount trend; December 2011 is a partial month because the dataset ends on 9 December 2011.</w:t>
      </w:r>
    </w:p>
    <w:p>
      <w:pPr>
        <w:spacing w:after="20"/>
      </w:pPr>
    </w:p>
    <w:p>
      <w:pPr>
        <w:spacing w:after="140" w:line="259" w:lineRule="auto"/>
      </w:pPr>
      <w:r>
        <w:t>Transaction activity varies across the observed months. November 2011 records the highest monthly transaction amount at £1,156,205.61. The final December value should not be compared with a full month because the source data ends on 9 December.</w:t>
      </w:r>
    </w:p>
    <w:p>
      <w:pPr>
        <w:jc w:val="center"/>
      </w:pPr>
      <w:r>
        <w:drawing>
          <wp:inline xmlns:a="http://schemas.openxmlformats.org/drawingml/2006/main" xmlns:pic="http://schemas.openxmlformats.org/drawingml/2006/picture">
            <wp:extent cx="5486400" cy="3429332"/>
            <wp:docPr id="4" name="Picture 4"/>
            <wp:cNvGraphicFramePr>
              <a:graphicFrameLocks noChangeAspect="1"/>
            </wp:cNvGraphicFramePr>
            <a:graphic>
              <a:graphicData uri="http://schemas.openxmlformats.org/drawingml/2006/picture">
                <pic:pic>
                  <pic:nvPicPr>
                    <pic:cNvPr id="0" name="country_revenue.png"/>
                    <pic:cNvPicPr/>
                  </pic:nvPicPr>
                  <pic:blipFill>
                    <a:blip r:embed="rId13"/>
                    <a:stretch>
                      <a:fillRect/>
                    </a:stretch>
                  </pic:blipFill>
                  <pic:spPr>
                    <a:xfrm>
                      <a:off x="0" y="0"/>
                      <a:ext cx="5486400" cy="3429332"/>
                    </a:xfrm>
                    <a:prstGeom prst="rect"/>
                  </pic:spPr>
                </pic:pic>
              </a:graphicData>
            </a:graphic>
          </wp:inline>
        </w:drawing>
      </w:r>
    </w:p>
    <w:p>
      <w:pPr>
        <w:jc w:val="center"/>
      </w:pPr>
      <w:r>
        <w:rPr>
          <w:b/>
          <w:color w:val="667085"/>
          <w:sz w:val="17"/>
        </w:rPr>
        <w:t>Figure 3. Geographic concentration of transaction amount.</w:t>
      </w:r>
    </w:p>
    <w:p>
      <w:pPr>
        <w:spacing w:after="20"/>
      </w:pPr>
    </w:p>
    <w:p>
      <w:pPr>
        <w:spacing w:after="140" w:line="259" w:lineRule="auto"/>
      </w:pPr>
      <w:r>
        <w:t>The United Kingdom accounts for the largest share of transaction amount, at approximately £7.29 million. This concentration is an important contextual characteristic of the dataset and should be considered when generalizing findings to other markets.</w:t>
      </w:r>
    </w:p>
    <w:p>
      <w:pPr>
        <w:jc w:val="center"/>
      </w:pPr>
      <w:r>
        <w:drawing>
          <wp:inline xmlns:a="http://schemas.openxmlformats.org/drawingml/2006/main" xmlns:pic="http://schemas.openxmlformats.org/drawingml/2006/picture">
            <wp:extent cx="5669280" cy="3363043"/>
            <wp:docPr id="5" name="Picture 5"/>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669280" cy="3363043"/>
                    </a:xfrm>
                    <a:prstGeom prst="rect"/>
                  </pic:spPr>
                </pic:pic>
              </a:graphicData>
            </a:graphic>
          </wp:inline>
        </w:drawing>
      </w:r>
    </w:p>
    <w:p>
      <w:pPr>
        <w:jc w:val="center"/>
      </w:pPr>
      <w:r>
        <w:rPr>
          <w:b/>
          <w:color w:val="667085"/>
          <w:sz w:val="17"/>
        </w:rPr>
        <w:t>Figure 4. Highest-volume products by total quantity.</w:t>
      </w:r>
    </w:p>
    <w:p>
      <w:pPr>
        <w:spacing w:after="20"/>
      </w:pPr>
    </w:p>
    <w:p>
      <w:pPr>
        <w:spacing w:after="140" w:line="259" w:lineRule="auto"/>
      </w:pPr>
      <w:r>
        <w:t>PAPER CRAFT , LITTLE BIRDIE has the highest recorded quantity at 80,995 units, while several other high-volume items also contribute substantial demand. Quantity rankings and monetary rankings are not identical, emphasizing that volume and customer value capture different dimensions of the transaction data.</w:t>
      </w:r>
    </w:p>
    <w:p>
      <w:pPr>
        <w:jc w:val="center"/>
      </w:pPr>
      <w:r>
        <w:drawing>
          <wp:inline xmlns:a="http://schemas.openxmlformats.org/drawingml/2006/main" xmlns:pic="http://schemas.openxmlformats.org/drawingml/2006/picture">
            <wp:extent cx="4937760" cy="3498123"/>
            <wp:docPr id="6" name="Picture 6"/>
            <wp:cNvGraphicFramePr>
              <a:graphicFrameLocks noChangeAspect="1"/>
            </wp:cNvGraphicFramePr>
            <a:graphic>
              <a:graphicData uri="http://schemas.openxmlformats.org/drawingml/2006/picture">
                <pic:pic>
                  <pic:nvPicPr>
                    <pic:cNvPr id="0" name="target_dist.png"/>
                    <pic:cNvPicPr/>
                  </pic:nvPicPr>
                  <pic:blipFill>
                    <a:blip r:embed="rId15"/>
                    <a:stretch>
                      <a:fillRect/>
                    </a:stretch>
                  </pic:blipFill>
                  <pic:spPr>
                    <a:xfrm>
                      <a:off x="0" y="0"/>
                      <a:ext cx="4937760" cy="3498123"/>
                    </a:xfrm>
                    <a:prstGeom prst="rect"/>
                  </pic:spPr>
                </pic:pic>
              </a:graphicData>
            </a:graphic>
          </wp:inline>
        </w:drawing>
      </w:r>
    </w:p>
    <w:p>
      <w:pPr>
        <w:jc w:val="center"/>
      </w:pPr>
      <w:r>
        <w:rPr>
          <w:b/>
          <w:color w:val="667085"/>
          <w:sz w:val="17"/>
        </w:rPr>
        <w:t>Figure 5. Repeat-purchase target distribution used in predictive modeling.</w:t>
      </w:r>
    </w:p>
    <w:p>
      <w:pPr>
        <w:spacing w:after="20"/>
      </w:pPr>
    </w:p>
    <w:p>
      <w:pPr>
        <w:spacing w:after="140" w:line="259" w:lineRule="auto"/>
      </w:pPr>
      <w:r>
        <w:t>The predictive target contains 1,952 repeat purchasers (58.85%) and 1,365 non-repeat customers (41.15%). This is not perfectly balanced, which is one reason the project evaluates precision, recall, F1-score and ROC-AUC in addition to accuracy.</w:t>
      </w:r>
    </w:p>
    <w:p>
      <w:pPr>
        <w:pStyle w:val="Heading1"/>
      </w:pPr>
      <w:r>
        <w:rPr>
          <w:rFonts w:ascii="Aptos Display" w:hAnsi="Aptos Display"/>
          <w:color w:val="243B53"/>
        </w:rPr>
        <w:t>6. Unsupervised Learning: RFM Analysis and K-Means</w:t>
      </w:r>
    </w:p>
    <w:p>
      <w:pPr>
        <w:spacing w:after="140" w:line="259" w:lineRule="auto"/>
      </w:pPr>
      <w:r>
        <w:t>RFM analysis converts transaction histories into customer-level behavior. Recency measures days since the latest observed purchase, Frequency counts unique invoices, and Monetary sums transaction amount. These features are log-transformed and standardized before K-Means clustering.</w:t>
      </w:r>
    </w:p>
    <w:p>
      <w:pPr>
        <w:pStyle w:val="Heading2"/>
      </w:pPr>
      <w:r>
        <w:rPr>
          <w:rFonts w:ascii="Aptos Display" w:hAnsi="Aptos Display"/>
          <w:color w:val="3B5B7A"/>
        </w:rPr>
        <w:t>6.1 Cluster-selection evidence</w:t>
      </w:r>
    </w:p>
    <w:p>
      <w:pPr>
        <w:jc w:val="center"/>
      </w:pPr>
      <w:r>
        <w:drawing>
          <wp:inline xmlns:a="http://schemas.openxmlformats.org/drawingml/2006/main" xmlns:pic="http://schemas.openxmlformats.org/drawingml/2006/picture">
            <wp:extent cx="5669280" cy="2744321"/>
            <wp:docPr id="7" name="Picture 7"/>
            <wp:cNvGraphicFramePr>
              <a:graphicFrameLocks noChangeAspect="1"/>
            </wp:cNvGraphicFramePr>
            <a:graphic>
              <a:graphicData uri="http://schemas.openxmlformats.org/drawingml/2006/picture">
                <pic:pic>
                  <pic:nvPicPr>
                    <pic:cNvPr id="0" name="ss_01.png"/>
                    <pic:cNvPicPr/>
                  </pic:nvPicPr>
                  <pic:blipFill>
                    <a:blip r:embed="rId16"/>
                    <a:stretch>
                      <a:fillRect/>
                    </a:stretch>
                  </pic:blipFill>
                  <pic:spPr>
                    <a:xfrm>
                      <a:off x="0" y="0"/>
                      <a:ext cx="5669280" cy="2744321"/>
                    </a:xfrm>
                    <a:prstGeom prst="rect"/>
                  </pic:spPr>
                </pic:pic>
              </a:graphicData>
            </a:graphic>
          </wp:inline>
        </w:drawing>
      </w:r>
    </w:p>
    <w:p>
      <w:pPr>
        <w:jc w:val="center"/>
      </w:pPr>
      <w:r>
        <w:rPr>
          <w:b/>
          <w:color w:val="667085"/>
          <w:sz w:val="17"/>
        </w:rPr>
        <w:t>Figure 1. Standardization of the log-transformed RFM features before clustering.</w:t>
      </w:r>
    </w:p>
    <w:p>
      <w:pPr>
        <w:spacing w:after="20"/>
      </w:pPr>
    </w:p>
    <w:p>
      <w:pPr>
        <w:jc w:val="center"/>
      </w:pPr>
      <w:r>
        <w:drawing>
          <wp:inline xmlns:a="http://schemas.openxmlformats.org/drawingml/2006/main" xmlns:pic="http://schemas.openxmlformats.org/drawingml/2006/picture">
            <wp:extent cx="5669280" cy="5677532"/>
            <wp:docPr id="8" name="Picture 8"/>
            <wp:cNvGraphicFramePr>
              <a:graphicFrameLocks noChangeAspect="1"/>
            </wp:cNvGraphicFramePr>
            <a:graphic>
              <a:graphicData uri="http://schemas.openxmlformats.org/drawingml/2006/picture">
                <pic:pic>
                  <pic:nvPicPr>
                    <pic:cNvPr id="0" name="ss_02.png"/>
                    <pic:cNvPicPr/>
                  </pic:nvPicPr>
                  <pic:blipFill>
                    <a:blip r:embed="rId17"/>
                    <a:stretch>
                      <a:fillRect/>
                    </a:stretch>
                  </pic:blipFill>
                  <pic:spPr>
                    <a:xfrm>
                      <a:off x="0" y="0"/>
                      <a:ext cx="5669280" cy="5677532"/>
                    </a:xfrm>
                    <a:prstGeom prst="rect"/>
                  </pic:spPr>
                </pic:pic>
              </a:graphicData>
            </a:graphic>
          </wp:inline>
        </w:drawing>
      </w:r>
    </w:p>
    <w:p>
      <w:pPr>
        <w:jc w:val="center"/>
      </w:pPr>
      <w:r>
        <w:rPr>
          <w:b/>
          <w:color w:val="667085"/>
          <w:sz w:val="17"/>
        </w:rPr>
        <w:t>Figure 2. Inertia and silhouette scores for K values from 2 to 10.</w:t>
      </w:r>
    </w:p>
    <w:p>
      <w:pPr>
        <w:spacing w:after="20"/>
      </w:pPr>
    </w:p>
    <w:p>
      <w:pPr>
        <w:jc w:val="center"/>
      </w:pPr>
      <w:r>
        <w:drawing>
          <wp:inline xmlns:a="http://schemas.openxmlformats.org/drawingml/2006/main" xmlns:pic="http://schemas.openxmlformats.org/drawingml/2006/picture">
            <wp:extent cx="4937760" cy="3086398"/>
            <wp:docPr id="9" name="Picture 9"/>
            <wp:cNvGraphicFramePr>
              <a:graphicFrameLocks noChangeAspect="1"/>
            </wp:cNvGraphicFramePr>
            <a:graphic>
              <a:graphicData uri="http://schemas.openxmlformats.org/drawingml/2006/picture">
                <pic:pic>
                  <pic:nvPicPr>
                    <pic:cNvPr id="0" name="country_revenue.png"/>
                    <pic:cNvPicPr/>
                  </pic:nvPicPr>
                  <pic:blipFill>
                    <a:blip r:embed="rId13"/>
                    <a:stretch>
                      <a:fillRect/>
                    </a:stretch>
                  </pic:blipFill>
                  <pic:spPr>
                    <a:xfrm>
                      <a:off x="0" y="0"/>
                      <a:ext cx="4937760" cy="3086398"/>
                    </a:xfrm>
                    <a:prstGeom prst="rect"/>
                  </pic:spPr>
                </pic:pic>
              </a:graphicData>
            </a:graphic>
          </wp:inline>
        </w:drawing>
      </w:r>
    </w:p>
    <w:p>
      <w:pPr>
        <w:jc w:val="center"/>
      </w:pPr>
      <w:r>
        <w:rPr>
          <w:b/>
          <w:color w:val="667085"/>
          <w:sz w:val="17"/>
        </w:rPr>
        <w:t>Figure 6. Representative analytical visualization; the model-selection evidence above is used to select the final K value.</w:t>
      </w:r>
    </w:p>
    <w:p>
      <w:pPr>
        <w:spacing w:after="20"/>
      </w:pPr>
    </w:p>
    <w:p>
      <w:pPr>
        <w:jc w:val="center"/>
      </w:pPr>
      <w:r>
        <w:drawing>
          <wp:inline xmlns:a="http://schemas.openxmlformats.org/drawingml/2006/main" xmlns:pic="http://schemas.openxmlformats.org/drawingml/2006/picture">
            <wp:extent cx="5669280" cy="3732511"/>
            <wp:docPr id="10" name="Picture 10"/>
            <wp:cNvGraphicFramePr>
              <a:graphicFrameLocks noChangeAspect="1"/>
            </wp:cNvGraphicFramePr>
            <a:graphic>
              <a:graphicData uri="http://schemas.openxmlformats.org/drawingml/2006/picture">
                <pic:pic>
                  <pic:nvPicPr>
                    <pic:cNvPr id="0" name="ss_03.png"/>
                    <pic:cNvPicPr/>
                  </pic:nvPicPr>
                  <pic:blipFill>
                    <a:blip r:embed="rId18"/>
                    <a:stretch>
                      <a:fillRect/>
                    </a:stretch>
                  </pic:blipFill>
                  <pic:spPr>
                    <a:xfrm>
                      <a:off x="0" y="0"/>
                      <a:ext cx="5669280" cy="3732511"/>
                    </a:xfrm>
                    <a:prstGeom prst="rect"/>
                  </pic:spPr>
                </pic:pic>
              </a:graphicData>
            </a:graphic>
          </wp:inline>
        </w:drawing>
      </w:r>
    </w:p>
    <w:p>
      <w:pPr>
        <w:jc w:val="center"/>
      </w:pPr>
      <w:r>
        <w:rPr>
          <w:b/>
          <w:color w:val="667085"/>
          <w:sz w:val="17"/>
        </w:rPr>
        <w:t>Figure 3. Elbow-method plot for K-Means cluster selection.</w:t>
      </w:r>
    </w:p>
    <w:p>
      <w:pPr>
        <w:spacing w:after="20"/>
      </w:pPr>
    </w:p>
    <w:p>
      <w:pPr>
        <w:jc w:val="center"/>
      </w:pPr>
      <w:r>
        <w:drawing>
          <wp:inline xmlns:a="http://schemas.openxmlformats.org/drawingml/2006/main" xmlns:pic="http://schemas.openxmlformats.org/drawingml/2006/picture">
            <wp:extent cx="5669280" cy="3747326"/>
            <wp:docPr id="11" name="Picture 11"/>
            <wp:cNvGraphicFramePr>
              <a:graphicFrameLocks noChangeAspect="1"/>
            </wp:cNvGraphicFramePr>
            <a:graphic>
              <a:graphicData uri="http://schemas.openxmlformats.org/drawingml/2006/picture">
                <pic:pic>
                  <pic:nvPicPr>
                    <pic:cNvPr id="0" name="ss_04.png"/>
                    <pic:cNvPicPr/>
                  </pic:nvPicPr>
                  <pic:blipFill>
                    <a:blip r:embed="rId19"/>
                    <a:stretch>
                      <a:fillRect/>
                    </a:stretch>
                  </pic:blipFill>
                  <pic:spPr>
                    <a:xfrm>
                      <a:off x="0" y="0"/>
                      <a:ext cx="5669280" cy="3747326"/>
                    </a:xfrm>
                    <a:prstGeom prst="rect"/>
                  </pic:spPr>
                </pic:pic>
              </a:graphicData>
            </a:graphic>
          </wp:inline>
        </w:drawing>
      </w:r>
    </w:p>
    <w:p>
      <w:pPr>
        <w:jc w:val="center"/>
      </w:pPr>
      <w:r>
        <w:rPr>
          <w:b/>
          <w:color w:val="667085"/>
          <w:sz w:val="17"/>
        </w:rPr>
        <w:t>Figure 4. Silhouette-score plot for K-Means cluster selection.</w:t>
      </w:r>
    </w:p>
    <w:p>
      <w:pPr>
        <w:spacing w:after="20"/>
      </w:pPr>
    </w:p>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Cluster-selection decision</w:t>
            </w:r>
            <w:r>
              <w:rPr>
                <w:sz w:val="19"/>
              </w:rPr>
              <w:br/>
              <w:t>K = 2 was selected because it produced the highest silhouette score in the tested range (0.4328). The elbow curve declines progressively rather than showing one overwhelmingly dominant elbow, so silhouette provided useful complementary evidence.</w:t>
            </w:r>
          </w:p>
        </w:tc>
      </w:tr>
    </w:tbl>
    <w:p/>
    <w:p>
      <w:pPr>
        <w:pStyle w:val="Heading2"/>
      </w:pPr>
      <w:r>
        <w:rPr>
          <w:rFonts w:ascii="Aptos Display" w:hAnsi="Aptos Display"/>
          <w:color w:val="3B5B7A"/>
        </w:rPr>
        <w:t>6.2 Cluster profiles</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1680"/>
        <w:gridCol w:w="1680"/>
        <w:gridCol w:w="1680"/>
        <w:gridCol w:w="1680"/>
        <w:gridCol w:w="1680"/>
        <w:gridCol w:w="1680"/>
      </w:tblGrid>
      <w:tr>
        <w:tc>
          <w:tcPr>
            <w:tcW w:type="dxa" w:w="1152"/>
            <w:vAlign w:val="center"/>
            <w:shd w:fill="243B53"/>
          </w:tcPr>
          <w:p>
            <w:pPr>
              <w:spacing w:after="0"/>
              <w:jc w:val="center"/>
            </w:pPr>
            <w:r/>
            <w:r>
              <w:rPr>
                <w:rFonts w:ascii="Aptos" w:hAnsi="Aptos"/>
                <w:b/>
                <w:color w:val="FFFFFF"/>
                <w:sz w:val="18"/>
              </w:rPr>
              <w:t>Cluster</w:t>
            </w:r>
          </w:p>
        </w:tc>
        <w:tc>
          <w:tcPr>
            <w:tcW w:type="dxa" w:w="1440"/>
            <w:vAlign w:val="center"/>
            <w:shd w:fill="243B53"/>
          </w:tcPr>
          <w:p>
            <w:pPr>
              <w:spacing w:after="0"/>
              <w:jc w:val="center"/>
            </w:pPr>
            <w:r/>
            <w:r>
              <w:rPr>
                <w:rFonts w:ascii="Aptos" w:hAnsi="Aptos"/>
                <w:b/>
                <w:color w:val="FFFFFF"/>
                <w:sz w:val="18"/>
              </w:rPr>
              <w:t>Customers</w:t>
            </w:r>
          </w:p>
        </w:tc>
        <w:tc>
          <w:tcPr>
            <w:tcW w:type="dxa" w:w="1440"/>
            <w:vAlign w:val="center"/>
            <w:shd w:fill="243B53"/>
          </w:tcPr>
          <w:p>
            <w:pPr>
              <w:spacing w:after="0"/>
              <w:jc w:val="center"/>
            </w:pPr>
            <w:r/>
            <w:r>
              <w:rPr>
                <w:rFonts w:ascii="Aptos" w:hAnsi="Aptos"/>
                <w:b/>
                <w:color w:val="FFFFFF"/>
                <w:sz w:val="18"/>
              </w:rPr>
              <w:t>Customer %</w:t>
            </w:r>
          </w:p>
        </w:tc>
        <w:tc>
          <w:tcPr>
            <w:tcW w:type="dxa" w:w="1872"/>
            <w:vAlign w:val="center"/>
            <w:shd w:fill="243B53"/>
          </w:tcPr>
          <w:p>
            <w:pPr>
              <w:spacing w:after="0"/>
              <w:jc w:val="center"/>
            </w:pPr>
            <w:r/>
            <w:r>
              <w:rPr>
                <w:rFonts w:ascii="Aptos" w:hAnsi="Aptos"/>
                <w:b/>
                <w:color w:val="FFFFFF"/>
                <w:sz w:val="18"/>
              </w:rPr>
              <w:t>Avg Recency</w:t>
            </w:r>
          </w:p>
        </w:tc>
        <w:tc>
          <w:tcPr>
            <w:tcW w:type="dxa" w:w="1800"/>
            <w:vAlign w:val="center"/>
            <w:shd w:fill="243B53"/>
          </w:tcPr>
          <w:p>
            <w:pPr>
              <w:spacing w:after="0"/>
              <w:jc w:val="center"/>
            </w:pPr>
            <w:r/>
            <w:r>
              <w:rPr>
                <w:rFonts w:ascii="Aptos" w:hAnsi="Aptos"/>
                <w:b/>
                <w:color w:val="FFFFFF"/>
                <w:sz w:val="18"/>
              </w:rPr>
              <w:t>Avg Frequency</w:t>
            </w:r>
          </w:p>
        </w:tc>
        <w:tc>
          <w:tcPr>
            <w:tcW w:type="dxa" w:w="1800"/>
            <w:vAlign w:val="center"/>
            <w:shd w:fill="243B53"/>
          </w:tcPr>
          <w:p>
            <w:pPr>
              <w:spacing w:after="0"/>
              <w:jc w:val="center"/>
            </w:pPr>
            <w:r/>
            <w:r>
              <w:rPr>
                <w:rFonts w:ascii="Aptos" w:hAnsi="Aptos"/>
                <w:b/>
                <w:color w:val="FFFFFF"/>
                <w:sz w:val="18"/>
              </w:rPr>
              <w:t>Avg Monetary</w:t>
            </w:r>
          </w:p>
        </w:tc>
      </w:tr>
      <w:tr>
        <w:tc>
          <w:tcPr>
            <w:tcW w:type="dxa" w:w="1152"/>
            <w:vAlign w:val="center"/>
            <w:shd w:fill="F5F7FA"/>
          </w:tcPr>
          <w:p>
            <w:pPr>
              <w:spacing w:after="0"/>
              <w:jc w:val="left"/>
            </w:pPr>
            <w:r/>
            <w:r>
              <w:rPr>
                <w:rFonts w:ascii="Aptos" w:hAnsi="Aptos"/>
                <w:b w:val="0"/>
                <w:color w:val="1F2937"/>
                <w:sz w:val="18"/>
              </w:rPr>
              <w:t>0</w:t>
            </w:r>
          </w:p>
        </w:tc>
        <w:tc>
          <w:tcPr>
            <w:tcW w:type="dxa" w:w="1440"/>
            <w:vAlign w:val="center"/>
            <w:shd w:fill="F5F7FA"/>
          </w:tcPr>
          <w:p>
            <w:pPr>
              <w:spacing w:after="0"/>
              <w:jc w:val="left"/>
            </w:pPr>
            <w:r/>
            <w:r>
              <w:rPr>
                <w:rFonts w:ascii="Aptos" w:hAnsi="Aptos"/>
                <w:b w:val="0"/>
                <w:color w:val="1F2937"/>
                <w:sz w:val="18"/>
              </w:rPr>
              <w:t>2,672</w:t>
            </w:r>
          </w:p>
        </w:tc>
        <w:tc>
          <w:tcPr>
            <w:tcW w:type="dxa" w:w="1440"/>
            <w:vAlign w:val="center"/>
            <w:shd w:fill="F5F7FA"/>
          </w:tcPr>
          <w:p>
            <w:pPr>
              <w:spacing w:after="0"/>
              <w:jc w:val="left"/>
            </w:pPr>
            <w:r/>
            <w:r>
              <w:rPr>
                <w:rFonts w:ascii="Aptos" w:hAnsi="Aptos"/>
                <w:b w:val="0"/>
                <w:color w:val="1F2937"/>
                <w:sz w:val="18"/>
              </w:rPr>
              <w:t>61.60%</w:t>
            </w:r>
          </w:p>
        </w:tc>
        <w:tc>
          <w:tcPr>
            <w:tcW w:type="dxa" w:w="1872"/>
            <w:vAlign w:val="center"/>
            <w:shd w:fill="F5F7FA"/>
          </w:tcPr>
          <w:p>
            <w:pPr>
              <w:spacing w:after="0"/>
              <w:jc w:val="left"/>
            </w:pPr>
            <w:r/>
            <w:r>
              <w:rPr>
                <w:rFonts w:ascii="Aptos" w:hAnsi="Aptos"/>
                <w:b w:val="0"/>
                <w:color w:val="1F2937"/>
                <w:sz w:val="18"/>
              </w:rPr>
              <w:t>134.09 days</w:t>
            </w:r>
          </w:p>
        </w:tc>
        <w:tc>
          <w:tcPr>
            <w:tcW w:type="dxa" w:w="1800"/>
            <w:vAlign w:val="center"/>
            <w:shd w:fill="F5F7FA"/>
          </w:tcPr>
          <w:p>
            <w:pPr>
              <w:spacing w:after="0"/>
              <w:jc w:val="left"/>
            </w:pPr>
            <w:r/>
            <w:r>
              <w:rPr>
                <w:rFonts w:ascii="Aptos" w:hAnsi="Aptos"/>
                <w:b w:val="0"/>
                <w:color w:val="1F2937"/>
                <w:sz w:val="18"/>
              </w:rPr>
              <w:t>1.67 invoices</w:t>
            </w:r>
          </w:p>
        </w:tc>
        <w:tc>
          <w:tcPr>
            <w:tcW w:type="dxa" w:w="1800"/>
            <w:vAlign w:val="center"/>
            <w:shd w:fill="F5F7FA"/>
          </w:tcPr>
          <w:p>
            <w:pPr>
              <w:spacing w:after="0"/>
              <w:jc w:val="left"/>
            </w:pPr>
            <w:r/>
            <w:r>
              <w:rPr>
                <w:rFonts w:ascii="Aptos" w:hAnsi="Aptos"/>
                <w:b w:val="0"/>
                <w:color w:val="1F2937"/>
                <w:sz w:val="18"/>
              </w:rPr>
              <w:t>£495.59</w:t>
            </w:r>
          </w:p>
        </w:tc>
      </w:tr>
      <w:tr>
        <w:tc>
          <w:tcPr>
            <w:tcW w:type="dxa" w:w="1152"/>
            <w:vAlign w:val="center"/>
            <w:shd w:fill="FFFFFF"/>
          </w:tcPr>
          <w:p>
            <w:pPr>
              <w:spacing w:after="0"/>
              <w:jc w:val="left"/>
            </w:pPr>
            <w:r/>
            <w:r>
              <w:rPr>
                <w:rFonts w:ascii="Aptos" w:hAnsi="Aptos"/>
                <w:b w:val="0"/>
                <w:color w:val="1F2937"/>
                <w:sz w:val="18"/>
              </w:rPr>
              <w:t>1</w:t>
            </w:r>
          </w:p>
        </w:tc>
        <w:tc>
          <w:tcPr>
            <w:tcW w:type="dxa" w:w="1440"/>
            <w:vAlign w:val="center"/>
            <w:shd w:fill="FFFFFF"/>
          </w:tcPr>
          <w:p>
            <w:pPr>
              <w:spacing w:after="0"/>
              <w:jc w:val="left"/>
            </w:pPr>
            <w:r/>
            <w:r>
              <w:rPr>
                <w:rFonts w:ascii="Aptos" w:hAnsi="Aptos"/>
                <w:b w:val="0"/>
                <w:color w:val="1F2937"/>
                <w:sz w:val="18"/>
              </w:rPr>
              <w:t>1,666</w:t>
            </w:r>
          </w:p>
        </w:tc>
        <w:tc>
          <w:tcPr>
            <w:tcW w:type="dxa" w:w="1440"/>
            <w:vAlign w:val="center"/>
            <w:shd w:fill="FFFFFF"/>
          </w:tcPr>
          <w:p>
            <w:pPr>
              <w:spacing w:after="0"/>
              <w:jc w:val="left"/>
            </w:pPr>
            <w:r/>
            <w:r>
              <w:rPr>
                <w:rFonts w:ascii="Aptos" w:hAnsi="Aptos"/>
                <w:b w:val="0"/>
                <w:color w:val="1F2937"/>
                <w:sz w:val="18"/>
              </w:rPr>
              <w:t>38.40%</w:t>
            </w:r>
          </w:p>
        </w:tc>
        <w:tc>
          <w:tcPr>
            <w:tcW w:type="dxa" w:w="1872"/>
            <w:vAlign w:val="center"/>
            <w:shd w:fill="FFFFFF"/>
          </w:tcPr>
          <w:p>
            <w:pPr>
              <w:spacing w:after="0"/>
              <w:jc w:val="left"/>
            </w:pPr>
            <w:r/>
            <w:r>
              <w:rPr>
                <w:rFonts w:ascii="Aptos" w:hAnsi="Aptos"/>
                <w:b w:val="0"/>
                <w:color w:val="1F2937"/>
                <w:sz w:val="18"/>
              </w:rPr>
              <w:t>25.89 days</w:t>
            </w:r>
          </w:p>
        </w:tc>
        <w:tc>
          <w:tcPr>
            <w:tcW w:type="dxa" w:w="1800"/>
            <w:vAlign w:val="center"/>
            <w:shd w:fill="FFFFFF"/>
          </w:tcPr>
          <w:p>
            <w:pPr>
              <w:spacing w:after="0"/>
              <w:jc w:val="left"/>
            </w:pPr>
            <w:r/>
            <w:r>
              <w:rPr>
                <w:rFonts w:ascii="Aptos" w:hAnsi="Aptos"/>
                <w:b w:val="0"/>
                <w:color w:val="1F2937"/>
                <w:sz w:val="18"/>
              </w:rPr>
              <w:t>8.44 invoices</w:t>
            </w:r>
          </w:p>
        </w:tc>
        <w:tc>
          <w:tcPr>
            <w:tcW w:type="dxa" w:w="1800"/>
            <w:vAlign w:val="center"/>
            <w:shd w:fill="FFFFFF"/>
          </w:tcPr>
          <w:p>
            <w:pPr>
              <w:spacing w:after="0"/>
              <w:jc w:val="left"/>
            </w:pPr>
            <w:r/>
            <w:r>
              <w:rPr>
                <w:rFonts w:ascii="Aptos" w:hAnsi="Aptos"/>
                <w:b w:val="0"/>
                <w:color w:val="1F2937"/>
                <w:sz w:val="18"/>
              </w:rPr>
              <w:t>£4,539.60</w:t>
            </w:r>
          </w:p>
        </w:tc>
      </w:tr>
    </w:tbl>
    <w:p>
      <w:pPr>
        <w:jc w:val="center"/>
      </w:pPr>
      <w:r>
        <w:drawing>
          <wp:inline xmlns:a="http://schemas.openxmlformats.org/drawingml/2006/main" xmlns:pic="http://schemas.openxmlformats.org/drawingml/2006/picture">
            <wp:extent cx="5669280" cy="2891713"/>
            <wp:docPr id="12" name="Picture 12"/>
            <wp:cNvGraphicFramePr>
              <a:graphicFrameLocks noChangeAspect="1"/>
            </wp:cNvGraphicFramePr>
            <a:graphic>
              <a:graphicData uri="http://schemas.openxmlformats.org/drawingml/2006/picture">
                <pic:pic>
                  <pic:nvPicPr>
                    <pic:cNvPr id="0" name="ss_05.png"/>
                    <pic:cNvPicPr/>
                  </pic:nvPicPr>
                  <pic:blipFill>
                    <a:blip r:embed="rId20"/>
                    <a:stretch>
                      <a:fillRect/>
                    </a:stretch>
                  </pic:blipFill>
                  <pic:spPr>
                    <a:xfrm>
                      <a:off x="0" y="0"/>
                      <a:ext cx="5669280" cy="2891713"/>
                    </a:xfrm>
                    <a:prstGeom prst="rect"/>
                  </pic:spPr>
                </pic:pic>
              </a:graphicData>
            </a:graphic>
          </wp:inline>
        </w:drawing>
      </w:r>
    </w:p>
    <w:p>
      <w:pPr>
        <w:jc w:val="center"/>
      </w:pPr>
      <w:r>
        <w:rPr>
          <w:b/>
          <w:color w:val="667085"/>
          <w:sz w:val="17"/>
        </w:rPr>
        <w:t>Figure 5. Final customer cluster profile table produced from the K-Means model.</w:t>
      </w:r>
    </w:p>
    <w:p>
      <w:pPr>
        <w:spacing w:after="20"/>
      </w:pPr>
    </w:p>
    <w:p>
      <w:pPr>
        <w:jc w:val="center"/>
      </w:pPr>
      <w:r>
        <w:drawing>
          <wp:inline xmlns:a="http://schemas.openxmlformats.org/drawingml/2006/main" xmlns:pic="http://schemas.openxmlformats.org/drawingml/2006/picture">
            <wp:extent cx="5669280" cy="3921195"/>
            <wp:docPr id="13" name="Picture 13"/>
            <wp:cNvGraphicFramePr>
              <a:graphicFrameLocks noChangeAspect="1"/>
            </wp:cNvGraphicFramePr>
            <a:graphic>
              <a:graphicData uri="http://schemas.openxmlformats.org/drawingml/2006/picture">
                <pic:pic>
                  <pic:nvPicPr>
                    <pic:cNvPr id="0" name="ss_06.png"/>
                    <pic:cNvPicPr/>
                  </pic:nvPicPr>
                  <pic:blipFill>
                    <a:blip r:embed="rId21"/>
                    <a:stretch>
                      <a:fillRect/>
                    </a:stretch>
                  </pic:blipFill>
                  <pic:spPr>
                    <a:xfrm>
                      <a:off x="0" y="0"/>
                      <a:ext cx="5669280" cy="3921195"/>
                    </a:xfrm>
                    <a:prstGeom prst="rect"/>
                  </pic:spPr>
                </pic:pic>
              </a:graphicData>
            </a:graphic>
          </wp:inline>
        </w:drawing>
      </w:r>
    </w:p>
    <w:p>
      <w:pPr>
        <w:jc w:val="center"/>
      </w:pPr>
      <w:r>
        <w:rPr>
          <w:b/>
          <w:color w:val="667085"/>
          <w:sz w:val="17"/>
        </w:rPr>
        <w:t>Figure 6. PCA projection of the two customer segments and explained-variance output.</w:t>
      </w:r>
    </w:p>
    <w:p>
      <w:pPr>
        <w:spacing w:after="20"/>
      </w:pPr>
    </w:p>
    <w:p>
      <w:pPr>
        <w:spacing w:after="140" w:line="259" w:lineRule="auto"/>
      </w:pPr>
      <w:r>
        <w:t>Cluster 0 represents a larger group with much higher average recency and lower purchasing frequency and monetary value. Cluster 1 represents a smaller but much more active group with recent purchasing, higher frequency and much higher monetary value. These labels are analytical descriptions rather than claims about customer intent.</w:t>
      </w:r>
    </w:p>
    <w:p>
      <w:pPr>
        <w:jc w:val="center"/>
      </w:pPr>
      <w:r>
        <w:drawing>
          <wp:inline xmlns:a="http://schemas.openxmlformats.org/drawingml/2006/main" xmlns:pic="http://schemas.openxmlformats.org/drawingml/2006/picture">
            <wp:extent cx="5669280" cy="3818453"/>
            <wp:docPr id="14" name="Picture 14"/>
            <wp:cNvGraphicFramePr>
              <a:graphicFrameLocks noChangeAspect="1"/>
            </wp:cNvGraphicFramePr>
            <a:graphic>
              <a:graphicData uri="http://schemas.openxmlformats.org/drawingml/2006/picture">
                <pic:pic>
                  <pic:nvPicPr>
                    <pic:cNvPr id="0" name="ss_15.png"/>
                    <pic:cNvPicPr/>
                  </pic:nvPicPr>
                  <pic:blipFill>
                    <a:blip r:embed="rId22"/>
                    <a:stretch>
                      <a:fillRect/>
                    </a:stretch>
                  </pic:blipFill>
                  <pic:spPr>
                    <a:xfrm>
                      <a:off x="0" y="0"/>
                      <a:ext cx="5669280" cy="3818453"/>
                    </a:xfrm>
                    <a:prstGeom prst="rect"/>
                  </pic:spPr>
                </pic:pic>
              </a:graphicData>
            </a:graphic>
          </wp:inline>
        </w:drawing>
      </w:r>
    </w:p>
    <w:p>
      <w:pPr>
        <w:jc w:val="center"/>
      </w:pPr>
      <w:r>
        <w:rPr>
          <w:b/>
          <w:color w:val="667085"/>
          <w:sz w:val="17"/>
        </w:rPr>
        <w:t>Figure 15. Final clustering evaluation: K = 2 and silhouette score = 0.4328.</w:t>
      </w:r>
    </w:p>
    <w:p>
      <w:pPr>
        <w:spacing w:after="20"/>
      </w:pPr>
    </w:p>
    <w:p>
      <w:pPr>
        <w:pStyle w:val="Heading1"/>
      </w:pPr>
      <w:r>
        <w:rPr>
          <w:rFonts w:ascii="Aptos Display" w:hAnsi="Aptos Display"/>
          <w:color w:val="243B53"/>
        </w:rPr>
        <w:t>7. Supervised Learning: Repeat-Purchase Prediction</w:t>
      </w:r>
    </w:p>
    <w:p>
      <w:pPr>
        <w:pStyle w:val="Heading2"/>
      </w:pPr>
      <w:r>
        <w:rPr>
          <w:rFonts w:ascii="Aptos Display" w:hAnsi="Aptos Display"/>
          <w:color w:val="3B5B7A"/>
        </w:rPr>
        <w:t>7.1 Leakage-controlled temporal design</w:t>
      </w:r>
    </w:p>
    <w:p>
      <w:pPr>
        <w:jc w:val="center"/>
      </w:pPr>
      <w:r>
        <w:drawing>
          <wp:inline xmlns:a="http://schemas.openxmlformats.org/drawingml/2006/main" xmlns:pic="http://schemas.openxmlformats.org/drawingml/2006/picture">
            <wp:extent cx="5669280" cy="4802796"/>
            <wp:docPr id="15" name="Picture 15"/>
            <wp:cNvGraphicFramePr>
              <a:graphicFrameLocks noChangeAspect="1"/>
            </wp:cNvGraphicFramePr>
            <a:graphic>
              <a:graphicData uri="http://schemas.openxmlformats.org/drawingml/2006/picture">
                <pic:pic>
                  <pic:nvPicPr>
                    <pic:cNvPr id="0" name="ss_07.png"/>
                    <pic:cNvPicPr/>
                  </pic:nvPicPr>
                  <pic:blipFill>
                    <a:blip r:embed="rId23"/>
                    <a:stretch>
                      <a:fillRect/>
                    </a:stretch>
                  </pic:blipFill>
                  <pic:spPr>
                    <a:xfrm>
                      <a:off x="0" y="0"/>
                      <a:ext cx="5669280" cy="4802796"/>
                    </a:xfrm>
                    <a:prstGeom prst="rect"/>
                  </pic:spPr>
                </pic:pic>
              </a:graphicData>
            </a:graphic>
          </wp:inline>
        </w:drawing>
      </w:r>
    </w:p>
    <w:p>
      <w:pPr>
        <w:jc w:val="center"/>
      </w:pPr>
      <w:r>
        <w:rPr>
          <w:b/>
          <w:color w:val="667085"/>
          <w:sz w:val="17"/>
        </w:rPr>
        <w:t>Figure 7. Chronological historical/future split used to define the repeat-purchase prediction problem.</w:t>
      </w:r>
    </w:p>
    <w:p>
      <w:pPr>
        <w:spacing w:after="20"/>
      </w:pPr>
    </w:p>
    <w:p>
      <w:pPr>
        <w:spacing w:after="140" w:line="259" w:lineRule="auto"/>
      </w:pPr>
      <w:r>
        <w:t>A cutoff date of 1 September 2011 separates model inputs from the future target period. Historical transactions before the cutoff produce the customer features; transactions on or after the cutoff are used only to determine whether the customer purchased again. This mirrors the logic used in Tasks 4 and 5 and protects the predictive evaluation from direct future-information leakage.</w:t>
      </w:r>
    </w:p>
    <w:p>
      <w:pPr>
        <w:pStyle w:val="Heading2"/>
      </w:pPr>
      <w:r>
        <w:rPr>
          <w:rFonts w:ascii="Aptos Display" w:hAnsi="Aptos Display"/>
          <w:color w:val="3B5B7A"/>
        </w:rPr>
        <w:t>7.2 Customer-level features</w:t>
      </w:r>
    </w:p>
    <w:p>
      <w:pPr>
        <w:jc w:val="center"/>
      </w:pPr>
      <w:r>
        <w:drawing>
          <wp:inline xmlns:a="http://schemas.openxmlformats.org/drawingml/2006/main" xmlns:pic="http://schemas.openxmlformats.org/drawingml/2006/picture">
            <wp:extent cx="5669280" cy="1572560"/>
            <wp:docPr id="16" name="Picture 16"/>
            <wp:cNvGraphicFramePr>
              <a:graphicFrameLocks noChangeAspect="1"/>
            </wp:cNvGraphicFramePr>
            <a:graphic>
              <a:graphicData uri="http://schemas.openxmlformats.org/drawingml/2006/picture">
                <pic:pic>
                  <pic:nvPicPr>
                    <pic:cNvPr id="0" name="ss_08.png"/>
                    <pic:cNvPicPr/>
                  </pic:nvPicPr>
                  <pic:blipFill>
                    <a:blip r:embed="rId24"/>
                    <a:stretch>
                      <a:fillRect/>
                    </a:stretch>
                  </pic:blipFill>
                  <pic:spPr>
                    <a:xfrm>
                      <a:off x="0" y="0"/>
                      <a:ext cx="5669280" cy="1572560"/>
                    </a:xfrm>
                    <a:prstGeom prst="rect"/>
                  </pic:spPr>
                </pic:pic>
              </a:graphicData>
            </a:graphic>
          </wp:inline>
        </w:drawing>
      </w:r>
    </w:p>
    <w:p>
      <w:pPr>
        <w:jc w:val="center"/>
      </w:pPr>
      <w:r>
        <w:rPr>
          <w:b/>
          <w:color w:val="667085"/>
          <w:sz w:val="17"/>
        </w:rPr>
        <w:t>Figure 8. Historical customer feature table containing the six predictive features.</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2880"/>
            <w:vAlign w:val="center"/>
            <w:shd w:fill="243B53"/>
          </w:tcPr>
          <w:p>
            <w:pPr>
              <w:spacing w:after="0"/>
              <w:jc w:val="center"/>
            </w:pPr>
            <w:r/>
            <w:r>
              <w:rPr>
                <w:rFonts w:ascii="Aptos" w:hAnsi="Aptos"/>
                <w:b/>
                <w:color w:val="FFFFFF"/>
                <w:sz w:val="18"/>
              </w:rPr>
              <w:t>Feature</w:t>
            </w:r>
          </w:p>
        </w:tc>
        <w:tc>
          <w:tcPr>
            <w:tcW w:type="dxa" w:w="6912"/>
            <w:vAlign w:val="center"/>
            <w:shd w:fill="243B53"/>
          </w:tcPr>
          <w:p>
            <w:pPr>
              <w:spacing w:after="0"/>
              <w:jc w:val="center"/>
            </w:pPr>
            <w:r/>
            <w:r>
              <w:rPr>
                <w:rFonts w:ascii="Aptos" w:hAnsi="Aptos"/>
                <w:b/>
                <w:color w:val="FFFFFF"/>
                <w:sz w:val="18"/>
              </w:rPr>
              <w:t>Definition</w:t>
            </w:r>
          </w:p>
        </w:tc>
      </w:tr>
      <w:tr>
        <w:tc>
          <w:tcPr>
            <w:tcW w:type="dxa" w:w="2880"/>
            <w:vAlign w:val="center"/>
            <w:shd w:fill="F5F7FA"/>
          </w:tcPr>
          <w:p>
            <w:pPr>
              <w:spacing w:after="0"/>
              <w:jc w:val="left"/>
            </w:pPr>
            <w:r/>
            <w:r>
              <w:rPr>
                <w:rFonts w:ascii="Aptos" w:hAnsi="Aptos"/>
                <w:b w:val="0"/>
                <w:color w:val="1F2937"/>
                <w:sz w:val="18"/>
              </w:rPr>
              <w:t>Recency</w:t>
            </w:r>
          </w:p>
        </w:tc>
        <w:tc>
          <w:tcPr>
            <w:tcW w:type="dxa" w:w="6912"/>
            <w:vAlign w:val="center"/>
            <w:shd w:fill="F5F7FA"/>
          </w:tcPr>
          <w:p>
            <w:pPr>
              <w:spacing w:after="0"/>
              <w:jc w:val="left"/>
            </w:pPr>
            <w:r/>
            <w:r>
              <w:rPr>
                <w:rFonts w:ascii="Aptos" w:hAnsi="Aptos"/>
                <w:b w:val="0"/>
                <w:color w:val="1F2937"/>
                <w:sz w:val="18"/>
              </w:rPr>
              <w:t>Days since latest historical purchase</w:t>
            </w:r>
          </w:p>
        </w:tc>
      </w:tr>
      <w:tr>
        <w:tc>
          <w:tcPr>
            <w:tcW w:type="dxa" w:w="2880"/>
            <w:vAlign w:val="center"/>
            <w:shd w:fill="FFFFFF"/>
          </w:tcPr>
          <w:p>
            <w:pPr>
              <w:spacing w:after="0"/>
              <w:jc w:val="left"/>
            </w:pPr>
            <w:r/>
            <w:r>
              <w:rPr>
                <w:rFonts w:ascii="Aptos" w:hAnsi="Aptos"/>
                <w:b w:val="0"/>
                <w:color w:val="1F2937"/>
                <w:sz w:val="18"/>
              </w:rPr>
              <w:t>Frequency</w:t>
            </w:r>
          </w:p>
        </w:tc>
        <w:tc>
          <w:tcPr>
            <w:tcW w:type="dxa" w:w="6912"/>
            <w:vAlign w:val="center"/>
            <w:shd w:fill="FFFFFF"/>
          </w:tcPr>
          <w:p>
            <w:pPr>
              <w:spacing w:after="0"/>
              <w:jc w:val="left"/>
            </w:pPr>
            <w:r/>
            <w:r>
              <w:rPr>
                <w:rFonts w:ascii="Aptos" w:hAnsi="Aptos"/>
                <w:b w:val="0"/>
                <w:color w:val="1F2937"/>
                <w:sz w:val="18"/>
              </w:rPr>
              <w:t>Unique historical invoice count</w:t>
            </w:r>
          </w:p>
        </w:tc>
      </w:tr>
      <w:tr>
        <w:tc>
          <w:tcPr>
            <w:tcW w:type="dxa" w:w="2880"/>
            <w:vAlign w:val="center"/>
            <w:shd w:fill="F5F7FA"/>
          </w:tcPr>
          <w:p>
            <w:pPr>
              <w:spacing w:after="0"/>
              <w:jc w:val="left"/>
            </w:pPr>
            <w:r/>
            <w:r>
              <w:rPr>
                <w:rFonts w:ascii="Aptos" w:hAnsi="Aptos"/>
                <w:b w:val="0"/>
                <w:color w:val="1F2937"/>
                <w:sz w:val="18"/>
              </w:rPr>
              <w:t>Monetary</w:t>
            </w:r>
          </w:p>
        </w:tc>
        <w:tc>
          <w:tcPr>
            <w:tcW w:type="dxa" w:w="6912"/>
            <w:vAlign w:val="center"/>
            <w:shd w:fill="F5F7FA"/>
          </w:tcPr>
          <w:p>
            <w:pPr>
              <w:spacing w:after="0"/>
              <w:jc w:val="left"/>
            </w:pPr>
            <w:r/>
            <w:r>
              <w:rPr>
                <w:rFonts w:ascii="Aptos" w:hAnsi="Aptos"/>
                <w:b w:val="0"/>
                <w:color w:val="1F2937"/>
                <w:sz w:val="18"/>
              </w:rPr>
              <w:t>Total historical transaction amount</w:t>
            </w:r>
          </w:p>
        </w:tc>
      </w:tr>
      <w:tr>
        <w:tc>
          <w:tcPr>
            <w:tcW w:type="dxa" w:w="2880"/>
            <w:vAlign w:val="center"/>
            <w:shd w:fill="FFFFFF"/>
          </w:tcPr>
          <w:p>
            <w:pPr>
              <w:spacing w:after="0"/>
              <w:jc w:val="left"/>
            </w:pPr>
            <w:r/>
            <w:r>
              <w:rPr>
                <w:rFonts w:ascii="Aptos" w:hAnsi="Aptos"/>
                <w:b w:val="0"/>
                <w:color w:val="1F2937"/>
                <w:sz w:val="18"/>
              </w:rPr>
              <w:t>TotalQuantity</w:t>
            </w:r>
          </w:p>
        </w:tc>
        <w:tc>
          <w:tcPr>
            <w:tcW w:type="dxa" w:w="6912"/>
            <w:vAlign w:val="center"/>
            <w:shd w:fill="FFFFFF"/>
          </w:tcPr>
          <w:p>
            <w:pPr>
              <w:spacing w:after="0"/>
              <w:jc w:val="left"/>
            </w:pPr>
            <w:r/>
            <w:r>
              <w:rPr>
                <w:rFonts w:ascii="Aptos" w:hAnsi="Aptos"/>
                <w:b w:val="0"/>
                <w:color w:val="1F2937"/>
                <w:sz w:val="18"/>
              </w:rPr>
              <w:t>Total units purchased historically</w:t>
            </w:r>
          </w:p>
        </w:tc>
      </w:tr>
      <w:tr>
        <w:tc>
          <w:tcPr>
            <w:tcW w:type="dxa" w:w="2880"/>
            <w:vAlign w:val="center"/>
            <w:shd w:fill="F5F7FA"/>
          </w:tcPr>
          <w:p>
            <w:pPr>
              <w:spacing w:after="0"/>
              <w:jc w:val="left"/>
            </w:pPr>
            <w:r/>
            <w:r>
              <w:rPr>
                <w:rFonts w:ascii="Aptos" w:hAnsi="Aptos"/>
                <w:b w:val="0"/>
                <w:color w:val="1F2937"/>
                <w:sz w:val="18"/>
              </w:rPr>
              <w:t>UniqueProducts</w:t>
            </w:r>
          </w:p>
        </w:tc>
        <w:tc>
          <w:tcPr>
            <w:tcW w:type="dxa" w:w="6912"/>
            <w:vAlign w:val="center"/>
            <w:shd w:fill="F5F7FA"/>
          </w:tcPr>
          <w:p>
            <w:pPr>
              <w:spacing w:after="0"/>
              <w:jc w:val="left"/>
            </w:pPr>
            <w:r/>
            <w:r>
              <w:rPr>
                <w:rFonts w:ascii="Aptos" w:hAnsi="Aptos"/>
                <w:b w:val="0"/>
                <w:color w:val="1F2937"/>
                <w:sz w:val="18"/>
              </w:rPr>
              <w:t>Distinct stock codes purchased</w:t>
            </w:r>
          </w:p>
        </w:tc>
      </w:tr>
      <w:tr>
        <w:tc>
          <w:tcPr>
            <w:tcW w:type="dxa" w:w="2880"/>
            <w:vAlign w:val="center"/>
            <w:shd w:fill="FFFFFF"/>
          </w:tcPr>
          <w:p>
            <w:pPr>
              <w:spacing w:after="0"/>
              <w:jc w:val="left"/>
            </w:pPr>
            <w:r/>
            <w:r>
              <w:rPr>
                <w:rFonts w:ascii="Aptos" w:hAnsi="Aptos"/>
                <w:b w:val="0"/>
                <w:color w:val="1F2937"/>
                <w:sz w:val="18"/>
              </w:rPr>
              <w:t>AvgOrderValue</w:t>
            </w:r>
          </w:p>
        </w:tc>
        <w:tc>
          <w:tcPr>
            <w:tcW w:type="dxa" w:w="6912"/>
            <w:vAlign w:val="center"/>
            <w:shd w:fill="FFFFFF"/>
          </w:tcPr>
          <w:p>
            <w:pPr>
              <w:spacing w:after="0"/>
              <w:jc w:val="left"/>
            </w:pPr>
            <w:r/>
            <w:r>
              <w:rPr>
                <w:rFonts w:ascii="Aptos" w:hAnsi="Aptos"/>
                <w:b w:val="0"/>
                <w:color w:val="1F2937"/>
                <w:sz w:val="18"/>
              </w:rPr>
              <w:t>Monetary / Frequency</w:t>
            </w:r>
          </w:p>
        </w:tc>
      </w:tr>
    </w:tbl>
    <w:p>
      <w:pPr>
        <w:pStyle w:val="Heading2"/>
      </w:pPr>
      <w:r>
        <w:rPr>
          <w:rFonts w:ascii="Aptos Display" w:hAnsi="Aptos Display"/>
          <w:color w:val="3B5B7A"/>
        </w:rPr>
        <w:t>7.3 Classical model results</w:t>
      </w:r>
    </w:p>
    <w:p>
      <w:pPr>
        <w:jc w:val="center"/>
      </w:pPr>
      <w:r>
        <w:drawing>
          <wp:inline xmlns:a="http://schemas.openxmlformats.org/drawingml/2006/main" xmlns:pic="http://schemas.openxmlformats.org/drawingml/2006/picture">
            <wp:extent cx="5669280" cy="1080799"/>
            <wp:docPr id="17" name="Picture 17"/>
            <wp:cNvGraphicFramePr>
              <a:graphicFrameLocks noChangeAspect="1"/>
            </wp:cNvGraphicFramePr>
            <a:graphic>
              <a:graphicData uri="http://schemas.openxmlformats.org/drawingml/2006/picture">
                <pic:pic>
                  <pic:nvPicPr>
                    <pic:cNvPr id="0" name="ss_09.png"/>
                    <pic:cNvPicPr/>
                  </pic:nvPicPr>
                  <pic:blipFill>
                    <a:blip r:embed="rId25"/>
                    <a:stretch>
                      <a:fillRect/>
                    </a:stretch>
                  </pic:blipFill>
                  <pic:spPr>
                    <a:xfrm>
                      <a:off x="0" y="0"/>
                      <a:ext cx="5669280" cy="1080799"/>
                    </a:xfrm>
                    <a:prstGeom prst="rect"/>
                  </pic:spPr>
                </pic:pic>
              </a:graphicData>
            </a:graphic>
          </wp:inline>
        </w:drawing>
      </w:r>
    </w:p>
    <w:p>
      <w:pPr>
        <w:jc w:val="center"/>
      </w:pPr>
      <w:r>
        <w:rPr>
          <w:b/>
          <w:color w:val="667085"/>
          <w:sz w:val="17"/>
        </w:rPr>
        <w:t>Figure 9. Logistic Regression test-set results.</w:t>
      </w:r>
    </w:p>
    <w:p>
      <w:pPr>
        <w:spacing w:after="20"/>
      </w:pPr>
    </w:p>
    <w:p>
      <w:pPr>
        <w:jc w:val="center"/>
      </w:pPr>
      <w:r>
        <w:drawing>
          <wp:inline xmlns:a="http://schemas.openxmlformats.org/drawingml/2006/main" xmlns:pic="http://schemas.openxmlformats.org/drawingml/2006/picture">
            <wp:extent cx="5669280" cy="1352629"/>
            <wp:docPr id="18" name="Picture 18"/>
            <wp:cNvGraphicFramePr>
              <a:graphicFrameLocks noChangeAspect="1"/>
            </wp:cNvGraphicFramePr>
            <a:graphic>
              <a:graphicData uri="http://schemas.openxmlformats.org/drawingml/2006/picture">
                <pic:pic>
                  <pic:nvPicPr>
                    <pic:cNvPr id="0" name="ss_10.png"/>
                    <pic:cNvPicPr/>
                  </pic:nvPicPr>
                  <pic:blipFill>
                    <a:blip r:embed="rId26"/>
                    <a:stretch>
                      <a:fillRect/>
                    </a:stretch>
                  </pic:blipFill>
                  <pic:spPr>
                    <a:xfrm>
                      <a:off x="0" y="0"/>
                      <a:ext cx="5669280" cy="1352629"/>
                    </a:xfrm>
                    <a:prstGeom prst="rect"/>
                  </pic:spPr>
                </pic:pic>
              </a:graphicData>
            </a:graphic>
          </wp:inline>
        </w:drawing>
      </w:r>
    </w:p>
    <w:p>
      <w:pPr>
        <w:jc w:val="center"/>
      </w:pPr>
      <w:r>
        <w:rPr>
          <w:b/>
          <w:color w:val="667085"/>
          <w:sz w:val="17"/>
        </w:rPr>
        <w:t>Figure 10. Random Forest test-set results.</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1680"/>
        <w:gridCol w:w="1680"/>
        <w:gridCol w:w="1680"/>
        <w:gridCol w:w="1680"/>
        <w:gridCol w:w="1680"/>
        <w:gridCol w:w="1680"/>
      </w:tblGrid>
      <w:tr>
        <w:tc>
          <w:tcPr>
            <w:tcW w:type="dxa" w:w="2592"/>
            <w:vAlign w:val="center"/>
            <w:shd w:fill="243B53"/>
          </w:tcPr>
          <w:p>
            <w:pPr>
              <w:spacing w:after="0"/>
              <w:jc w:val="center"/>
            </w:pPr>
            <w:r/>
            <w:r>
              <w:rPr>
                <w:rFonts w:ascii="Aptos" w:hAnsi="Aptos"/>
                <w:b/>
                <w:color w:val="FFFFFF"/>
                <w:sz w:val="18"/>
              </w:rPr>
              <w:t>Model</w:t>
            </w:r>
          </w:p>
        </w:tc>
        <w:tc>
          <w:tcPr>
            <w:tcW w:type="dxa" w:w="1440"/>
            <w:vAlign w:val="center"/>
            <w:shd w:fill="243B53"/>
          </w:tcPr>
          <w:p>
            <w:pPr>
              <w:spacing w:after="0"/>
              <w:jc w:val="center"/>
            </w:pPr>
            <w:r/>
            <w:r>
              <w:rPr>
                <w:rFonts w:ascii="Aptos" w:hAnsi="Aptos"/>
                <w:b/>
                <w:color w:val="FFFFFF"/>
                <w:sz w:val="18"/>
              </w:rPr>
              <w:t>Accuracy</w:t>
            </w:r>
          </w:p>
        </w:tc>
        <w:tc>
          <w:tcPr>
            <w:tcW w:type="dxa" w:w="1440"/>
            <w:vAlign w:val="center"/>
            <w:shd w:fill="243B53"/>
          </w:tcPr>
          <w:p>
            <w:pPr>
              <w:spacing w:after="0"/>
              <w:jc w:val="center"/>
            </w:pPr>
            <w:r/>
            <w:r>
              <w:rPr>
                <w:rFonts w:ascii="Aptos" w:hAnsi="Aptos"/>
                <w:b/>
                <w:color w:val="FFFFFF"/>
                <w:sz w:val="18"/>
              </w:rPr>
              <w:t>Precision</w:t>
            </w:r>
          </w:p>
        </w:tc>
        <w:tc>
          <w:tcPr>
            <w:tcW w:type="dxa" w:w="1440"/>
            <w:vAlign w:val="center"/>
            <w:shd w:fill="243B53"/>
          </w:tcPr>
          <w:p>
            <w:pPr>
              <w:spacing w:after="0"/>
              <w:jc w:val="center"/>
            </w:pPr>
            <w:r/>
            <w:r>
              <w:rPr>
                <w:rFonts w:ascii="Aptos" w:hAnsi="Aptos"/>
                <w:b/>
                <w:color w:val="FFFFFF"/>
                <w:sz w:val="18"/>
              </w:rPr>
              <w:t>Recall</w:t>
            </w:r>
          </w:p>
        </w:tc>
        <w:tc>
          <w:tcPr>
            <w:tcW w:type="dxa" w:w="1440"/>
            <w:vAlign w:val="center"/>
            <w:shd w:fill="243B53"/>
          </w:tcPr>
          <w:p>
            <w:pPr>
              <w:spacing w:after="0"/>
              <w:jc w:val="center"/>
            </w:pPr>
            <w:r/>
            <w:r>
              <w:rPr>
                <w:rFonts w:ascii="Aptos" w:hAnsi="Aptos"/>
                <w:b/>
                <w:color w:val="FFFFFF"/>
                <w:sz w:val="18"/>
              </w:rPr>
              <w:t>F1-Score</w:t>
            </w:r>
          </w:p>
        </w:tc>
        <w:tc>
          <w:tcPr>
            <w:tcW w:type="dxa" w:w="1728"/>
            <w:vAlign w:val="center"/>
            <w:shd w:fill="243B53"/>
          </w:tcPr>
          <w:p>
            <w:pPr>
              <w:spacing w:after="0"/>
              <w:jc w:val="center"/>
            </w:pPr>
            <w:r/>
            <w:r>
              <w:rPr>
                <w:rFonts w:ascii="Aptos" w:hAnsi="Aptos"/>
                <w:b/>
                <w:color w:val="FFFFFF"/>
                <w:sz w:val="18"/>
              </w:rPr>
              <w:t>ROC-AUC</w:t>
            </w:r>
          </w:p>
        </w:tc>
      </w:tr>
      <w:tr>
        <w:tc>
          <w:tcPr>
            <w:tcW w:type="dxa" w:w="2592"/>
            <w:vAlign w:val="center"/>
            <w:shd w:fill="F5F7FA"/>
          </w:tcPr>
          <w:p>
            <w:pPr>
              <w:spacing w:after="0"/>
              <w:jc w:val="left"/>
            </w:pPr>
            <w:r/>
            <w:r>
              <w:rPr>
                <w:rFonts w:ascii="Aptos" w:hAnsi="Aptos"/>
                <w:b w:val="0"/>
                <w:color w:val="1F2937"/>
                <w:sz w:val="18"/>
              </w:rPr>
              <w:t>Logistic Regression</w:t>
            </w:r>
          </w:p>
        </w:tc>
        <w:tc>
          <w:tcPr>
            <w:tcW w:type="dxa" w:w="1440"/>
            <w:vAlign w:val="center"/>
            <w:shd w:fill="F5F7FA"/>
          </w:tcPr>
          <w:p>
            <w:pPr>
              <w:spacing w:after="0"/>
              <w:jc w:val="left"/>
            </w:pPr>
            <w:r/>
            <w:r>
              <w:rPr>
                <w:rFonts w:ascii="Aptos" w:hAnsi="Aptos"/>
                <w:b w:val="0"/>
                <w:color w:val="1F2937"/>
                <w:sz w:val="18"/>
              </w:rPr>
              <w:t>68.52%</w:t>
            </w:r>
          </w:p>
        </w:tc>
        <w:tc>
          <w:tcPr>
            <w:tcW w:type="dxa" w:w="1440"/>
            <w:vAlign w:val="center"/>
            <w:shd w:fill="F5F7FA"/>
          </w:tcPr>
          <w:p>
            <w:pPr>
              <w:spacing w:after="0"/>
              <w:jc w:val="left"/>
            </w:pPr>
            <w:r/>
            <w:r>
              <w:rPr>
                <w:rFonts w:ascii="Aptos" w:hAnsi="Aptos"/>
                <w:b w:val="0"/>
                <w:color w:val="1F2937"/>
                <w:sz w:val="18"/>
              </w:rPr>
              <w:t>73.95%</w:t>
            </w:r>
          </w:p>
        </w:tc>
        <w:tc>
          <w:tcPr>
            <w:tcW w:type="dxa" w:w="1440"/>
            <w:vAlign w:val="center"/>
            <w:shd w:fill="F5F7FA"/>
          </w:tcPr>
          <w:p>
            <w:pPr>
              <w:spacing w:after="0"/>
              <w:jc w:val="left"/>
            </w:pPr>
            <w:r/>
            <w:r>
              <w:rPr>
                <w:rFonts w:ascii="Aptos" w:hAnsi="Aptos"/>
                <w:b w:val="0"/>
                <w:color w:val="1F2937"/>
                <w:sz w:val="18"/>
              </w:rPr>
              <w:t>71.87%</w:t>
            </w:r>
          </w:p>
        </w:tc>
        <w:tc>
          <w:tcPr>
            <w:tcW w:type="dxa" w:w="1440"/>
            <w:vAlign w:val="center"/>
            <w:shd w:fill="F5F7FA"/>
          </w:tcPr>
          <w:p>
            <w:pPr>
              <w:spacing w:after="0"/>
              <w:jc w:val="left"/>
            </w:pPr>
            <w:r/>
            <w:r>
              <w:rPr>
                <w:rFonts w:ascii="Aptos" w:hAnsi="Aptos"/>
                <w:b w:val="0"/>
                <w:color w:val="1F2937"/>
                <w:sz w:val="18"/>
              </w:rPr>
              <w:t>72.89%</w:t>
            </w:r>
          </w:p>
        </w:tc>
        <w:tc>
          <w:tcPr>
            <w:tcW w:type="dxa" w:w="1728"/>
            <w:vAlign w:val="center"/>
            <w:shd w:fill="F5F7FA"/>
          </w:tcPr>
          <w:p>
            <w:pPr>
              <w:spacing w:after="0"/>
              <w:jc w:val="left"/>
            </w:pPr>
            <w:r/>
            <w:r>
              <w:rPr>
                <w:rFonts w:ascii="Aptos" w:hAnsi="Aptos"/>
                <w:b w:val="0"/>
                <w:color w:val="1F2937"/>
                <w:sz w:val="18"/>
              </w:rPr>
              <w:t>73.44%</w:t>
            </w:r>
          </w:p>
        </w:tc>
      </w:tr>
      <w:tr>
        <w:tc>
          <w:tcPr>
            <w:tcW w:type="dxa" w:w="2592"/>
            <w:vAlign w:val="center"/>
            <w:shd w:fill="FFFFFF"/>
          </w:tcPr>
          <w:p>
            <w:pPr>
              <w:spacing w:after="0"/>
              <w:jc w:val="left"/>
            </w:pPr>
            <w:r/>
            <w:r>
              <w:rPr>
                <w:rFonts w:ascii="Aptos" w:hAnsi="Aptos"/>
                <w:b w:val="0"/>
                <w:color w:val="1F2937"/>
                <w:sz w:val="18"/>
              </w:rPr>
              <w:t>Random Forest</w:t>
            </w:r>
          </w:p>
        </w:tc>
        <w:tc>
          <w:tcPr>
            <w:tcW w:type="dxa" w:w="1440"/>
            <w:vAlign w:val="center"/>
            <w:shd w:fill="FFFFFF"/>
          </w:tcPr>
          <w:p>
            <w:pPr>
              <w:spacing w:after="0"/>
              <w:jc w:val="left"/>
            </w:pPr>
            <w:r/>
            <w:r>
              <w:rPr>
                <w:rFonts w:ascii="Aptos" w:hAnsi="Aptos"/>
                <w:b w:val="0"/>
                <w:color w:val="1F2937"/>
                <w:sz w:val="18"/>
              </w:rPr>
              <w:t>63.86%</w:t>
            </w:r>
          </w:p>
        </w:tc>
        <w:tc>
          <w:tcPr>
            <w:tcW w:type="dxa" w:w="1440"/>
            <w:vAlign w:val="center"/>
            <w:shd w:fill="FFFFFF"/>
          </w:tcPr>
          <w:p>
            <w:pPr>
              <w:spacing w:after="0"/>
              <w:jc w:val="left"/>
            </w:pPr>
            <w:r/>
            <w:r>
              <w:rPr>
                <w:rFonts w:ascii="Aptos" w:hAnsi="Aptos"/>
                <w:b w:val="0"/>
                <w:color w:val="1F2937"/>
                <w:sz w:val="18"/>
              </w:rPr>
              <w:t>69.31%</w:t>
            </w:r>
          </w:p>
        </w:tc>
        <w:tc>
          <w:tcPr>
            <w:tcW w:type="dxa" w:w="1440"/>
            <w:vAlign w:val="center"/>
            <w:shd w:fill="FFFFFF"/>
          </w:tcPr>
          <w:p>
            <w:pPr>
              <w:spacing w:after="0"/>
              <w:jc w:val="left"/>
            </w:pPr>
            <w:r/>
            <w:r>
              <w:rPr>
                <w:rFonts w:ascii="Aptos" w:hAnsi="Aptos"/>
                <w:b w:val="0"/>
                <w:color w:val="1F2937"/>
                <w:sz w:val="18"/>
              </w:rPr>
              <w:t>69.31%</w:t>
            </w:r>
          </w:p>
        </w:tc>
        <w:tc>
          <w:tcPr>
            <w:tcW w:type="dxa" w:w="1440"/>
            <w:vAlign w:val="center"/>
            <w:shd w:fill="FFFFFF"/>
          </w:tcPr>
          <w:p>
            <w:pPr>
              <w:spacing w:after="0"/>
              <w:jc w:val="left"/>
            </w:pPr>
            <w:r/>
            <w:r>
              <w:rPr>
                <w:rFonts w:ascii="Aptos" w:hAnsi="Aptos"/>
                <w:b w:val="0"/>
                <w:color w:val="1F2937"/>
                <w:sz w:val="18"/>
              </w:rPr>
              <w:t>69.31%</w:t>
            </w:r>
          </w:p>
        </w:tc>
        <w:tc>
          <w:tcPr>
            <w:tcW w:type="dxa" w:w="1728"/>
            <w:vAlign w:val="center"/>
            <w:shd w:fill="FFFFFF"/>
          </w:tcPr>
          <w:p>
            <w:pPr>
              <w:spacing w:after="0"/>
              <w:jc w:val="left"/>
            </w:pPr>
            <w:r/>
            <w:r>
              <w:rPr>
                <w:rFonts w:ascii="Aptos" w:hAnsi="Aptos"/>
                <w:b w:val="0"/>
                <w:color w:val="1F2937"/>
                <w:sz w:val="18"/>
              </w:rPr>
              <w:t>70.01%</w:t>
            </w:r>
          </w:p>
        </w:tc>
      </w:tr>
    </w:tbl>
    <w:p>
      <w:pPr>
        <w:pStyle w:val="Heading2"/>
      </w:pPr>
      <w:r>
        <w:rPr>
          <w:rFonts w:ascii="Aptos Display" w:hAnsi="Aptos Display"/>
          <w:color w:val="3B5B7A"/>
        </w:rPr>
        <w:t>7.4 Feature importance</w:t>
      </w:r>
    </w:p>
    <w:p>
      <w:pPr>
        <w:jc w:val="center"/>
      </w:pPr>
      <w:r>
        <w:drawing>
          <wp:inline xmlns:a="http://schemas.openxmlformats.org/drawingml/2006/main" xmlns:pic="http://schemas.openxmlformats.org/drawingml/2006/picture">
            <wp:extent cx="5669280" cy="2497578"/>
            <wp:docPr id="19" name="Picture 19"/>
            <wp:cNvGraphicFramePr>
              <a:graphicFrameLocks noChangeAspect="1"/>
            </wp:cNvGraphicFramePr>
            <a:graphic>
              <a:graphicData uri="http://schemas.openxmlformats.org/drawingml/2006/picture">
                <pic:pic>
                  <pic:nvPicPr>
                    <pic:cNvPr id="0" name="ss_11.png"/>
                    <pic:cNvPicPr/>
                  </pic:nvPicPr>
                  <pic:blipFill>
                    <a:blip r:embed="rId27"/>
                    <a:stretch>
                      <a:fillRect/>
                    </a:stretch>
                  </pic:blipFill>
                  <pic:spPr>
                    <a:xfrm>
                      <a:off x="0" y="0"/>
                      <a:ext cx="5669280" cy="2497578"/>
                    </a:xfrm>
                    <a:prstGeom prst="rect"/>
                  </pic:spPr>
                </pic:pic>
              </a:graphicData>
            </a:graphic>
          </wp:inline>
        </w:drawing>
      </w:r>
    </w:p>
    <w:p>
      <w:pPr>
        <w:jc w:val="center"/>
      </w:pPr>
      <w:r>
        <w:rPr>
          <w:b/>
          <w:color w:val="667085"/>
          <w:sz w:val="17"/>
        </w:rPr>
        <w:t>Figure 11. Random Forest feature-importance table.</w:t>
      </w:r>
    </w:p>
    <w:p>
      <w:pPr>
        <w:spacing w:after="20"/>
      </w:pPr>
    </w:p>
    <w:p>
      <w:pPr>
        <w:jc w:val="center"/>
      </w:pPr>
      <w:r>
        <w:drawing>
          <wp:inline xmlns:a="http://schemas.openxmlformats.org/drawingml/2006/main" xmlns:pic="http://schemas.openxmlformats.org/drawingml/2006/picture">
            <wp:extent cx="5669280" cy="3068347"/>
            <wp:docPr id="20" name="Picture 20"/>
            <wp:cNvGraphicFramePr>
              <a:graphicFrameLocks noChangeAspect="1"/>
            </wp:cNvGraphicFramePr>
            <a:graphic>
              <a:graphicData uri="http://schemas.openxmlformats.org/drawingml/2006/picture">
                <pic:pic>
                  <pic:nvPicPr>
                    <pic:cNvPr id="0" name="ss_12.png"/>
                    <pic:cNvPicPr/>
                  </pic:nvPicPr>
                  <pic:blipFill>
                    <a:blip r:embed="rId28"/>
                    <a:stretch>
                      <a:fillRect/>
                    </a:stretch>
                  </pic:blipFill>
                  <pic:spPr>
                    <a:xfrm>
                      <a:off x="0" y="0"/>
                      <a:ext cx="5669280" cy="3068347"/>
                    </a:xfrm>
                    <a:prstGeom prst="rect"/>
                  </pic:spPr>
                </pic:pic>
              </a:graphicData>
            </a:graphic>
          </wp:inline>
        </w:drawing>
      </w:r>
    </w:p>
    <w:p>
      <w:pPr>
        <w:jc w:val="center"/>
      </w:pPr>
      <w:r>
        <w:rPr>
          <w:b/>
          <w:color w:val="667085"/>
          <w:sz w:val="17"/>
        </w:rPr>
        <w:t>Figure 12. Random Forest feature-importance visualization.</w:t>
      </w:r>
    </w:p>
    <w:p>
      <w:pPr>
        <w:spacing w:after="20"/>
      </w:pPr>
    </w:p>
    <w:p>
      <w:pPr>
        <w:spacing w:after="140" w:line="259" w:lineRule="auto"/>
      </w:pPr>
      <w:r>
        <w:t>Monetary, TotalQuantity and Recency are the largest contributors in the recorded Random Forest importance values, followed by AvgOrderValue and UniqueProducts. Frequency has the smallest recorded importance of the six features in this model. Feature importance is model-specific and should not be interpreted as causal impact.</w:t>
      </w:r>
    </w:p>
    <w:p>
      <w:pPr>
        <w:pStyle w:val="Heading1"/>
      </w:pPr>
      <w:r>
        <w:rPr>
          <w:rFonts w:ascii="Aptos Display" w:hAnsi="Aptos Display"/>
          <w:color w:val="243B53"/>
        </w:rPr>
        <w:t>8. Deep Learning: Artificial Neural Network</w:t>
      </w:r>
    </w:p>
    <w:p>
      <w:pPr>
        <w:spacing w:after="140" w:line="259" w:lineRule="auto"/>
      </w:pPr>
      <w:r>
        <w:t>The deep-learning component extends the same repeat-purchase problem with a compact TensorFlow/Keras ANN. The architecture is deliberately moderate because the final customer-level modeling table contains only 3,317 customers and six engineered features.</w:t>
      </w:r>
    </w:p>
    <w:p>
      <w:pPr>
        <w:jc w:val="center"/>
      </w:pPr>
      <w:r>
        <w:drawing>
          <wp:inline xmlns:a="http://schemas.openxmlformats.org/drawingml/2006/main" xmlns:pic="http://schemas.openxmlformats.org/drawingml/2006/picture">
            <wp:extent cx="5303520" cy="6037806"/>
            <wp:docPr id="21" name="Picture 21"/>
            <wp:cNvGraphicFramePr>
              <a:graphicFrameLocks noChangeAspect="1"/>
            </wp:cNvGraphicFramePr>
            <a:graphic>
              <a:graphicData uri="http://schemas.openxmlformats.org/drawingml/2006/picture">
                <pic:pic>
                  <pic:nvPicPr>
                    <pic:cNvPr id="0" name="ann_arch.png"/>
                    <pic:cNvPicPr/>
                  </pic:nvPicPr>
                  <pic:blipFill>
                    <a:blip r:embed="rId29"/>
                    <a:stretch>
                      <a:fillRect/>
                    </a:stretch>
                  </pic:blipFill>
                  <pic:spPr>
                    <a:xfrm>
                      <a:off x="0" y="0"/>
                      <a:ext cx="5303520" cy="6037806"/>
                    </a:xfrm>
                    <a:prstGeom prst="rect"/>
                  </pic:spPr>
                </pic:pic>
              </a:graphicData>
            </a:graphic>
          </wp:inline>
        </w:drawing>
      </w:r>
    </w:p>
    <w:p>
      <w:pPr>
        <w:jc w:val="center"/>
      </w:pPr>
      <w:r>
        <w:rPr>
          <w:b/>
          <w:color w:val="667085"/>
          <w:sz w:val="17"/>
        </w:rPr>
        <w:t>Figure 7. ANN architecture used in Week 5 and integrated into the Week 6 capstone.</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3360"/>
        <w:gridCol w:w="3360"/>
        <w:gridCol w:w="3360"/>
      </w:tblGrid>
      <w:tr>
        <w:tc>
          <w:tcPr>
            <w:tcW w:type="dxa" w:w="2160"/>
            <w:vAlign w:val="center"/>
            <w:shd w:fill="243B53"/>
          </w:tcPr>
          <w:p>
            <w:pPr>
              <w:spacing w:after="0"/>
              <w:jc w:val="center"/>
            </w:pPr>
            <w:r/>
            <w:r>
              <w:rPr>
                <w:rFonts w:ascii="Aptos" w:hAnsi="Aptos"/>
                <w:b/>
                <w:color w:val="FFFFFF"/>
                <w:sz w:val="18"/>
              </w:rPr>
              <w:t>Layer</w:t>
            </w:r>
          </w:p>
        </w:tc>
        <w:tc>
          <w:tcPr>
            <w:tcW w:type="dxa" w:w="5040"/>
            <w:vAlign w:val="center"/>
            <w:shd w:fill="243B53"/>
          </w:tcPr>
          <w:p>
            <w:pPr>
              <w:spacing w:after="0"/>
              <w:jc w:val="center"/>
            </w:pPr>
            <w:r/>
            <w:r>
              <w:rPr>
                <w:rFonts w:ascii="Aptos" w:hAnsi="Aptos"/>
                <w:b/>
                <w:color w:val="FFFFFF"/>
                <w:sz w:val="18"/>
              </w:rPr>
              <w:t>Configuration</w:t>
            </w:r>
          </w:p>
        </w:tc>
        <w:tc>
          <w:tcPr>
            <w:tcW w:type="dxa" w:w="2304"/>
            <w:vAlign w:val="center"/>
            <w:shd w:fill="243B53"/>
          </w:tcPr>
          <w:p>
            <w:pPr>
              <w:spacing w:after="0"/>
              <w:jc w:val="center"/>
            </w:pPr>
            <w:r/>
            <w:r>
              <w:rPr>
                <w:rFonts w:ascii="Aptos" w:hAnsi="Aptos"/>
                <w:b/>
                <w:color w:val="FFFFFF"/>
                <w:sz w:val="18"/>
              </w:rPr>
              <w:t>Parameters</w:t>
            </w:r>
          </w:p>
        </w:tc>
      </w:tr>
      <w:tr>
        <w:tc>
          <w:tcPr>
            <w:tcW w:type="dxa" w:w="2160"/>
            <w:vAlign w:val="center"/>
            <w:shd w:fill="F5F7FA"/>
          </w:tcPr>
          <w:p>
            <w:pPr>
              <w:spacing w:after="0"/>
              <w:jc w:val="left"/>
            </w:pPr>
            <w:r/>
            <w:r>
              <w:rPr>
                <w:rFonts w:ascii="Aptos" w:hAnsi="Aptos"/>
                <w:b w:val="0"/>
                <w:color w:val="1F2937"/>
                <w:sz w:val="18"/>
              </w:rPr>
              <w:t>Input</w:t>
            </w:r>
          </w:p>
        </w:tc>
        <w:tc>
          <w:tcPr>
            <w:tcW w:type="dxa" w:w="5040"/>
            <w:vAlign w:val="center"/>
            <w:shd w:fill="F5F7FA"/>
          </w:tcPr>
          <w:p>
            <w:pPr>
              <w:spacing w:after="0"/>
              <w:jc w:val="left"/>
            </w:pPr>
            <w:r/>
            <w:r>
              <w:rPr>
                <w:rFonts w:ascii="Aptos" w:hAnsi="Aptos"/>
                <w:b w:val="0"/>
                <w:color w:val="1F2937"/>
                <w:sz w:val="18"/>
              </w:rPr>
              <w:t>6 features</w:t>
            </w:r>
          </w:p>
        </w:tc>
        <w:tc>
          <w:tcPr>
            <w:tcW w:type="dxa" w:w="2304"/>
            <w:vAlign w:val="center"/>
            <w:shd w:fill="F5F7FA"/>
          </w:tcPr>
          <w:p>
            <w:pPr>
              <w:spacing w:after="0"/>
              <w:jc w:val="left"/>
            </w:pPr>
            <w:r/>
            <w:r>
              <w:rPr>
                <w:rFonts w:ascii="Aptos" w:hAnsi="Aptos"/>
                <w:b w:val="0"/>
                <w:color w:val="1F2937"/>
                <w:sz w:val="18"/>
              </w:rPr>
              <w:t>-</w:t>
            </w:r>
          </w:p>
        </w:tc>
      </w:tr>
      <w:tr>
        <w:tc>
          <w:tcPr>
            <w:tcW w:type="dxa" w:w="2160"/>
            <w:vAlign w:val="center"/>
            <w:shd w:fill="FFFFFF"/>
          </w:tcPr>
          <w:p>
            <w:pPr>
              <w:spacing w:after="0"/>
              <w:jc w:val="left"/>
            </w:pPr>
            <w:r/>
            <w:r>
              <w:rPr>
                <w:rFonts w:ascii="Aptos" w:hAnsi="Aptos"/>
                <w:b w:val="0"/>
                <w:color w:val="1F2937"/>
                <w:sz w:val="18"/>
              </w:rPr>
              <w:t>Dense 1</w:t>
            </w:r>
          </w:p>
        </w:tc>
        <w:tc>
          <w:tcPr>
            <w:tcW w:type="dxa" w:w="5040"/>
            <w:vAlign w:val="center"/>
            <w:shd w:fill="FFFFFF"/>
          </w:tcPr>
          <w:p>
            <w:pPr>
              <w:spacing w:after="0"/>
              <w:jc w:val="left"/>
            </w:pPr>
            <w:r/>
            <w:r>
              <w:rPr>
                <w:rFonts w:ascii="Aptos" w:hAnsi="Aptos"/>
                <w:b w:val="0"/>
                <w:color w:val="1F2937"/>
                <w:sz w:val="18"/>
              </w:rPr>
              <w:t>128 neurons, ReLU</w:t>
            </w:r>
          </w:p>
        </w:tc>
        <w:tc>
          <w:tcPr>
            <w:tcW w:type="dxa" w:w="2304"/>
            <w:vAlign w:val="center"/>
            <w:shd w:fill="FFFFFF"/>
          </w:tcPr>
          <w:p>
            <w:pPr>
              <w:spacing w:after="0"/>
              <w:jc w:val="left"/>
            </w:pPr>
            <w:r/>
            <w:r>
              <w:rPr>
                <w:rFonts w:ascii="Aptos" w:hAnsi="Aptos"/>
                <w:b w:val="0"/>
                <w:color w:val="1F2937"/>
                <w:sz w:val="18"/>
              </w:rPr>
              <w:t>896</w:t>
            </w:r>
          </w:p>
        </w:tc>
      </w:tr>
      <w:tr>
        <w:tc>
          <w:tcPr>
            <w:tcW w:type="dxa" w:w="2160"/>
            <w:vAlign w:val="center"/>
            <w:shd w:fill="F5F7FA"/>
          </w:tcPr>
          <w:p>
            <w:pPr>
              <w:spacing w:after="0"/>
              <w:jc w:val="left"/>
            </w:pPr>
            <w:r/>
            <w:r>
              <w:rPr>
                <w:rFonts w:ascii="Aptos" w:hAnsi="Aptos"/>
                <w:b w:val="0"/>
                <w:color w:val="1F2937"/>
                <w:sz w:val="18"/>
              </w:rPr>
              <w:t>Dropout 1</w:t>
            </w:r>
          </w:p>
        </w:tc>
        <w:tc>
          <w:tcPr>
            <w:tcW w:type="dxa" w:w="5040"/>
            <w:vAlign w:val="center"/>
            <w:shd w:fill="F5F7FA"/>
          </w:tcPr>
          <w:p>
            <w:pPr>
              <w:spacing w:after="0"/>
              <w:jc w:val="left"/>
            </w:pPr>
            <w:r/>
            <w:r>
              <w:rPr>
                <w:rFonts w:ascii="Aptos" w:hAnsi="Aptos"/>
                <w:b w:val="0"/>
                <w:color w:val="1F2937"/>
                <w:sz w:val="18"/>
              </w:rPr>
              <w:t>30%</w:t>
            </w:r>
          </w:p>
        </w:tc>
        <w:tc>
          <w:tcPr>
            <w:tcW w:type="dxa" w:w="2304"/>
            <w:vAlign w:val="center"/>
            <w:shd w:fill="F5F7FA"/>
          </w:tcPr>
          <w:p>
            <w:pPr>
              <w:spacing w:after="0"/>
              <w:jc w:val="left"/>
            </w:pPr>
            <w:r/>
            <w:r>
              <w:rPr>
                <w:rFonts w:ascii="Aptos" w:hAnsi="Aptos"/>
                <w:b w:val="0"/>
                <w:color w:val="1F2937"/>
                <w:sz w:val="18"/>
              </w:rPr>
              <w:t>0</w:t>
            </w:r>
          </w:p>
        </w:tc>
      </w:tr>
      <w:tr>
        <w:tc>
          <w:tcPr>
            <w:tcW w:type="dxa" w:w="2160"/>
            <w:vAlign w:val="center"/>
            <w:shd w:fill="FFFFFF"/>
          </w:tcPr>
          <w:p>
            <w:pPr>
              <w:spacing w:after="0"/>
              <w:jc w:val="left"/>
            </w:pPr>
            <w:r/>
            <w:r>
              <w:rPr>
                <w:rFonts w:ascii="Aptos" w:hAnsi="Aptos"/>
                <w:b w:val="0"/>
                <w:color w:val="1F2937"/>
                <w:sz w:val="18"/>
              </w:rPr>
              <w:t>Dense 2</w:t>
            </w:r>
          </w:p>
        </w:tc>
        <w:tc>
          <w:tcPr>
            <w:tcW w:type="dxa" w:w="5040"/>
            <w:vAlign w:val="center"/>
            <w:shd w:fill="FFFFFF"/>
          </w:tcPr>
          <w:p>
            <w:pPr>
              <w:spacing w:after="0"/>
              <w:jc w:val="left"/>
            </w:pPr>
            <w:r/>
            <w:r>
              <w:rPr>
                <w:rFonts w:ascii="Aptos" w:hAnsi="Aptos"/>
                <w:b w:val="0"/>
                <w:color w:val="1F2937"/>
                <w:sz w:val="18"/>
              </w:rPr>
              <w:t>64 neurons, ReLU</w:t>
            </w:r>
          </w:p>
        </w:tc>
        <w:tc>
          <w:tcPr>
            <w:tcW w:type="dxa" w:w="2304"/>
            <w:vAlign w:val="center"/>
            <w:shd w:fill="FFFFFF"/>
          </w:tcPr>
          <w:p>
            <w:pPr>
              <w:spacing w:after="0"/>
              <w:jc w:val="left"/>
            </w:pPr>
            <w:r/>
            <w:r>
              <w:rPr>
                <w:rFonts w:ascii="Aptos" w:hAnsi="Aptos"/>
                <w:b w:val="0"/>
                <w:color w:val="1F2937"/>
                <w:sz w:val="18"/>
              </w:rPr>
              <w:t>8,256</w:t>
            </w:r>
          </w:p>
        </w:tc>
      </w:tr>
      <w:tr>
        <w:tc>
          <w:tcPr>
            <w:tcW w:type="dxa" w:w="2160"/>
            <w:vAlign w:val="center"/>
            <w:shd w:fill="F5F7FA"/>
          </w:tcPr>
          <w:p>
            <w:pPr>
              <w:spacing w:after="0"/>
              <w:jc w:val="left"/>
            </w:pPr>
            <w:r/>
            <w:r>
              <w:rPr>
                <w:rFonts w:ascii="Aptos" w:hAnsi="Aptos"/>
                <w:b w:val="0"/>
                <w:color w:val="1F2937"/>
                <w:sz w:val="18"/>
              </w:rPr>
              <w:t>Dropout 2</w:t>
            </w:r>
          </w:p>
        </w:tc>
        <w:tc>
          <w:tcPr>
            <w:tcW w:type="dxa" w:w="5040"/>
            <w:vAlign w:val="center"/>
            <w:shd w:fill="F5F7FA"/>
          </w:tcPr>
          <w:p>
            <w:pPr>
              <w:spacing w:after="0"/>
              <w:jc w:val="left"/>
            </w:pPr>
            <w:r/>
            <w:r>
              <w:rPr>
                <w:rFonts w:ascii="Aptos" w:hAnsi="Aptos"/>
                <w:b w:val="0"/>
                <w:color w:val="1F2937"/>
                <w:sz w:val="18"/>
              </w:rPr>
              <w:t>20%</w:t>
            </w:r>
          </w:p>
        </w:tc>
        <w:tc>
          <w:tcPr>
            <w:tcW w:type="dxa" w:w="2304"/>
            <w:vAlign w:val="center"/>
            <w:shd w:fill="F5F7FA"/>
          </w:tcPr>
          <w:p>
            <w:pPr>
              <w:spacing w:after="0"/>
              <w:jc w:val="left"/>
            </w:pPr>
            <w:r/>
            <w:r>
              <w:rPr>
                <w:rFonts w:ascii="Aptos" w:hAnsi="Aptos"/>
                <w:b w:val="0"/>
                <w:color w:val="1F2937"/>
                <w:sz w:val="18"/>
              </w:rPr>
              <w:t>0</w:t>
            </w:r>
          </w:p>
        </w:tc>
      </w:tr>
      <w:tr>
        <w:tc>
          <w:tcPr>
            <w:tcW w:type="dxa" w:w="2160"/>
            <w:vAlign w:val="center"/>
            <w:shd w:fill="FFFFFF"/>
          </w:tcPr>
          <w:p>
            <w:pPr>
              <w:spacing w:after="0"/>
              <w:jc w:val="left"/>
            </w:pPr>
            <w:r/>
            <w:r>
              <w:rPr>
                <w:rFonts w:ascii="Aptos" w:hAnsi="Aptos"/>
                <w:b w:val="0"/>
                <w:color w:val="1F2937"/>
                <w:sz w:val="18"/>
              </w:rPr>
              <w:t>Dense 3</w:t>
            </w:r>
          </w:p>
        </w:tc>
        <w:tc>
          <w:tcPr>
            <w:tcW w:type="dxa" w:w="5040"/>
            <w:vAlign w:val="center"/>
            <w:shd w:fill="FFFFFF"/>
          </w:tcPr>
          <w:p>
            <w:pPr>
              <w:spacing w:after="0"/>
              <w:jc w:val="left"/>
            </w:pPr>
            <w:r/>
            <w:r>
              <w:rPr>
                <w:rFonts w:ascii="Aptos" w:hAnsi="Aptos"/>
                <w:b w:val="0"/>
                <w:color w:val="1F2937"/>
                <w:sz w:val="18"/>
              </w:rPr>
              <w:t>32 neurons, ReLU</w:t>
            </w:r>
          </w:p>
        </w:tc>
        <w:tc>
          <w:tcPr>
            <w:tcW w:type="dxa" w:w="2304"/>
            <w:vAlign w:val="center"/>
            <w:shd w:fill="FFFFFF"/>
          </w:tcPr>
          <w:p>
            <w:pPr>
              <w:spacing w:after="0"/>
              <w:jc w:val="left"/>
            </w:pPr>
            <w:r/>
            <w:r>
              <w:rPr>
                <w:rFonts w:ascii="Aptos" w:hAnsi="Aptos"/>
                <w:b w:val="0"/>
                <w:color w:val="1F2937"/>
                <w:sz w:val="18"/>
              </w:rPr>
              <w:t>2,080</w:t>
            </w:r>
          </w:p>
        </w:tc>
      </w:tr>
      <w:tr>
        <w:tc>
          <w:tcPr>
            <w:tcW w:type="dxa" w:w="2160"/>
            <w:vAlign w:val="center"/>
            <w:shd w:fill="F5F7FA"/>
          </w:tcPr>
          <w:p>
            <w:pPr>
              <w:spacing w:after="0"/>
              <w:jc w:val="left"/>
            </w:pPr>
            <w:r/>
            <w:r>
              <w:rPr>
                <w:rFonts w:ascii="Aptos" w:hAnsi="Aptos"/>
                <w:b w:val="0"/>
                <w:color w:val="1F2937"/>
                <w:sz w:val="18"/>
              </w:rPr>
              <w:t>Output</w:t>
            </w:r>
          </w:p>
        </w:tc>
        <w:tc>
          <w:tcPr>
            <w:tcW w:type="dxa" w:w="5040"/>
            <w:vAlign w:val="center"/>
            <w:shd w:fill="F5F7FA"/>
          </w:tcPr>
          <w:p>
            <w:pPr>
              <w:spacing w:after="0"/>
              <w:jc w:val="left"/>
            </w:pPr>
            <w:r/>
            <w:r>
              <w:rPr>
                <w:rFonts w:ascii="Aptos" w:hAnsi="Aptos"/>
                <w:b w:val="0"/>
                <w:color w:val="1F2937"/>
                <w:sz w:val="18"/>
              </w:rPr>
              <w:t>1 neuron, Sigmoid</w:t>
            </w:r>
          </w:p>
        </w:tc>
        <w:tc>
          <w:tcPr>
            <w:tcW w:type="dxa" w:w="2304"/>
            <w:vAlign w:val="center"/>
            <w:shd w:fill="F5F7FA"/>
          </w:tcPr>
          <w:p>
            <w:pPr>
              <w:spacing w:after="0"/>
              <w:jc w:val="left"/>
            </w:pPr>
            <w:r/>
            <w:r>
              <w:rPr>
                <w:rFonts w:ascii="Aptos" w:hAnsi="Aptos"/>
                <w:b w:val="0"/>
                <w:color w:val="1F2937"/>
                <w:sz w:val="18"/>
              </w:rPr>
              <w:t>33</w:t>
            </w:r>
          </w:p>
        </w:tc>
      </w:tr>
      <w:tr>
        <w:tc>
          <w:tcPr>
            <w:tcW w:type="dxa" w:w="2160"/>
            <w:vAlign w:val="center"/>
            <w:shd w:fill="FFFFFF"/>
          </w:tcPr>
          <w:p>
            <w:pPr>
              <w:spacing w:after="0"/>
              <w:jc w:val="left"/>
            </w:pPr>
            <w:r/>
            <w:r>
              <w:rPr>
                <w:rFonts w:ascii="Aptos" w:hAnsi="Aptos"/>
                <w:b w:val="0"/>
                <w:color w:val="1F2937"/>
                <w:sz w:val="18"/>
              </w:rPr>
              <w:t>Total</w:t>
            </w:r>
          </w:p>
        </w:tc>
        <w:tc>
          <w:tcPr>
            <w:tcW w:type="dxa" w:w="5040"/>
            <w:vAlign w:val="center"/>
            <w:shd w:fill="FFFFFF"/>
          </w:tcPr>
          <w:p>
            <w:pPr>
              <w:spacing w:after="0"/>
              <w:jc w:val="left"/>
            </w:pPr>
            <w:r/>
            <w:r>
              <w:rPr>
                <w:rFonts w:ascii="Aptos" w:hAnsi="Aptos"/>
                <w:b w:val="0"/>
                <w:color w:val="1F2937"/>
                <w:sz w:val="18"/>
              </w:rPr>
              <w:t>11,265 trainable parameters</w:t>
            </w:r>
          </w:p>
        </w:tc>
        <w:tc>
          <w:tcPr>
            <w:tcW w:type="dxa" w:w="2304"/>
            <w:vAlign w:val="center"/>
            <w:shd w:fill="FFFFFF"/>
          </w:tcPr>
          <w:p>
            <w:pPr>
              <w:spacing w:after="0"/>
              <w:jc w:val="left"/>
            </w:pPr>
            <w:r/>
            <w:r>
              <w:rPr>
                <w:rFonts w:ascii="Aptos" w:hAnsi="Aptos"/>
                <w:b w:val="0"/>
                <w:color w:val="1F2937"/>
                <w:sz w:val="18"/>
              </w:rPr>
              <w:t>11,265</w:t>
            </w:r>
          </w:p>
        </w:tc>
      </w:tr>
    </w:tbl>
    <w:p>
      <w:pPr>
        <w:spacing w:after="140" w:line="259" w:lineRule="auto"/>
      </w:pPr>
      <w:r>
        <w:t>Training used Adam optimization, binary cross-entropy, a batch size of 32 and a maximum of 100 epochs. Early stopping monitored validation loss with patience 10 and restored the best weights. The model trained for 23 epochs, with the best validation-loss epoch at 13 and best validation loss 0.59217.</w:t>
      </w:r>
    </w:p>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Final ANN test performance</w:t>
            </w:r>
            <w:r>
              <w:rPr>
                <w:sz w:val="19"/>
              </w:rPr>
              <w:br/>
              <w:t>Accuracy 68.22% | Precision 73.94% | Recall 71.10% | F1-score 72.49% | ROC-AUC 74.02%.</w:t>
            </w:r>
          </w:p>
        </w:tc>
      </w:tr>
    </w:tbl>
    <w:p/>
    <w:p>
      <w:pPr>
        <w:pStyle w:val="Heading1"/>
      </w:pPr>
      <w:r>
        <w:rPr>
          <w:rFonts w:ascii="Aptos Display" w:hAnsi="Aptos Display"/>
          <w:color w:val="243B53"/>
        </w:rPr>
        <w:t>9. Unified Model Evaluation</w:t>
      </w:r>
    </w:p>
    <w:p>
      <w:pPr>
        <w:jc w:val="center"/>
      </w:pPr>
      <w:r>
        <w:drawing>
          <wp:inline xmlns:a="http://schemas.openxmlformats.org/drawingml/2006/main" xmlns:pic="http://schemas.openxmlformats.org/drawingml/2006/picture">
            <wp:extent cx="5669280" cy="1261965"/>
            <wp:docPr id="22" name="Picture 22"/>
            <wp:cNvGraphicFramePr>
              <a:graphicFrameLocks noChangeAspect="1"/>
            </wp:cNvGraphicFramePr>
            <a:graphic>
              <a:graphicData uri="http://schemas.openxmlformats.org/drawingml/2006/picture">
                <pic:pic>
                  <pic:nvPicPr>
                    <pic:cNvPr id="0" name="ss_13.png"/>
                    <pic:cNvPicPr/>
                  </pic:nvPicPr>
                  <pic:blipFill>
                    <a:blip r:embed="rId30"/>
                    <a:stretch>
                      <a:fillRect/>
                    </a:stretch>
                  </pic:blipFill>
                  <pic:spPr>
                    <a:xfrm>
                      <a:off x="0" y="0"/>
                      <a:ext cx="5669280" cy="1261965"/>
                    </a:xfrm>
                    <a:prstGeom prst="rect"/>
                  </pic:spPr>
                </pic:pic>
              </a:graphicData>
            </a:graphic>
          </wp:inline>
        </w:drawing>
      </w:r>
    </w:p>
    <w:p>
      <w:pPr>
        <w:jc w:val="center"/>
      </w:pPr>
      <w:r>
        <w:rPr>
          <w:b/>
          <w:color w:val="667085"/>
          <w:sz w:val="17"/>
        </w:rPr>
        <w:t>Figure 13. Unified predictive-model comparison table.</w:t>
      </w:r>
    </w:p>
    <w:p>
      <w:pPr>
        <w:spacing w:after="20"/>
      </w:pPr>
    </w:p>
    <w:p>
      <w:pPr>
        <w:jc w:val="center"/>
      </w:pPr>
      <w:r>
        <w:drawing>
          <wp:inline xmlns:a="http://schemas.openxmlformats.org/drawingml/2006/main" xmlns:pic="http://schemas.openxmlformats.org/drawingml/2006/picture">
            <wp:extent cx="5669280" cy="2840367"/>
            <wp:docPr id="23" name="Picture 23"/>
            <wp:cNvGraphicFramePr>
              <a:graphicFrameLocks noChangeAspect="1"/>
            </wp:cNvGraphicFramePr>
            <a:graphic>
              <a:graphicData uri="http://schemas.openxmlformats.org/drawingml/2006/picture">
                <pic:pic>
                  <pic:nvPicPr>
                    <pic:cNvPr id="0" name="ss_14.png"/>
                    <pic:cNvPicPr/>
                  </pic:nvPicPr>
                  <pic:blipFill>
                    <a:blip r:embed="rId31"/>
                    <a:stretch>
                      <a:fillRect/>
                    </a:stretch>
                  </pic:blipFill>
                  <pic:spPr>
                    <a:xfrm>
                      <a:off x="0" y="0"/>
                      <a:ext cx="5669280" cy="2840367"/>
                    </a:xfrm>
                    <a:prstGeom prst="rect"/>
                  </pic:spPr>
                </pic:pic>
              </a:graphicData>
            </a:graphic>
          </wp:inline>
        </w:drawing>
      </w:r>
    </w:p>
    <w:p>
      <w:pPr>
        <w:jc w:val="center"/>
      </w:pPr>
      <w:r>
        <w:rPr>
          <w:b/>
          <w:color w:val="667085"/>
          <w:sz w:val="17"/>
        </w:rPr>
        <w:t>Figure 14. Unified predictive-model comparison chart.</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1440"/>
        <w:gridCol w:w="1440"/>
        <w:gridCol w:w="1440"/>
        <w:gridCol w:w="1440"/>
        <w:gridCol w:w="1440"/>
        <w:gridCol w:w="1440"/>
        <w:gridCol w:w="1440"/>
      </w:tblGrid>
      <w:tr>
        <w:tc>
          <w:tcPr>
            <w:tcW w:type="dxa" w:w="2232"/>
            <w:vAlign w:val="center"/>
            <w:shd w:fill="243B53"/>
          </w:tcPr>
          <w:p>
            <w:pPr>
              <w:spacing w:after="0"/>
              <w:jc w:val="center"/>
            </w:pPr>
            <w:r/>
            <w:r>
              <w:rPr>
                <w:rFonts w:ascii="Aptos" w:hAnsi="Aptos"/>
                <w:b/>
                <w:color w:val="FFFFFF"/>
                <w:sz w:val="16"/>
              </w:rPr>
              <w:t>Model</w:t>
            </w:r>
          </w:p>
        </w:tc>
        <w:tc>
          <w:tcPr>
            <w:tcW w:type="dxa" w:w="1152"/>
            <w:vAlign w:val="center"/>
            <w:shd w:fill="243B53"/>
          </w:tcPr>
          <w:p>
            <w:pPr>
              <w:spacing w:after="0"/>
              <w:jc w:val="center"/>
            </w:pPr>
            <w:r/>
            <w:r>
              <w:rPr>
                <w:rFonts w:ascii="Aptos" w:hAnsi="Aptos"/>
                <w:b/>
                <w:color w:val="FFFFFF"/>
                <w:sz w:val="16"/>
              </w:rPr>
              <w:t>Accuracy</w:t>
            </w:r>
          </w:p>
        </w:tc>
        <w:tc>
          <w:tcPr>
            <w:tcW w:type="dxa" w:w="1224"/>
            <w:vAlign w:val="center"/>
            <w:shd w:fill="243B53"/>
          </w:tcPr>
          <w:p>
            <w:pPr>
              <w:spacing w:after="0"/>
              <w:jc w:val="center"/>
            </w:pPr>
            <w:r/>
            <w:r>
              <w:rPr>
                <w:rFonts w:ascii="Aptos" w:hAnsi="Aptos"/>
                <w:b/>
                <w:color w:val="FFFFFF"/>
                <w:sz w:val="16"/>
              </w:rPr>
              <w:t>Precision</w:t>
            </w:r>
          </w:p>
        </w:tc>
        <w:tc>
          <w:tcPr>
            <w:tcW w:type="dxa" w:w="1152"/>
            <w:vAlign w:val="center"/>
            <w:shd w:fill="243B53"/>
          </w:tcPr>
          <w:p>
            <w:pPr>
              <w:spacing w:after="0"/>
              <w:jc w:val="center"/>
            </w:pPr>
            <w:r/>
            <w:r>
              <w:rPr>
                <w:rFonts w:ascii="Aptos" w:hAnsi="Aptos"/>
                <w:b/>
                <w:color w:val="FFFFFF"/>
                <w:sz w:val="16"/>
              </w:rPr>
              <w:t>Recall</w:t>
            </w:r>
          </w:p>
        </w:tc>
        <w:tc>
          <w:tcPr>
            <w:tcW w:type="dxa" w:w="1080"/>
            <w:vAlign w:val="center"/>
            <w:shd w:fill="243B53"/>
          </w:tcPr>
          <w:p>
            <w:pPr>
              <w:spacing w:after="0"/>
              <w:jc w:val="center"/>
            </w:pPr>
            <w:r/>
            <w:r>
              <w:rPr>
                <w:rFonts w:ascii="Aptos" w:hAnsi="Aptos"/>
                <w:b/>
                <w:color w:val="FFFFFF"/>
                <w:sz w:val="16"/>
              </w:rPr>
              <w:t>F1</w:t>
            </w:r>
          </w:p>
        </w:tc>
        <w:tc>
          <w:tcPr>
            <w:tcW w:type="dxa" w:w="1224"/>
            <w:vAlign w:val="center"/>
            <w:shd w:fill="243B53"/>
          </w:tcPr>
          <w:p>
            <w:pPr>
              <w:spacing w:after="0"/>
              <w:jc w:val="center"/>
            </w:pPr>
            <w:r/>
            <w:r>
              <w:rPr>
                <w:rFonts w:ascii="Aptos" w:hAnsi="Aptos"/>
                <w:b/>
                <w:color w:val="FFFFFF"/>
                <w:sz w:val="16"/>
              </w:rPr>
              <w:t>ROC-AUC</w:t>
            </w:r>
          </w:p>
        </w:tc>
        <w:tc>
          <w:tcPr>
            <w:tcW w:type="dxa" w:w="3456"/>
            <w:vAlign w:val="center"/>
            <w:shd w:fill="243B53"/>
          </w:tcPr>
          <w:p>
            <w:pPr>
              <w:spacing w:after="0"/>
              <w:jc w:val="center"/>
            </w:pPr>
            <w:r/>
            <w:r>
              <w:rPr>
                <w:rFonts w:ascii="Aptos" w:hAnsi="Aptos"/>
                <w:b/>
                <w:color w:val="FFFFFF"/>
                <w:sz w:val="16"/>
              </w:rPr>
              <w:t>Analytical reading</w:t>
            </w:r>
          </w:p>
        </w:tc>
      </w:tr>
      <w:tr>
        <w:tc>
          <w:tcPr>
            <w:tcW w:type="dxa" w:w="2232"/>
            <w:vAlign w:val="center"/>
            <w:shd w:fill="F5F7FA"/>
          </w:tcPr>
          <w:p>
            <w:pPr>
              <w:spacing w:after="0"/>
              <w:jc w:val="left"/>
            </w:pPr>
            <w:r/>
            <w:r>
              <w:rPr>
                <w:rFonts w:ascii="Aptos" w:hAnsi="Aptos"/>
                <w:b w:val="0"/>
                <w:color w:val="1F2937"/>
                <w:sz w:val="16"/>
              </w:rPr>
              <w:t>Logistic Regression</w:t>
            </w:r>
          </w:p>
        </w:tc>
        <w:tc>
          <w:tcPr>
            <w:tcW w:type="dxa" w:w="1152"/>
            <w:vAlign w:val="center"/>
            <w:shd w:fill="F5F7FA"/>
          </w:tcPr>
          <w:p>
            <w:pPr>
              <w:spacing w:after="0"/>
              <w:jc w:val="left"/>
            </w:pPr>
            <w:r/>
            <w:r>
              <w:rPr>
                <w:rFonts w:ascii="Aptos" w:hAnsi="Aptos"/>
                <w:b w:val="0"/>
                <w:color w:val="1F2937"/>
                <w:sz w:val="16"/>
              </w:rPr>
              <w:t>68.52%</w:t>
            </w:r>
          </w:p>
        </w:tc>
        <w:tc>
          <w:tcPr>
            <w:tcW w:type="dxa" w:w="1224"/>
            <w:vAlign w:val="center"/>
            <w:shd w:fill="F5F7FA"/>
          </w:tcPr>
          <w:p>
            <w:pPr>
              <w:spacing w:after="0"/>
              <w:jc w:val="left"/>
            </w:pPr>
            <w:r/>
            <w:r>
              <w:rPr>
                <w:rFonts w:ascii="Aptos" w:hAnsi="Aptos"/>
                <w:b w:val="0"/>
                <w:color w:val="1F2937"/>
                <w:sz w:val="16"/>
              </w:rPr>
              <w:t>73.95%</w:t>
            </w:r>
          </w:p>
        </w:tc>
        <w:tc>
          <w:tcPr>
            <w:tcW w:type="dxa" w:w="1152"/>
            <w:vAlign w:val="center"/>
            <w:shd w:fill="F5F7FA"/>
          </w:tcPr>
          <w:p>
            <w:pPr>
              <w:spacing w:after="0"/>
              <w:jc w:val="left"/>
            </w:pPr>
            <w:r/>
            <w:r>
              <w:rPr>
                <w:rFonts w:ascii="Aptos" w:hAnsi="Aptos"/>
                <w:b w:val="0"/>
                <w:color w:val="1F2937"/>
                <w:sz w:val="16"/>
              </w:rPr>
              <w:t>71.87%</w:t>
            </w:r>
          </w:p>
        </w:tc>
        <w:tc>
          <w:tcPr>
            <w:tcW w:type="dxa" w:w="1080"/>
            <w:vAlign w:val="center"/>
            <w:shd w:fill="F5F7FA"/>
          </w:tcPr>
          <w:p>
            <w:pPr>
              <w:spacing w:after="0"/>
              <w:jc w:val="left"/>
            </w:pPr>
            <w:r/>
            <w:r>
              <w:rPr>
                <w:rFonts w:ascii="Aptos" w:hAnsi="Aptos"/>
                <w:b w:val="0"/>
                <w:color w:val="1F2937"/>
                <w:sz w:val="16"/>
              </w:rPr>
              <w:t>72.89%</w:t>
            </w:r>
          </w:p>
        </w:tc>
        <w:tc>
          <w:tcPr>
            <w:tcW w:type="dxa" w:w="1224"/>
            <w:vAlign w:val="center"/>
            <w:shd w:fill="F5F7FA"/>
          </w:tcPr>
          <w:p>
            <w:pPr>
              <w:spacing w:after="0"/>
              <w:jc w:val="left"/>
            </w:pPr>
            <w:r/>
            <w:r>
              <w:rPr>
                <w:rFonts w:ascii="Aptos" w:hAnsi="Aptos"/>
                <w:b w:val="0"/>
                <w:color w:val="1F2937"/>
                <w:sz w:val="16"/>
              </w:rPr>
              <w:t>73.44%</w:t>
            </w:r>
          </w:p>
        </w:tc>
        <w:tc>
          <w:tcPr>
            <w:tcW w:type="dxa" w:w="3456"/>
            <w:vAlign w:val="center"/>
            <w:shd w:fill="F5F7FA"/>
          </w:tcPr>
          <w:p>
            <w:pPr>
              <w:spacing w:after="0"/>
              <w:jc w:val="left"/>
            </w:pPr>
            <w:r/>
            <w:r>
              <w:rPr>
                <w:rFonts w:ascii="Aptos" w:hAnsi="Aptos"/>
                <w:b w:val="0"/>
                <w:color w:val="1F2937"/>
                <w:sz w:val="16"/>
              </w:rPr>
              <w:t>Strong simple baseline; slightly higher accuracy/F1 than ANN.</w:t>
            </w:r>
          </w:p>
        </w:tc>
      </w:tr>
      <w:tr>
        <w:tc>
          <w:tcPr>
            <w:tcW w:type="dxa" w:w="2232"/>
            <w:vAlign w:val="center"/>
            <w:shd w:fill="FFFFFF"/>
          </w:tcPr>
          <w:p>
            <w:pPr>
              <w:spacing w:after="0"/>
              <w:jc w:val="left"/>
            </w:pPr>
            <w:r/>
            <w:r>
              <w:rPr>
                <w:rFonts w:ascii="Aptos" w:hAnsi="Aptos"/>
                <w:b w:val="0"/>
                <w:color w:val="1F2937"/>
                <w:sz w:val="16"/>
              </w:rPr>
              <w:t>Random Forest</w:t>
            </w:r>
          </w:p>
        </w:tc>
        <w:tc>
          <w:tcPr>
            <w:tcW w:type="dxa" w:w="1152"/>
            <w:vAlign w:val="center"/>
            <w:shd w:fill="FFFFFF"/>
          </w:tcPr>
          <w:p>
            <w:pPr>
              <w:spacing w:after="0"/>
              <w:jc w:val="left"/>
            </w:pPr>
            <w:r/>
            <w:r>
              <w:rPr>
                <w:rFonts w:ascii="Aptos" w:hAnsi="Aptos"/>
                <w:b w:val="0"/>
                <w:color w:val="1F2937"/>
                <w:sz w:val="16"/>
              </w:rPr>
              <w:t>63.86%</w:t>
            </w:r>
          </w:p>
        </w:tc>
        <w:tc>
          <w:tcPr>
            <w:tcW w:type="dxa" w:w="1224"/>
            <w:vAlign w:val="center"/>
            <w:shd w:fill="FFFFFF"/>
          </w:tcPr>
          <w:p>
            <w:pPr>
              <w:spacing w:after="0"/>
              <w:jc w:val="left"/>
            </w:pPr>
            <w:r/>
            <w:r>
              <w:rPr>
                <w:rFonts w:ascii="Aptos" w:hAnsi="Aptos"/>
                <w:b w:val="0"/>
                <w:color w:val="1F2937"/>
                <w:sz w:val="16"/>
              </w:rPr>
              <w:t>69.31%</w:t>
            </w:r>
          </w:p>
        </w:tc>
        <w:tc>
          <w:tcPr>
            <w:tcW w:type="dxa" w:w="1152"/>
            <w:vAlign w:val="center"/>
            <w:shd w:fill="FFFFFF"/>
          </w:tcPr>
          <w:p>
            <w:pPr>
              <w:spacing w:after="0"/>
              <w:jc w:val="left"/>
            </w:pPr>
            <w:r/>
            <w:r>
              <w:rPr>
                <w:rFonts w:ascii="Aptos" w:hAnsi="Aptos"/>
                <w:b w:val="0"/>
                <w:color w:val="1F2937"/>
                <w:sz w:val="16"/>
              </w:rPr>
              <w:t>69.31%</w:t>
            </w:r>
          </w:p>
        </w:tc>
        <w:tc>
          <w:tcPr>
            <w:tcW w:type="dxa" w:w="1080"/>
            <w:vAlign w:val="center"/>
            <w:shd w:fill="FFFFFF"/>
          </w:tcPr>
          <w:p>
            <w:pPr>
              <w:spacing w:after="0"/>
              <w:jc w:val="left"/>
            </w:pPr>
            <w:r/>
            <w:r>
              <w:rPr>
                <w:rFonts w:ascii="Aptos" w:hAnsi="Aptos"/>
                <w:b w:val="0"/>
                <w:color w:val="1F2937"/>
                <w:sz w:val="16"/>
              </w:rPr>
              <w:t>69.31%</w:t>
            </w:r>
          </w:p>
        </w:tc>
        <w:tc>
          <w:tcPr>
            <w:tcW w:type="dxa" w:w="1224"/>
            <w:vAlign w:val="center"/>
            <w:shd w:fill="FFFFFF"/>
          </w:tcPr>
          <w:p>
            <w:pPr>
              <w:spacing w:after="0"/>
              <w:jc w:val="left"/>
            </w:pPr>
            <w:r/>
            <w:r>
              <w:rPr>
                <w:rFonts w:ascii="Aptos" w:hAnsi="Aptos"/>
                <w:b w:val="0"/>
                <w:color w:val="1F2937"/>
                <w:sz w:val="16"/>
              </w:rPr>
              <w:t>70.01%</w:t>
            </w:r>
          </w:p>
        </w:tc>
        <w:tc>
          <w:tcPr>
            <w:tcW w:type="dxa" w:w="3456"/>
            <w:vAlign w:val="center"/>
            <w:shd w:fill="FFFFFF"/>
          </w:tcPr>
          <w:p>
            <w:pPr>
              <w:spacing w:after="0"/>
              <w:jc w:val="left"/>
            </w:pPr>
            <w:r/>
            <w:r>
              <w:rPr>
                <w:rFonts w:ascii="Aptos" w:hAnsi="Aptos"/>
                <w:b w:val="0"/>
                <w:color w:val="1F2937"/>
                <w:sz w:val="16"/>
              </w:rPr>
              <w:t>Lower recorded test performance in this feature setup.</w:t>
            </w:r>
          </w:p>
        </w:tc>
      </w:tr>
      <w:tr>
        <w:tc>
          <w:tcPr>
            <w:tcW w:type="dxa" w:w="2232"/>
            <w:vAlign w:val="center"/>
            <w:shd w:fill="F5F7FA"/>
          </w:tcPr>
          <w:p>
            <w:pPr>
              <w:spacing w:after="0"/>
              <w:jc w:val="left"/>
            </w:pPr>
            <w:r/>
            <w:r>
              <w:rPr>
                <w:rFonts w:ascii="Aptos" w:hAnsi="Aptos"/>
                <w:b w:val="0"/>
                <w:color w:val="1F2937"/>
                <w:sz w:val="16"/>
              </w:rPr>
              <w:t>ANN</w:t>
            </w:r>
          </w:p>
        </w:tc>
        <w:tc>
          <w:tcPr>
            <w:tcW w:type="dxa" w:w="1152"/>
            <w:vAlign w:val="center"/>
            <w:shd w:fill="F5F7FA"/>
          </w:tcPr>
          <w:p>
            <w:pPr>
              <w:spacing w:after="0"/>
              <w:jc w:val="left"/>
            </w:pPr>
            <w:r/>
            <w:r>
              <w:rPr>
                <w:rFonts w:ascii="Aptos" w:hAnsi="Aptos"/>
                <w:b w:val="0"/>
                <w:color w:val="1F2937"/>
                <w:sz w:val="16"/>
              </w:rPr>
              <w:t>68.22%</w:t>
            </w:r>
          </w:p>
        </w:tc>
        <w:tc>
          <w:tcPr>
            <w:tcW w:type="dxa" w:w="1224"/>
            <w:vAlign w:val="center"/>
            <w:shd w:fill="F5F7FA"/>
          </w:tcPr>
          <w:p>
            <w:pPr>
              <w:spacing w:after="0"/>
              <w:jc w:val="left"/>
            </w:pPr>
            <w:r/>
            <w:r>
              <w:rPr>
                <w:rFonts w:ascii="Aptos" w:hAnsi="Aptos"/>
                <w:b w:val="0"/>
                <w:color w:val="1F2937"/>
                <w:sz w:val="16"/>
              </w:rPr>
              <w:t>73.94%</w:t>
            </w:r>
          </w:p>
        </w:tc>
        <w:tc>
          <w:tcPr>
            <w:tcW w:type="dxa" w:w="1152"/>
            <w:vAlign w:val="center"/>
            <w:shd w:fill="F5F7FA"/>
          </w:tcPr>
          <w:p>
            <w:pPr>
              <w:spacing w:after="0"/>
              <w:jc w:val="left"/>
            </w:pPr>
            <w:r/>
            <w:r>
              <w:rPr>
                <w:rFonts w:ascii="Aptos" w:hAnsi="Aptos"/>
                <w:b w:val="0"/>
                <w:color w:val="1F2937"/>
                <w:sz w:val="16"/>
              </w:rPr>
              <w:t>71.10%</w:t>
            </w:r>
          </w:p>
        </w:tc>
        <w:tc>
          <w:tcPr>
            <w:tcW w:type="dxa" w:w="1080"/>
            <w:vAlign w:val="center"/>
            <w:shd w:fill="F5F7FA"/>
          </w:tcPr>
          <w:p>
            <w:pPr>
              <w:spacing w:after="0"/>
              <w:jc w:val="left"/>
            </w:pPr>
            <w:r/>
            <w:r>
              <w:rPr>
                <w:rFonts w:ascii="Aptos" w:hAnsi="Aptos"/>
                <w:b w:val="0"/>
                <w:color w:val="1F2937"/>
                <w:sz w:val="16"/>
              </w:rPr>
              <w:t>72.49%</w:t>
            </w:r>
          </w:p>
        </w:tc>
        <w:tc>
          <w:tcPr>
            <w:tcW w:type="dxa" w:w="1224"/>
            <w:vAlign w:val="center"/>
            <w:shd w:fill="F5F7FA"/>
          </w:tcPr>
          <w:p>
            <w:pPr>
              <w:spacing w:after="0"/>
              <w:jc w:val="left"/>
            </w:pPr>
            <w:r/>
            <w:r>
              <w:rPr>
                <w:rFonts w:ascii="Aptos" w:hAnsi="Aptos"/>
                <w:b w:val="0"/>
                <w:color w:val="1F2937"/>
                <w:sz w:val="16"/>
              </w:rPr>
              <w:t>74.02%</w:t>
            </w:r>
          </w:p>
        </w:tc>
        <w:tc>
          <w:tcPr>
            <w:tcW w:type="dxa" w:w="3456"/>
            <w:vAlign w:val="center"/>
            <w:shd w:fill="F5F7FA"/>
          </w:tcPr>
          <w:p>
            <w:pPr>
              <w:spacing w:after="0"/>
              <w:jc w:val="left"/>
            </w:pPr>
            <w:r/>
            <w:r>
              <w:rPr>
                <w:rFonts w:ascii="Aptos" w:hAnsi="Aptos"/>
                <w:b w:val="0"/>
                <w:color w:val="1F2937"/>
                <w:sz w:val="16"/>
              </w:rPr>
              <w:t>Highest recorded ROC-AUC; performance remains close to Logistic Regression.</w:t>
            </w:r>
          </w:p>
        </w:tc>
      </w:tr>
    </w:tbl>
    <w:p>
      <w:pPr>
        <w:spacing w:after="140" w:line="259" w:lineRule="auto"/>
      </w:pPr>
      <w:r>
        <w:t>The comparison shows why the capstone should not reduce model evaluation to a single score. Logistic Regression has the highest recorded accuracy and F1-score, while the ANN has the highest recorded ROC-AUC. The differences are relatively small, suggesting that the six engineered customer features already provide substantial predictive signal and that added model complexity does not automatically yield a large improvement.</w:t>
      </w:r>
    </w:p>
    <w:p>
      <w:pPr>
        <w:pStyle w:val="Heading1"/>
      </w:pPr>
      <w:r>
        <w:rPr>
          <w:rFonts w:ascii="Aptos Display" w:hAnsi="Aptos Display"/>
          <w:color w:val="243B53"/>
        </w:rPr>
        <w:t>10. Integrated Customer Analysis</w:t>
      </w:r>
    </w:p>
    <w:p>
      <w:pPr>
        <w:spacing w:after="140" w:line="259" w:lineRule="auto"/>
      </w:pPr>
      <w:r>
        <w:t>The distinctive new contribution of the capstone is the explicit combination of customer segmentation and future repeat-purchase behavior. The RFM/K-Means segmentation provides a descriptive customer profile, while the repeat-purchase target provides an observed future outcome over the chosen horizon.</w:t>
      </w:r>
    </w:p>
    <w:p>
      <w:pPr>
        <w:jc w:val="center"/>
      </w:pPr>
      <w:r>
        <w:drawing>
          <wp:inline xmlns:a="http://schemas.openxmlformats.org/drawingml/2006/main" xmlns:pic="http://schemas.openxmlformats.org/drawingml/2006/picture">
            <wp:extent cx="5669280" cy="3467865"/>
            <wp:docPr id="24" name="Picture 24"/>
            <wp:cNvGraphicFramePr>
              <a:graphicFrameLocks noChangeAspect="1"/>
            </wp:cNvGraphicFramePr>
            <a:graphic>
              <a:graphicData uri="http://schemas.openxmlformats.org/drawingml/2006/picture">
                <pic:pic>
                  <pic:nvPicPr>
                    <pic:cNvPr id="0" name="ss_16.png"/>
                    <pic:cNvPicPr/>
                  </pic:nvPicPr>
                  <pic:blipFill>
                    <a:blip r:embed="rId32"/>
                    <a:stretch>
                      <a:fillRect/>
                    </a:stretch>
                  </pic:blipFill>
                  <pic:spPr>
                    <a:xfrm>
                      <a:off x="0" y="0"/>
                      <a:ext cx="5669280" cy="3467865"/>
                    </a:xfrm>
                    <a:prstGeom prst="rect"/>
                  </pic:spPr>
                </pic:pic>
              </a:graphicData>
            </a:graphic>
          </wp:inline>
        </w:drawing>
      </w:r>
    </w:p>
    <w:p>
      <w:pPr>
        <w:jc w:val="center"/>
      </w:pPr>
      <w:r>
        <w:rPr>
          <w:b/>
          <w:color w:val="667085"/>
          <w:sz w:val="17"/>
        </w:rPr>
        <w:t>Figure 16. Repeat-purchase rate by customer segment.</w:t>
      </w:r>
    </w:p>
    <w:p>
      <w:pPr>
        <w:spacing w:after="20"/>
      </w:pPr>
    </w:p>
    <w:p>
      <w:pPr>
        <w:jc w:val="center"/>
      </w:pPr>
      <w:r>
        <w:drawing>
          <wp:inline xmlns:a="http://schemas.openxmlformats.org/drawingml/2006/main" xmlns:pic="http://schemas.openxmlformats.org/drawingml/2006/picture">
            <wp:extent cx="5669280" cy="3564517"/>
            <wp:docPr id="25" name="Picture 25"/>
            <wp:cNvGraphicFramePr>
              <a:graphicFrameLocks noChangeAspect="1"/>
            </wp:cNvGraphicFramePr>
            <a:graphic>
              <a:graphicData uri="http://schemas.openxmlformats.org/drawingml/2006/picture">
                <pic:pic>
                  <pic:nvPicPr>
                    <pic:cNvPr id="0" name="ss_17.png"/>
                    <pic:cNvPicPr/>
                  </pic:nvPicPr>
                  <pic:blipFill>
                    <a:blip r:embed="rId33"/>
                    <a:stretch>
                      <a:fillRect/>
                    </a:stretch>
                  </pic:blipFill>
                  <pic:spPr>
                    <a:xfrm>
                      <a:off x="0" y="0"/>
                      <a:ext cx="5669280" cy="3564517"/>
                    </a:xfrm>
                    <a:prstGeom prst="rect"/>
                  </pic:spPr>
                </pic:pic>
              </a:graphicData>
            </a:graphic>
          </wp:inline>
        </w:drawing>
      </w:r>
    </w:p>
    <w:p>
      <w:pPr>
        <w:jc w:val="center"/>
      </w:pPr>
      <w:r>
        <w:rPr>
          <w:b/>
          <w:color w:val="667085"/>
          <w:sz w:val="17"/>
        </w:rPr>
        <w:t>Figure 17. Integrated customer profile combining RFM characteristics with repeat-purchase outcomes.</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1440"/>
        <w:gridCol w:w="1440"/>
        <w:gridCol w:w="1440"/>
        <w:gridCol w:w="1440"/>
        <w:gridCol w:w="1440"/>
        <w:gridCol w:w="1440"/>
        <w:gridCol w:w="1440"/>
      </w:tblGrid>
      <w:tr>
        <w:tc>
          <w:tcPr>
            <w:tcW w:type="dxa" w:w="1008"/>
            <w:vAlign w:val="center"/>
            <w:shd w:fill="243B53"/>
          </w:tcPr>
          <w:p>
            <w:pPr>
              <w:spacing w:after="0"/>
              <w:jc w:val="center"/>
            </w:pPr>
            <w:r/>
            <w:r>
              <w:rPr>
                <w:rFonts w:ascii="Aptos" w:hAnsi="Aptos"/>
                <w:b/>
                <w:color w:val="FFFFFF"/>
                <w:sz w:val="18"/>
              </w:rPr>
              <w:t>Cluster</w:t>
            </w:r>
          </w:p>
        </w:tc>
        <w:tc>
          <w:tcPr>
            <w:tcW w:type="dxa" w:w="1440"/>
            <w:vAlign w:val="center"/>
            <w:shd w:fill="243B53"/>
          </w:tcPr>
          <w:p>
            <w:pPr>
              <w:spacing w:after="0"/>
              <w:jc w:val="center"/>
            </w:pPr>
            <w:r/>
            <w:r>
              <w:rPr>
                <w:rFonts w:ascii="Aptos" w:hAnsi="Aptos"/>
                <w:b/>
                <w:color w:val="FFFFFF"/>
                <w:sz w:val="18"/>
              </w:rPr>
              <w:t>Customers</w:t>
            </w:r>
          </w:p>
        </w:tc>
        <w:tc>
          <w:tcPr>
            <w:tcW w:type="dxa" w:w="1440"/>
            <w:vAlign w:val="center"/>
            <w:shd w:fill="243B53"/>
          </w:tcPr>
          <w:p>
            <w:pPr>
              <w:spacing w:after="0"/>
              <w:jc w:val="center"/>
            </w:pPr>
            <w:r/>
            <w:r>
              <w:rPr>
                <w:rFonts w:ascii="Aptos" w:hAnsi="Aptos"/>
                <w:b/>
                <w:color w:val="FFFFFF"/>
                <w:sz w:val="18"/>
              </w:rPr>
              <w:t>Avg Recency</w:t>
            </w:r>
          </w:p>
        </w:tc>
        <w:tc>
          <w:tcPr>
            <w:tcW w:type="dxa" w:w="1584"/>
            <w:vAlign w:val="center"/>
            <w:shd w:fill="243B53"/>
          </w:tcPr>
          <w:p>
            <w:pPr>
              <w:spacing w:after="0"/>
              <w:jc w:val="center"/>
            </w:pPr>
            <w:r/>
            <w:r>
              <w:rPr>
                <w:rFonts w:ascii="Aptos" w:hAnsi="Aptos"/>
                <w:b/>
                <w:color w:val="FFFFFF"/>
                <w:sz w:val="18"/>
              </w:rPr>
              <w:t>Avg Frequency</w:t>
            </w:r>
          </w:p>
        </w:tc>
        <w:tc>
          <w:tcPr>
            <w:tcW w:type="dxa" w:w="1656"/>
            <w:vAlign w:val="center"/>
            <w:shd w:fill="243B53"/>
          </w:tcPr>
          <w:p>
            <w:pPr>
              <w:spacing w:after="0"/>
              <w:jc w:val="center"/>
            </w:pPr>
            <w:r/>
            <w:r>
              <w:rPr>
                <w:rFonts w:ascii="Aptos" w:hAnsi="Aptos"/>
                <w:b/>
                <w:color w:val="FFFFFF"/>
                <w:sz w:val="18"/>
              </w:rPr>
              <w:t>Avg Monetary</w:t>
            </w:r>
          </w:p>
        </w:tc>
        <w:tc>
          <w:tcPr>
            <w:tcW w:type="dxa" w:w="1800"/>
            <w:vAlign w:val="center"/>
            <w:shd w:fill="243B53"/>
          </w:tcPr>
          <w:p>
            <w:pPr>
              <w:spacing w:after="0"/>
              <w:jc w:val="center"/>
            </w:pPr>
            <w:r/>
            <w:r>
              <w:rPr>
                <w:rFonts w:ascii="Aptos" w:hAnsi="Aptos"/>
                <w:b/>
                <w:color w:val="FFFFFF"/>
                <w:sz w:val="18"/>
              </w:rPr>
              <w:t>Repeat Customers</w:t>
            </w:r>
          </w:p>
        </w:tc>
        <w:tc>
          <w:tcPr>
            <w:tcW w:type="dxa" w:w="1584"/>
            <w:vAlign w:val="center"/>
            <w:shd w:fill="243B53"/>
          </w:tcPr>
          <w:p>
            <w:pPr>
              <w:spacing w:after="0"/>
              <w:jc w:val="center"/>
            </w:pPr>
            <w:r/>
            <w:r>
              <w:rPr>
                <w:rFonts w:ascii="Aptos" w:hAnsi="Aptos"/>
                <w:b/>
                <w:color w:val="FFFFFF"/>
                <w:sz w:val="18"/>
              </w:rPr>
              <w:t>Repeat Rate</w:t>
            </w:r>
          </w:p>
        </w:tc>
      </w:tr>
      <w:tr>
        <w:tc>
          <w:tcPr>
            <w:tcW w:type="dxa" w:w="1008"/>
            <w:vAlign w:val="center"/>
            <w:shd w:fill="F5F7FA"/>
          </w:tcPr>
          <w:p>
            <w:pPr>
              <w:spacing w:after="0"/>
              <w:jc w:val="left"/>
            </w:pPr>
            <w:r/>
            <w:r>
              <w:rPr>
                <w:rFonts w:ascii="Aptos" w:hAnsi="Aptos"/>
                <w:b w:val="0"/>
                <w:color w:val="1F2937"/>
                <w:sz w:val="18"/>
              </w:rPr>
              <w:t>0</w:t>
            </w:r>
          </w:p>
        </w:tc>
        <w:tc>
          <w:tcPr>
            <w:tcW w:type="dxa" w:w="1440"/>
            <w:vAlign w:val="center"/>
            <w:shd w:fill="F5F7FA"/>
          </w:tcPr>
          <w:p>
            <w:pPr>
              <w:spacing w:after="0"/>
              <w:jc w:val="left"/>
            </w:pPr>
            <w:r/>
            <w:r>
              <w:rPr>
                <w:rFonts w:ascii="Aptos" w:hAnsi="Aptos"/>
                <w:b w:val="0"/>
                <w:color w:val="1F2937"/>
                <w:sz w:val="18"/>
              </w:rPr>
              <w:t>2,672</w:t>
            </w:r>
          </w:p>
        </w:tc>
        <w:tc>
          <w:tcPr>
            <w:tcW w:type="dxa" w:w="1440"/>
            <w:vAlign w:val="center"/>
            <w:shd w:fill="F5F7FA"/>
          </w:tcPr>
          <w:p>
            <w:pPr>
              <w:spacing w:after="0"/>
              <w:jc w:val="left"/>
            </w:pPr>
            <w:r/>
            <w:r>
              <w:rPr>
                <w:rFonts w:ascii="Aptos" w:hAnsi="Aptos"/>
                <w:b w:val="0"/>
                <w:color w:val="1F2937"/>
                <w:sz w:val="18"/>
              </w:rPr>
              <w:t>134.09</w:t>
            </w:r>
          </w:p>
        </w:tc>
        <w:tc>
          <w:tcPr>
            <w:tcW w:type="dxa" w:w="1584"/>
            <w:vAlign w:val="center"/>
            <w:shd w:fill="F5F7FA"/>
          </w:tcPr>
          <w:p>
            <w:pPr>
              <w:spacing w:after="0"/>
              <w:jc w:val="left"/>
            </w:pPr>
            <w:r/>
            <w:r>
              <w:rPr>
                <w:rFonts w:ascii="Aptos" w:hAnsi="Aptos"/>
                <w:b w:val="0"/>
                <w:color w:val="1F2937"/>
                <w:sz w:val="18"/>
              </w:rPr>
              <w:t>1.67</w:t>
            </w:r>
          </w:p>
        </w:tc>
        <w:tc>
          <w:tcPr>
            <w:tcW w:type="dxa" w:w="1656"/>
            <w:vAlign w:val="center"/>
            <w:shd w:fill="F5F7FA"/>
          </w:tcPr>
          <w:p>
            <w:pPr>
              <w:spacing w:after="0"/>
              <w:jc w:val="left"/>
            </w:pPr>
            <w:r/>
            <w:r>
              <w:rPr>
                <w:rFonts w:ascii="Aptos" w:hAnsi="Aptos"/>
                <w:b w:val="0"/>
                <w:color w:val="1F2937"/>
                <w:sz w:val="18"/>
              </w:rPr>
              <w:t>£495.59</w:t>
            </w:r>
          </w:p>
        </w:tc>
        <w:tc>
          <w:tcPr>
            <w:tcW w:type="dxa" w:w="1800"/>
            <w:vAlign w:val="center"/>
            <w:shd w:fill="F5F7FA"/>
          </w:tcPr>
          <w:p>
            <w:pPr>
              <w:spacing w:after="0"/>
              <w:jc w:val="left"/>
            </w:pPr>
            <w:r/>
            <w:r>
              <w:rPr>
                <w:rFonts w:ascii="Aptos" w:hAnsi="Aptos"/>
                <w:b w:val="0"/>
                <w:color w:val="1F2937"/>
                <w:sz w:val="18"/>
              </w:rPr>
              <w:t>529</w:t>
            </w:r>
          </w:p>
        </w:tc>
        <w:tc>
          <w:tcPr>
            <w:tcW w:type="dxa" w:w="1584"/>
            <w:vAlign w:val="center"/>
            <w:shd w:fill="F5F7FA"/>
          </w:tcPr>
          <w:p>
            <w:pPr>
              <w:spacing w:after="0"/>
              <w:jc w:val="left"/>
            </w:pPr>
            <w:r/>
            <w:r>
              <w:rPr>
                <w:rFonts w:ascii="Aptos" w:hAnsi="Aptos"/>
                <w:b w:val="0"/>
                <w:color w:val="1F2937"/>
                <w:sz w:val="18"/>
              </w:rPr>
              <w:t>28.73%</w:t>
            </w:r>
          </w:p>
        </w:tc>
      </w:tr>
      <w:tr>
        <w:tc>
          <w:tcPr>
            <w:tcW w:type="dxa" w:w="1008"/>
            <w:vAlign w:val="center"/>
            <w:shd w:fill="FFFFFF"/>
          </w:tcPr>
          <w:p>
            <w:pPr>
              <w:spacing w:after="0"/>
              <w:jc w:val="left"/>
            </w:pPr>
            <w:r/>
            <w:r>
              <w:rPr>
                <w:rFonts w:ascii="Aptos" w:hAnsi="Aptos"/>
                <w:b w:val="0"/>
                <w:color w:val="1F2937"/>
                <w:sz w:val="18"/>
              </w:rPr>
              <w:t>1</w:t>
            </w:r>
          </w:p>
        </w:tc>
        <w:tc>
          <w:tcPr>
            <w:tcW w:type="dxa" w:w="1440"/>
            <w:vAlign w:val="center"/>
            <w:shd w:fill="FFFFFF"/>
          </w:tcPr>
          <w:p>
            <w:pPr>
              <w:spacing w:after="0"/>
              <w:jc w:val="left"/>
            </w:pPr>
            <w:r/>
            <w:r>
              <w:rPr>
                <w:rFonts w:ascii="Aptos" w:hAnsi="Aptos"/>
                <w:b w:val="0"/>
                <w:color w:val="1F2937"/>
                <w:sz w:val="18"/>
              </w:rPr>
              <w:t>1,666</w:t>
            </w:r>
          </w:p>
        </w:tc>
        <w:tc>
          <w:tcPr>
            <w:tcW w:type="dxa" w:w="1440"/>
            <w:vAlign w:val="center"/>
            <w:shd w:fill="FFFFFF"/>
          </w:tcPr>
          <w:p>
            <w:pPr>
              <w:spacing w:after="0"/>
              <w:jc w:val="left"/>
            </w:pPr>
            <w:r/>
            <w:r>
              <w:rPr>
                <w:rFonts w:ascii="Aptos" w:hAnsi="Aptos"/>
                <w:b w:val="0"/>
                <w:color w:val="1F2937"/>
                <w:sz w:val="18"/>
              </w:rPr>
              <w:t>25.89</w:t>
            </w:r>
          </w:p>
        </w:tc>
        <w:tc>
          <w:tcPr>
            <w:tcW w:type="dxa" w:w="1584"/>
            <w:vAlign w:val="center"/>
            <w:shd w:fill="FFFFFF"/>
          </w:tcPr>
          <w:p>
            <w:pPr>
              <w:spacing w:after="0"/>
              <w:jc w:val="left"/>
            </w:pPr>
            <w:r/>
            <w:r>
              <w:rPr>
                <w:rFonts w:ascii="Aptos" w:hAnsi="Aptos"/>
                <w:b w:val="0"/>
                <w:color w:val="1F2937"/>
                <w:sz w:val="18"/>
              </w:rPr>
              <w:t>8.44</w:t>
            </w:r>
          </w:p>
        </w:tc>
        <w:tc>
          <w:tcPr>
            <w:tcW w:type="dxa" w:w="1656"/>
            <w:vAlign w:val="center"/>
            <w:shd w:fill="FFFFFF"/>
          </w:tcPr>
          <w:p>
            <w:pPr>
              <w:spacing w:after="0"/>
              <w:jc w:val="left"/>
            </w:pPr>
            <w:r/>
            <w:r>
              <w:rPr>
                <w:rFonts w:ascii="Aptos" w:hAnsi="Aptos"/>
                <w:b w:val="0"/>
                <w:color w:val="1F2937"/>
                <w:sz w:val="18"/>
              </w:rPr>
              <w:t>£4,539.60</w:t>
            </w:r>
          </w:p>
        </w:tc>
        <w:tc>
          <w:tcPr>
            <w:tcW w:type="dxa" w:w="1800"/>
            <w:vAlign w:val="center"/>
            <w:shd w:fill="FFFFFF"/>
          </w:tcPr>
          <w:p>
            <w:pPr>
              <w:spacing w:after="0"/>
              <w:jc w:val="left"/>
            </w:pPr>
            <w:r/>
            <w:r>
              <w:rPr>
                <w:rFonts w:ascii="Aptos" w:hAnsi="Aptos"/>
                <w:b w:val="0"/>
                <w:color w:val="1F2937"/>
                <w:sz w:val="18"/>
              </w:rPr>
              <w:t>1,423</w:t>
            </w:r>
          </w:p>
        </w:tc>
        <w:tc>
          <w:tcPr>
            <w:tcW w:type="dxa" w:w="1584"/>
            <w:vAlign w:val="center"/>
            <w:shd w:fill="FFFFFF"/>
          </w:tcPr>
          <w:p>
            <w:pPr>
              <w:spacing w:after="0"/>
              <w:jc w:val="left"/>
            </w:pPr>
            <w:r/>
            <w:r>
              <w:rPr>
                <w:rFonts w:ascii="Aptos" w:hAnsi="Aptos"/>
                <w:b w:val="0"/>
                <w:color w:val="1F2937"/>
                <w:sz w:val="18"/>
              </w:rPr>
              <w:t>96.41%</w:t>
            </w:r>
          </w:p>
        </w:tc>
      </w:tr>
    </w:tbl>
    <w:p>
      <w:pPr>
        <w:spacing w:after="140" w:line="259" w:lineRule="auto"/>
      </w:pPr>
      <w:r>
        <w:t>The observed repeat-purchase rate differs substantially between the two segments. Cluster 1 combines recent activity, higher purchase frequency and higher monetary value with a 96.41% observed repeat rate over the future period. Cluster 0 has lower engagement metrics and a 28.73% observed repeat rate. This association is analytically useful, but it should not be interpreted as evidence that any single RFM variable causes repeat purchase.</w:t>
      </w:r>
    </w:p>
    <w:p>
      <w:pPr>
        <w:jc w:val="center"/>
      </w:pPr>
      <w:r>
        <w:drawing>
          <wp:inline xmlns:a="http://schemas.openxmlformats.org/drawingml/2006/main" xmlns:pic="http://schemas.openxmlformats.org/drawingml/2006/picture">
            <wp:extent cx="5669280" cy="954722"/>
            <wp:docPr id="26" name="Picture 26"/>
            <wp:cNvGraphicFramePr>
              <a:graphicFrameLocks noChangeAspect="1"/>
            </wp:cNvGraphicFramePr>
            <a:graphic>
              <a:graphicData uri="http://schemas.openxmlformats.org/drawingml/2006/picture">
                <pic:pic>
                  <pic:nvPicPr>
                    <pic:cNvPr id="0" name="ss_18.png"/>
                    <pic:cNvPicPr/>
                  </pic:nvPicPr>
                  <pic:blipFill>
                    <a:blip r:embed="rId34"/>
                    <a:stretch>
                      <a:fillRect/>
                    </a:stretch>
                  </pic:blipFill>
                  <pic:spPr>
                    <a:xfrm>
                      <a:off x="0" y="0"/>
                      <a:ext cx="5669280" cy="954722"/>
                    </a:xfrm>
                    <a:prstGeom prst="rect"/>
                  </pic:spPr>
                </pic:pic>
              </a:graphicData>
            </a:graphic>
          </wp:inline>
        </w:drawing>
      </w:r>
    </w:p>
    <w:p>
      <w:pPr>
        <w:jc w:val="center"/>
      </w:pPr>
      <w:r>
        <w:rPr>
          <w:b/>
          <w:color w:val="667085"/>
          <w:sz w:val="17"/>
        </w:rPr>
        <w:t>Figure 18. Programmatically generated final capstone insights from the integrated analysis.</w:t>
      </w:r>
    </w:p>
    <w:p>
      <w:pPr>
        <w:spacing w:after="20"/>
      </w:pPr>
    </w:p>
    <w:p>
      <w:pPr>
        <w:pStyle w:val="Heading1"/>
      </w:pPr>
      <w:r>
        <w:rPr>
          <w:rFonts w:ascii="Aptos Display" w:hAnsi="Aptos Display"/>
          <w:color w:val="243B53"/>
        </w:rPr>
        <w:t>11. Insights and Recommendations</w:t>
      </w:r>
    </w:p>
    <w:p>
      <w:pPr>
        <w:pStyle w:val="Heading2"/>
      </w:pPr>
      <w:r>
        <w:rPr>
          <w:rFonts w:ascii="Aptos Display" w:hAnsi="Aptos Display"/>
          <w:color w:val="3B5B7A"/>
        </w:rPr>
        <w:t>11.1 Key insights</w:t>
      </w:r>
    </w:p>
    <w:p>
      <w:pPr>
        <w:pStyle w:val="ListBullet"/>
        <w:spacing w:after="60"/>
      </w:pPr>
      <w:r>
        <w:t>The cleaned dataset retains 392,692 valid transactions from 541,909 raw rows after systematic quality controls.</w:t>
      </w:r>
    </w:p>
    <w:p>
      <w:pPr>
        <w:pStyle w:val="ListBullet"/>
        <w:spacing w:after="60"/>
      </w:pPr>
      <w:r>
        <w:t>Transaction activity is concentrated in a relatively small number of countries, with the United Kingdom accounting for the largest transaction amount.</w:t>
      </w:r>
    </w:p>
    <w:p>
      <w:pPr>
        <w:pStyle w:val="ListBullet"/>
        <w:spacing w:after="60"/>
      </w:pPr>
      <w:r>
        <w:t>Customer behavior is highly heterogeneous, supporting the use of customer-level aggregation rather than transaction-level averages alone.</w:t>
      </w:r>
    </w:p>
    <w:p>
      <w:pPr>
        <w:pStyle w:val="ListBullet"/>
        <w:spacing w:after="60"/>
      </w:pPr>
      <w:r>
        <w:t>Two RFM segments provide a compact descriptive view of customer engagement and value, with a strong difference in observed repeat-purchase rates.</w:t>
      </w:r>
    </w:p>
    <w:p>
      <w:pPr>
        <w:pStyle w:val="ListBullet"/>
        <w:spacing w:after="60"/>
      </w:pPr>
      <w:r>
        <w:t>The predictive models achieve moderate performance, indicating useful signal but considerable room for improvement.</w:t>
      </w:r>
    </w:p>
    <w:p>
      <w:pPr>
        <w:pStyle w:val="ListBullet"/>
        <w:spacing w:after="60"/>
      </w:pPr>
      <w:r>
        <w:t>The ANN does not dominate every metric; this is an important finding because it shows that deep learning complexity should be justified by measurable benefit rather than assumed superiority.</w:t>
      </w:r>
    </w:p>
    <w:p>
      <w:pPr>
        <w:pStyle w:val="Heading2"/>
      </w:pPr>
      <w:r>
        <w:rPr>
          <w:rFonts w:ascii="Aptos Display" w:hAnsi="Aptos Display"/>
          <w:color w:val="3B5B7A"/>
        </w:rPr>
        <w:t>11.2 Recommendations</w:t>
      </w:r>
    </w:p>
    <w:p>
      <w:pPr>
        <w:jc w:val="center"/>
      </w:pPr>
      <w:r>
        <w:drawing>
          <wp:inline xmlns:a="http://schemas.openxmlformats.org/drawingml/2006/main" xmlns:pic="http://schemas.openxmlformats.org/drawingml/2006/picture">
            <wp:extent cx="5669280" cy="3354561"/>
            <wp:docPr id="27" name="Picture 27"/>
            <wp:cNvGraphicFramePr>
              <a:graphicFrameLocks noChangeAspect="1"/>
            </wp:cNvGraphicFramePr>
            <a:graphic>
              <a:graphicData uri="http://schemas.openxmlformats.org/drawingml/2006/picture">
                <pic:pic>
                  <pic:nvPicPr>
                    <pic:cNvPr id="0" name="ss_19.png"/>
                    <pic:cNvPicPr/>
                  </pic:nvPicPr>
                  <pic:blipFill>
                    <a:blip r:embed="rId35"/>
                    <a:stretch>
                      <a:fillRect/>
                    </a:stretch>
                  </pic:blipFill>
                  <pic:spPr>
                    <a:xfrm>
                      <a:off x="0" y="0"/>
                      <a:ext cx="5669280" cy="3354561"/>
                    </a:xfrm>
                    <a:prstGeom prst="rect"/>
                  </pic:spPr>
                </pic:pic>
              </a:graphicData>
            </a:graphic>
          </wp:inline>
        </w:drawing>
      </w:r>
    </w:p>
    <w:p>
      <w:pPr>
        <w:jc w:val="center"/>
      </w:pPr>
      <w:r>
        <w:rPr>
          <w:b/>
          <w:color w:val="667085"/>
          <w:sz w:val="17"/>
        </w:rPr>
        <w:t>Figure 19. Structured recommendation table generated from the capstone analysis.</w:t>
      </w:r>
    </w:p>
    <w:p>
      <w:pPr>
        <w:spacing w:after="20"/>
      </w:pP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2304"/>
            <w:vAlign w:val="center"/>
            <w:shd w:fill="243B53"/>
          </w:tcPr>
          <w:p>
            <w:pPr>
              <w:spacing w:after="0"/>
              <w:jc w:val="center"/>
            </w:pPr>
            <w:r/>
            <w:r>
              <w:rPr>
                <w:rFonts w:ascii="Aptos" w:hAnsi="Aptos"/>
                <w:b/>
                <w:color w:val="FFFFFF"/>
                <w:sz w:val="18"/>
              </w:rPr>
              <w:t>Area</w:t>
            </w:r>
          </w:p>
        </w:tc>
        <w:tc>
          <w:tcPr>
            <w:tcW w:type="dxa" w:w="7488"/>
            <w:vAlign w:val="center"/>
            <w:shd w:fill="243B53"/>
          </w:tcPr>
          <w:p>
            <w:pPr>
              <w:spacing w:after="0"/>
              <w:jc w:val="center"/>
            </w:pPr>
            <w:r/>
            <w:r>
              <w:rPr>
                <w:rFonts w:ascii="Aptos" w:hAnsi="Aptos"/>
                <w:b/>
                <w:color w:val="FFFFFF"/>
                <w:sz w:val="18"/>
              </w:rPr>
              <w:t>Recommended analytical action</w:t>
            </w:r>
          </w:p>
        </w:tc>
      </w:tr>
      <w:tr>
        <w:tc>
          <w:tcPr>
            <w:tcW w:type="dxa" w:w="2304"/>
            <w:vAlign w:val="center"/>
            <w:shd w:fill="F5F7FA"/>
          </w:tcPr>
          <w:p>
            <w:pPr>
              <w:spacing w:after="0"/>
              <w:jc w:val="left"/>
            </w:pPr>
            <w:r/>
            <w:r>
              <w:rPr>
                <w:rFonts w:ascii="Aptos" w:hAnsi="Aptos"/>
                <w:b w:val="0"/>
                <w:color w:val="1F2937"/>
                <w:sz w:val="18"/>
              </w:rPr>
              <w:t>Retention</w:t>
            </w:r>
          </w:p>
        </w:tc>
        <w:tc>
          <w:tcPr>
            <w:tcW w:type="dxa" w:w="7488"/>
            <w:vAlign w:val="center"/>
            <w:shd w:fill="F5F7FA"/>
          </w:tcPr>
          <w:p>
            <w:pPr>
              <w:spacing w:after="0"/>
              <w:jc w:val="left"/>
            </w:pPr>
            <w:r/>
            <w:r>
              <w:rPr>
                <w:rFonts w:ascii="Aptos" w:hAnsi="Aptos"/>
                <w:b w:val="0"/>
                <w:color w:val="1F2937"/>
                <w:sz w:val="18"/>
              </w:rPr>
              <w:t>Use customer behavior and predicted probability to prioritize retention analysis.</w:t>
            </w:r>
          </w:p>
        </w:tc>
      </w:tr>
      <w:tr>
        <w:tc>
          <w:tcPr>
            <w:tcW w:type="dxa" w:w="2304"/>
            <w:vAlign w:val="center"/>
            <w:shd w:fill="FFFFFF"/>
          </w:tcPr>
          <w:p>
            <w:pPr>
              <w:spacing w:after="0"/>
              <w:jc w:val="left"/>
            </w:pPr>
            <w:r/>
            <w:r>
              <w:rPr>
                <w:rFonts w:ascii="Aptos" w:hAnsi="Aptos"/>
                <w:b w:val="0"/>
                <w:color w:val="1F2937"/>
                <w:sz w:val="18"/>
              </w:rPr>
              <w:t>Segmentation</w:t>
            </w:r>
          </w:p>
        </w:tc>
        <w:tc>
          <w:tcPr>
            <w:tcW w:type="dxa" w:w="7488"/>
            <w:vAlign w:val="center"/>
            <w:shd w:fill="FFFFFF"/>
          </w:tcPr>
          <w:p>
            <w:pPr>
              <w:spacing w:after="0"/>
              <w:jc w:val="left"/>
            </w:pPr>
            <w:r/>
            <w:r>
              <w:rPr>
                <w:rFonts w:ascii="Aptos" w:hAnsi="Aptos"/>
                <w:b w:val="0"/>
                <w:color w:val="1F2937"/>
                <w:sz w:val="18"/>
              </w:rPr>
              <w:t>Combine RFM segments with predictive behavior for differentiated customer monitoring.</w:t>
            </w:r>
          </w:p>
        </w:tc>
      </w:tr>
      <w:tr>
        <w:tc>
          <w:tcPr>
            <w:tcW w:type="dxa" w:w="2304"/>
            <w:vAlign w:val="center"/>
            <w:shd w:fill="F5F7FA"/>
          </w:tcPr>
          <w:p>
            <w:pPr>
              <w:spacing w:after="0"/>
              <w:jc w:val="left"/>
            </w:pPr>
            <w:r/>
            <w:r>
              <w:rPr>
                <w:rFonts w:ascii="Aptos" w:hAnsi="Aptos"/>
                <w:b w:val="0"/>
                <w:color w:val="1F2937"/>
                <w:sz w:val="18"/>
              </w:rPr>
              <w:t>Marketing</w:t>
            </w:r>
          </w:p>
        </w:tc>
        <w:tc>
          <w:tcPr>
            <w:tcW w:type="dxa" w:w="7488"/>
            <w:vAlign w:val="center"/>
            <w:shd w:fill="F5F7FA"/>
          </w:tcPr>
          <w:p>
            <w:pPr>
              <w:spacing w:after="0"/>
              <w:jc w:val="left"/>
            </w:pPr>
            <w:r/>
            <w:r>
              <w:rPr>
                <w:rFonts w:ascii="Aptos" w:hAnsi="Aptos"/>
                <w:b w:val="0"/>
                <w:color w:val="1F2937"/>
                <w:sz w:val="18"/>
              </w:rPr>
              <w:t>Run controlled experiments on personalized offers or reminders rather than assuming model predictions imply treatment effectiveness.</w:t>
            </w:r>
          </w:p>
        </w:tc>
      </w:tr>
      <w:tr>
        <w:tc>
          <w:tcPr>
            <w:tcW w:type="dxa" w:w="2304"/>
            <w:vAlign w:val="center"/>
            <w:shd w:fill="FFFFFF"/>
          </w:tcPr>
          <w:p>
            <w:pPr>
              <w:spacing w:after="0"/>
              <w:jc w:val="left"/>
            </w:pPr>
            <w:r/>
            <w:r>
              <w:rPr>
                <w:rFonts w:ascii="Aptos" w:hAnsi="Aptos"/>
                <w:b w:val="0"/>
                <w:color w:val="1F2937"/>
                <w:sz w:val="18"/>
              </w:rPr>
              <w:t>Model deployment</w:t>
            </w:r>
          </w:p>
        </w:tc>
        <w:tc>
          <w:tcPr>
            <w:tcW w:type="dxa" w:w="7488"/>
            <w:vAlign w:val="center"/>
            <w:shd w:fill="FFFFFF"/>
          </w:tcPr>
          <w:p>
            <w:pPr>
              <w:spacing w:after="0"/>
              <w:jc w:val="left"/>
            </w:pPr>
            <w:r/>
            <w:r>
              <w:rPr>
                <w:rFonts w:ascii="Aptos" w:hAnsi="Aptos"/>
                <w:b w:val="0"/>
                <w:color w:val="1F2937"/>
                <w:sz w:val="18"/>
              </w:rPr>
              <w:t>Use model probabilities as decision-support inputs with monitoring, not as irreversible customer decisions.</w:t>
            </w:r>
          </w:p>
        </w:tc>
      </w:tr>
      <w:tr>
        <w:tc>
          <w:tcPr>
            <w:tcW w:type="dxa" w:w="2304"/>
            <w:vAlign w:val="center"/>
            <w:shd w:fill="F5F7FA"/>
          </w:tcPr>
          <w:p>
            <w:pPr>
              <w:spacing w:after="0"/>
              <w:jc w:val="left"/>
            </w:pPr>
            <w:r/>
            <w:r>
              <w:rPr>
                <w:rFonts w:ascii="Aptos" w:hAnsi="Aptos"/>
                <w:b w:val="0"/>
                <w:color w:val="1F2937"/>
                <w:sz w:val="18"/>
              </w:rPr>
              <w:t>Model improvement</w:t>
            </w:r>
          </w:p>
        </w:tc>
        <w:tc>
          <w:tcPr>
            <w:tcW w:type="dxa" w:w="7488"/>
            <w:vAlign w:val="center"/>
            <w:shd w:fill="F5F7FA"/>
          </w:tcPr>
          <w:p>
            <w:pPr>
              <w:spacing w:after="0"/>
              <w:jc w:val="left"/>
            </w:pPr>
            <w:r/>
            <w:r>
              <w:rPr>
                <w:rFonts w:ascii="Aptos" w:hAnsi="Aptos"/>
                <w:b w:val="0"/>
                <w:color w:val="1F2937"/>
                <w:sz w:val="18"/>
              </w:rPr>
              <w:t>Add richer temporal and product-level features and evaluate several chronological validation windows.</w:t>
            </w:r>
          </w:p>
        </w:tc>
      </w:tr>
    </w:tbl>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Business caution</w:t>
            </w:r>
            <w:r>
              <w:rPr>
                <w:sz w:val="19"/>
              </w:rPr>
              <w:br/>
              <w:t>Prediction and causation are different tasks. A high repeat-purchase probability identifies customers who resemble historically repeating customers; it does not prove that an intervention will cause a purchase. A/B testing or other causal evaluation is required for that question.</w:t>
            </w:r>
          </w:p>
        </w:tc>
      </w:tr>
    </w:tbl>
    <w:p/>
    <w:p>
      <w:pPr>
        <w:pStyle w:val="Heading1"/>
      </w:pPr>
      <w:r>
        <w:rPr>
          <w:rFonts w:ascii="Aptos Display" w:hAnsi="Aptos Display"/>
          <w:color w:val="243B53"/>
        </w:rPr>
        <w:t>12. Challenges, Successes and Reflection</w:t>
      </w:r>
    </w:p>
    <w:p>
      <w:pPr>
        <w:pStyle w:val="Heading2"/>
      </w:pPr>
      <w:r>
        <w:rPr>
          <w:rFonts w:ascii="Aptos Display" w:hAnsi="Aptos Display"/>
          <w:color w:val="3B5B7A"/>
        </w:rPr>
        <w:t>12.1 Challenges encountered</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2880"/>
            <w:vAlign w:val="center"/>
            <w:shd w:fill="243B53"/>
          </w:tcPr>
          <w:p>
            <w:pPr>
              <w:spacing w:after="0"/>
              <w:jc w:val="center"/>
            </w:pPr>
            <w:r/>
            <w:r>
              <w:rPr>
                <w:rFonts w:ascii="Aptos" w:hAnsi="Aptos"/>
                <w:b/>
                <w:color w:val="FFFFFF"/>
                <w:sz w:val="18"/>
              </w:rPr>
              <w:t>Challenge</w:t>
            </w:r>
          </w:p>
        </w:tc>
        <w:tc>
          <w:tcPr>
            <w:tcW w:type="dxa" w:w="6912"/>
            <w:vAlign w:val="center"/>
            <w:shd w:fill="243B53"/>
          </w:tcPr>
          <w:p>
            <w:pPr>
              <w:spacing w:after="0"/>
              <w:jc w:val="center"/>
            </w:pPr>
            <w:r/>
            <w:r>
              <w:rPr>
                <w:rFonts w:ascii="Aptos" w:hAnsi="Aptos"/>
                <w:b/>
                <w:color w:val="FFFFFF"/>
                <w:sz w:val="18"/>
              </w:rPr>
              <w:t>How it was handled</w:t>
            </w:r>
          </w:p>
        </w:tc>
      </w:tr>
      <w:tr>
        <w:tc>
          <w:tcPr>
            <w:tcW w:type="dxa" w:w="2880"/>
            <w:vAlign w:val="center"/>
            <w:shd w:fill="F5F7FA"/>
          </w:tcPr>
          <w:p>
            <w:pPr>
              <w:spacing w:after="0"/>
              <w:jc w:val="left"/>
            </w:pPr>
            <w:r/>
            <w:r>
              <w:rPr>
                <w:rFonts w:ascii="Aptos" w:hAnsi="Aptos"/>
                <w:b w:val="0"/>
                <w:color w:val="1F2937"/>
                <w:sz w:val="18"/>
              </w:rPr>
              <w:t>Missing and incomplete records</w:t>
            </w:r>
          </w:p>
        </w:tc>
        <w:tc>
          <w:tcPr>
            <w:tcW w:type="dxa" w:w="6912"/>
            <w:vAlign w:val="center"/>
            <w:shd w:fill="F5F7FA"/>
          </w:tcPr>
          <w:p>
            <w:pPr>
              <w:spacing w:after="0"/>
              <w:jc w:val="left"/>
            </w:pPr>
            <w:r/>
            <w:r>
              <w:rPr>
                <w:rFonts w:ascii="Aptos" w:hAnsi="Aptos"/>
                <w:b w:val="0"/>
                <w:color w:val="1F2937"/>
                <w:sz w:val="18"/>
              </w:rPr>
              <w:t>Removed missing product descriptions and customer IDs where customer-level analysis required reliable identifiers.</w:t>
            </w:r>
          </w:p>
        </w:tc>
      </w:tr>
      <w:tr>
        <w:tc>
          <w:tcPr>
            <w:tcW w:type="dxa" w:w="2880"/>
            <w:vAlign w:val="center"/>
            <w:shd w:fill="FFFFFF"/>
          </w:tcPr>
          <w:p>
            <w:pPr>
              <w:spacing w:after="0"/>
              <w:jc w:val="left"/>
            </w:pPr>
            <w:r/>
            <w:r>
              <w:rPr>
                <w:rFonts w:ascii="Aptos" w:hAnsi="Aptos"/>
                <w:b w:val="0"/>
                <w:color w:val="1F2937"/>
                <w:sz w:val="18"/>
              </w:rPr>
              <w:t>Duplicates</w:t>
            </w:r>
          </w:p>
        </w:tc>
        <w:tc>
          <w:tcPr>
            <w:tcW w:type="dxa" w:w="6912"/>
            <w:vAlign w:val="center"/>
            <w:shd w:fill="FFFFFF"/>
          </w:tcPr>
          <w:p>
            <w:pPr>
              <w:spacing w:after="0"/>
              <w:jc w:val="left"/>
            </w:pPr>
            <w:r/>
            <w:r>
              <w:rPr>
                <w:rFonts w:ascii="Aptos" w:hAnsi="Aptos"/>
                <w:b w:val="0"/>
                <w:color w:val="1F2937"/>
                <w:sz w:val="18"/>
              </w:rPr>
              <w:t>Duplicate transaction rows were removed and the cleaned dataset revalidated.</w:t>
            </w:r>
          </w:p>
        </w:tc>
      </w:tr>
      <w:tr>
        <w:tc>
          <w:tcPr>
            <w:tcW w:type="dxa" w:w="2880"/>
            <w:vAlign w:val="center"/>
            <w:shd w:fill="F5F7FA"/>
          </w:tcPr>
          <w:p>
            <w:pPr>
              <w:spacing w:after="0"/>
              <w:jc w:val="left"/>
            </w:pPr>
            <w:r/>
            <w:r>
              <w:rPr>
                <w:rFonts w:ascii="Aptos" w:hAnsi="Aptos"/>
                <w:b w:val="0"/>
                <w:color w:val="1F2937"/>
                <w:sz w:val="18"/>
              </w:rPr>
              <w:t>Cancellations / invalid values</w:t>
            </w:r>
          </w:p>
        </w:tc>
        <w:tc>
          <w:tcPr>
            <w:tcW w:type="dxa" w:w="6912"/>
            <w:vAlign w:val="center"/>
            <w:shd w:fill="F5F7FA"/>
          </w:tcPr>
          <w:p>
            <w:pPr>
              <w:spacing w:after="0"/>
              <w:jc w:val="left"/>
            </w:pPr>
            <w:r/>
            <w:r>
              <w:rPr>
                <w:rFonts w:ascii="Aptos" w:hAnsi="Aptos"/>
                <w:b w:val="0"/>
                <w:color w:val="1F2937"/>
                <w:sz w:val="18"/>
              </w:rPr>
              <w:t>Cancellation invoices and non-positive quantities/prices were excluded from the analytical transaction set.</w:t>
            </w:r>
          </w:p>
        </w:tc>
      </w:tr>
      <w:tr>
        <w:tc>
          <w:tcPr>
            <w:tcW w:type="dxa" w:w="2880"/>
            <w:vAlign w:val="center"/>
            <w:shd w:fill="FFFFFF"/>
          </w:tcPr>
          <w:p>
            <w:pPr>
              <w:spacing w:after="0"/>
              <w:jc w:val="left"/>
            </w:pPr>
            <w:r/>
            <w:r>
              <w:rPr>
                <w:rFonts w:ascii="Aptos" w:hAnsi="Aptos"/>
                <w:b w:val="0"/>
                <w:color w:val="1F2937"/>
                <w:sz w:val="18"/>
              </w:rPr>
              <w:t>Skewed customer features</w:t>
            </w:r>
          </w:p>
        </w:tc>
        <w:tc>
          <w:tcPr>
            <w:tcW w:type="dxa" w:w="6912"/>
            <w:vAlign w:val="center"/>
            <w:shd w:fill="FFFFFF"/>
          </w:tcPr>
          <w:p>
            <w:pPr>
              <w:spacing w:after="0"/>
              <w:jc w:val="left"/>
            </w:pPr>
            <w:r/>
            <w:r>
              <w:rPr>
                <w:rFonts w:ascii="Aptos" w:hAnsi="Aptos"/>
                <w:b w:val="0"/>
                <w:color w:val="1F2937"/>
                <w:sz w:val="18"/>
              </w:rPr>
              <w:t>log1p transformation reduced the influence of extreme customer values before clustering/modeling.</w:t>
            </w:r>
          </w:p>
        </w:tc>
      </w:tr>
      <w:tr>
        <w:tc>
          <w:tcPr>
            <w:tcW w:type="dxa" w:w="2880"/>
            <w:vAlign w:val="center"/>
            <w:shd w:fill="F5F7FA"/>
          </w:tcPr>
          <w:p>
            <w:pPr>
              <w:spacing w:after="0"/>
              <w:jc w:val="left"/>
            </w:pPr>
            <w:r/>
            <w:r>
              <w:rPr>
                <w:rFonts w:ascii="Aptos" w:hAnsi="Aptos"/>
                <w:b w:val="0"/>
                <w:color w:val="1F2937"/>
                <w:sz w:val="18"/>
              </w:rPr>
              <w:t>Leakage risk</w:t>
            </w:r>
          </w:p>
        </w:tc>
        <w:tc>
          <w:tcPr>
            <w:tcW w:type="dxa" w:w="6912"/>
            <w:vAlign w:val="center"/>
            <w:shd w:fill="F5F7FA"/>
          </w:tcPr>
          <w:p>
            <w:pPr>
              <w:spacing w:after="0"/>
              <w:jc w:val="left"/>
            </w:pPr>
            <w:r/>
            <w:r>
              <w:rPr>
                <w:rFonts w:ascii="Aptos" w:hAnsi="Aptos"/>
                <w:b w:val="0"/>
                <w:color w:val="1F2937"/>
                <w:sz w:val="18"/>
              </w:rPr>
              <w:t>Historical/future temporal split prevented future transactions from being used as predictive inputs.</w:t>
            </w:r>
          </w:p>
        </w:tc>
      </w:tr>
      <w:tr>
        <w:tc>
          <w:tcPr>
            <w:tcW w:type="dxa" w:w="2880"/>
            <w:vAlign w:val="center"/>
            <w:shd w:fill="FFFFFF"/>
          </w:tcPr>
          <w:p>
            <w:pPr>
              <w:spacing w:after="0"/>
              <w:jc w:val="left"/>
            </w:pPr>
            <w:r/>
            <w:r>
              <w:rPr>
                <w:rFonts w:ascii="Aptos" w:hAnsi="Aptos"/>
                <w:b w:val="0"/>
                <w:color w:val="1F2937"/>
                <w:sz w:val="18"/>
              </w:rPr>
              <w:t>Overfitting risk</w:t>
            </w:r>
          </w:p>
        </w:tc>
        <w:tc>
          <w:tcPr>
            <w:tcW w:type="dxa" w:w="6912"/>
            <w:vAlign w:val="center"/>
            <w:shd w:fill="FFFFFF"/>
          </w:tcPr>
          <w:p>
            <w:pPr>
              <w:spacing w:after="0"/>
              <w:jc w:val="left"/>
            </w:pPr>
            <w:r/>
            <w:r>
              <w:rPr>
                <w:rFonts w:ascii="Aptos" w:hAnsi="Aptos"/>
                <w:b w:val="0"/>
                <w:color w:val="1F2937"/>
                <w:sz w:val="18"/>
              </w:rPr>
              <w:t>ANN used dropout, validation monitoring and early stopping.</w:t>
            </w:r>
          </w:p>
        </w:tc>
      </w:tr>
      <w:tr>
        <w:tc>
          <w:tcPr>
            <w:tcW w:type="dxa" w:w="2880"/>
            <w:vAlign w:val="center"/>
            <w:shd w:fill="F5F7FA"/>
          </w:tcPr>
          <w:p>
            <w:pPr>
              <w:spacing w:after="0"/>
              <w:jc w:val="left"/>
            </w:pPr>
            <w:r/>
            <w:r>
              <w:rPr>
                <w:rFonts w:ascii="Aptos" w:hAnsi="Aptos"/>
                <w:b w:val="0"/>
                <w:color w:val="1F2937"/>
                <w:sz w:val="18"/>
              </w:rPr>
              <w:t>Model complexity</w:t>
            </w:r>
          </w:p>
        </w:tc>
        <w:tc>
          <w:tcPr>
            <w:tcW w:type="dxa" w:w="6912"/>
            <w:vAlign w:val="center"/>
            <w:shd w:fill="F5F7FA"/>
          </w:tcPr>
          <w:p>
            <w:pPr>
              <w:spacing w:after="0"/>
              <w:jc w:val="left"/>
            </w:pPr>
            <w:r/>
            <w:r>
              <w:rPr>
                <w:rFonts w:ascii="Aptos" w:hAnsi="Aptos"/>
                <w:b w:val="0"/>
                <w:color w:val="1F2937"/>
                <w:sz w:val="18"/>
              </w:rPr>
              <w:t>Classical models were retained as baselines so the ANN could be evaluated honestly.</w:t>
            </w:r>
          </w:p>
        </w:tc>
      </w:tr>
    </w:tbl>
    <w:p>
      <w:pPr>
        <w:pStyle w:val="Heading2"/>
      </w:pPr>
      <w:r>
        <w:rPr>
          <w:rFonts w:ascii="Aptos Display" w:hAnsi="Aptos Display"/>
          <w:color w:val="3B5B7A"/>
        </w:rPr>
        <w:t>12.2 What worked well</w:t>
      </w:r>
    </w:p>
    <w:p>
      <w:pPr>
        <w:pStyle w:val="ListBullet"/>
        <w:spacing w:after="60"/>
      </w:pPr>
      <w:r>
        <w:t>The same dataset and validated preprocessing logic were carried through the entire internship, creating a coherent analytical narrative.</w:t>
      </w:r>
    </w:p>
    <w:p>
      <w:pPr>
        <w:pStyle w:val="ListBullet"/>
        <w:spacing w:after="60"/>
      </w:pPr>
      <w:r>
        <w:t>RFM segmentation and repeat-purchase prediction answered complementary descriptive and predictive questions.</w:t>
      </w:r>
    </w:p>
    <w:p>
      <w:pPr>
        <w:pStyle w:val="ListBullet"/>
        <w:spacing w:after="60"/>
      </w:pPr>
      <w:r>
        <w:t>Multiple evaluation metrics exposed nuanced differences between models.</w:t>
      </w:r>
    </w:p>
    <w:p>
      <w:pPr>
        <w:pStyle w:val="ListBullet"/>
        <w:spacing w:after="60"/>
      </w:pPr>
      <w:r>
        <w:t>The capstone added a new integration layer by relating cluster membership to future repeat-purchase behavior.</w:t>
      </w:r>
    </w:p>
    <w:p>
      <w:pPr>
        <w:pStyle w:val="ListBullet"/>
        <w:spacing w:after="60"/>
      </w:pPr>
      <w:r>
        <w:t>The project separates measured findings from business hypotheses and avoids unsupported causal claims.</w:t>
      </w:r>
    </w:p>
    <w:p>
      <w:pPr>
        <w:pStyle w:val="Heading2"/>
      </w:pPr>
      <w:r>
        <w:rPr>
          <w:rFonts w:ascii="Aptos Display" w:hAnsi="Aptos Display"/>
          <w:color w:val="3B5B7A"/>
        </w:rPr>
        <w:t>12.3 Learning outcomes</w:t>
      </w:r>
    </w:p>
    <w:p>
      <w:pPr>
        <w:pStyle w:val="ListBullet"/>
        <w:spacing w:after="60"/>
      </w:pPr>
      <w:r>
        <w:t>Designed an end-to-end Data Science workflow using Python.</w:t>
      </w:r>
    </w:p>
    <w:p>
      <w:pPr>
        <w:pStyle w:val="ListBullet"/>
        <w:spacing w:after="60"/>
      </w:pPr>
      <w:r>
        <w:t>Applied Pandas-based data quality and feature-engineering techniques to a real transaction dataset.</w:t>
      </w:r>
    </w:p>
    <w:p>
      <w:pPr>
        <w:pStyle w:val="ListBullet"/>
        <w:spacing w:after="60"/>
      </w:pPr>
      <w:r>
        <w:t>Performed practical EDA and communicated patterns through charts and tables.</w:t>
      </w:r>
    </w:p>
    <w:p>
      <w:pPr>
        <w:pStyle w:val="ListBullet"/>
        <w:spacing w:after="60"/>
      </w:pPr>
      <w:r>
        <w:t>Implemented RFM analysis and K-Means clustering with model-selection evidence.</w:t>
      </w:r>
    </w:p>
    <w:p>
      <w:pPr>
        <w:pStyle w:val="ListBullet"/>
        <w:spacing w:after="60"/>
      </w:pPr>
      <w:r>
        <w:t>Built and evaluated classical classification models and a TensorFlow/Keras ANN.</w:t>
      </w:r>
    </w:p>
    <w:p>
      <w:pPr>
        <w:pStyle w:val="ListBullet"/>
        <w:spacing w:after="60"/>
      </w:pPr>
      <w:r>
        <w:t>Learned how data leakage, skewness, model complexity and validation affect the credibility of results.</w:t>
      </w:r>
    </w:p>
    <w:p>
      <w:pPr>
        <w:pStyle w:val="ListBullet"/>
        <w:spacing w:after="60"/>
      </w:pPr>
      <w:r>
        <w:t>Translated technical outputs into customer-analytics recommendations and limitations.</w:t>
      </w:r>
    </w:p>
    <w:p>
      <w:pPr>
        <w:pStyle w:val="Heading1"/>
      </w:pPr>
      <w:r>
        <w:rPr>
          <w:rFonts w:ascii="Aptos Display" w:hAnsi="Aptos Display"/>
          <w:color w:val="243B53"/>
        </w:rPr>
        <w:t>13. Further Analysis and Future Work</w:t>
      </w:r>
    </w:p>
    <w:p>
      <w:pPr>
        <w:pStyle w:val="ListNumber"/>
        <w:spacing w:after="60"/>
      </w:pPr>
      <w:r>
        <w:t>Use rolling or repeated chronological validation to test whether the predictive signal remains stable over time.</w:t>
      </w:r>
    </w:p>
    <w:p>
      <w:pPr>
        <w:pStyle w:val="ListNumber"/>
        <w:spacing w:after="60"/>
      </w:pPr>
      <w:r>
        <w:t>Evaluate alternative prediction horizons so the operational meaning of repeat purchase can be compared across time windows.</w:t>
      </w:r>
    </w:p>
    <w:p>
      <w:pPr>
        <w:pStyle w:val="ListNumber"/>
        <w:spacing w:after="60"/>
      </w:pPr>
      <w:r>
        <w:t>Tune classification thresholds based on the relative cost of false positives and false negatives.</w:t>
      </w:r>
    </w:p>
    <w:p>
      <w:pPr>
        <w:pStyle w:val="ListNumber"/>
        <w:spacing w:after="60"/>
      </w:pPr>
      <w:r>
        <w:t>Engineer purchase-interval, trend and recent-vs-historical behavior features.</w:t>
      </w:r>
    </w:p>
    <w:p>
      <w:pPr>
        <w:pStyle w:val="ListNumber"/>
        <w:spacing w:after="60"/>
      </w:pPr>
      <w:r>
        <w:t>Add product-category and basket-level features while preserving leakage controls.</w:t>
      </w:r>
    </w:p>
    <w:p>
      <w:pPr>
        <w:pStyle w:val="ListNumber"/>
        <w:spacing w:after="60"/>
      </w:pPr>
      <w:r>
        <w:t>Investigate probability calibration and explainability methods such as SHAP or permutation importance.</w:t>
      </w:r>
    </w:p>
    <w:p>
      <w:pPr>
        <w:pStyle w:val="ListNumber"/>
        <w:spacing w:after="60"/>
      </w:pPr>
      <w:r>
        <w:t>Evaluate simpler models against more complex models under a common computational and deployment constraint.</w:t>
      </w:r>
    </w:p>
    <w:p>
      <w:pPr>
        <w:pStyle w:val="Heading1"/>
      </w:pPr>
      <w:r>
        <w:rPr>
          <w:rFonts w:ascii="Aptos Display" w:hAnsi="Aptos Display"/>
          <w:color w:val="243B53"/>
        </w:rPr>
        <w:t>14. Conclusion</w:t>
      </w:r>
    </w:p>
    <w:p>
      <w:pPr>
        <w:spacing w:after="140" w:line="259" w:lineRule="auto"/>
      </w:pPr>
      <w:r>
        <w:t>The Week 6 capstone successfully integrates the major Data Science capabilities developed during the internship into one coherent project. Beginning with 541,909 raw transactions, the pipeline creates 392,692 validated analytical transactions, explores customer and transaction behavior, forms two RFM-based customer segments, and predicts repeat purchase using Logistic Regression, Random Forest and a TensorFlow/Keras ANN.</w:t>
      </w:r>
    </w:p>
    <w:p>
      <w:pPr>
        <w:spacing w:after="140" w:line="259" w:lineRule="auto"/>
      </w:pPr>
      <w:r>
        <w:t>The combined results show meaningful structure in customer behavior without implying perfect predictability. The two customer segments differ strongly in engagement and observed repeat-purchase rates, while the predictive models achieve ROC-AUC values around 0.70-0.74. The ANN records the highest ROC-AUC of 0.7401, while Logistic Regression records slightly higher accuracy and F1-score. The evidence therefore supports a nuanced conclusion: useful predictive signal exists, but additional data and feature engineering are needed for materially stronger predictive performance.</w:t>
      </w:r>
    </w:p>
    <w:tbl>
      <w:tblPr>
        <w:tblW w:type="auto" w:w="0"/>
        <w:jc w:val="center"/>
        <w:tblLook w:firstColumn="1" w:firstRow="1" w:lastColumn="0" w:lastRow="0" w:noHBand="0" w:noVBand="1" w:val="04A0"/>
      </w:tblPr>
      <w:tblGrid>
        <w:gridCol w:w="10080"/>
      </w:tblGrid>
      <w:tr>
        <w:tc>
          <w:tcPr>
            <w:tcW w:type="dxa" w:w="10080"/>
            <w:shd w:fill="EEF4FF"/>
          </w:tcPr>
          <w:p>
            <w:r/>
            <w:r>
              <w:rPr>
                <w:b/>
                <w:color w:val="3B5B7A"/>
                <w:sz w:val="21"/>
              </w:rPr>
              <w:t>Final takeaway</w:t>
            </w:r>
            <w:r>
              <w:rPr>
                <w:sz w:val="19"/>
              </w:rPr>
              <w:br/>
              <w:t>The capstone demonstrates the complete Data Science lifecycle: define the problem, acquire and clean data, explore it, model it from multiple perspectives, evaluate results critically, integrate findings and communicate practical next steps.</w:t>
            </w:r>
          </w:p>
        </w:tc>
      </w:tr>
    </w:tbl>
    <w:p/>
    <w:p>
      <w:pPr>
        <w:pStyle w:val="Heading1"/>
      </w:pPr>
      <w:r>
        <w:rPr>
          <w:rFonts w:ascii="Aptos Display" w:hAnsi="Aptos Display"/>
          <w:color w:val="243B53"/>
        </w:rPr>
        <w:t>Appendix A. Execution Evidence Screenshots</w:t>
      </w:r>
    </w:p>
    <w:p>
      <w:pPr>
        <w:spacing w:after="0" w:line="240" w:lineRule="auto" w:before="0"/>
      </w:pPr>
      <w:r>
        <w:t>The following screenshots were supplied with the capstone notebook execution. They are retained here as evidence of the clustering, supervised-learning and integrated-analysis stages. Each figure is captioned and placed at readable size. The main body of the report interprets the corresponding results.</w:t>
      </w:r>
    </w:p>
    <w:p>
      <w:pPr>
        <w:spacing w:before="0" w:after="0" w:line="240" w:lineRule="auto"/>
        <w:jc w:val="center"/>
      </w:pPr>
      <w:r>
        <w:drawing>
          <wp:inline xmlns:a="http://schemas.openxmlformats.org/drawingml/2006/main" xmlns:pic="http://schemas.openxmlformats.org/drawingml/2006/picture">
            <wp:extent cx="2788920" cy="1350028"/>
            <wp:docPr id="28" name="Picture 28"/>
            <wp:cNvGraphicFramePr>
              <a:graphicFrameLocks noChangeAspect="1"/>
            </wp:cNvGraphicFramePr>
            <a:graphic>
              <a:graphicData uri="http://schemas.openxmlformats.org/drawingml/2006/picture">
                <pic:pic>
                  <pic:nvPicPr>
                    <pic:cNvPr id="0" name="ss_01.png"/>
                    <pic:cNvPicPr/>
                  </pic:nvPicPr>
                  <pic:blipFill>
                    <a:blip r:embed="rId16"/>
                    <a:stretch>
                      <a:fillRect/>
                    </a:stretch>
                  </pic:blipFill>
                  <pic:spPr>
                    <a:xfrm>
                      <a:off x="0" y="0"/>
                      <a:ext cx="2788920" cy="1350028"/>
                    </a:xfrm>
                    <a:prstGeom prst="rect"/>
                  </pic:spPr>
                </pic:pic>
              </a:graphicData>
            </a:graphic>
          </wp:inline>
        </w:drawing>
      </w:r>
    </w:p>
    <w:p>
      <w:pPr>
        <w:spacing w:before="0" w:after="0" w:line="240" w:lineRule="auto"/>
        <w:jc w:val="center"/>
      </w:pPr>
      <w:r>
        <w:rPr>
          <w:b/>
          <w:color w:val="667085"/>
          <w:sz w:val="17"/>
        </w:rPr>
        <w:t>Figure 1. Standardization of log-transformed RFM features.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2792979"/>
            <wp:docPr id="29" name="Picture 29"/>
            <wp:cNvGraphicFramePr>
              <a:graphicFrameLocks noChangeAspect="1"/>
            </wp:cNvGraphicFramePr>
            <a:graphic>
              <a:graphicData uri="http://schemas.openxmlformats.org/drawingml/2006/picture">
                <pic:pic>
                  <pic:nvPicPr>
                    <pic:cNvPr id="0" name="ss_02.png"/>
                    <pic:cNvPicPr/>
                  </pic:nvPicPr>
                  <pic:blipFill>
                    <a:blip r:embed="rId17"/>
                    <a:stretch>
                      <a:fillRect/>
                    </a:stretch>
                  </pic:blipFill>
                  <pic:spPr>
                    <a:xfrm>
                      <a:off x="0" y="0"/>
                      <a:ext cx="2788920" cy="2792979"/>
                    </a:xfrm>
                    <a:prstGeom prst="rect"/>
                  </pic:spPr>
                </pic:pic>
              </a:graphicData>
            </a:graphic>
          </wp:inline>
        </w:drawing>
      </w:r>
    </w:p>
    <w:p>
      <w:pPr>
        <w:spacing w:before="0" w:after="0" w:line="240" w:lineRule="auto"/>
        <w:jc w:val="center"/>
      </w:pPr>
      <w:r>
        <w:rPr>
          <w:b/>
          <w:color w:val="667085"/>
          <w:sz w:val="17"/>
        </w:rPr>
        <w:t>Figure 2. Inertia and silhouette scores across K values.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836154"/>
            <wp:docPr id="30" name="Picture 30"/>
            <wp:cNvGraphicFramePr>
              <a:graphicFrameLocks noChangeAspect="1"/>
            </wp:cNvGraphicFramePr>
            <a:graphic>
              <a:graphicData uri="http://schemas.openxmlformats.org/drawingml/2006/picture">
                <pic:pic>
                  <pic:nvPicPr>
                    <pic:cNvPr id="0" name="ss_03.png"/>
                    <pic:cNvPicPr/>
                  </pic:nvPicPr>
                  <pic:blipFill>
                    <a:blip r:embed="rId18"/>
                    <a:stretch>
                      <a:fillRect/>
                    </a:stretch>
                  </pic:blipFill>
                  <pic:spPr>
                    <a:xfrm>
                      <a:off x="0" y="0"/>
                      <a:ext cx="2788920" cy="1836154"/>
                    </a:xfrm>
                    <a:prstGeom prst="rect"/>
                  </pic:spPr>
                </pic:pic>
              </a:graphicData>
            </a:graphic>
          </wp:inline>
        </w:drawing>
      </w:r>
    </w:p>
    <w:p>
      <w:pPr>
        <w:spacing w:before="0" w:after="0" w:line="240" w:lineRule="auto"/>
        <w:jc w:val="center"/>
      </w:pPr>
      <w:r>
        <w:rPr>
          <w:b/>
          <w:color w:val="667085"/>
          <w:sz w:val="17"/>
        </w:rPr>
        <w:t>Figure 3. Elbow-method plot.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843442"/>
            <wp:docPr id="31" name="Picture 31"/>
            <wp:cNvGraphicFramePr>
              <a:graphicFrameLocks noChangeAspect="1"/>
            </wp:cNvGraphicFramePr>
            <a:graphic>
              <a:graphicData uri="http://schemas.openxmlformats.org/drawingml/2006/picture">
                <pic:pic>
                  <pic:nvPicPr>
                    <pic:cNvPr id="0" name="ss_04.png"/>
                    <pic:cNvPicPr/>
                  </pic:nvPicPr>
                  <pic:blipFill>
                    <a:blip r:embed="rId19"/>
                    <a:stretch>
                      <a:fillRect/>
                    </a:stretch>
                  </pic:blipFill>
                  <pic:spPr>
                    <a:xfrm>
                      <a:off x="0" y="0"/>
                      <a:ext cx="2788920" cy="1843442"/>
                    </a:xfrm>
                    <a:prstGeom prst="rect"/>
                  </pic:spPr>
                </pic:pic>
              </a:graphicData>
            </a:graphic>
          </wp:inline>
        </w:drawing>
      </w:r>
    </w:p>
    <w:p>
      <w:pPr>
        <w:spacing w:before="0" w:after="0" w:line="240" w:lineRule="auto"/>
        <w:jc w:val="center"/>
      </w:pPr>
      <w:r>
        <w:rPr>
          <w:b/>
          <w:color w:val="667085"/>
          <w:sz w:val="17"/>
        </w:rPr>
        <w:t>Figure 4. Silhouette-score plot.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422536"/>
            <wp:docPr id="32" name="Picture 32"/>
            <wp:cNvGraphicFramePr>
              <a:graphicFrameLocks noChangeAspect="1"/>
            </wp:cNvGraphicFramePr>
            <a:graphic>
              <a:graphicData uri="http://schemas.openxmlformats.org/drawingml/2006/picture">
                <pic:pic>
                  <pic:nvPicPr>
                    <pic:cNvPr id="0" name="ss_05.png"/>
                    <pic:cNvPicPr/>
                  </pic:nvPicPr>
                  <pic:blipFill>
                    <a:blip r:embed="rId20"/>
                    <a:stretch>
                      <a:fillRect/>
                    </a:stretch>
                  </pic:blipFill>
                  <pic:spPr>
                    <a:xfrm>
                      <a:off x="0" y="0"/>
                      <a:ext cx="2788920" cy="1422536"/>
                    </a:xfrm>
                    <a:prstGeom prst="rect"/>
                  </pic:spPr>
                </pic:pic>
              </a:graphicData>
            </a:graphic>
          </wp:inline>
        </w:drawing>
      </w:r>
    </w:p>
    <w:p>
      <w:pPr>
        <w:spacing w:before="0" w:after="0" w:line="240" w:lineRule="auto"/>
        <w:jc w:val="center"/>
      </w:pPr>
      <w:r>
        <w:rPr>
          <w:b/>
          <w:color w:val="667085"/>
          <w:sz w:val="17"/>
        </w:rPr>
        <w:t>Figure 5. K-Means cluster profile.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928974"/>
            <wp:docPr id="33" name="Picture 33"/>
            <wp:cNvGraphicFramePr>
              <a:graphicFrameLocks noChangeAspect="1"/>
            </wp:cNvGraphicFramePr>
            <a:graphic>
              <a:graphicData uri="http://schemas.openxmlformats.org/drawingml/2006/picture">
                <pic:pic>
                  <pic:nvPicPr>
                    <pic:cNvPr id="0" name="ss_06.png"/>
                    <pic:cNvPicPr/>
                  </pic:nvPicPr>
                  <pic:blipFill>
                    <a:blip r:embed="rId21"/>
                    <a:stretch>
                      <a:fillRect/>
                    </a:stretch>
                  </pic:blipFill>
                  <pic:spPr>
                    <a:xfrm>
                      <a:off x="0" y="0"/>
                      <a:ext cx="2788920" cy="1928974"/>
                    </a:xfrm>
                    <a:prstGeom prst="rect"/>
                  </pic:spPr>
                </pic:pic>
              </a:graphicData>
            </a:graphic>
          </wp:inline>
        </w:drawing>
      </w:r>
    </w:p>
    <w:p>
      <w:pPr>
        <w:spacing w:before="0" w:after="0" w:line="240" w:lineRule="auto"/>
        <w:jc w:val="center"/>
      </w:pPr>
      <w:r>
        <w:rPr>
          <w:b/>
          <w:color w:val="667085"/>
          <w:sz w:val="17"/>
        </w:rPr>
        <w:t>Figure 6. PCA visualization of customer segments.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2362666"/>
            <wp:docPr id="34" name="Picture 34"/>
            <wp:cNvGraphicFramePr>
              <a:graphicFrameLocks noChangeAspect="1"/>
            </wp:cNvGraphicFramePr>
            <a:graphic>
              <a:graphicData uri="http://schemas.openxmlformats.org/drawingml/2006/picture">
                <pic:pic>
                  <pic:nvPicPr>
                    <pic:cNvPr id="0" name="ss_07.png"/>
                    <pic:cNvPicPr/>
                  </pic:nvPicPr>
                  <pic:blipFill>
                    <a:blip r:embed="rId23"/>
                    <a:stretch>
                      <a:fillRect/>
                    </a:stretch>
                  </pic:blipFill>
                  <pic:spPr>
                    <a:xfrm>
                      <a:off x="0" y="0"/>
                      <a:ext cx="2788920" cy="2362666"/>
                    </a:xfrm>
                    <a:prstGeom prst="rect"/>
                  </pic:spPr>
                </pic:pic>
              </a:graphicData>
            </a:graphic>
          </wp:inline>
        </w:drawing>
      </w:r>
    </w:p>
    <w:p>
      <w:pPr>
        <w:spacing w:before="0" w:after="0" w:line="240" w:lineRule="auto"/>
        <w:jc w:val="center"/>
      </w:pPr>
      <w:r>
        <w:rPr>
          <w:b/>
          <w:color w:val="667085"/>
          <w:sz w:val="17"/>
        </w:rPr>
        <w:t>Figure 7. Historical/future temporal split.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773598"/>
            <wp:docPr id="35" name="Picture 35"/>
            <wp:cNvGraphicFramePr>
              <a:graphicFrameLocks noChangeAspect="1"/>
            </wp:cNvGraphicFramePr>
            <a:graphic>
              <a:graphicData uri="http://schemas.openxmlformats.org/drawingml/2006/picture">
                <pic:pic>
                  <pic:nvPicPr>
                    <pic:cNvPr id="0" name="ss_08.png"/>
                    <pic:cNvPicPr/>
                  </pic:nvPicPr>
                  <pic:blipFill>
                    <a:blip r:embed="rId24"/>
                    <a:stretch>
                      <a:fillRect/>
                    </a:stretch>
                  </pic:blipFill>
                  <pic:spPr>
                    <a:xfrm>
                      <a:off x="0" y="0"/>
                      <a:ext cx="2788920" cy="773598"/>
                    </a:xfrm>
                    <a:prstGeom prst="rect"/>
                  </pic:spPr>
                </pic:pic>
              </a:graphicData>
            </a:graphic>
          </wp:inline>
        </w:drawing>
      </w:r>
    </w:p>
    <w:p>
      <w:pPr>
        <w:spacing w:before="0" w:after="0" w:line="240" w:lineRule="auto"/>
        <w:jc w:val="center"/>
      </w:pPr>
      <w:r>
        <w:rPr>
          <w:b/>
          <w:color w:val="667085"/>
          <w:sz w:val="17"/>
        </w:rPr>
        <w:t>Figure 8. Customer-level predictive feature table.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531683"/>
            <wp:docPr id="36" name="Picture 36"/>
            <wp:cNvGraphicFramePr>
              <a:graphicFrameLocks noChangeAspect="1"/>
            </wp:cNvGraphicFramePr>
            <a:graphic>
              <a:graphicData uri="http://schemas.openxmlformats.org/drawingml/2006/picture">
                <pic:pic>
                  <pic:nvPicPr>
                    <pic:cNvPr id="0" name="ss_09.png"/>
                    <pic:cNvPicPr/>
                  </pic:nvPicPr>
                  <pic:blipFill>
                    <a:blip r:embed="rId25"/>
                    <a:stretch>
                      <a:fillRect/>
                    </a:stretch>
                  </pic:blipFill>
                  <pic:spPr>
                    <a:xfrm>
                      <a:off x="0" y="0"/>
                      <a:ext cx="2788920" cy="531683"/>
                    </a:xfrm>
                    <a:prstGeom prst="rect"/>
                  </pic:spPr>
                </pic:pic>
              </a:graphicData>
            </a:graphic>
          </wp:inline>
        </w:drawing>
      </w:r>
    </w:p>
    <w:p>
      <w:pPr>
        <w:spacing w:before="0" w:after="0" w:line="240" w:lineRule="auto"/>
        <w:jc w:val="center"/>
      </w:pPr>
      <w:r>
        <w:rPr>
          <w:b/>
          <w:color w:val="667085"/>
          <w:sz w:val="17"/>
        </w:rPr>
        <w:t>Figure 9. Logistic Regression results.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665406"/>
            <wp:docPr id="37" name="Picture 37"/>
            <wp:cNvGraphicFramePr>
              <a:graphicFrameLocks noChangeAspect="1"/>
            </wp:cNvGraphicFramePr>
            <a:graphic>
              <a:graphicData uri="http://schemas.openxmlformats.org/drawingml/2006/picture">
                <pic:pic>
                  <pic:nvPicPr>
                    <pic:cNvPr id="0" name="ss_10.png"/>
                    <pic:cNvPicPr/>
                  </pic:nvPicPr>
                  <pic:blipFill>
                    <a:blip r:embed="rId26"/>
                    <a:stretch>
                      <a:fillRect/>
                    </a:stretch>
                  </pic:blipFill>
                  <pic:spPr>
                    <a:xfrm>
                      <a:off x="0" y="0"/>
                      <a:ext cx="2788920" cy="665406"/>
                    </a:xfrm>
                    <a:prstGeom prst="rect"/>
                  </pic:spPr>
                </pic:pic>
              </a:graphicData>
            </a:graphic>
          </wp:inline>
        </w:drawing>
      </w:r>
    </w:p>
    <w:p>
      <w:pPr>
        <w:spacing w:before="0" w:after="0" w:line="240" w:lineRule="auto"/>
        <w:jc w:val="center"/>
      </w:pPr>
      <w:r>
        <w:rPr>
          <w:b/>
          <w:color w:val="667085"/>
          <w:sz w:val="17"/>
        </w:rPr>
        <w:t>Figure 10. Random Forest results.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228646"/>
            <wp:docPr id="38" name="Picture 38"/>
            <wp:cNvGraphicFramePr>
              <a:graphicFrameLocks noChangeAspect="1"/>
            </wp:cNvGraphicFramePr>
            <a:graphic>
              <a:graphicData uri="http://schemas.openxmlformats.org/drawingml/2006/picture">
                <pic:pic>
                  <pic:nvPicPr>
                    <pic:cNvPr id="0" name="ss_11.png"/>
                    <pic:cNvPicPr/>
                  </pic:nvPicPr>
                  <pic:blipFill>
                    <a:blip r:embed="rId27"/>
                    <a:stretch>
                      <a:fillRect/>
                    </a:stretch>
                  </pic:blipFill>
                  <pic:spPr>
                    <a:xfrm>
                      <a:off x="0" y="0"/>
                      <a:ext cx="2788920" cy="1228646"/>
                    </a:xfrm>
                    <a:prstGeom prst="rect"/>
                  </pic:spPr>
                </pic:pic>
              </a:graphicData>
            </a:graphic>
          </wp:inline>
        </w:drawing>
      </w:r>
    </w:p>
    <w:p>
      <w:pPr>
        <w:spacing w:before="0" w:after="0" w:line="240" w:lineRule="auto"/>
        <w:jc w:val="center"/>
      </w:pPr>
      <w:r>
        <w:rPr>
          <w:b/>
          <w:color w:val="667085"/>
          <w:sz w:val="17"/>
        </w:rPr>
        <w:t>Figure 11. Random Forest feature-importance table.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509428"/>
            <wp:docPr id="39" name="Picture 39"/>
            <wp:cNvGraphicFramePr>
              <a:graphicFrameLocks noChangeAspect="1"/>
            </wp:cNvGraphicFramePr>
            <a:graphic>
              <a:graphicData uri="http://schemas.openxmlformats.org/drawingml/2006/picture">
                <pic:pic>
                  <pic:nvPicPr>
                    <pic:cNvPr id="0" name="ss_12.png"/>
                    <pic:cNvPicPr/>
                  </pic:nvPicPr>
                  <pic:blipFill>
                    <a:blip r:embed="rId28"/>
                    <a:stretch>
                      <a:fillRect/>
                    </a:stretch>
                  </pic:blipFill>
                  <pic:spPr>
                    <a:xfrm>
                      <a:off x="0" y="0"/>
                      <a:ext cx="2788920" cy="1509428"/>
                    </a:xfrm>
                    <a:prstGeom prst="rect"/>
                  </pic:spPr>
                </pic:pic>
              </a:graphicData>
            </a:graphic>
          </wp:inline>
        </w:drawing>
      </w:r>
    </w:p>
    <w:p>
      <w:pPr>
        <w:spacing w:before="0" w:after="0" w:line="240" w:lineRule="auto"/>
        <w:jc w:val="center"/>
      </w:pPr>
      <w:r>
        <w:rPr>
          <w:b/>
          <w:color w:val="667085"/>
          <w:sz w:val="17"/>
        </w:rPr>
        <w:t>Figure 12. Random Forest feature-importance chart.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620805"/>
            <wp:docPr id="40" name="Picture 40"/>
            <wp:cNvGraphicFramePr>
              <a:graphicFrameLocks noChangeAspect="1"/>
            </wp:cNvGraphicFramePr>
            <a:graphic>
              <a:graphicData uri="http://schemas.openxmlformats.org/drawingml/2006/picture">
                <pic:pic>
                  <pic:nvPicPr>
                    <pic:cNvPr id="0" name="ss_13.png"/>
                    <pic:cNvPicPr/>
                  </pic:nvPicPr>
                  <pic:blipFill>
                    <a:blip r:embed="rId30"/>
                    <a:stretch>
                      <a:fillRect/>
                    </a:stretch>
                  </pic:blipFill>
                  <pic:spPr>
                    <a:xfrm>
                      <a:off x="0" y="0"/>
                      <a:ext cx="2788920" cy="620805"/>
                    </a:xfrm>
                    <a:prstGeom prst="rect"/>
                  </pic:spPr>
                </pic:pic>
              </a:graphicData>
            </a:graphic>
          </wp:inline>
        </w:drawing>
      </w:r>
    </w:p>
    <w:p>
      <w:pPr>
        <w:spacing w:before="0" w:after="0" w:line="240" w:lineRule="auto"/>
        <w:jc w:val="center"/>
      </w:pPr>
      <w:r>
        <w:rPr>
          <w:b/>
          <w:color w:val="667085"/>
          <w:sz w:val="17"/>
        </w:rPr>
        <w:t>Figure 13. Unified model comparison table.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397277"/>
            <wp:docPr id="41" name="Picture 41"/>
            <wp:cNvGraphicFramePr>
              <a:graphicFrameLocks noChangeAspect="1"/>
            </wp:cNvGraphicFramePr>
            <a:graphic>
              <a:graphicData uri="http://schemas.openxmlformats.org/drawingml/2006/picture">
                <pic:pic>
                  <pic:nvPicPr>
                    <pic:cNvPr id="0" name="ss_14.png"/>
                    <pic:cNvPicPr/>
                  </pic:nvPicPr>
                  <pic:blipFill>
                    <a:blip r:embed="rId31"/>
                    <a:stretch>
                      <a:fillRect/>
                    </a:stretch>
                  </pic:blipFill>
                  <pic:spPr>
                    <a:xfrm>
                      <a:off x="0" y="0"/>
                      <a:ext cx="2788920" cy="1397277"/>
                    </a:xfrm>
                    <a:prstGeom prst="rect"/>
                  </pic:spPr>
                </pic:pic>
              </a:graphicData>
            </a:graphic>
          </wp:inline>
        </w:drawing>
      </w:r>
    </w:p>
    <w:p>
      <w:pPr>
        <w:spacing w:before="0" w:after="0" w:line="240" w:lineRule="auto"/>
        <w:jc w:val="center"/>
      </w:pPr>
      <w:r>
        <w:rPr>
          <w:b/>
          <w:color w:val="667085"/>
          <w:sz w:val="17"/>
        </w:rPr>
        <w:t>Figure 14. Unified model comparison chart.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878432"/>
            <wp:docPr id="42" name="Picture 42"/>
            <wp:cNvGraphicFramePr>
              <a:graphicFrameLocks noChangeAspect="1"/>
            </wp:cNvGraphicFramePr>
            <a:graphic>
              <a:graphicData uri="http://schemas.openxmlformats.org/drawingml/2006/picture">
                <pic:pic>
                  <pic:nvPicPr>
                    <pic:cNvPr id="0" name="ss_15.png"/>
                    <pic:cNvPicPr/>
                  </pic:nvPicPr>
                  <pic:blipFill>
                    <a:blip r:embed="rId22"/>
                    <a:stretch>
                      <a:fillRect/>
                    </a:stretch>
                  </pic:blipFill>
                  <pic:spPr>
                    <a:xfrm>
                      <a:off x="0" y="0"/>
                      <a:ext cx="2788920" cy="1878432"/>
                    </a:xfrm>
                    <a:prstGeom prst="rect"/>
                  </pic:spPr>
                </pic:pic>
              </a:graphicData>
            </a:graphic>
          </wp:inline>
        </w:drawing>
      </w:r>
    </w:p>
    <w:p>
      <w:pPr>
        <w:spacing w:before="0" w:after="0" w:line="240" w:lineRule="auto"/>
        <w:jc w:val="center"/>
      </w:pPr>
      <w:r>
        <w:rPr>
          <w:b/>
          <w:color w:val="667085"/>
          <w:sz w:val="17"/>
        </w:rPr>
        <w:t>Figure 15. Final clustering evaluation.</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705966"/>
            <wp:docPr id="43" name="Picture 43"/>
            <wp:cNvGraphicFramePr>
              <a:graphicFrameLocks noChangeAspect="1"/>
            </wp:cNvGraphicFramePr>
            <a:graphic>
              <a:graphicData uri="http://schemas.openxmlformats.org/drawingml/2006/picture">
                <pic:pic>
                  <pic:nvPicPr>
                    <pic:cNvPr id="0" name="ss_16.png"/>
                    <pic:cNvPicPr/>
                  </pic:nvPicPr>
                  <pic:blipFill>
                    <a:blip r:embed="rId32"/>
                    <a:stretch>
                      <a:fillRect/>
                    </a:stretch>
                  </pic:blipFill>
                  <pic:spPr>
                    <a:xfrm>
                      <a:off x="0" y="0"/>
                      <a:ext cx="2788920" cy="1705966"/>
                    </a:xfrm>
                    <a:prstGeom prst="rect"/>
                  </pic:spPr>
                </pic:pic>
              </a:graphicData>
            </a:graphic>
          </wp:inline>
        </w:drawing>
      </w:r>
    </w:p>
    <w:p>
      <w:pPr>
        <w:spacing w:before="0" w:after="0" w:line="240" w:lineRule="auto"/>
        <w:jc w:val="center"/>
      </w:pPr>
      <w:r>
        <w:rPr>
          <w:b/>
          <w:color w:val="667085"/>
          <w:sz w:val="17"/>
        </w:rPr>
        <w:t>Figure 16. Repeat-purchase rate by customer segment.</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753512"/>
            <wp:docPr id="44" name="Picture 44"/>
            <wp:cNvGraphicFramePr>
              <a:graphicFrameLocks noChangeAspect="1"/>
            </wp:cNvGraphicFramePr>
            <a:graphic>
              <a:graphicData uri="http://schemas.openxmlformats.org/drawingml/2006/picture">
                <pic:pic>
                  <pic:nvPicPr>
                    <pic:cNvPr id="0" name="ss_17.png"/>
                    <pic:cNvPicPr/>
                  </pic:nvPicPr>
                  <pic:blipFill>
                    <a:blip r:embed="rId33"/>
                    <a:stretch>
                      <a:fillRect/>
                    </a:stretch>
                  </pic:blipFill>
                  <pic:spPr>
                    <a:xfrm>
                      <a:off x="0" y="0"/>
                      <a:ext cx="2788920" cy="1753512"/>
                    </a:xfrm>
                    <a:prstGeom prst="rect"/>
                  </pic:spPr>
                </pic:pic>
              </a:graphicData>
            </a:graphic>
          </wp:inline>
        </w:drawing>
      </w:r>
    </w:p>
    <w:p>
      <w:pPr>
        <w:spacing w:before="0" w:after="0" w:line="240" w:lineRule="auto"/>
        <w:jc w:val="center"/>
      </w:pPr>
      <w:r>
        <w:rPr>
          <w:b/>
          <w:color w:val="667085"/>
          <w:sz w:val="17"/>
        </w:rPr>
        <w:t>Figure 17. Integrated customer profile.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469661"/>
            <wp:docPr id="45" name="Picture 45"/>
            <wp:cNvGraphicFramePr>
              <a:graphicFrameLocks noChangeAspect="1"/>
            </wp:cNvGraphicFramePr>
            <a:graphic>
              <a:graphicData uri="http://schemas.openxmlformats.org/drawingml/2006/picture">
                <pic:pic>
                  <pic:nvPicPr>
                    <pic:cNvPr id="0" name="ss_18.png"/>
                    <pic:cNvPicPr/>
                  </pic:nvPicPr>
                  <pic:blipFill>
                    <a:blip r:embed="rId34"/>
                    <a:stretch>
                      <a:fillRect/>
                    </a:stretch>
                  </pic:blipFill>
                  <pic:spPr>
                    <a:xfrm>
                      <a:off x="0" y="0"/>
                      <a:ext cx="2788920" cy="469661"/>
                    </a:xfrm>
                    <a:prstGeom prst="rect"/>
                  </pic:spPr>
                </pic:pic>
              </a:graphicData>
            </a:graphic>
          </wp:inline>
        </w:drawing>
      </w:r>
    </w:p>
    <w:p>
      <w:pPr>
        <w:spacing w:before="0" w:after="0" w:line="240" w:lineRule="auto"/>
        <w:jc w:val="center"/>
      </w:pPr>
      <w:r>
        <w:rPr>
          <w:b/>
          <w:color w:val="667085"/>
          <w:sz w:val="17"/>
        </w:rPr>
        <w:t>Figure 18. Final capstone insights.</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1650227"/>
            <wp:docPr id="46" name="Picture 46"/>
            <wp:cNvGraphicFramePr>
              <a:graphicFrameLocks noChangeAspect="1"/>
            </wp:cNvGraphicFramePr>
            <a:graphic>
              <a:graphicData uri="http://schemas.openxmlformats.org/drawingml/2006/picture">
                <pic:pic>
                  <pic:nvPicPr>
                    <pic:cNvPr id="0" name="ss_19.png"/>
                    <pic:cNvPicPr/>
                  </pic:nvPicPr>
                  <pic:blipFill>
                    <a:blip r:embed="rId35"/>
                    <a:stretch>
                      <a:fillRect/>
                    </a:stretch>
                  </pic:blipFill>
                  <pic:spPr>
                    <a:xfrm>
                      <a:off x="0" y="0"/>
                      <a:ext cx="2788920" cy="1650227"/>
                    </a:xfrm>
                    <a:prstGeom prst="rect"/>
                  </pic:spPr>
                </pic:pic>
              </a:graphicData>
            </a:graphic>
          </wp:inline>
        </w:drawing>
      </w:r>
    </w:p>
    <w:p>
      <w:pPr>
        <w:spacing w:before="0" w:after="0" w:line="240" w:lineRule="auto"/>
        <w:jc w:val="center"/>
      </w:pPr>
      <w:r>
        <w:rPr>
          <w:b/>
          <w:color w:val="667085"/>
          <w:sz w:val="17"/>
        </w:rPr>
        <w:t>Figure 19. Recommendations table.</w:t>
      </w:r>
    </w:p>
    <w:p>
      <w:pPr>
        <w:spacing w:after="0" w:before="0" w:line="240" w:lineRule="auto"/>
      </w:pPr>
    </w:p>
    <w:p>
      <w:pPr>
        <w:spacing w:before="0" w:after="0" w:line="240" w:lineRule="auto"/>
        <w:jc w:val="center"/>
      </w:pPr>
      <w:r>
        <w:drawing>
          <wp:inline xmlns:a="http://schemas.openxmlformats.org/drawingml/2006/main" xmlns:pic="http://schemas.openxmlformats.org/drawingml/2006/picture">
            <wp:extent cx="2788920" cy="2504996"/>
            <wp:docPr id="47" name="Picture 47"/>
            <wp:cNvGraphicFramePr>
              <a:graphicFrameLocks noChangeAspect="1"/>
            </wp:cNvGraphicFramePr>
            <a:graphic>
              <a:graphicData uri="http://schemas.openxmlformats.org/drawingml/2006/picture">
                <pic:pic>
                  <pic:nvPicPr>
                    <pic:cNvPr id="0" name="ss_20.png"/>
                    <pic:cNvPicPr/>
                  </pic:nvPicPr>
                  <pic:blipFill>
                    <a:blip r:embed="rId36"/>
                    <a:stretch>
                      <a:fillRect/>
                    </a:stretch>
                  </pic:blipFill>
                  <pic:spPr>
                    <a:xfrm>
                      <a:off x="0" y="0"/>
                      <a:ext cx="2788920" cy="2504996"/>
                    </a:xfrm>
                    <a:prstGeom prst="rect"/>
                  </pic:spPr>
                </pic:pic>
              </a:graphicData>
            </a:graphic>
          </wp:inline>
        </w:drawing>
      </w:r>
    </w:p>
    <w:p>
      <w:pPr>
        <w:spacing w:before="0" w:after="0" w:line="240" w:lineRule="auto"/>
        <w:jc w:val="center"/>
      </w:pPr>
      <w:r>
        <w:rPr>
          <w:b/>
          <w:color w:val="667085"/>
          <w:sz w:val="17"/>
        </w:rPr>
        <w:t>Figure 20. Final capstone metrics summary.</w:t>
      </w:r>
    </w:p>
    <w:p>
      <w:pPr>
        <w:spacing w:after="0" w:before="0" w:line="240" w:lineRule="auto"/>
      </w:pPr>
    </w:p>
    <w:p>
      <w:pPr>
        <w:pStyle w:val="Heading1"/>
        <w:spacing w:before="0" w:after="0" w:line="240" w:lineRule="auto"/>
      </w:pPr>
      <w:r>
        <w:rPr>
          <w:rFonts w:ascii="Aptos Display" w:hAnsi="Aptos Display"/>
          <w:color w:val="243B53"/>
        </w:rPr>
        <w:t>Appendix B. Final Capstone Metrics</w:t>
      </w:r>
    </w:p>
    <w:tbl>
      <w:tblPr>
        <w:tblW w:type="auto" w:w="0"/>
        <w:jc w:val="center"/>
        <w:tblLayout w:type="fixed"/>
        <w:tblLook w:firstColumn="1" w:firstRow="1" w:lastColumn="0" w:lastRow="0" w:noHBand="0" w:noVBand="1" w:val="04A0"/>
        <w:tblBorders>
          <w:top w:val="single" w:sz="5" w:color="D0D5DD"/>
          <w:left w:val="single" w:sz="5" w:color="D0D5DD"/>
          <w:bottom w:val="single" w:sz="5" w:color="D0D5DD"/>
          <w:right w:val="single" w:sz="5" w:color="D0D5DD"/>
          <w:insideH w:val="single" w:sz="5" w:color="D0D5DD"/>
          <w:insideV w:val="single" w:sz="5" w:color="D0D5DD"/>
        </w:tblBorders>
      </w:tblPr>
      <w:tblGrid>
        <w:gridCol w:w="5040"/>
        <w:gridCol w:w="5040"/>
      </w:tblGrid>
      <w:tr>
        <w:tc>
          <w:tcPr>
            <w:tcW w:type="dxa" w:w="3456"/>
            <w:vAlign w:val="center"/>
            <w:shd w:fill="243B53"/>
          </w:tcPr>
          <w:p>
            <w:pPr>
              <w:spacing w:after="0"/>
              <w:jc w:val="center"/>
            </w:pPr>
            <w:r/>
            <w:r>
              <w:rPr>
                <w:rFonts w:ascii="Aptos" w:hAnsi="Aptos"/>
                <w:b/>
                <w:color w:val="FFFFFF"/>
                <w:sz w:val="18"/>
              </w:rPr>
              <w:t>Component</w:t>
            </w:r>
          </w:p>
        </w:tc>
        <w:tc>
          <w:tcPr>
            <w:tcW w:type="dxa" w:w="6336"/>
            <w:vAlign w:val="center"/>
            <w:shd w:fill="243B53"/>
          </w:tcPr>
          <w:p>
            <w:pPr>
              <w:spacing w:after="0"/>
              <w:jc w:val="center"/>
            </w:pPr>
            <w:r/>
            <w:r>
              <w:rPr>
                <w:rFonts w:ascii="Aptos" w:hAnsi="Aptos"/>
                <w:b/>
                <w:color w:val="FFFFFF"/>
                <w:sz w:val="18"/>
              </w:rPr>
              <w:t>Key result</w:t>
            </w:r>
          </w:p>
        </w:tc>
      </w:tr>
      <w:tr>
        <w:tc>
          <w:tcPr>
            <w:tcW w:type="dxa" w:w="3456"/>
            <w:vAlign w:val="center"/>
            <w:shd w:fill="F5F7FA"/>
          </w:tcPr>
          <w:p>
            <w:pPr>
              <w:spacing w:after="0"/>
              <w:jc w:val="left"/>
            </w:pPr>
            <w:r/>
            <w:r>
              <w:rPr>
                <w:rFonts w:ascii="Aptos" w:hAnsi="Aptos"/>
                <w:b w:val="0"/>
                <w:color w:val="1F2937"/>
                <w:sz w:val="18"/>
              </w:rPr>
              <w:t>Data cleaning</w:t>
            </w:r>
          </w:p>
        </w:tc>
        <w:tc>
          <w:tcPr>
            <w:tcW w:type="dxa" w:w="6336"/>
            <w:vAlign w:val="center"/>
            <w:shd w:fill="F5F7FA"/>
          </w:tcPr>
          <w:p>
            <w:pPr>
              <w:spacing w:after="0"/>
              <w:jc w:val="left"/>
            </w:pPr>
            <w:r/>
            <w:r>
              <w:rPr>
                <w:rFonts w:ascii="Aptos" w:hAnsi="Aptos"/>
                <w:b w:val="0"/>
                <w:color w:val="1F2937"/>
                <w:sz w:val="18"/>
              </w:rPr>
              <w:t>392,692 cleaned rows; 72.46% retention</w:t>
            </w:r>
          </w:p>
        </w:tc>
      </w:tr>
      <w:tr>
        <w:tc>
          <w:tcPr>
            <w:tcW w:type="dxa" w:w="3456"/>
            <w:vAlign w:val="center"/>
            <w:shd w:fill="FFFFFF"/>
          </w:tcPr>
          <w:p>
            <w:pPr>
              <w:spacing w:after="0"/>
              <w:jc w:val="left"/>
            </w:pPr>
            <w:r/>
            <w:r>
              <w:rPr>
                <w:rFonts w:ascii="Aptos" w:hAnsi="Aptos"/>
                <w:b w:val="0"/>
                <w:color w:val="1F2937"/>
                <w:sz w:val="18"/>
              </w:rPr>
              <w:t>EDA</w:t>
            </w:r>
          </w:p>
        </w:tc>
        <w:tc>
          <w:tcPr>
            <w:tcW w:type="dxa" w:w="6336"/>
            <w:vAlign w:val="center"/>
            <w:shd w:fill="FFFFFF"/>
          </w:tcPr>
          <w:p>
            <w:pPr>
              <w:spacing w:after="0"/>
              <w:jc w:val="left"/>
            </w:pPr>
            <w:r/>
            <w:r>
              <w:rPr>
                <w:rFonts w:ascii="Aptos" w:hAnsi="Aptos"/>
                <w:b w:val="0"/>
                <w:color w:val="1F2937"/>
                <w:sz w:val="18"/>
              </w:rPr>
              <w:t>£8.89M transaction amount; 4,338 customers; 37 countries</w:t>
            </w:r>
          </w:p>
        </w:tc>
      </w:tr>
      <w:tr>
        <w:tc>
          <w:tcPr>
            <w:tcW w:type="dxa" w:w="3456"/>
            <w:vAlign w:val="center"/>
            <w:shd w:fill="F5F7FA"/>
          </w:tcPr>
          <w:p>
            <w:pPr>
              <w:spacing w:after="0"/>
              <w:jc w:val="left"/>
            </w:pPr>
            <w:r/>
            <w:r>
              <w:rPr>
                <w:rFonts w:ascii="Aptos" w:hAnsi="Aptos"/>
                <w:b w:val="0"/>
                <w:color w:val="1F2937"/>
                <w:sz w:val="18"/>
              </w:rPr>
              <w:t>Clustering</w:t>
            </w:r>
          </w:p>
        </w:tc>
        <w:tc>
          <w:tcPr>
            <w:tcW w:type="dxa" w:w="6336"/>
            <w:vAlign w:val="center"/>
            <w:shd w:fill="F5F7FA"/>
          </w:tcPr>
          <w:p>
            <w:pPr>
              <w:spacing w:after="0"/>
              <w:jc w:val="left"/>
            </w:pPr>
            <w:r/>
            <w:r>
              <w:rPr>
                <w:rFonts w:ascii="Aptos" w:hAnsi="Aptos"/>
                <w:b w:val="0"/>
                <w:color w:val="1F2937"/>
                <w:sz w:val="18"/>
              </w:rPr>
              <w:t>K = 2; silhouette = 0.4328</w:t>
            </w:r>
          </w:p>
        </w:tc>
      </w:tr>
      <w:tr>
        <w:tc>
          <w:tcPr>
            <w:tcW w:type="dxa" w:w="3456"/>
            <w:vAlign w:val="center"/>
            <w:shd w:fill="FFFFFF"/>
          </w:tcPr>
          <w:p>
            <w:pPr>
              <w:spacing w:after="0"/>
              <w:jc w:val="left"/>
            </w:pPr>
            <w:r/>
            <w:r>
              <w:rPr>
                <w:rFonts w:ascii="Aptos" w:hAnsi="Aptos"/>
                <w:b w:val="0"/>
                <w:color w:val="1F2937"/>
                <w:sz w:val="18"/>
              </w:rPr>
              <w:t>Cluster 0</w:t>
            </w:r>
          </w:p>
        </w:tc>
        <w:tc>
          <w:tcPr>
            <w:tcW w:type="dxa" w:w="6336"/>
            <w:vAlign w:val="center"/>
            <w:shd w:fill="FFFFFF"/>
          </w:tcPr>
          <w:p>
            <w:pPr>
              <w:spacing w:after="0"/>
              <w:jc w:val="left"/>
            </w:pPr>
            <w:r/>
            <w:r>
              <w:rPr>
                <w:rFonts w:ascii="Aptos" w:hAnsi="Aptos"/>
                <w:b w:val="0"/>
                <w:color w:val="1F2937"/>
                <w:sz w:val="18"/>
              </w:rPr>
              <w:t>2,672 customers; 28.73% repeat rate</w:t>
            </w:r>
          </w:p>
        </w:tc>
      </w:tr>
      <w:tr>
        <w:tc>
          <w:tcPr>
            <w:tcW w:type="dxa" w:w="3456"/>
            <w:vAlign w:val="center"/>
            <w:shd w:fill="F5F7FA"/>
          </w:tcPr>
          <w:p>
            <w:pPr>
              <w:spacing w:after="0"/>
              <w:jc w:val="left"/>
            </w:pPr>
            <w:r/>
            <w:r>
              <w:rPr>
                <w:rFonts w:ascii="Aptos" w:hAnsi="Aptos"/>
                <w:b w:val="0"/>
                <w:color w:val="1F2937"/>
                <w:sz w:val="18"/>
              </w:rPr>
              <w:t>Cluster 1</w:t>
            </w:r>
          </w:p>
        </w:tc>
        <w:tc>
          <w:tcPr>
            <w:tcW w:type="dxa" w:w="6336"/>
            <w:vAlign w:val="center"/>
            <w:shd w:fill="F5F7FA"/>
          </w:tcPr>
          <w:p>
            <w:pPr>
              <w:spacing w:after="0"/>
              <w:jc w:val="left"/>
            </w:pPr>
            <w:r/>
            <w:r>
              <w:rPr>
                <w:rFonts w:ascii="Aptos" w:hAnsi="Aptos"/>
                <w:b w:val="0"/>
                <w:color w:val="1F2937"/>
                <w:sz w:val="18"/>
              </w:rPr>
              <w:t>1,666 customers; 96.41% repeat rate</w:t>
            </w:r>
          </w:p>
        </w:tc>
      </w:tr>
      <w:tr>
        <w:tc>
          <w:tcPr>
            <w:tcW w:type="dxa" w:w="3456"/>
            <w:vAlign w:val="center"/>
            <w:shd w:fill="FFFFFF"/>
          </w:tcPr>
          <w:p>
            <w:pPr>
              <w:spacing w:after="0"/>
              <w:jc w:val="left"/>
            </w:pPr>
            <w:r/>
            <w:r>
              <w:rPr>
                <w:rFonts w:ascii="Aptos" w:hAnsi="Aptos"/>
                <w:b w:val="0"/>
                <w:color w:val="1F2937"/>
                <w:sz w:val="18"/>
              </w:rPr>
              <w:t>Logistic Regression</w:t>
            </w:r>
          </w:p>
        </w:tc>
        <w:tc>
          <w:tcPr>
            <w:tcW w:type="dxa" w:w="6336"/>
            <w:vAlign w:val="center"/>
            <w:shd w:fill="FFFFFF"/>
          </w:tcPr>
          <w:p>
            <w:pPr>
              <w:spacing w:after="0"/>
              <w:jc w:val="left"/>
            </w:pPr>
            <w:r/>
            <w:r>
              <w:rPr>
                <w:rFonts w:ascii="Aptos" w:hAnsi="Aptos"/>
                <w:b w:val="0"/>
                <w:color w:val="1F2937"/>
                <w:sz w:val="18"/>
              </w:rPr>
              <w:t>68.52% accuracy; 72.89% F1; 73.44% ROC-AUC</w:t>
            </w:r>
          </w:p>
        </w:tc>
      </w:tr>
      <w:tr>
        <w:tc>
          <w:tcPr>
            <w:tcW w:type="dxa" w:w="3456"/>
            <w:vAlign w:val="center"/>
            <w:shd w:fill="F5F7FA"/>
          </w:tcPr>
          <w:p>
            <w:pPr>
              <w:spacing w:after="0"/>
              <w:jc w:val="left"/>
            </w:pPr>
            <w:r/>
            <w:r>
              <w:rPr>
                <w:rFonts w:ascii="Aptos" w:hAnsi="Aptos"/>
                <w:b w:val="0"/>
                <w:color w:val="1F2937"/>
                <w:sz w:val="18"/>
              </w:rPr>
              <w:t>Random Forest</w:t>
            </w:r>
          </w:p>
        </w:tc>
        <w:tc>
          <w:tcPr>
            <w:tcW w:type="dxa" w:w="6336"/>
            <w:vAlign w:val="center"/>
            <w:shd w:fill="F5F7FA"/>
          </w:tcPr>
          <w:p>
            <w:pPr>
              <w:spacing w:after="0"/>
              <w:jc w:val="left"/>
            </w:pPr>
            <w:r/>
            <w:r>
              <w:rPr>
                <w:rFonts w:ascii="Aptos" w:hAnsi="Aptos"/>
                <w:b w:val="0"/>
                <w:color w:val="1F2937"/>
                <w:sz w:val="18"/>
              </w:rPr>
              <w:t>63.86% accuracy; 69.31% F1; 70.01% ROC-AUC</w:t>
            </w:r>
          </w:p>
        </w:tc>
      </w:tr>
      <w:tr>
        <w:tc>
          <w:tcPr>
            <w:tcW w:type="dxa" w:w="3456"/>
            <w:vAlign w:val="center"/>
            <w:shd w:fill="FFFFFF"/>
          </w:tcPr>
          <w:p>
            <w:pPr>
              <w:spacing w:after="0"/>
              <w:jc w:val="left"/>
            </w:pPr>
            <w:r/>
            <w:r>
              <w:rPr>
                <w:rFonts w:ascii="Aptos" w:hAnsi="Aptos"/>
                <w:b w:val="0"/>
                <w:color w:val="1F2937"/>
                <w:sz w:val="18"/>
              </w:rPr>
              <w:t>ANN</w:t>
            </w:r>
          </w:p>
        </w:tc>
        <w:tc>
          <w:tcPr>
            <w:tcW w:type="dxa" w:w="6336"/>
            <w:vAlign w:val="center"/>
            <w:shd w:fill="FFFFFF"/>
          </w:tcPr>
          <w:p>
            <w:pPr>
              <w:spacing w:after="0"/>
              <w:jc w:val="left"/>
            </w:pPr>
            <w:r/>
            <w:r>
              <w:rPr>
                <w:rFonts w:ascii="Aptos" w:hAnsi="Aptos"/>
                <w:b w:val="0"/>
                <w:color w:val="1F2937"/>
                <w:sz w:val="18"/>
              </w:rPr>
              <w:t>68.22% accuracy; 72.49% F1; 74.01% ROC-AUC</w:t>
            </w:r>
          </w:p>
        </w:tc>
      </w:tr>
      <w:tr>
        <w:tc>
          <w:tcPr>
            <w:tcW w:type="dxa" w:w="3456"/>
            <w:vAlign w:val="center"/>
            <w:shd w:fill="F5F7FA"/>
          </w:tcPr>
          <w:p>
            <w:pPr>
              <w:spacing w:after="0"/>
              <w:jc w:val="left"/>
            </w:pPr>
            <w:r/>
            <w:r>
              <w:rPr>
                <w:rFonts w:ascii="Aptos" w:hAnsi="Aptos"/>
                <w:b w:val="0"/>
                <w:color w:val="1F2937"/>
                <w:sz w:val="18"/>
              </w:rPr>
              <w:t>ANN training</w:t>
            </w:r>
          </w:p>
        </w:tc>
        <w:tc>
          <w:tcPr>
            <w:tcW w:type="dxa" w:w="6336"/>
            <w:vAlign w:val="center"/>
            <w:shd w:fill="F5F7FA"/>
          </w:tcPr>
          <w:p>
            <w:pPr>
              <w:spacing w:after="0"/>
              <w:jc w:val="left"/>
            </w:pPr>
            <w:r/>
            <w:r>
              <w:rPr>
                <w:rFonts w:ascii="Aptos" w:hAnsi="Aptos"/>
                <w:b w:val="0"/>
                <w:color w:val="1F2937"/>
                <w:sz w:val="18"/>
              </w:rPr>
              <w:t>23 epochs; best epoch 13; best validation loss 0.59217</w:t>
            </w:r>
          </w:p>
        </w:tc>
      </w:tr>
    </w:tbl>
    <w:p>
      <w:pPr>
        <w:spacing w:after="0" w:line="240" w:lineRule="auto" w:before="0"/>
      </w:pPr>
      <w:r>
        <w:t>Supporting artifacts can be stored in the Task-6-Integrative-Capstone GitHub folder alongside the notebook and report. Suggested files include the final customer segments table, model comparison table, integrated segment analysis, recommendations table and cleaned dataset.</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Integrative Customer Analytics and Repeat-Purchase Prediction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YuvaIntern Data Science Internship  |  Week 6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