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B5B7A"/>
          <w:sz w:val="26"/>
        </w:rPr>
        <w:t>YUVAINTERN DATA SCIENCE INTERNSHIP</w:t>
      </w:r>
    </w:p>
    <w:p>
      <w:pPr>
        <w:jc w:val="center"/>
      </w:pPr>
      <w:r>
        <w:rPr>
          <w:b/>
          <w:color w:val="667085"/>
          <w:sz w:val="24"/>
        </w:rPr>
        <w:t>WEEK 5 TASK</w:t>
      </w:r>
    </w:p>
    <w:p>
      <w:pPr>
        <w:spacing w:before="400"/>
        <w:jc w:val="center"/>
      </w:pPr>
      <w:r>
        <w:rPr>
          <w:b/>
          <w:color w:val="243B53"/>
          <w:sz w:val="54"/>
        </w:rPr>
        <w:t>Deep Learning Application</w:t>
        <w:br/>
        <w:t>in Data Science</w:t>
      </w:r>
    </w:p>
    <w:p>
      <w:pPr>
        <w:jc w:val="center"/>
      </w:pPr>
      <w:r>
        <w:rPr>
          <w:color w:val="475467"/>
          <w:sz w:val="28"/>
        </w:rPr>
        <w:t>Customer Repeat-Purchase Prediction using an Artificial Neural Network</w:t>
      </w:r>
    </w:p>
    <w:p>
      <w:pPr>
        <w:jc w:val="center"/>
      </w:pPr>
      <w:r>
        <w:drawing>
          <wp:inline xmlns:a="http://schemas.openxmlformats.org/drawingml/2006/main" xmlns:pic="http://schemas.openxmlformats.org/drawingml/2006/picture">
            <wp:extent cx="4846320" cy="3871268"/>
            <wp:docPr id="1" name="Picture 1"/>
            <wp:cNvGraphicFramePr>
              <a:graphicFrameLocks noChangeAspect="1"/>
            </wp:cNvGraphicFramePr>
            <a:graphic>
              <a:graphicData uri="http://schemas.openxmlformats.org/drawingml/2006/picture">
                <pic:pic>
                  <pic:nvPicPr>
                    <pic:cNvPr id="0" name="task5_ann_architecture_diagram.png"/>
                    <pic:cNvPicPr/>
                  </pic:nvPicPr>
                  <pic:blipFill>
                    <a:blip r:embed="rId11"/>
                    <a:stretch>
                      <a:fillRect/>
                    </a:stretch>
                  </pic:blipFill>
                  <pic:spPr>
                    <a:xfrm>
                      <a:off x="0" y="0"/>
                      <a:ext cx="4846320" cy="3871268"/>
                    </a:xfrm>
                    <a:prstGeom prst="rect"/>
                  </pic:spPr>
                </pic:pic>
              </a:graphicData>
            </a:graphic>
          </wp:inline>
        </w:drawing>
      </w:r>
    </w:p>
    <w:p>
      <w:pPr>
        <w:jc w:val="center"/>
      </w:pPr>
      <w:r>
        <w:rPr>
          <w:b/>
          <w:color w:val="667085"/>
          <w:sz w:val="17"/>
        </w:rPr>
        <w:t>ANN architecture used for the final binary classifier.</w:t>
      </w:r>
    </w:p>
    <w:p>
      <w:pPr>
        <w:jc w:val="center"/>
      </w:pPr>
      <w:r>
        <w:rPr>
          <w:color w:val="667085"/>
          <w:sz w:val="20"/>
        </w:rPr>
        <w:t>TensorFlow / Keras  •  Online Retail  •  Binary Classification</w:t>
      </w:r>
    </w:p>
    <w:p>
      <w:pPr>
        <w:spacing w:before="500"/>
        <w:jc w:val="center"/>
      </w:pPr>
      <w:r>
        <w:rPr>
          <w:i/>
          <w:color w:val="667085"/>
          <w:sz w:val="20"/>
        </w:rPr>
        <w:t>Comprehensive technical report with notebook evidence</w:t>
      </w:r>
    </w:p>
    <w:p>
      <w:r>
        <w:br w:type="page"/>
      </w:r>
    </w:p>
    <w:p>
      <w:pPr>
        <w:pStyle w:val="Heading1"/>
      </w:pPr>
      <w:r>
        <w:rPr>
          <w:color w:val="243B53"/>
        </w:rPr>
        <w:t>1. Executive Summary</w:t>
      </w:r>
    </w:p>
    <w:p>
      <w:r>
        <w:t>This project applies an Artificial Neural Network (ANN) to customer repeat-purchase prediction using TensorFlow/Keras. It continues the same Online Retail workflow developed in Tasks 1–4, creating a coherent progression from data cleaning and EDA to RFM clustering, classical supervised learning, and finally deep learning.</w:t>
      </w:r>
    </w:p>
    <w:p>
      <w:r>
        <w:t>The prediction problem is binary classification. Customer behavior observed before 1 September 2011 is used to construct six historical features. A customer is labeled as a repeat purchaser if that customer appears in the future transaction period beginning 1 September 2011. The future period is therefore used to define the target rather than as model input.</w:t>
      </w:r>
    </w:p>
    <w:tbl>
      <w:tblPr>
        <w:tblW w:type="auto" w:w="0"/>
        <w:jc w:val="center"/>
        <w:tblLook w:firstColumn="1" w:firstRow="1" w:lastColumn="0" w:lastRow="0" w:noHBand="0" w:noVBand="1" w:val="04A0"/>
        <w:tblBorders>
          <w:top w:val="single" w:sz="6" w:color="C7D7F5"/>
          <w:left w:val="single" w:sz="6" w:color="C7D7F5"/>
          <w:bottom w:val="single" w:sz="6" w:color="C7D7F5"/>
          <w:right w:val="single" w:sz="6" w:color="C7D7F5"/>
          <w:insideH w:val="single" w:sz="6" w:color="C7D7F5"/>
          <w:insideV w:val="single" w:sz="6" w:color="C7D7F5"/>
        </w:tblBorders>
      </w:tblPr>
      <w:tblGrid>
        <w:gridCol w:w="10224"/>
      </w:tblGrid>
      <w:tr>
        <w:tc>
          <w:tcPr>
            <w:tcW w:type="dxa" w:w="10224"/>
            <w:shd w:fill="EEF4FF"/>
          </w:tcPr>
          <w:p>
            <w:r/>
            <w:r>
              <w:rPr>
                <w:b/>
                <w:color w:val="243B53"/>
                <w:sz w:val="21"/>
              </w:rPr>
              <w:t>Final held-out test result</w:t>
            </w:r>
            <w:r>
              <w:rPr>
                <w:sz w:val="19"/>
              </w:rPr>
              <w:br/>
              <w:t>Accuracy 68.22%  •  Precision 73.94%  •  Recall 71.10%  •  F1 72.49%  •  ROC-AUC 74.02%.</w:t>
            </w:r>
          </w:p>
        </w:tc>
      </w:tr>
    </w:tbl>
    <w:p/>
    <w:tbl>
      <w:tblPr>
        <w:tblW w:type="auto" w:w="0"/>
        <w:jc w:val="center"/>
        <w:tblLayout w:type="fixed"/>
        <w:tblLook w:firstColumn="1" w:firstRow="1" w:lastColumn="0" w:lastRow="0" w:noHBand="0" w:noVBand="1" w:val="04A0"/>
        <w:tblBorders>
          <w:top w:val="single" w:sz="6" w:color="D0D5DD"/>
          <w:left w:val="single" w:sz="6" w:color="D0D5DD"/>
          <w:bottom w:val="single" w:sz="6" w:color="D0D5DD"/>
          <w:right w:val="single" w:sz="6" w:color="D0D5DD"/>
          <w:insideH w:val="single" w:sz="6" w:color="D0D5DD"/>
          <w:insideV w:val="single" w:sz="6" w:color="D0D5DD"/>
        </w:tblBorders>
      </w:tblPr>
      <w:tblGrid>
        <w:gridCol w:w="5112"/>
        <w:gridCol w:w="5112"/>
      </w:tblGrid>
      <w:tr>
        <w:tc>
          <w:tcPr>
            <w:tcW w:type="dxa" w:w="3600"/>
            <w:vAlign w:val="center"/>
            <w:shd w:fill="243B53"/>
          </w:tcPr>
          <w:p>
            <w:pPr>
              <w:jc w:val="center"/>
            </w:pPr>
            <w:r/>
            <w:r>
              <w:rPr>
                <w:b/>
                <w:color w:val="FFFFFF"/>
                <w:sz w:val="18"/>
              </w:rPr>
              <w:t>Item</w:t>
            </w:r>
          </w:p>
        </w:tc>
        <w:tc>
          <w:tcPr>
            <w:tcW w:type="dxa" w:w="5760"/>
            <w:vAlign w:val="center"/>
            <w:shd w:fill="243B53"/>
          </w:tcPr>
          <w:p>
            <w:pPr>
              <w:jc w:val="center"/>
            </w:pPr>
            <w:r/>
            <w:r>
              <w:rPr>
                <w:b/>
                <w:color w:val="FFFFFF"/>
                <w:sz w:val="18"/>
              </w:rPr>
              <w:t>Result</w:t>
            </w:r>
          </w:p>
        </w:tc>
      </w:tr>
      <w:tr>
        <w:tc>
          <w:tcPr>
            <w:tcW w:type="dxa" w:w="3600"/>
            <w:vAlign w:val="center"/>
          </w:tcPr>
          <w:p>
            <w:pPr>
              <w:jc w:val="left"/>
            </w:pPr>
            <w:r/>
            <w:r>
              <w:rPr>
                <w:b w:val="0"/>
                <w:color w:val="1F2937"/>
                <w:sz w:val="18"/>
              </w:rPr>
              <w:t>Dataset</w:t>
            </w:r>
          </w:p>
        </w:tc>
        <w:tc>
          <w:tcPr>
            <w:tcW w:type="dxa" w:w="5760"/>
            <w:vAlign w:val="center"/>
          </w:tcPr>
          <w:p>
            <w:pPr>
              <w:jc w:val="left"/>
            </w:pPr>
            <w:r/>
            <w:r>
              <w:rPr>
                <w:b w:val="0"/>
                <w:color w:val="1F2937"/>
                <w:sz w:val="18"/>
              </w:rPr>
              <w:t>Online Retail transaction dataset</w:t>
            </w:r>
          </w:p>
        </w:tc>
      </w:tr>
      <w:tr>
        <w:tc>
          <w:tcPr>
            <w:tcW w:type="dxa" w:w="3600"/>
            <w:vAlign w:val="center"/>
          </w:tcPr>
          <w:p>
            <w:pPr>
              <w:jc w:val="left"/>
            </w:pPr>
            <w:r/>
            <w:r>
              <w:rPr>
                <w:b w:val="0"/>
                <w:color w:val="1F2937"/>
                <w:sz w:val="18"/>
              </w:rPr>
              <w:t>Cleaned transactions</w:t>
            </w:r>
          </w:p>
        </w:tc>
        <w:tc>
          <w:tcPr>
            <w:tcW w:type="dxa" w:w="5760"/>
            <w:vAlign w:val="center"/>
          </w:tcPr>
          <w:p>
            <w:pPr>
              <w:jc w:val="left"/>
            </w:pPr>
            <w:r/>
            <w:r>
              <w:rPr>
                <w:b w:val="0"/>
                <w:color w:val="1F2937"/>
                <w:sz w:val="18"/>
              </w:rPr>
              <w:t>392,692</w:t>
            </w:r>
          </w:p>
        </w:tc>
      </w:tr>
      <w:tr>
        <w:tc>
          <w:tcPr>
            <w:tcW w:type="dxa" w:w="3600"/>
            <w:vAlign w:val="center"/>
          </w:tcPr>
          <w:p>
            <w:pPr>
              <w:jc w:val="left"/>
            </w:pPr>
            <w:r/>
            <w:r>
              <w:rPr>
                <w:b w:val="0"/>
                <w:color w:val="1F2937"/>
                <w:sz w:val="18"/>
              </w:rPr>
              <w:t>Customers modeled</w:t>
            </w:r>
          </w:p>
        </w:tc>
        <w:tc>
          <w:tcPr>
            <w:tcW w:type="dxa" w:w="5760"/>
            <w:vAlign w:val="center"/>
          </w:tcPr>
          <w:p>
            <w:pPr>
              <w:jc w:val="left"/>
            </w:pPr>
            <w:r/>
            <w:r>
              <w:rPr>
                <w:b w:val="0"/>
                <w:color w:val="1F2937"/>
                <w:sz w:val="18"/>
              </w:rPr>
              <w:t>3,317</w:t>
            </w:r>
          </w:p>
        </w:tc>
      </w:tr>
      <w:tr>
        <w:tc>
          <w:tcPr>
            <w:tcW w:type="dxa" w:w="3600"/>
            <w:vAlign w:val="center"/>
          </w:tcPr>
          <w:p>
            <w:pPr>
              <w:jc w:val="left"/>
            </w:pPr>
            <w:r/>
            <w:r>
              <w:rPr>
                <w:b w:val="0"/>
                <w:color w:val="1F2937"/>
                <w:sz w:val="18"/>
              </w:rPr>
              <w:t>Input features</w:t>
            </w:r>
          </w:p>
        </w:tc>
        <w:tc>
          <w:tcPr>
            <w:tcW w:type="dxa" w:w="5760"/>
            <w:vAlign w:val="center"/>
          </w:tcPr>
          <w:p>
            <w:pPr>
              <w:jc w:val="left"/>
            </w:pPr>
            <w:r/>
            <w:r>
              <w:rPr>
                <w:b w:val="0"/>
                <w:color w:val="1F2937"/>
                <w:sz w:val="18"/>
              </w:rPr>
              <w:t>6</w:t>
            </w:r>
          </w:p>
        </w:tc>
      </w:tr>
      <w:tr>
        <w:tc>
          <w:tcPr>
            <w:tcW w:type="dxa" w:w="3600"/>
            <w:vAlign w:val="center"/>
          </w:tcPr>
          <w:p>
            <w:pPr>
              <w:jc w:val="left"/>
            </w:pPr>
            <w:r/>
            <w:r>
              <w:rPr>
                <w:b w:val="0"/>
                <w:color w:val="1F2937"/>
                <w:sz w:val="18"/>
              </w:rPr>
              <w:t>Train / validation / test</w:t>
            </w:r>
          </w:p>
        </w:tc>
        <w:tc>
          <w:tcPr>
            <w:tcW w:type="dxa" w:w="5760"/>
            <w:vAlign w:val="center"/>
          </w:tcPr>
          <w:p>
            <w:pPr>
              <w:jc w:val="left"/>
            </w:pPr>
            <w:r/>
            <w:r>
              <w:rPr>
                <w:b w:val="0"/>
                <w:color w:val="1F2937"/>
                <w:sz w:val="18"/>
              </w:rPr>
              <w:t>2,122 / 531 / 664</w:t>
            </w:r>
          </w:p>
        </w:tc>
      </w:tr>
      <w:tr>
        <w:tc>
          <w:tcPr>
            <w:tcW w:type="dxa" w:w="3600"/>
            <w:vAlign w:val="center"/>
          </w:tcPr>
          <w:p>
            <w:pPr>
              <w:jc w:val="left"/>
            </w:pPr>
            <w:r/>
            <w:r>
              <w:rPr>
                <w:b w:val="0"/>
                <w:color w:val="1F2937"/>
                <w:sz w:val="18"/>
              </w:rPr>
              <w:t>ANN parameters</w:t>
            </w:r>
          </w:p>
        </w:tc>
        <w:tc>
          <w:tcPr>
            <w:tcW w:type="dxa" w:w="5760"/>
            <w:vAlign w:val="center"/>
          </w:tcPr>
          <w:p>
            <w:pPr>
              <w:jc w:val="left"/>
            </w:pPr>
            <w:r/>
            <w:r>
              <w:rPr>
                <w:b w:val="0"/>
                <w:color w:val="1F2937"/>
                <w:sz w:val="18"/>
              </w:rPr>
              <w:t>11,265</w:t>
            </w:r>
          </w:p>
        </w:tc>
      </w:tr>
      <w:tr>
        <w:tc>
          <w:tcPr>
            <w:tcW w:type="dxa" w:w="3600"/>
            <w:vAlign w:val="center"/>
          </w:tcPr>
          <w:p>
            <w:pPr>
              <w:jc w:val="left"/>
            </w:pPr>
            <w:r/>
            <w:r>
              <w:rPr>
                <w:b w:val="0"/>
                <w:color w:val="1F2937"/>
                <w:sz w:val="18"/>
              </w:rPr>
              <w:t>Best validation-loss epoch</w:t>
            </w:r>
          </w:p>
        </w:tc>
        <w:tc>
          <w:tcPr>
            <w:tcW w:type="dxa" w:w="5760"/>
            <w:vAlign w:val="center"/>
          </w:tcPr>
          <w:p>
            <w:pPr>
              <w:jc w:val="left"/>
            </w:pPr>
            <w:r/>
            <w:r>
              <w:rPr>
                <w:b w:val="0"/>
                <w:color w:val="1F2937"/>
                <w:sz w:val="18"/>
              </w:rPr>
              <w:t>13</w:t>
            </w:r>
          </w:p>
        </w:tc>
      </w:tr>
      <w:tr>
        <w:tc>
          <w:tcPr>
            <w:tcW w:type="dxa" w:w="3600"/>
            <w:vAlign w:val="center"/>
          </w:tcPr>
          <w:p>
            <w:pPr>
              <w:jc w:val="left"/>
            </w:pPr>
            <w:r/>
            <w:r>
              <w:rPr>
                <w:b w:val="0"/>
                <w:color w:val="1F2937"/>
                <w:sz w:val="18"/>
              </w:rPr>
              <w:t>Total epochs trained</w:t>
            </w:r>
          </w:p>
        </w:tc>
        <w:tc>
          <w:tcPr>
            <w:tcW w:type="dxa" w:w="5760"/>
            <w:vAlign w:val="center"/>
          </w:tcPr>
          <w:p>
            <w:pPr>
              <w:jc w:val="left"/>
            </w:pPr>
            <w:r/>
            <w:r>
              <w:rPr>
                <w:b w:val="0"/>
                <w:color w:val="1F2937"/>
                <w:sz w:val="18"/>
              </w:rPr>
              <w:t>23 of 100</w:t>
            </w:r>
          </w:p>
        </w:tc>
      </w:tr>
    </w:tbl>
    <w:p>
      <w:r>
        <w:br w:type="page"/>
      </w:r>
    </w:p>
    <w:p>
      <w:pPr>
        <w:pStyle w:val="Heading1"/>
      </w:pPr>
      <w:r>
        <w:rPr>
          <w:color w:val="243B53"/>
        </w:rPr>
        <w:t>2. Problem Statement and Business Context</w:t>
      </w:r>
    </w:p>
    <w:p>
      <w:pPr>
        <w:pStyle w:val="Heading2"/>
      </w:pPr>
      <w:r>
        <w:rPr>
          <w:color w:val="3B5B7A"/>
        </w:rPr>
        <w:t>2.1 Problem definition</w:t>
      </w:r>
    </w:p>
    <w:p>
      <w:r>
        <w:t>The task is to estimate whether a customer will make another purchase in a defined future period. The model outputs a probability of RepeatPurchase = 1, which can be used as a predictive signal for customer analysis.</w:t>
      </w:r>
    </w:p>
    <w:tbl>
      <w:tblPr>
        <w:tblW w:type="auto" w:w="0"/>
        <w:jc w:val="center"/>
        <w:tblLayout w:type="fixed"/>
        <w:tblLook w:firstColumn="1" w:firstRow="1" w:lastColumn="0" w:lastRow="0" w:noHBand="0" w:noVBand="1" w:val="04A0"/>
        <w:tblBorders>
          <w:top w:val="single" w:sz="6" w:color="D0D5DD"/>
          <w:left w:val="single" w:sz="6" w:color="D0D5DD"/>
          <w:bottom w:val="single" w:sz="6" w:color="D0D5DD"/>
          <w:right w:val="single" w:sz="6" w:color="D0D5DD"/>
          <w:insideH w:val="single" w:sz="6" w:color="D0D5DD"/>
          <w:insideV w:val="single" w:sz="6" w:color="D0D5DD"/>
        </w:tblBorders>
      </w:tblPr>
      <w:tblGrid>
        <w:gridCol w:w="5112"/>
        <w:gridCol w:w="5112"/>
      </w:tblGrid>
      <w:tr>
        <w:tc>
          <w:tcPr>
            <w:tcW w:type="dxa" w:w="2880"/>
            <w:vAlign w:val="center"/>
            <w:shd w:fill="243B53"/>
          </w:tcPr>
          <w:p>
            <w:pPr>
              <w:jc w:val="center"/>
            </w:pPr>
            <w:r/>
            <w:r>
              <w:rPr>
                <w:b/>
                <w:color w:val="FFFFFF"/>
                <w:sz w:val="18"/>
              </w:rPr>
              <w:t>Component</w:t>
            </w:r>
          </w:p>
        </w:tc>
        <w:tc>
          <w:tcPr>
            <w:tcW w:type="dxa" w:w="6480"/>
            <w:vAlign w:val="center"/>
            <w:shd w:fill="243B53"/>
          </w:tcPr>
          <w:p>
            <w:pPr>
              <w:jc w:val="center"/>
            </w:pPr>
            <w:r/>
            <w:r>
              <w:rPr>
                <w:b/>
                <w:color w:val="FFFFFF"/>
                <w:sz w:val="18"/>
              </w:rPr>
              <w:t>Definition</w:t>
            </w:r>
          </w:p>
        </w:tc>
      </w:tr>
      <w:tr>
        <w:tc>
          <w:tcPr>
            <w:tcW w:type="dxa" w:w="2880"/>
            <w:vAlign w:val="center"/>
          </w:tcPr>
          <w:p>
            <w:pPr>
              <w:jc w:val="left"/>
            </w:pPr>
            <w:r/>
            <w:r>
              <w:rPr>
                <w:b w:val="0"/>
                <w:color w:val="1F2937"/>
                <w:sz w:val="18"/>
              </w:rPr>
              <w:t>Input</w:t>
            </w:r>
          </w:p>
        </w:tc>
        <w:tc>
          <w:tcPr>
            <w:tcW w:type="dxa" w:w="6480"/>
            <w:vAlign w:val="center"/>
          </w:tcPr>
          <w:p>
            <w:pPr>
              <w:jc w:val="left"/>
            </w:pPr>
            <w:r/>
            <w:r>
              <w:rPr>
                <w:b w:val="0"/>
                <w:color w:val="1F2937"/>
                <w:sz w:val="18"/>
              </w:rPr>
              <w:t>Historical customer behavior before 1 September 2011</w:t>
            </w:r>
          </w:p>
        </w:tc>
      </w:tr>
      <w:tr>
        <w:tc>
          <w:tcPr>
            <w:tcW w:type="dxa" w:w="2880"/>
            <w:vAlign w:val="center"/>
          </w:tcPr>
          <w:p>
            <w:pPr>
              <w:jc w:val="left"/>
            </w:pPr>
            <w:r/>
            <w:r>
              <w:rPr>
                <w:b w:val="0"/>
                <w:color w:val="1F2937"/>
                <w:sz w:val="18"/>
              </w:rPr>
              <w:t>Target 0</w:t>
            </w:r>
          </w:p>
        </w:tc>
        <w:tc>
          <w:tcPr>
            <w:tcW w:type="dxa" w:w="6480"/>
            <w:vAlign w:val="center"/>
          </w:tcPr>
          <w:p>
            <w:pPr>
              <w:jc w:val="left"/>
            </w:pPr>
            <w:r/>
            <w:r>
              <w:rPr>
                <w:b w:val="0"/>
                <w:color w:val="1F2937"/>
                <w:sz w:val="18"/>
              </w:rPr>
              <w:t>No purchase in the future period</w:t>
            </w:r>
          </w:p>
        </w:tc>
      </w:tr>
      <w:tr>
        <w:tc>
          <w:tcPr>
            <w:tcW w:type="dxa" w:w="2880"/>
            <w:vAlign w:val="center"/>
          </w:tcPr>
          <w:p>
            <w:pPr>
              <w:jc w:val="left"/>
            </w:pPr>
            <w:r/>
            <w:r>
              <w:rPr>
                <w:b w:val="0"/>
                <w:color w:val="1F2937"/>
                <w:sz w:val="18"/>
              </w:rPr>
              <w:t>Target 1</w:t>
            </w:r>
          </w:p>
        </w:tc>
        <w:tc>
          <w:tcPr>
            <w:tcW w:type="dxa" w:w="6480"/>
            <w:vAlign w:val="center"/>
          </w:tcPr>
          <w:p>
            <w:pPr>
              <w:jc w:val="left"/>
            </w:pPr>
            <w:r/>
            <w:r>
              <w:rPr>
                <w:b w:val="0"/>
                <w:color w:val="1F2937"/>
                <w:sz w:val="18"/>
              </w:rPr>
              <w:t>At least one purchase in the future period</w:t>
            </w:r>
          </w:p>
        </w:tc>
      </w:tr>
      <w:tr>
        <w:tc>
          <w:tcPr>
            <w:tcW w:type="dxa" w:w="2880"/>
            <w:vAlign w:val="center"/>
          </w:tcPr>
          <w:p>
            <w:pPr>
              <w:jc w:val="left"/>
            </w:pPr>
            <w:r/>
            <w:r>
              <w:rPr>
                <w:b w:val="0"/>
                <w:color w:val="1F2937"/>
                <w:sz w:val="18"/>
              </w:rPr>
              <w:t>Problem type</w:t>
            </w:r>
          </w:p>
        </w:tc>
        <w:tc>
          <w:tcPr>
            <w:tcW w:type="dxa" w:w="6480"/>
            <w:vAlign w:val="center"/>
          </w:tcPr>
          <w:p>
            <w:pPr>
              <w:jc w:val="left"/>
            </w:pPr>
            <w:r/>
            <w:r>
              <w:rPr>
                <w:b w:val="0"/>
                <w:color w:val="1F2937"/>
                <w:sz w:val="18"/>
              </w:rPr>
              <w:t>Binary classification</w:t>
            </w:r>
          </w:p>
        </w:tc>
      </w:tr>
      <w:tr>
        <w:tc>
          <w:tcPr>
            <w:tcW w:type="dxa" w:w="2880"/>
            <w:vAlign w:val="center"/>
          </w:tcPr>
          <w:p>
            <w:pPr>
              <w:jc w:val="left"/>
            </w:pPr>
            <w:r/>
            <w:r>
              <w:rPr>
                <w:b w:val="0"/>
                <w:color w:val="1F2937"/>
                <w:sz w:val="18"/>
              </w:rPr>
              <w:t>Output</w:t>
            </w:r>
          </w:p>
        </w:tc>
        <w:tc>
          <w:tcPr>
            <w:tcW w:type="dxa" w:w="6480"/>
            <w:vAlign w:val="center"/>
          </w:tcPr>
          <w:p>
            <w:pPr>
              <w:jc w:val="left"/>
            </w:pPr>
            <w:r/>
            <w:r>
              <w:rPr>
                <w:b w:val="0"/>
                <w:color w:val="1F2937"/>
                <w:sz w:val="18"/>
              </w:rPr>
              <w:t>Sigmoid probability</w:t>
            </w:r>
          </w:p>
        </w:tc>
      </w:tr>
    </w:tbl>
    <w:p>
      <w:pPr>
        <w:pStyle w:val="Heading2"/>
      </w:pPr>
      <w:r>
        <w:rPr>
          <w:color w:val="3B5B7A"/>
        </w:rPr>
        <w:t>2.2 Why an ANN?</w:t>
      </w:r>
    </w:p>
    <w:p>
      <w:pPr>
        <w:pStyle w:val="ListBullet"/>
        <w:spacing w:after="40"/>
      </w:pPr>
      <w:r>
        <w:t>ANNs can represent nonlinear interactions among behavioral variables.</w:t>
      </w:r>
    </w:p>
    <w:p>
      <w:pPr>
        <w:pStyle w:val="ListBullet"/>
        <w:spacing w:after="40"/>
      </w:pPr>
      <w:r>
        <w:t>The project provides a deep-learning benchmark against Task 4 Logistic Regression and Random Forest models.</w:t>
      </w:r>
    </w:p>
    <w:p>
      <w:pPr>
        <w:pStyle w:val="ListBullet"/>
        <w:spacing w:after="40"/>
      </w:pPr>
      <w:r>
        <w:t>The network is deliberately compact because the modeling table contains only 3,317 customers and six engineered features.</w:t>
      </w:r>
    </w:p>
    <w:p>
      <w:pPr>
        <w:pStyle w:val="Heading2"/>
      </w:pPr>
      <w:r>
        <w:rPr>
          <w:color w:val="3B5B7A"/>
        </w:rPr>
        <w:t>2.3 Business relevance</w:t>
      </w:r>
    </w:p>
    <w:p>
      <w:r>
        <w:t>Repeat-purchase prediction can support retention analysis, customer prioritization and campaign experimentation. The model is predictive rather than causal: it estimates behavior and does not prove that an intervention will cause a customer to purchase.</w:t>
      </w:r>
    </w:p>
    <w:p>
      <w:r>
        <w:br w:type="page"/>
      </w:r>
    </w:p>
    <w:p>
      <w:pPr>
        <w:pStyle w:val="Heading1"/>
      </w:pPr>
      <w:r>
        <w:rPr>
          <w:color w:val="243B53"/>
        </w:rPr>
        <w:t>3. Dataset, Project Continuity and Preparation</w:t>
      </w:r>
    </w:p>
    <w:p>
      <w:r>
        <w:t>The Online Retail dataset originally contains 541,909 transaction rows and eight raw columns. The same validated cleaning procedure used in earlier tasks was reused: duplicate rows, missing customer/product information, cancellation invoices and non-positive quantities/prices were removed.</w:t>
      </w:r>
    </w:p>
    <w:tbl>
      <w:tblPr>
        <w:tblW w:type="auto" w:w="0"/>
        <w:jc w:val="center"/>
        <w:tblLayout w:type="fixed"/>
        <w:tblLook w:firstColumn="1" w:firstRow="1" w:lastColumn="0" w:lastRow="0" w:noHBand="0" w:noVBand="1" w:val="04A0"/>
        <w:tblBorders>
          <w:top w:val="single" w:sz="6" w:color="D0D5DD"/>
          <w:left w:val="single" w:sz="6" w:color="D0D5DD"/>
          <w:bottom w:val="single" w:sz="6" w:color="D0D5DD"/>
          <w:right w:val="single" w:sz="6" w:color="D0D5DD"/>
          <w:insideH w:val="single" w:sz="6" w:color="D0D5DD"/>
          <w:insideV w:val="single" w:sz="6" w:color="D0D5DD"/>
        </w:tblBorders>
      </w:tblPr>
      <w:tblGrid>
        <w:gridCol w:w="3408"/>
        <w:gridCol w:w="3408"/>
        <w:gridCol w:w="3408"/>
      </w:tblGrid>
      <w:tr>
        <w:tc>
          <w:tcPr>
            <w:tcW w:type="dxa" w:w="3024"/>
            <w:vAlign w:val="center"/>
            <w:shd w:fill="243B53"/>
          </w:tcPr>
          <w:p>
            <w:pPr>
              <w:jc w:val="center"/>
            </w:pPr>
            <w:r/>
            <w:r>
              <w:rPr>
                <w:b/>
                <w:color w:val="FFFFFF"/>
                <w:sz w:val="18"/>
              </w:rPr>
              <w:t>Stage</w:t>
            </w:r>
          </w:p>
        </w:tc>
        <w:tc>
          <w:tcPr>
            <w:tcW w:type="dxa" w:w="1728"/>
            <w:vAlign w:val="center"/>
            <w:shd w:fill="243B53"/>
          </w:tcPr>
          <w:p>
            <w:pPr>
              <w:jc w:val="center"/>
            </w:pPr>
            <w:r/>
            <w:r>
              <w:rPr>
                <w:b/>
                <w:color w:val="FFFFFF"/>
                <w:sz w:val="18"/>
              </w:rPr>
              <w:t>Rows</w:t>
            </w:r>
          </w:p>
        </w:tc>
        <w:tc>
          <w:tcPr>
            <w:tcW w:type="dxa" w:w="4608"/>
            <w:vAlign w:val="center"/>
            <w:shd w:fill="243B53"/>
          </w:tcPr>
          <w:p>
            <w:pPr>
              <w:jc w:val="center"/>
            </w:pPr>
            <w:r/>
            <w:r>
              <w:rPr>
                <w:b/>
                <w:color w:val="FFFFFF"/>
                <w:sz w:val="18"/>
              </w:rPr>
              <w:t>Purpose</w:t>
            </w:r>
          </w:p>
        </w:tc>
      </w:tr>
      <w:tr>
        <w:tc>
          <w:tcPr>
            <w:tcW w:type="dxa" w:w="3024"/>
            <w:vAlign w:val="center"/>
          </w:tcPr>
          <w:p>
            <w:pPr>
              <w:jc w:val="left"/>
            </w:pPr>
            <w:r/>
            <w:r>
              <w:rPr>
                <w:b w:val="0"/>
                <w:color w:val="1F2937"/>
                <w:sz w:val="18"/>
              </w:rPr>
              <w:t>Original dataset</w:t>
            </w:r>
          </w:p>
        </w:tc>
        <w:tc>
          <w:tcPr>
            <w:tcW w:type="dxa" w:w="1728"/>
            <w:vAlign w:val="center"/>
          </w:tcPr>
          <w:p>
            <w:pPr>
              <w:jc w:val="left"/>
            </w:pPr>
            <w:r/>
            <w:r>
              <w:rPr>
                <w:b w:val="0"/>
                <w:color w:val="1F2937"/>
                <w:sz w:val="18"/>
              </w:rPr>
              <w:t>541,909</w:t>
            </w:r>
          </w:p>
        </w:tc>
        <w:tc>
          <w:tcPr>
            <w:tcW w:type="dxa" w:w="4608"/>
            <w:vAlign w:val="center"/>
          </w:tcPr>
          <w:p>
            <w:pPr>
              <w:jc w:val="left"/>
            </w:pPr>
            <w:r/>
            <w:r>
              <w:rPr>
                <w:b w:val="0"/>
                <w:color w:val="1F2937"/>
                <w:sz w:val="18"/>
              </w:rPr>
              <w:t>Raw transaction data</w:t>
            </w:r>
          </w:p>
        </w:tc>
      </w:tr>
      <w:tr>
        <w:tc>
          <w:tcPr>
            <w:tcW w:type="dxa" w:w="3024"/>
            <w:vAlign w:val="center"/>
          </w:tcPr>
          <w:p>
            <w:pPr>
              <w:jc w:val="left"/>
            </w:pPr>
            <w:r/>
            <w:r>
              <w:rPr>
                <w:b w:val="0"/>
                <w:color w:val="1F2937"/>
                <w:sz w:val="18"/>
              </w:rPr>
              <w:t>Cleaned dataset</w:t>
            </w:r>
          </w:p>
        </w:tc>
        <w:tc>
          <w:tcPr>
            <w:tcW w:type="dxa" w:w="1728"/>
            <w:vAlign w:val="center"/>
          </w:tcPr>
          <w:p>
            <w:pPr>
              <w:jc w:val="left"/>
            </w:pPr>
            <w:r/>
            <w:r>
              <w:rPr>
                <w:b w:val="0"/>
                <w:color w:val="1F2937"/>
                <w:sz w:val="18"/>
              </w:rPr>
              <w:t>392,692</w:t>
            </w:r>
          </w:p>
        </w:tc>
        <w:tc>
          <w:tcPr>
            <w:tcW w:type="dxa" w:w="4608"/>
            <w:vAlign w:val="center"/>
          </w:tcPr>
          <w:p>
            <w:pPr>
              <w:jc w:val="left"/>
            </w:pPr>
            <w:r/>
            <w:r>
              <w:rPr>
                <w:b w:val="0"/>
                <w:color w:val="1F2937"/>
                <w:sz w:val="18"/>
              </w:rPr>
              <w:t>Validated transactions + derived fields</w:t>
            </w:r>
          </w:p>
        </w:tc>
      </w:tr>
      <w:tr>
        <w:tc>
          <w:tcPr>
            <w:tcW w:type="dxa" w:w="3024"/>
            <w:vAlign w:val="center"/>
          </w:tcPr>
          <w:p>
            <w:pPr>
              <w:jc w:val="left"/>
            </w:pPr>
            <w:r/>
            <w:r>
              <w:rPr>
                <w:b w:val="0"/>
                <w:color w:val="1F2937"/>
                <w:sz w:val="18"/>
              </w:rPr>
              <w:t>Historical period</w:t>
            </w:r>
          </w:p>
        </w:tc>
        <w:tc>
          <w:tcPr>
            <w:tcW w:type="dxa" w:w="1728"/>
            <w:vAlign w:val="center"/>
          </w:tcPr>
          <w:p>
            <w:pPr>
              <w:jc w:val="left"/>
            </w:pPr>
            <w:r/>
            <w:r>
              <w:rPr>
                <w:b w:val="0"/>
                <w:color w:val="1F2937"/>
                <w:sz w:val="18"/>
              </w:rPr>
              <w:t>224,036</w:t>
            </w:r>
          </w:p>
        </w:tc>
        <w:tc>
          <w:tcPr>
            <w:tcW w:type="dxa" w:w="4608"/>
            <w:vAlign w:val="center"/>
          </w:tcPr>
          <w:p>
            <w:pPr>
              <w:jc w:val="left"/>
            </w:pPr>
            <w:r/>
            <w:r>
              <w:rPr>
                <w:b w:val="0"/>
                <w:color w:val="1F2937"/>
                <w:sz w:val="18"/>
              </w:rPr>
              <w:t>Feature construction</w:t>
            </w:r>
          </w:p>
        </w:tc>
      </w:tr>
      <w:tr>
        <w:tc>
          <w:tcPr>
            <w:tcW w:type="dxa" w:w="3024"/>
            <w:vAlign w:val="center"/>
          </w:tcPr>
          <w:p>
            <w:pPr>
              <w:jc w:val="left"/>
            </w:pPr>
            <w:r/>
            <w:r>
              <w:rPr>
                <w:b w:val="0"/>
                <w:color w:val="1F2937"/>
                <w:sz w:val="18"/>
              </w:rPr>
              <w:t>Future period</w:t>
            </w:r>
          </w:p>
        </w:tc>
        <w:tc>
          <w:tcPr>
            <w:tcW w:type="dxa" w:w="1728"/>
            <w:vAlign w:val="center"/>
          </w:tcPr>
          <w:p>
            <w:pPr>
              <w:jc w:val="left"/>
            </w:pPr>
            <w:r/>
            <w:r>
              <w:rPr>
                <w:b w:val="0"/>
                <w:color w:val="1F2937"/>
                <w:sz w:val="18"/>
              </w:rPr>
              <w:t>168,656</w:t>
            </w:r>
          </w:p>
        </w:tc>
        <w:tc>
          <w:tcPr>
            <w:tcW w:type="dxa" w:w="4608"/>
            <w:vAlign w:val="center"/>
          </w:tcPr>
          <w:p>
            <w:pPr>
              <w:jc w:val="left"/>
            </w:pPr>
            <w:r/>
            <w:r>
              <w:rPr>
                <w:b w:val="0"/>
                <w:color w:val="1F2937"/>
                <w:sz w:val="18"/>
              </w:rPr>
              <w:t>Target construction only</w:t>
            </w:r>
          </w:p>
        </w:tc>
      </w:tr>
      <w:tr>
        <w:tc>
          <w:tcPr>
            <w:tcW w:type="dxa" w:w="3024"/>
            <w:vAlign w:val="center"/>
          </w:tcPr>
          <w:p>
            <w:pPr>
              <w:jc w:val="left"/>
            </w:pPr>
            <w:r/>
            <w:r>
              <w:rPr>
                <w:b w:val="0"/>
                <w:color w:val="1F2937"/>
                <w:sz w:val="18"/>
              </w:rPr>
              <w:t>Customer modeling table</w:t>
            </w:r>
          </w:p>
        </w:tc>
        <w:tc>
          <w:tcPr>
            <w:tcW w:type="dxa" w:w="1728"/>
            <w:vAlign w:val="center"/>
          </w:tcPr>
          <w:p>
            <w:pPr>
              <w:jc w:val="left"/>
            </w:pPr>
            <w:r/>
            <w:r>
              <w:rPr>
                <w:b w:val="0"/>
                <w:color w:val="1F2937"/>
                <w:sz w:val="18"/>
              </w:rPr>
              <w:t>3,317</w:t>
            </w:r>
          </w:p>
        </w:tc>
        <w:tc>
          <w:tcPr>
            <w:tcW w:type="dxa" w:w="4608"/>
            <w:vAlign w:val="center"/>
          </w:tcPr>
          <w:p>
            <w:pPr>
              <w:jc w:val="left"/>
            </w:pPr>
            <w:r/>
            <w:r>
              <w:rPr>
                <w:b w:val="0"/>
                <w:color w:val="1F2937"/>
                <w:sz w:val="18"/>
              </w:rPr>
              <w:t>Six features + binary target</w:t>
            </w:r>
          </w:p>
        </w:tc>
      </w:tr>
    </w:tbl>
    <w:p>
      <w:pPr>
        <w:pStyle w:val="Heading2"/>
      </w:pPr>
      <w:r>
        <w:rPr>
          <w:color w:val="3B5B7A"/>
        </w:rPr>
        <w:t>3.1 Project continuity</w:t>
      </w:r>
    </w:p>
    <w:p>
      <w:pPr>
        <w:pStyle w:val="ListBullet"/>
        <w:spacing w:after="40"/>
      </w:pPr>
      <w:r>
        <w:t>Task 1 — Data acquisition, cleaning and preprocessing.</w:t>
      </w:r>
    </w:p>
    <w:p>
      <w:pPr>
        <w:pStyle w:val="ListBullet"/>
        <w:spacing w:after="40"/>
      </w:pPr>
      <w:r>
        <w:t>Task 2 — Exploratory Data Analysis and visualization.</w:t>
      </w:r>
    </w:p>
    <w:p>
      <w:pPr>
        <w:pStyle w:val="ListBullet"/>
        <w:spacing w:after="40"/>
      </w:pPr>
      <w:r>
        <w:t>Task 3 — RFM customer segmentation with K-Means.</w:t>
      </w:r>
    </w:p>
    <w:p>
      <w:pPr>
        <w:pStyle w:val="ListBullet"/>
        <w:spacing w:after="40"/>
      </w:pPr>
      <w:r>
        <w:t>Task 4 — Repeat-purchase prediction with Logistic Regression and Random Forest.</w:t>
      </w:r>
    </w:p>
    <w:p>
      <w:pPr>
        <w:pStyle w:val="ListBullet"/>
        <w:spacing w:after="40"/>
      </w:pPr>
      <w:r>
        <w:t>Task 5 — Repeat-purchase prediction with an ANN.</w:t>
      </w:r>
    </w:p>
    <w:p>
      <w:pPr>
        <w:jc w:val="center"/>
      </w:pPr>
      <w:r>
        <w:drawing>
          <wp:inline xmlns:a="http://schemas.openxmlformats.org/drawingml/2006/main" xmlns:pic="http://schemas.openxmlformats.org/drawingml/2006/picture">
            <wp:extent cx="4937760" cy="3398126"/>
            <wp:docPr id="2" name="Picture 2"/>
            <wp:cNvGraphicFramePr>
              <a:graphicFrameLocks noChangeAspect="1"/>
            </wp:cNvGraphicFramePr>
            <a:graphic>
              <a:graphicData uri="http://schemas.openxmlformats.org/drawingml/2006/picture">
                <pic:pic>
                  <pic:nvPicPr>
                    <pic:cNvPr id="0" name="task5_target_distribution.png"/>
                    <pic:cNvPicPr/>
                  </pic:nvPicPr>
                  <pic:blipFill>
                    <a:blip r:embed="rId12"/>
                    <a:stretch>
                      <a:fillRect/>
                    </a:stretch>
                  </pic:blipFill>
                  <pic:spPr>
                    <a:xfrm>
                      <a:off x="0" y="0"/>
                      <a:ext cx="4937760" cy="3398126"/>
                    </a:xfrm>
                    <a:prstGeom prst="rect"/>
                  </pic:spPr>
                </pic:pic>
              </a:graphicData>
            </a:graphic>
          </wp:inline>
        </w:drawing>
      </w:r>
    </w:p>
    <w:p>
      <w:pPr>
        <w:jc w:val="center"/>
      </w:pPr>
      <w:r>
        <w:rPr>
          <w:b/>
          <w:color w:val="667085"/>
          <w:sz w:val="17"/>
        </w:rPr>
        <w:t>Repeat-purchase target distribution: 1,952 repeat customers (58.85%) and 1,365 non-repeat customers (41.15%).</w:t>
      </w:r>
    </w:p>
    <w:p>
      <w:r>
        <w:br w:type="page"/>
      </w:r>
    </w:p>
    <w:p>
      <w:pPr>
        <w:pStyle w:val="Heading1"/>
      </w:pPr>
      <w:r>
        <w:rPr>
          <w:color w:val="243B53"/>
        </w:rPr>
        <w:t>4. Leakage-Controlled Target Construction</w:t>
      </w:r>
    </w:p>
    <w:p>
      <w:r>
        <w:t>A chronological cutoff of 1 September 2011 was applied. Transactions before the cutoff form the historical dataset; transactions on or after the cutoff form the future dataset. This prevents future transactions from becoming model features.</w:t>
      </w:r>
    </w:p>
    <w:tbl>
      <w:tblPr>
        <w:tblW w:type="auto" w:w="0"/>
        <w:jc w:val="center"/>
        <w:tblLayout w:type="fixed"/>
        <w:tblLook w:firstColumn="1" w:firstRow="1" w:lastColumn="0" w:lastRow="0" w:noHBand="0" w:noVBand="1" w:val="04A0"/>
        <w:tblBorders>
          <w:top w:val="single" w:sz="6" w:color="D0D5DD"/>
          <w:left w:val="single" w:sz="6" w:color="D0D5DD"/>
          <w:bottom w:val="single" w:sz="6" w:color="D0D5DD"/>
          <w:right w:val="single" w:sz="6" w:color="D0D5DD"/>
          <w:insideH w:val="single" w:sz="6" w:color="D0D5DD"/>
          <w:insideV w:val="single" w:sz="6" w:color="D0D5DD"/>
        </w:tblBorders>
      </w:tblPr>
      <w:tblGrid>
        <w:gridCol w:w="3408"/>
        <w:gridCol w:w="3408"/>
        <w:gridCol w:w="3408"/>
      </w:tblGrid>
      <w:tr>
        <w:tc>
          <w:tcPr>
            <w:tcW w:type="dxa" w:w="2160"/>
            <w:vAlign w:val="center"/>
            <w:shd w:fill="243B53"/>
          </w:tcPr>
          <w:p>
            <w:pPr>
              <w:jc w:val="center"/>
            </w:pPr>
            <w:r/>
            <w:r>
              <w:rPr>
                <w:b/>
                <w:color w:val="FFFFFF"/>
                <w:sz w:val="18"/>
              </w:rPr>
              <w:t>Period</w:t>
            </w:r>
          </w:p>
        </w:tc>
        <w:tc>
          <w:tcPr>
            <w:tcW w:type="dxa" w:w="5472"/>
            <w:vAlign w:val="center"/>
            <w:shd w:fill="243B53"/>
          </w:tcPr>
          <w:p>
            <w:pPr>
              <w:jc w:val="center"/>
            </w:pPr>
            <w:r/>
            <w:r>
              <w:rPr>
                <w:b/>
                <w:color w:val="FFFFFF"/>
                <w:sz w:val="18"/>
              </w:rPr>
              <w:t>Date range</w:t>
            </w:r>
          </w:p>
        </w:tc>
        <w:tc>
          <w:tcPr>
            <w:tcW w:type="dxa" w:w="1728"/>
            <w:vAlign w:val="center"/>
            <w:shd w:fill="243B53"/>
          </w:tcPr>
          <w:p>
            <w:pPr>
              <w:jc w:val="center"/>
            </w:pPr>
            <w:r/>
            <w:r>
              <w:rPr>
                <w:b/>
                <w:color w:val="FFFFFF"/>
                <w:sz w:val="18"/>
              </w:rPr>
              <w:t>Rows</w:t>
            </w:r>
          </w:p>
        </w:tc>
      </w:tr>
      <w:tr>
        <w:tc>
          <w:tcPr>
            <w:tcW w:type="dxa" w:w="2160"/>
            <w:vAlign w:val="center"/>
          </w:tcPr>
          <w:p>
            <w:pPr>
              <w:jc w:val="left"/>
            </w:pPr>
            <w:r/>
            <w:r>
              <w:rPr>
                <w:b w:val="0"/>
                <w:color w:val="1F2937"/>
                <w:sz w:val="18"/>
              </w:rPr>
              <w:t>Historical</w:t>
            </w:r>
          </w:p>
        </w:tc>
        <w:tc>
          <w:tcPr>
            <w:tcW w:type="dxa" w:w="5472"/>
            <w:vAlign w:val="center"/>
          </w:tcPr>
          <w:p>
            <w:pPr>
              <w:jc w:val="left"/>
            </w:pPr>
            <w:r/>
            <w:r>
              <w:rPr>
                <w:b w:val="0"/>
                <w:color w:val="1F2937"/>
                <w:sz w:val="18"/>
              </w:rPr>
              <w:t>2010-12-01 08:26 to 2011-08-31 17:16</w:t>
            </w:r>
          </w:p>
        </w:tc>
        <w:tc>
          <w:tcPr>
            <w:tcW w:type="dxa" w:w="1728"/>
            <w:vAlign w:val="center"/>
          </w:tcPr>
          <w:p>
            <w:pPr>
              <w:jc w:val="left"/>
            </w:pPr>
            <w:r/>
            <w:r>
              <w:rPr>
                <w:b w:val="0"/>
                <w:color w:val="1F2937"/>
                <w:sz w:val="18"/>
              </w:rPr>
              <w:t>224,036</w:t>
            </w:r>
          </w:p>
        </w:tc>
      </w:tr>
      <w:tr>
        <w:tc>
          <w:tcPr>
            <w:tcW w:type="dxa" w:w="2160"/>
            <w:vAlign w:val="center"/>
          </w:tcPr>
          <w:p>
            <w:pPr>
              <w:jc w:val="left"/>
            </w:pPr>
            <w:r/>
            <w:r>
              <w:rPr>
                <w:b w:val="0"/>
                <w:color w:val="1F2937"/>
                <w:sz w:val="18"/>
              </w:rPr>
              <w:t>Future</w:t>
            </w:r>
          </w:p>
        </w:tc>
        <w:tc>
          <w:tcPr>
            <w:tcW w:type="dxa" w:w="5472"/>
            <w:vAlign w:val="center"/>
          </w:tcPr>
          <w:p>
            <w:pPr>
              <w:jc w:val="left"/>
            </w:pPr>
            <w:r/>
            <w:r>
              <w:rPr>
                <w:b w:val="0"/>
                <w:color w:val="1F2937"/>
                <w:sz w:val="18"/>
              </w:rPr>
              <w:t>2011-09-01 08:25 to 2011-12-09 12:50</w:t>
            </w:r>
          </w:p>
        </w:tc>
        <w:tc>
          <w:tcPr>
            <w:tcW w:type="dxa" w:w="1728"/>
            <w:vAlign w:val="center"/>
          </w:tcPr>
          <w:p>
            <w:pPr>
              <w:jc w:val="left"/>
            </w:pPr>
            <w:r/>
            <w:r>
              <w:rPr>
                <w:b w:val="0"/>
                <w:color w:val="1F2937"/>
                <w:sz w:val="18"/>
              </w:rPr>
              <w:t>168,656</w:t>
            </w:r>
          </w:p>
        </w:tc>
      </w:tr>
    </w:tbl>
    <w:p>
      <w:r>
        <w:t>Customer-level target construction produced 3,317 customers. Of these, 1,952 customers (58.85%) repeated and 1,365 (41.15%) did not.</w:t>
      </w:r>
    </w:p>
    <w:p>
      <w:pPr>
        <w:pStyle w:val="Heading2"/>
      </w:pPr>
      <w:r>
        <w:rPr>
          <w:color w:val="3B5B7A"/>
        </w:rPr>
        <w:t>4.1 Customer feature engineering</w:t>
      </w:r>
    </w:p>
    <w:tbl>
      <w:tblPr>
        <w:tblW w:type="auto" w:w="0"/>
        <w:jc w:val="center"/>
        <w:tblLayout w:type="fixed"/>
        <w:tblLook w:firstColumn="1" w:firstRow="1" w:lastColumn="0" w:lastRow="0" w:noHBand="0" w:noVBand="1" w:val="04A0"/>
        <w:tblBorders>
          <w:top w:val="single" w:sz="6" w:color="D0D5DD"/>
          <w:left w:val="single" w:sz="6" w:color="D0D5DD"/>
          <w:bottom w:val="single" w:sz="6" w:color="D0D5DD"/>
          <w:right w:val="single" w:sz="6" w:color="D0D5DD"/>
          <w:insideH w:val="single" w:sz="6" w:color="D0D5DD"/>
          <w:insideV w:val="single" w:sz="6" w:color="D0D5DD"/>
        </w:tblBorders>
      </w:tblPr>
      <w:tblGrid>
        <w:gridCol w:w="5112"/>
        <w:gridCol w:w="5112"/>
      </w:tblGrid>
      <w:tr>
        <w:tc>
          <w:tcPr>
            <w:tcW w:type="dxa" w:w="2448"/>
            <w:vAlign w:val="center"/>
            <w:shd w:fill="243B53"/>
          </w:tcPr>
          <w:p>
            <w:pPr>
              <w:jc w:val="center"/>
            </w:pPr>
            <w:r/>
            <w:r>
              <w:rPr>
                <w:b/>
                <w:color w:val="FFFFFF"/>
                <w:sz w:val="18"/>
              </w:rPr>
              <w:t>Feature</w:t>
            </w:r>
          </w:p>
        </w:tc>
        <w:tc>
          <w:tcPr>
            <w:tcW w:type="dxa" w:w="6912"/>
            <w:vAlign w:val="center"/>
            <w:shd w:fill="243B53"/>
          </w:tcPr>
          <w:p>
            <w:pPr>
              <w:jc w:val="center"/>
            </w:pPr>
            <w:r/>
            <w:r>
              <w:rPr>
                <w:b/>
                <w:color w:val="FFFFFF"/>
                <w:sz w:val="18"/>
              </w:rPr>
              <w:t>Definition</w:t>
            </w:r>
          </w:p>
        </w:tc>
      </w:tr>
      <w:tr>
        <w:tc>
          <w:tcPr>
            <w:tcW w:type="dxa" w:w="2448"/>
            <w:vAlign w:val="center"/>
          </w:tcPr>
          <w:p>
            <w:pPr>
              <w:jc w:val="left"/>
            </w:pPr>
            <w:r/>
            <w:r>
              <w:rPr>
                <w:b w:val="0"/>
                <w:color w:val="1F2937"/>
                <w:sz w:val="18"/>
              </w:rPr>
              <w:t>Recency</w:t>
            </w:r>
          </w:p>
        </w:tc>
        <w:tc>
          <w:tcPr>
            <w:tcW w:type="dxa" w:w="6912"/>
            <w:vAlign w:val="center"/>
          </w:tcPr>
          <w:p>
            <w:pPr>
              <w:jc w:val="left"/>
            </w:pPr>
            <w:r/>
            <w:r>
              <w:rPr>
                <w:b w:val="0"/>
                <w:color w:val="1F2937"/>
                <w:sz w:val="18"/>
              </w:rPr>
              <w:t>Days since most recent historical purchase</w:t>
            </w:r>
          </w:p>
        </w:tc>
      </w:tr>
      <w:tr>
        <w:tc>
          <w:tcPr>
            <w:tcW w:type="dxa" w:w="2448"/>
            <w:vAlign w:val="center"/>
          </w:tcPr>
          <w:p>
            <w:pPr>
              <w:jc w:val="left"/>
            </w:pPr>
            <w:r/>
            <w:r>
              <w:rPr>
                <w:b w:val="0"/>
                <w:color w:val="1F2937"/>
                <w:sz w:val="18"/>
              </w:rPr>
              <w:t>Frequency</w:t>
            </w:r>
          </w:p>
        </w:tc>
        <w:tc>
          <w:tcPr>
            <w:tcW w:type="dxa" w:w="6912"/>
            <w:vAlign w:val="center"/>
          </w:tcPr>
          <w:p>
            <w:pPr>
              <w:jc w:val="left"/>
            </w:pPr>
            <w:r/>
            <w:r>
              <w:rPr>
                <w:b w:val="0"/>
                <w:color w:val="1F2937"/>
                <w:sz w:val="18"/>
              </w:rPr>
              <w:t>Unique historical invoices</w:t>
            </w:r>
          </w:p>
        </w:tc>
      </w:tr>
      <w:tr>
        <w:tc>
          <w:tcPr>
            <w:tcW w:type="dxa" w:w="2448"/>
            <w:vAlign w:val="center"/>
          </w:tcPr>
          <w:p>
            <w:pPr>
              <w:jc w:val="left"/>
            </w:pPr>
            <w:r/>
            <w:r>
              <w:rPr>
                <w:b w:val="0"/>
                <w:color w:val="1F2937"/>
                <w:sz w:val="18"/>
              </w:rPr>
              <w:t>Monetary</w:t>
            </w:r>
          </w:p>
        </w:tc>
        <w:tc>
          <w:tcPr>
            <w:tcW w:type="dxa" w:w="6912"/>
            <w:vAlign w:val="center"/>
          </w:tcPr>
          <w:p>
            <w:pPr>
              <w:jc w:val="left"/>
            </w:pPr>
            <w:r/>
            <w:r>
              <w:rPr>
                <w:b w:val="0"/>
                <w:color w:val="1F2937"/>
                <w:sz w:val="18"/>
              </w:rPr>
              <w:t>Historical transaction amount</w:t>
            </w:r>
          </w:p>
        </w:tc>
      </w:tr>
      <w:tr>
        <w:tc>
          <w:tcPr>
            <w:tcW w:type="dxa" w:w="2448"/>
            <w:vAlign w:val="center"/>
          </w:tcPr>
          <w:p>
            <w:pPr>
              <w:jc w:val="left"/>
            </w:pPr>
            <w:r/>
            <w:r>
              <w:rPr>
                <w:b w:val="0"/>
                <w:color w:val="1F2937"/>
                <w:sz w:val="18"/>
              </w:rPr>
              <w:t>TotalQuantity</w:t>
            </w:r>
          </w:p>
        </w:tc>
        <w:tc>
          <w:tcPr>
            <w:tcW w:type="dxa" w:w="6912"/>
            <w:vAlign w:val="center"/>
          </w:tcPr>
          <w:p>
            <w:pPr>
              <w:jc w:val="left"/>
            </w:pPr>
            <w:r/>
            <w:r>
              <w:rPr>
                <w:b w:val="0"/>
                <w:color w:val="1F2937"/>
                <w:sz w:val="18"/>
              </w:rPr>
              <w:t>Historical units purchased</w:t>
            </w:r>
          </w:p>
        </w:tc>
      </w:tr>
      <w:tr>
        <w:tc>
          <w:tcPr>
            <w:tcW w:type="dxa" w:w="2448"/>
            <w:vAlign w:val="center"/>
          </w:tcPr>
          <w:p>
            <w:pPr>
              <w:jc w:val="left"/>
            </w:pPr>
            <w:r/>
            <w:r>
              <w:rPr>
                <w:b w:val="0"/>
                <w:color w:val="1F2937"/>
                <w:sz w:val="18"/>
              </w:rPr>
              <w:t>UniqueProducts</w:t>
            </w:r>
          </w:p>
        </w:tc>
        <w:tc>
          <w:tcPr>
            <w:tcW w:type="dxa" w:w="6912"/>
            <w:vAlign w:val="center"/>
          </w:tcPr>
          <w:p>
            <w:pPr>
              <w:jc w:val="left"/>
            </w:pPr>
            <w:r/>
            <w:r>
              <w:rPr>
                <w:b w:val="0"/>
                <w:color w:val="1F2937"/>
                <w:sz w:val="18"/>
              </w:rPr>
              <w:t>Distinct stock codes purchased</w:t>
            </w:r>
          </w:p>
        </w:tc>
      </w:tr>
      <w:tr>
        <w:tc>
          <w:tcPr>
            <w:tcW w:type="dxa" w:w="2448"/>
            <w:vAlign w:val="center"/>
          </w:tcPr>
          <w:p>
            <w:pPr>
              <w:jc w:val="left"/>
            </w:pPr>
            <w:r/>
            <w:r>
              <w:rPr>
                <w:b w:val="0"/>
                <w:color w:val="1F2937"/>
                <w:sz w:val="18"/>
              </w:rPr>
              <w:t>AvgOrderValue</w:t>
            </w:r>
          </w:p>
        </w:tc>
        <w:tc>
          <w:tcPr>
            <w:tcW w:type="dxa" w:w="6912"/>
            <w:vAlign w:val="center"/>
          </w:tcPr>
          <w:p>
            <w:pPr>
              <w:jc w:val="left"/>
            </w:pPr>
            <w:r/>
            <w:r>
              <w:rPr>
                <w:b w:val="0"/>
                <w:color w:val="1F2937"/>
                <w:sz w:val="18"/>
              </w:rPr>
              <w:t>Monetary / Frequency</w:t>
            </w:r>
          </w:p>
        </w:tc>
      </w:tr>
    </w:tbl>
    <w:p>
      <w:pPr>
        <w:pStyle w:val="Heading2"/>
      </w:pPr>
      <w:r>
        <w:rPr>
          <w:color w:val="3B5B7A"/>
        </w:rPr>
        <w:t>4.2 Transformation and scaling</w:t>
      </w:r>
    </w:p>
    <w:p>
      <w:r>
        <w:t>Because customer monetary and quantity variables are right-skewed, log1p transformation was applied to all six features. StandardScaler was then fitted only on the training data and used to transform validation and test data.</w:t>
      </w:r>
    </w:p>
    <w:p>
      <w:r>
        <w:br w:type="page"/>
      </w:r>
    </w:p>
    <w:p>
      <w:pPr>
        <w:pStyle w:val="Heading1"/>
      </w:pPr>
      <w:r>
        <w:rPr>
          <w:color w:val="243B53"/>
        </w:rPr>
        <w:t>5. Data Split and Model Inputs</w:t>
      </w:r>
    </w:p>
    <w:tbl>
      <w:tblPr>
        <w:tblW w:type="auto" w:w="0"/>
        <w:jc w:val="center"/>
        <w:tblLayout w:type="fixed"/>
        <w:tblLook w:firstColumn="1" w:firstRow="1" w:lastColumn="0" w:lastRow="0" w:noHBand="0" w:noVBand="1" w:val="04A0"/>
        <w:tblBorders>
          <w:top w:val="single" w:sz="6" w:color="D0D5DD"/>
          <w:left w:val="single" w:sz="6" w:color="D0D5DD"/>
          <w:bottom w:val="single" w:sz="6" w:color="D0D5DD"/>
          <w:right w:val="single" w:sz="6" w:color="D0D5DD"/>
          <w:insideH w:val="single" w:sz="6" w:color="D0D5DD"/>
          <w:insideV w:val="single" w:sz="6" w:color="D0D5DD"/>
        </w:tblBorders>
      </w:tblPr>
      <w:tblGrid>
        <w:gridCol w:w="3408"/>
        <w:gridCol w:w="3408"/>
        <w:gridCol w:w="3408"/>
      </w:tblGrid>
      <w:tr>
        <w:tc>
          <w:tcPr>
            <w:tcW w:type="dxa" w:w="3024"/>
            <w:vAlign w:val="center"/>
            <w:shd w:fill="243B53"/>
          </w:tcPr>
          <w:p>
            <w:pPr>
              <w:jc w:val="center"/>
            </w:pPr>
            <w:r/>
            <w:r>
              <w:rPr>
                <w:b/>
                <w:color w:val="FFFFFF"/>
                <w:sz w:val="18"/>
              </w:rPr>
              <w:t>Subset</w:t>
            </w:r>
          </w:p>
        </w:tc>
        <w:tc>
          <w:tcPr>
            <w:tcW w:type="dxa" w:w="1872"/>
            <w:vAlign w:val="center"/>
            <w:shd w:fill="243B53"/>
          </w:tcPr>
          <w:p>
            <w:pPr>
              <w:jc w:val="center"/>
            </w:pPr>
            <w:r/>
            <w:r>
              <w:rPr>
                <w:b/>
                <w:color w:val="FFFFFF"/>
                <w:sz w:val="18"/>
              </w:rPr>
              <w:t>Customers</w:t>
            </w:r>
          </w:p>
        </w:tc>
        <w:tc>
          <w:tcPr>
            <w:tcW w:type="dxa" w:w="4464"/>
            <w:vAlign w:val="center"/>
            <w:shd w:fill="243B53"/>
          </w:tcPr>
          <w:p>
            <w:pPr>
              <w:jc w:val="center"/>
            </w:pPr>
            <w:r/>
            <w:r>
              <w:rPr>
                <w:b/>
                <w:color w:val="FFFFFF"/>
                <w:sz w:val="18"/>
              </w:rPr>
              <w:t>Role</w:t>
            </w:r>
          </w:p>
        </w:tc>
      </w:tr>
      <w:tr>
        <w:tc>
          <w:tcPr>
            <w:tcW w:type="dxa" w:w="3024"/>
            <w:vAlign w:val="center"/>
          </w:tcPr>
          <w:p>
            <w:pPr>
              <w:jc w:val="left"/>
            </w:pPr>
            <w:r/>
            <w:r>
              <w:rPr>
                <w:b w:val="0"/>
                <w:color w:val="1F2937"/>
                <w:sz w:val="18"/>
              </w:rPr>
              <w:t>Final training</w:t>
            </w:r>
          </w:p>
        </w:tc>
        <w:tc>
          <w:tcPr>
            <w:tcW w:type="dxa" w:w="1872"/>
            <w:vAlign w:val="center"/>
          </w:tcPr>
          <w:p>
            <w:pPr>
              <w:jc w:val="left"/>
            </w:pPr>
            <w:r/>
            <w:r>
              <w:rPr>
                <w:b w:val="0"/>
                <w:color w:val="1F2937"/>
                <w:sz w:val="18"/>
              </w:rPr>
              <w:t>2,122</w:t>
            </w:r>
          </w:p>
        </w:tc>
        <w:tc>
          <w:tcPr>
            <w:tcW w:type="dxa" w:w="4464"/>
            <w:vAlign w:val="center"/>
          </w:tcPr>
          <w:p>
            <w:pPr>
              <w:jc w:val="left"/>
            </w:pPr>
            <w:r/>
            <w:r>
              <w:rPr>
                <w:b w:val="0"/>
                <w:color w:val="1F2937"/>
                <w:sz w:val="18"/>
              </w:rPr>
              <w:t>Fit neural-network weights</w:t>
            </w:r>
          </w:p>
        </w:tc>
      </w:tr>
      <w:tr>
        <w:tc>
          <w:tcPr>
            <w:tcW w:type="dxa" w:w="3024"/>
            <w:vAlign w:val="center"/>
          </w:tcPr>
          <w:p>
            <w:pPr>
              <w:jc w:val="left"/>
            </w:pPr>
            <w:r/>
            <w:r>
              <w:rPr>
                <w:b w:val="0"/>
                <w:color w:val="1F2937"/>
                <w:sz w:val="18"/>
              </w:rPr>
              <w:t>Validation</w:t>
            </w:r>
          </w:p>
        </w:tc>
        <w:tc>
          <w:tcPr>
            <w:tcW w:type="dxa" w:w="1872"/>
            <w:vAlign w:val="center"/>
          </w:tcPr>
          <w:p>
            <w:pPr>
              <w:jc w:val="left"/>
            </w:pPr>
            <w:r/>
            <w:r>
              <w:rPr>
                <w:b w:val="0"/>
                <w:color w:val="1F2937"/>
                <w:sz w:val="18"/>
              </w:rPr>
              <w:t>531</w:t>
            </w:r>
          </w:p>
        </w:tc>
        <w:tc>
          <w:tcPr>
            <w:tcW w:type="dxa" w:w="4464"/>
            <w:vAlign w:val="center"/>
          </w:tcPr>
          <w:p>
            <w:pPr>
              <w:jc w:val="left"/>
            </w:pPr>
            <w:r/>
            <w:r>
              <w:rPr>
                <w:b w:val="0"/>
                <w:color w:val="1F2937"/>
                <w:sz w:val="18"/>
              </w:rPr>
              <w:t>Monitor generalization and early stopping</w:t>
            </w:r>
          </w:p>
        </w:tc>
      </w:tr>
      <w:tr>
        <w:tc>
          <w:tcPr>
            <w:tcW w:type="dxa" w:w="3024"/>
            <w:vAlign w:val="center"/>
          </w:tcPr>
          <w:p>
            <w:pPr>
              <w:jc w:val="left"/>
            </w:pPr>
            <w:r/>
            <w:r>
              <w:rPr>
                <w:b w:val="0"/>
                <w:color w:val="1F2937"/>
                <w:sz w:val="18"/>
              </w:rPr>
              <w:t>Test</w:t>
            </w:r>
          </w:p>
        </w:tc>
        <w:tc>
          <w:tcPr>
            <w:tcW w:type="dxa" w:w="1872"/>
            <w:vAlign w:val="center"/>
          </w:tcPr>
          <w:p>
            <w:pPr>
              <w:jc w:val="left"/>
            </w:pPr>
            <w:r/>
            <w:r>
              <w:rPr>
                <w:b w:val="0"/>
                <w:color w:val="1F2937"/>
                <w:sz w:val="18"/>
              </w:rPr>
              <w:t>664</w:t>
            </w:r>
          </w:p>
        </w:tc>
        <w:tc>
          <w:tcPr>
            <w:tcW w:type="dxa" w:w="4464"/>
            <w:vAlign w:val="center"/>
          </w:tcPr>
          <w:p>
            <w:pPr>
              <w:jc w:val="left"/>
            </w:pPr>
            <w:r/>
            <w:r>
              <w:rPr>
                <w:b w:val="0"/>
                <w:color w:val="1F2937"/>
                <w:sz w:val="18"/>
              </w:rPr>
              <w:t>Final held-out evaluation</w:t>
            </w:r>
          </w:p>
        </w:tc>
      </w:tr>
    </w:tbl>
    <w:p>
      <w:pPr>
        <w:pStyle w:val="Heading2"/>
      </w:pPr>
      <w:r>
        <w:rPr>
          <w:color w:val="3B5B7A"/>
        </w:rPr>
        <w:t>5.1 Feature statistics</w:t>
      </w:r>
    </w:p>
    <w:tbl>
      <w:tblPr>
        <w:tblW w:type="auto" w:w="0"/>
        <w:jc w:val="center"/>
        <w:tblLayout w:type="fixed"/>
        <w:tblLook w:firstColumn="1" w:firstRow="1" w:lastColumn="0" w:lastRow="0" w:noHBand="0" w:noVBand="1" w:val="04A0"/>
        <w:tblBorders>
          <w:top w:val="single" w:sz="6" w:color="D0D5DD"/>
          <w:left w:val="single" w:sz="6" w:color="D0D5DD"/>
          <w:bottom w:val="single" w:sz="6" w:color="D0D5DD"/>
          <w:right w:val="single" w:sz="6" w:color="D0D5DD"/>
          <w:insideH w:val="single" w:sz="6" w:color="D0D5DD"/>
          <w:insideV w:val="single" w:sz="6" w:color="D0D5DD"/>
        </w:tblBorders>
      </w:tblPr>
      <w:tblGrid>
        <w:gridCol w:w="2556"/>
        <w:gridCol w:w="2556"/>
        <w:gridCol w:w="2556"/>
        <w:gridCol w:w="2556"/>
      </w:tblGrid>
      <w:tr>
        <w:tc>
          <w:tcPr>
            <w:tcW w:type="dxa" w:w="2880"/>
            <w:vAlign w:val="center"/>
            <w:shd w:fill="243B53"/>
          </w:tcPr>
          <w:p>
            <w:pPr>
              <w:jc w:val="center"/>
            </w:pPr>
            <w:r/>
            <w:r>
              <w:rPr>
                <w:b/>
                <w:color w:val="FFFFFF"/>
                <w:sz w:val="18"/>
              </w:rPr>
              <w:t>Feature</w:t>
            </w:r>
          </w:p>
        </w:tc>
        <w:tc>
          <w:tcPr>
            <w:tcW w:type="dxa" w:w="1872"/>
            <w:vAlign w:val="center"/>
            <w:shd w:fill="243B53"/>
          </w:tcPr>
          <w:p>
            <w:pPr>
              <w:jc w:val="center"/>
            </w:pPr>
            <w:r/>
            <w:r>
              <w:rPr>
                <w:b/>
                <w:color w:val="FFFFFF"/>
                <w:sz w:val="18"/>
              </w:rPr>
              <w:t>Mean</w:t>
            </w:r>
          </w:p>
        </w:tc>
        <w:tc>
          <w:tcPr>
            <w:tcW w:type="dxa" w:w="1872"/>
            <w:vAlign w:val="center"/>
            <w:shd w:fill="243B53"/>
          </w:tcPr>
          <w:p>
            <w:pPr>
              <w:jc w:val="center"/>
            </w:pPr>
            <w:r/>
            <w:r>
              <w:rPr>
                <w:b/>
                <w:color w:val="FFFFFF"/>
                <w:sz w:val="18"/>
              </w:rPr>
              <w:t>Median</w:t>
            </w:r>
          </w:p>
        </w:tc>
        <w:tc>
          <w:tcPr>
            <w:tcW w:type="dxa" w:w="2304"/>
            <w:vAlign w:val="center"/>
            <w:shd w:fill="243B53"/>
          </w:tcPr>
          <w:p>
            <w:pPr>
              <w:jc w:val="center"/>
            </w:pPr>
            <w:r/>
            <w:r>
              <w:rPr>
                <w:b/>
                <w:color w:val="FFFFFF"/>
                <w:sz w:val="18"/>
              </w:rPr>
              <w:t>Maximum</w:t>
            </w:r>
          </w:p>
        </w:tc>
      </w:tr>
      <w:tr>
        <w:tc>
          <w:tcPr>
            <w:tcW w:type="dxa" w:w="2880"/>
            <w:vAlign w:val="center"/>
          </w:tcPr>
          <w:p>
            <w:pPr>
              <w:jc w:val="left"/>
            </w:pPr>
            <w:r/>
            <w:r>
              <w:rPr>
                <w:b w:val="0"/>
                <w:color w:val="1F2937"/>
                <w:sz w:val="18"/>
              </w:rPr>
              <w:t>Recency</w:t>
            </w:r>
          </w:p>
        </w:tc>
        <w:tc>
          <w:tcPr>
            <w:tcW w:type="dxa" w:w="1872"/>
            <w:vAlign w:val="center"/>
          </w:tcPr>
          <w:p>
            <w:pPr>
              <w:jc w:val="left"/>
            </w:pPr>
            <w:r/>
            <w:r>
              <w:rPr>
                <w:b w:val="0"/>
                <w:color w:val="1F2937"/>
                <w:sz w:val="18"/>
              </w:rPr>
              <w:t>93.11</w:t>
            </w:r>
          </w:p>
        </w:tc>
        <w:tc>
          <w:tcPr>
            <w:tcW w:type="dxa" w:w="1872"/>
            <w:vAlign w:val="center"/>
          </w:tcPr>
          <w:p>
            <w:pPr>
              <w:jc w:val="left"/>
            </w:pPr>
            <w:r/>
            <w:r>
              <w:rPr>
                <w:b w:val="0"/>
                <w:color w:val="1F2937"/>
                <w:sz w:val="18"/>
              </w:rPr>
              <w:t>73</w:t>
            </w:r>
          </w:p>
        </w:tc>
        <w:tc>
          <w:tcPr>
            <w:tcW w:type="dxa" w:w="2304"/>
            <w:vAlign w:val="center"/>
          </w:tcPr>
          <w:p>
            <w:pPr>
              <w:jc w:val="left"/>
            </w:pPr>
            <w:r/>
            <w:r>
              <w:rPr>
                <w:b w:val="0"/>
                <w:color w:val="1F2937"/>
                <w:sz w:val="18"/>
              </w:rPr>
              <w:t>274</w:t>
            </w:r>
          </w:p>
        </w:tc>
      </w:tr>
      <w:tr>
        <w:tc>
          <w:tcPr>
            <w:tcW w:type="dxa" w:w="2880"/>
            <w:vAlign w:val="center"/>
          </w:tcPr>
          <w:p>
            <w:pPr>
              <w:jc w:val="left"/>
            </w:pPr>
            <w:r/>
            <w:r>
              <w:rPr>
                <w:b w:val="0"/>
                <w:color w:val="1F2937"/>
                <w:sz w:val="18"/>
              </w:rPr>
              <w:t>Frequency</w:t>
            </w:r>
          </w:p>
        </w:tc>
        <w:tc>
          <w:tcPr>
            <w:tcW w:type="dxa" w:w="1872"/>
            <w:vAlign w:val="center"/>
          </w:tcPr>
          <w:p>
            <w:pPr>
              <w:jc w:val="left"/>
            </w:pPr>
            <w:r/>
            <w:r>
              <w:rPr>
                <w:b w:val="0"/>
                <w:color w:val="1F2937"/>
                <w:sz w:val="18"/>
              </w:rPr>
              <w:t>3.44</w:t>
            </w:r>
          </w:p>
        </w:tc>
        <w:tc>
          <w:tcPr>
            <w:tcW w:type="dxa" w:w="1872"/>
            <w:vAlign w:val="center"/>
          </w:tcPr>
          <w:p>
            <w:pPr>
              <w:jc w:val="left"/>
            </w:pPr>
            <w:r/>
            <w:r>
              <w:rPr>
                <w:b w:val="0"/>
                <w:color w:val="1F2937"/>
                <w:sz w:val="18"/>
              </w:rPr>
              <w:t>2</w:t>
            </w:r>
          </w:p>
        </w:tc>
        <w:tc>
          <w:tcPr>
            <w:tcW w:type="dxa" w:w="2304"/>
            <w:vAlign w:val="center"/>
          </w:tcPr>
          <w:p>
            <w:pPr>
              <w:jc w:val="left"/>
            </w:pPr>
            <w:r/>
            <w:r>
              <w:rPr>
                <w:b w:val="0"/>
                <w:color w:val="1F2937"/>
                <w:sz w:val="18"/>
              </w:rPr>
              <w:t>127</w:t>
            </w:r>
          </w:p>
        </w:tc>
      </w:tr>
      <w:tr>
        <w:tc>
          <w:tcPr>
            <w:tcW w:type="dxa" w:w="2880"/>
            <w:vAlign w:val="center"/>
          </w:tcPr>
          <w:p>
            <w:pPr>
              <w:jc w:val="left"/>
            </w:pPr>
            <w:r/>
            <w:r>
              <w:rPr>
                <w:b w:val="0"/>
                <w:color w:val="1F2937"/>
                <w:sz w:val="18"/>
              </w:rPr>
              <w:t>Monetary</w:t>
            </w:r>
          </w:p>
        </w:tc>
        <w:tc>
          <w:tcPr>
            <w:tcW w:type="dxa" w:w="1872"/>
            <w:vAlign w:val="center"/>
          </w:tcPr>
          <w:p>
            <w:pPr>
              <w:jc w:val="left"/>
            </w:pPr>
            <w:r/>
            <w:r>
              <w:rPr>
                <w:b w:val="0"/>
                <w:color w:val="1F2937"/>
                <w:sz w:val="18"/>
              </w:rPr>
              <w:t>1,575.97</w:t>
            </w:r>
          </w:p>
        </w:tc>
        <w:tc>
          <w:tcPr>
            <w:tcW w:type="dxa" w:w="1872"/>
            <w:vAlign w:val="center"/>
          </w:tcPr>
          <w:p>
            <w:pPr>
              <w:jc w:val="left"/>
            </w:pPr>
            <w:r/>
            <w:r>
              <w:rPr>
                <w:b w:val="0"/>
                <w:color w:val="1F2937"/>
                <w:sz w:val="18"/>
              </w:rPr>
              <w:t>552.80</w:t>
            </w:r>
          </w:p>
        </w:tc>
        <w:tc>
          <w:tcPr>
            <w:tcW w:type="dxa" w:w="2304"/>
            <w:vAlign w:val="center"/>
          </w:tcPr>
          <w:p>
            <w:pPr>
              <w:jc w:val="left"/>
            </w:pPr>
            <w:r/>
            <w:r>
              <w:rPr>
                <w:b w:val="0"/>
                <w:color w:val="1F2937"/>
                <w:sz w:val="18"/>
              </w:rPr>
              <w:t>176,355.94</w:t>
            </w:r>
          </w:p>
        </w:tc>
      </w:tr>
      <w:tr>
        <w:tc>
          <w:tcPr>
            <w:tcW w:type="dxa" w:w="2880"/>
            <w:vAlign w:val="center"/>
          </w:tcPr>
          <w:p>
            <w:pPr>
              <w:jc w:val="left"/>
            </w:pPr>
            <w:r/>
            <w:r>
              <w:rPr>
                <w:b w:val="0"/>
                <w:color w:val="1F2937"/>
                <w:sz w:val="18"/>
              </w:rPr>
              <w:t>TotalQuantity</w:t>
            </w:r>
          </w:p>
        </w:tc>
        <w:tc>
          <w:tcPr>
            <w:tcW w:type="dxa" w:w="1872"/>
            <w:vAlign w:val="center"/>
          </w:tcPr>
          <w:p>
            <w:pPr>
              <w:jc w:val="left"/>
            </w:pPr>
            <w:r/>
            <w:r>
              <w:rPr>
                <w:b w:val="0"/>
                <w:color w:val="1F2937"/>
                <w:sz w:val="18"/>
              </w:rPr>
              <w:t>923.76</w:t>
            </w:r>
          </w:p>
        </w:tc>
        <w:tc>
          <w:tcPr>
            <w:tcW w:type="dxa" w:w="1872"/>
            <w:vAlign w:val="center"/>
          </w:tcPr>
          <w:p>
            <w:pPr>
              <w:jc w:val="left"/>
            </w:pPr>
            <w:r/>
            <w:r>
              <w:rPr>
                <w:b w:val="0"/>
                <w:color w:val="1F2937"/>
                <w:sz w:val="18"/>
              </w:rPr>
              <w:t>305</w:t>
            </w:r>
          </w:p>
        </w:tc>
        <w:tc>
          <w:tcPr>
            <w:tcW w:type="dxa" w:w="2304"/>
            <w:vAlign w:val="center"/>
          </w:tcPr>
          <w:p>
            <w:pPr>
              <w:jc w:val="left"/>
            </w:pPr>
            <w:r/>
            <w:r>
              <w:rPr>
                <w:b w:val="0"/>
                <w:color w:val="1F2937"/>
                <w:sz w:val="18"/>
              </w:rPr>
              <w:t>126,731</w:t>
            </w:r>
          </w:p>
        </w:tc>
      </w:tr>
      <w:tr>
        <w:tc>
          <w:tcPr>
            <w:tcW w:type="dxa" w:w="2880"/>
            <w:vAlign w:val="center"/>
          </w:tcPr>
          <w:p>
            <w:pPr>
              <w:jc w:val="left"/>
            </w:pPr>
            <w:r/>
            <w:r>
              <w:rPr>
                <w:b w:val="0"/>
                <w:color w:val="1F2937"/>
                <w:sz w:val="18"/>
              </w:rPr>
              <w:t>UniqueProducts</w:t>
            </w:r>
          </w:p>
        </w:tc>
        <w:tc>
          <w:tcPr>
            <w:tcW w:type="dxa" w:w="1872"/>
            <w:vAlign w:val="center"/>
          </w:tcPr>
          <w:p>
            <w:pPr>
              <w:jc w:val="left"/>
            </w:pPr>
            <w:r/>
            <w:r>
              <w:rPr>
                <w:b w:val="0"/>
                <w:color w:val="1F2937"/>
                <w:sz w:val="18"/>
              </w:rPr>
              <w:t>49.09</w:t>
            </w:r>
          </w:p>
        </w:tc>
        <w:tc>
          <w:tcPr>
            <w:tcW w:type="dxa" w:w="1872"/>
            <w:vAlign w:val="center"/>
          </w:tcPr>
          <w:p>
            <w:pPr>
              <w:jc w:val="left"/>
            </w:pPr>
            <w:r/>
            <w:r>
              <w:rPr>
                <w:b w:val="0"/>
                <w:color w:val="1F2937"/>
                <w:sz w:val="18"/>
              </w:rPr>
              <w:t>29</w:t>
            </w:r>
          </w:p>
        </w:tc>
        <w:tc>
          <w:tcPr>
            <w:tcW w:type="dxa" w:w="2304"/>
            <w:vAlign w:val="center"/>
          </w:tcPr>
          <w:p>
            <w:pPr>
              <w:jc w:val="left"/>
            </w:pPr>
            <w:r/>
            <w:r>
              <w:rPr>
                <w:b w:val="0"/>
                <w:color w:val="1F2937"/>
                <w:sz w:val="18"/>
              </w:rPr>
              <w:t>1,190</w:t>
            </w:r>
          </w:p>
        </w:tc>
      </w:tr>
      <w:tr>
        <w:tc>
          <w:tcPr>
            <w:tcW w:type="dxa" w:w="2880"/>
            <w:vAlign w:val="center"/>
          </w:tcPr>
          <w:p>
            <w:pPr>
              <w:jc w:val="left"/>
            </w:pPr>
            <w:r/>
            <w:r>
              <w:rPr>
                <w:b w:val="0"/>
                <w:color w:val="1F2937"/>
                <w:sz w:val="18"/>
              </w:rPr>
              <w:t>AvgOrderValue</w:t>
            </w:r>
          </w:p>
        </w:tc>
        <w:tc>
          <w:tcPr>
            <w:tcW w:type="dxa" w:w="1872"/>
            <w:vAlign w:val="center"/>
          </w:tcPr>
          <w:p>
            <w:pPr>
              <w:jc w:val="left"/>
            </w:pPr>
            <w:r/>
            <w:r>
              <w:rPr>
                <w:b w:val="0"/>
                <w:color w:val="1F2937"/>
                <w:sz w:val="18"/>
              </w:rPr>
              <w:t>399.43</w:t>
            </w:r>
          </w:p>
        </w:tc>
        <w:tc>
          <w:tcPr>
            <w:tcW w:type="dxa" w:w="1872"/>
            <w:vAlign w:val="center"/>
          </w:tcPr>
          <w:p>
            <w:pPr>
              <w:jc w:val="left"/>
            </w:pPr>
            <w:r/>
            <w:r>
              <w:rPr>
                <w:b w:val="0"/>
                <w:color w:val="1F2937"/>
                <w:sz w:val="18"/>
              </w:rPr>
              <w:t>283.50</w:t>
            </w:r>
          </w:p>
        </w:tc>
        <w:tc>
          <w:tcPr>
            <w:tcW w:type="dxa" w:w="2304"/>
            <w:vAlign w:val="center"/>
          </w:tcPr>
          <w:p>
            <w:pPr>
              <w:jc w:val="left"/>
            </w:pPr>
            <w:r/>
            <w:r>
              <w:rPr>
                <w:b w:val="0"/>
                <w:color w:val="1F2937"/>
                <w:sz w:val="18"/>
              </w:rPr>
              <w:t>77,183.60</w:t>
            </w:r>
          </w:p>
        </w:tc>
      </w:tr>
    </w:tbl>
    <w:tbl>
      <w:tblPr>
        <w:tblW w:type="auto" w:w="0"/>
        <w:jc w:val="center"/>
        <w:tblLook w:firstColumn="1" w:firstRow="1" w:lastColumn="0" w:lastRow="0" w:noHBand="0" w:noVBand="1" w:val="04A0"/>
        <w:tblBorders>
          <w:top w:val="single" w:sz="6" w:color="C7D7F5"/>
          <w:left w:val="single" w:sz="6" w:color="C7D7F5"/>
          <w:bottom w:val="single" w:sz="6" w:color="C7D7F5"/>
          <w:right w:val="single" w:sz="6" w:color="C7D7F5"/>
          <w:insideH w:val="single" w:sz="6" w:color="C7D7F5"/>
          <w:insideV w:val="single" w:sz="6" w:color="C7D7F5"/>
        </w:tblBorders>
      </w:tblPr>
      <w:tblGrid>
        <w:gridCol w:w="10224"/>
      </w:tblGrid>
      <w:tr>
        <w:tc>
          <w:tcPr>
            <w:tcW w:type="dxa" w:w="10224"/>
            <w:shd w:fill="EEF4FF"/>
          </w:tcPr>
          <w:p>
            <w:r/>
            <w:r>
              <w:rPr>
                <w:b/>
                <w:color w:val="243B53"/>
                <w:sz w:val="21"/>
              </w:rPr>
              <w:t>Leakage-control rule</w:t>
            </w:r>
            <w:r>
              <w:rPr>
                <w:sz w:val="19"/>
              </w:rPr>
              <w:br/>
              <w:t>All six features are calculated exclusively from historical transactions. Future transactions are used only to create RepeatPurchase.</w:t>
            </w:r>
          </w:p>
        </w:tc>
      </w:tr>
    </w:tbl>
    <w:p/>
    <w:p>
      <w:r>
        <w:br w:type="page"/>
      </w:r>
    </w:p>
    <w:p>
      <w:pPr>
        <w:pStyle w:val="Heading1"/>
      </w:pPr>
      <w:r>
        <w:rPr>
          <w:color w:val="243B53"/>
        </w:rPr>
        <w:t>6. ANN Architecture and Design Justification</w:t>
      </w:r>
    </w:p>
    <w:p>
      <w:pPr>
        <w:jc w:val="center"/>
      </w:pPr>
      <w:r>
        <w:drawing>
          <wp:inline xmlns:a="http://schemas.openxmlformats.org/drawingml/2006/main" xmlns:pic="http://schemas.openxmlformats.org/drawingml/2006/picture">
            <wp:extent cx="5120640" cy="4090396"/>
            <wp:docPr id="3" name="Picture 3"/>
            <wp:cNvGraphicFramePr>
              <a:graphicFrameLocks noChangeAspect="1"/>
            </wp:cNvGraphicFramePr>
            <a:graphic>
              <a:graphicData uri="http://schemas.openxmlformats.org/drawingml/2006/picture">
                <pic:pic>
                  <pic:nvPicPr>
                    <pic:cNvPr id="0" name="task5_ann_architecture_diagram.png"/>
                    <pic:cNvPicPr/>
                  </pic:nvPicPr>
                  <pic:blipFill>
                    <a:blip r:embed="rId11"/>
                    <a:stretch>
                      <a:fillRect/>
                    </a:stretch>
                  </pic:blipFill>
                  <pic:spPr>
                    <a:xfrm>
                      <a:off x="0" y="0"/>
                      <a:ext cx="5120640" cy="4090396"/>
                    </a:xfrm>
                    <a:prstGeom prst="rect"/>
                  </pic:spPr>
                </pic:pic>
              </a:graphicData>
            </a:graphic>
          </wp:inline>
        </w:drawing>
      </w:r>
    </w:p>
    <w:p>
      <w:pPr>
        <w:jc w:val="center"/>
      </w:pPr>
      <w:r>
        <w:rPr>
          <w:b/>
          <w:color w:val="667085"/>
          <w:sz w:val="17"/>
        </w:rPr>
        <w:t>ANN architecture: 6 inputs → 128 → 64 → 32 → 1 sigmoid output, with dropout regularization.</w:t>
      </w:r>
    </w:p>
    <w:tbl>
      <w:tblPr>
        <w:tblW w:type="auto" w:w="0"/>
        <w:jc w:val="center"/>
        <w:tblLayout w:type="fixed"/>
        <w:tblLook w:firstColumn="1" w:firstRow="1" w:lastColumn="0" w:lastRow="0" w:noHBand="0" w:noVBand="1" w:val="04A0"/>
        <w:tblBorders>
          <w:top w:val="single" w:sz="6" w:color="D0D5DD"/>
          <w:left w:val="single" w:sz="6" w:color="D0D5DD"/>
          <w:bottom w:val="single" w:sz="6" w:color="D0D5DD"/>
          <w:right w:val="single" w:sz="6" w:color="D0D5DD"/>
          <w:insideH w:val="single" w:sz="6" w:color="D0D5DD"/>
          <w:insideV w:val="single" w:sz="6" w:color="D0D5DD"/>
        </w:tblBorders>
      </w:tblPr>
      <w:tblGrid>
        <w:gridCol w:w="2556"/>
        <w:gridCol w:w="2556"/>
        <w:gridCol w:w="2556"/>
        <w:gridCol w:w="2556"/>
      </w:tblGrid>
      <w:tr>
        <w:tc>
          <w:tcPr>
            <w:tcW w:type="dxa" w:w="1872"/>
            <w:vAlign w:val="center"/>
            <w:shd w:fill="243B53"/>
          </w:tcPr>
          <w:p>
            <w:pPr>
              <w:jc w:val="center"/>
            </w:pPr>
            <w:r/>
            <w:r>
              <w:rPr>
                <w:b/>
                <w:color w:val="FFFFFF"/>
                <w:sz w:val="18"/>
              </w:rPr>
              <w:t>Layer</w:t>
            </w:r>
          </w:p>
        </w:tc>
        <w:tc>
          <w:tcPr>
            <w:tcW w:type="dxa" w:w="2880"/>
            <w:vAlign w:val="center"/>
            <w:shd w:fill="243B53"/>
          </w:tcPr>
          <w:p>
            <w:pPr>
              <w:jc w:val="center"/>
            </w:pPr>
            <w:r/>
            <w:r>
              <w:rPr>
                <w:b/>
                <w:color w:val="FFFFFF"/>
                <w:sz w:val="18"/>
              </w:rPr>
              <w:t>Configuration</w:t>
            </w:r>
          </w:p>
        </w:tc>
        <w:tc>
          <w:tcPr>
            <w:tcW w:type="dxa" w:w="1440"/>
            <w:vAlign w:val="center"/>
            <w:shd w:fill="243B53"/>
          </w:tcPr>
          <w:p>
            <w:pPr>
              <w:jc w:val="center"/>
            </w:pPr>
            <w:r/>
            <w:r>
              <w:rPr>
                <w:b/>
                <w:color w:val="FFFFFF"/>
                <w:sz w:val="18"/>
              </w:rPr>
              <w:t>Parameters</w:t>
            </w:r>
          </w:p>
        </w:tc>
        <w:tc>
          <w:tcPr>
            <w:tcW w:type="dxa" w:w="3312"/>
            <w:vAlign w:val="center"/>
            <w:shd w:fill="243B53"/>
          </w:tcPr>
          <w:p>
            <w:pPr>
              <w:jc w:val="center"/>
            </w:pPr>
            <w:r/>
            <w:r>
              <w:rPr>
                <w:b/>
                <w:color w:val="FFFFFF"/>
                <w:sz w:val="18"/>
              </w:rPr>
              <w:t>Purpose</w:t>
            </w:r>
          </w:p>
        </w:tc>
      </w:tr>
      <w:tr>
        <w:tc>
          <w:tcPr>
            <w:tcW w:type="dxa" w:w="1872"/>
            <w:vAlign w:val="center"/>
          </w:tcPr>
          <w:p>
            <w:pPr>
              <w:jc w:val="left"/>
            </w:pPr>
            <w:r/>
            <w:r>
              <w:rPr>
                <w:b w:val="0"/>
                <w:color w:val="1F2937"/>
                <w:sz w:val="18"/>
              </w:rPr>
              <w:t>Input</w:t>
            </w:r>
          </w:p>
        </w:tc>
        <w:tc>
          <w:tcPr>
            <w:tcW w:type="dxa" w:w="2880"/>
            <w:vAlign w:val="center"/>
          </w:tcPr>
          <w:p>
            <w:pPr>
              <w:jc w:val="left"/>
            </w:pPr>
            <w:r/>
            <w:r>
              <w:rPr>
                <w:b w:val="0"/>
                <w:color w:val="1F2937"/>
                <w:sz w:val="18"/>
              </w:rPr>
              <w:t>6 features</w:t>
            </w:r>
          </w:p>
        </w:tc>
        <w:tc>
          <w:tcPr>
            <w:tcW w:type="dxa" w:w="1440"/>
            <w:vAlign w:val="center"/>
          </w:tcPr>
          <w:p>
            <w:pPr>
              <w:jc w:val="left"/>
            </w:pPr>
            <w:r/>
            <w:r>
              <w:rPr>
                <w:b w:val="0"/>
                <w:color w:val="1F2937"/>
                <w:sz w:val="18"/>
              </w:rPr>
              <w:t>—</w:t>
            </w:r>
          </w:p>
        </w:tc>
        <w:tc>
          <w:tcPr>
            <w:tcW w:type="dxa" w:w="3312"/>
            <w:vAlign w:val="center"/>
          </w:tcPr>
          <w:p>
            <w:pPr>
              <w:jc w:val="left"/>
            </w:pPr>
            <w:r/>
            <w:r>
              <w:rPr>
                <w:b w:val="0"/>
                <w:color w:val="1F2937"/>
                <w:sz w:val="18"/>
              </w:rPr>
              <w:t>Receive standardized inputs</w:t>
            </w:r>
          </w:p>
        </w:tc>
      </w:tr>
      <w:tr>
        <w:tc>
          <w:tcPr>
            <w:tcW w:type="dxa" w:w="1872"/>
            <w:vAlign w:val="center"/>
          </w:tcPr>
          <w:p>
            <w:pPr>
              <w:jc w:val="left"/>
            </w:pPr>
            <w:r/>
            <w:r>
              <w:rPr>
                <w:b w:val="0"/>
                <w:color w:val="1F2937"/>
                <w:sz w:val="18"/>
              </w:rPr>
              <w:t>Dense 1</w:t>
            </w:r>
          </w:p>
        </w:tc>
        <w:tc>
          <w:tcPr>
            <w:tcW w:type="dxa" w:w="2880"/>
            <w:vAlign w:val="center"/>
          </w:tcPr>
          <w:p>
            <w:pPr>
              <w:jc w:val="left"/>
            </w:pPr>
            <w:r/>
            <w:r>
              <w:rPr>
                <w:b w:val="0"/>
                <w:color w:val="1F2937"/>
                <w:sz w:val="18"/>
              </w:rPr>
              <w:t>128, ReLU</w:t>
            </w:r>
          </w:p>
        </w:tc>
        <w:tc>
          <w:tcPr>
            <w:tcW w:type="dxa" w:w="1440"/>
            <w:vAlign w:val="center"/>
          </w:tcPr>
          <w:p>
            <w:pPr>
              <w:jc w:val="left"/>
            </w:pPr>
            <w:r/>
            <w:r>
              <w:rPr>
                <w:b w:val="0"/>
                <w:color w:val="1F2937"/>
                <w:sz w:val="18"/>
              </w:rPr>
              <w:t>896</w:t>
            </w:r>
          </w:p>
        </w:tc>
        <w:tc>
          <w:tcPr>
            <w:tcW w:type="dxa" w:w="3312"/>
            <w:vAlign w:val="center"/>
          </w:tcPr>
          <w:p>
            <w:pPr>
              <w:jc w:val="left"/>
            </w:pPr>
            <w:r/>
            <w:r>
              <w:rPr>
                <w:b w:val="0"/>
                <w:color w:val="1F2937"/>
                <w:sz w:val="18"/>
              </w:rPr>
              <w:t>Nonlinear feature interactions</w:t>
            </w:r>
          </w:p>
        </w:tc>
      </w:tr>
      <w:tr>
        <w:tc>
          <w:tcPr>
            <w:tcW w:type="dxa" w:w="1872"/>
            <w:vAlign w:val="center"/>
          </w:tcPr>
          <w:p>
            <w:pPr>
              <w:jc w:val="left"/>
            </w:pPr>
            <w:r/>
            <w:r>
              <w:rPr>
                <w:b w:val="0"/>
                <w:color w:val="1F2937"/>
                <w:sz w:val="18"/>
              </w:rPr>
              <w:t>Dropout</w:t>
            </w:r>
          </w:p>
        </w:tc>
        <w:tc>
          <w:tcPr>
            <w:tcW w:type="dxa" w:w="2880"/>
            <w:vAlign w:val="center"/>
          </w:tcPr>
          <w:p>
            <w:pPr>
              <w:jc w:val="left"/>
            </w:pPr>
            <w:r/>
            <w:r>
              <w:rPr>
                <w:b w:val="0"/>
                <w:color w:val="1F2937"/>
                <w:sz w:val="18"/>
              </w:rPr>
              <w:t>30%</w:t>
            </w:r>
          </w:p>
        </w:tc>
        <w:tc>
          <w:tcPr>
            <w:tcW w:type="dxa" w:w="1440"/>
            <w:vAlign w:val="center"/>
          </w:tcPr>
          <w:p>
            <w:pPr>
              <w:jc w:val="left"/>
            </w:pPr>
            <w:r/>
            <w:r>
              <w:rPr>
                <w:b w:val="0"/>
                <w:color w:val="1F2937"/>
                <w:sz w:val="18"/>
              </w:rPr>
              <w:t>0</w:t>
            </w:r>
          </w:p>
        </w:tc>
        <w:tc>
          <w:tcPr>
            <w:tcW w:type="dxa" w:w="3312"/>
            <w:vAlign w:val="center"/>
          </w:tcPr>
          <w:p>
            <w:pPr>
              <w:jc w:val="left"/>
            </w:pPr>
            <w:r/>
            <w:r>
              <w:rPr>
                <w:b w:val="0"/>
                <w:color w:val="1F2937"/>
                <w:sz w:val="18"/>
              </w:rPr>
              <w:t>Regularization</w:t>
            </w:r>
          </w:p>
        </w:tc>
      </w:tr>
      <w:tr>
        <w:tc>
          <w:tcPr>
            <w:tcW w:type="dxa" w:w="1872"/>
            <w:vAlign w:val="center"/>
          </w:tcPr>
          <w:p>
            <w:pPr>
              <w:jc w:val="left"/>
            </w:pPr>
            <w:r/>
            <w:r>
              <w:rPr>
                <w:b w:val="0"/>
                <w:color w:val="1F2937"/>
                <w:sz w:val="18"/>
              </w:rPr>
              <w:t>Dense 2</w:t>
            </w:r>
          </w:p>
        </w:tc>
        <w:tc>
          <w:tcPr>
            <w:tcW w:type="dxa" w:w="2880"/>
            <w:vAlign w:val="center"/>
          </w:tcPr>
          <w:p>
            <w:pPr>
              <w:jc w:val="left"/>
            </w:pPr>
            <w:r/>
            <w:r>
              <w:rPr>
                <w:b w:val="0"/>
                <w:color w:val="1F2937"/>
                <w:sz w:val="18"/>
              </w:rPr>
              <w:t>64, ReLU</w:t>
            </w:r>
          </w:p>
        </w:tc>
        <w:tc>
          <w:tcPr>
            <w:tcW w:type="dxa" w:w="1440"/>
            <w:vAlign w:val="center"/>
          </w:tcPr>
          <w:p>
            <w:pPr>
              <w:jc w:val="left"/>
            </w:pPr>
            <w:r/>
            <w:r>
              <w:rPr>
                <w:b w:val="0"/>
                <w:color w:val="1F2937"/>
                <w:sz w:val="18"/>
              </w:rPr>
              <w:t>8,256</w:t>
            </w:r>
          </w:p>
        </w:tc>
        <w:tc>
          <w:tcPr>
            <w:tcW w:type="dxa" w:w="3312"/>
            <w:vAlign w:val="center"/>
          </w:tcPr>
          <w:p>
            <w:pPr>
              <w:jc w:val="left"/>
            </w:pPr>
            <w:r/>
            <w:r>
              <w:rPr>
                <w:b w:val="0"/>
                <w:color w:val="1F2937"/>
                <w:sz w:val="18"/>
              </w:rPr>
              <w:t>Higher-level representation</w:t>
            </w:r>
          </w:p>
        </w:tc>
      </w:tr>
      <w:tr>
        <w:tc>
          <w:tcPr>
            <w:tcW w:type="dxa" w:w="1872"/>
            <w:vAlign w:val="center"/>
          </w:tcPr>
          <w:p>
            <w:pPr>
              <w:jc w:val="left"/>
            </w:pPr>
            <w:r/>
            <w:r>
              <w:rPr>
                <w:b w:val="0"/>
                <w:color w:val="1F2937"/>
                <w:sz w:val="18"/>
              </w:rPr>
              <w:t>Dropout</w:t>
            </w:r>
          </w:p>
        </w:tc>
        <w:tc>
          <w:tcPr>
            <w:tcW w:type="dxa" w:w="2880"/>
            <w:vAlign w:val="center"/>
          </w:tcPr>
          <w:p>
            <w:pPr>
              <w:jc w:val="left"/>
            </w:pPr>
            <w:r/>
            <w:r>
              <w:rPr>
                <w:b w:val="0"/>
                <w:color w:val="1F2937"/>
                <w:sz w:val="18"/>
              </w:rPr>
              <w:t>20%</w:t>
            </w:r>
          </w:p>
        </w:tc>
        <w:tc>
          <w:tcPr>
            <w:tcW w:type="dxa" w:w="1440"/>
            <w:vAlign w:val="center"/>
          </w:tcPr>
          <w:p>
            <w:pPr>
              <w:jc w:val="left"/>
            </w:pPr>
            <w:r/>
            <w:r>
              <w:rPr>
                <w:b w:val="0"/>
                <w:color w:val="1F2937"/>
                <w:sz w:val="18"/>
              </w:rPr>
              <w:t>0</w:t>
            </w:r>
          </w:p>
        </w:tc>
        <w:tc>
          <w:tcPr>
            <w:tcW w:type="dxa" w:w="3312"/>
            <w:vAlign w:val="center"/>
          </w:tcPr>
          <w:p>
            <w:pPr>
              <w:jc w:val="left"/>
            </w:pPr>
            <w:r/>
            <w:r>
              <w:rPr>
                <w:b w:val="0"/>
                <w:color w:val="1F2937"/>
                <w:sz w:val="18"/>
              </w:rPr>
              <w:t>Regularization</w:t>
            </w:r>
          </w:p>
        </w:tc>
      </w:tr>
      <w:tr>
        <w:tc>
          <w:tcPr>
            <w:tcW w:type="dxa" w:w="1872"/>
            <w:vAlign w:val="center"/>
          </w:tcPr>
          <w:p>
            <w:pPr>
              <w:jc w:val="left"/>
            </w:pPr>
            <w:r/>
            <w:r>
              <w:rPr>
                <w:b w:val="0"/>
                <w:color w:val="1F2937"/>
                <w:sz w:val="18"/>
              </w:rPr>
              <w:t>Dense 3</w:t>
            </w:r>
          </w:p>
        </w:tc>
        <w:tc>
          <w:tcPr>
            <w:tcW w:type="dxa" w:w="2880"/>
            <w:vAlign w:val="center"/>
          </w:tcPr>
          <w:p>
            <w:pPr>
              <w:jc w:val="left"/>
            </w:pPr>
            <w:r/>
            <w:r>
              <w:rPr>
                <w:b w:val="0"/>
                <w:color w:val="1F2937"/>
                <w:sz w:val="18"/>
              </w:rPr>
              <w:t>32, ReLU</w:t>
            </w:r>
          </w:p>
        </w:tc>
        <w:tc>
          <w:tcPr>
            <w:tcW w:type="dxa" w:w="1440"/>
            <w:vAlign w:val="center"/>
          </w:tcPr>
          <w:p>
            <w:pPr>
              <w:jc w:val="left"/>
            </w:pPr>
            <w:r/>
            <w:r>
              <w:rPr>
                <w:b w:val="0"/>
                <w:color w:val="1F2937"/>
                <w:sz w:val="18"/>
              </w:rPr>
              <w:t>2,080</w:t>
            </w:r>
          </w:p>
        </w:tc>
        <w:tc>
          <w:tcPr>
            <w:tcW w:type="dxa" w:w="3312"/>
            <w:vAlign w:val="center"/>
          </w:tcPr>
          <w:p>
            <w:pPr>
              <w:jc w:val="left"/>
            </w:pPr>
            <w:r/>
            <w:r>
              <w:rPr>
                <w:b w:val="0"/>
                <w:color w:val="1F2937"/>
                <w:sz w:val="18"/>
              </w:rPr>
              <w:t>Representation compression</w:t>
            </w:r>
          </w:p>
        </w:tc>
      </w:tr>
      <w:tr>
        <w:tc>
          <w:tcPr>
            <w:tcW w:type="dxa" w:w="1872"/>
            <w:vAlign w:val="center"/>
          </w:tcPr>
          <w:p>
            <w:pPr>
              <w:jc w:val="left"/>
            </w:pPr>
            <w:r/>
            <w:r>
              <w:rPr>
                <w:b w:val="0"/>
                <w:color w:val="1F2937"/>
                <w:sz w:val="18"/>
              </w:rPr>
              <w:t>Output</w:t>
            </w:r>
          </w:p>
        </w:tc>
        <w:tc>
          <w:tcPr>
            <w:tcW w:type="dxa" w:w="2880"/>
            <w:vAlign w:val="center"/>
          </w:tcPr>
          <w:p>
            <w:pPr>
              <w:jc w:val="left"/>
            </w:pPr>
            <w:r/>
            <w:r>
              <w:rPr>
                <w:b w:val="0"/>
                <w:color w:val="1F2937"/>
                <w:sz w:val="18"/>
              </w:rPr>
              <w:t>1, Sigmoid</w:t>
            </w:r>
          </w:p>
        </w:tc>
        <w:tc>
          <w:tcPr>
            <w:tcW w:type="dxa" w:w="1440"/>
            <w:vAlign w:val="center"/>
          </w:tcPr>
          <w:p>
            <w:pPr>
              <w:jc w:val="left"/>
            </w:pPr>
            <w:r/>
            <w:r>
              <w:rPr>
                <w:b w:val="0"/>
                <w:color w:val="1F2937"/>
                <w:sz w:val="18"/>
              </w:rPr>
              <w:t>33</w:t>
            </w:r>
          </w:p>
        </w:tc>
        <w:tc>
          <w:tcPr>
            <w:tcW w:type="dxa" w:w="3312"/>
            <w:vAlign w:val="center"/>
          </w:tcPr>
          <w:p>
            <w:pPr>
              <w:jc w:val="left"/>
            </w:pPr>
            <w:r/>
            <w:r>
              <w:rPr>
                <w:b w:val="0"/>
                <w:color w:val="1F2937"/>
                <w:sz w:val="18"/>
              </w:rPr>
              <w:t>Binary probability</w:t>
            </w:r>
          </w:p>
        </w:tc>
      </w:tr>
      <w:tr>
        <w:tc>
          <w:tcPr>
            <w:tcW w:type="dxa" w:w="1872"/>
            <w:vAlign w:val="center"/>
          </w:tcPr>
          <w:p>
            <w:pPr>
              <w:jc w:val="left"/>
            </w:pPr>
            <w:r/>
            <w:r>
              <w:rPr>
                <w:b w:val="0"/>
                <w:color w:val="1F2937"/>
                <w:sz w:val="18"/>
              </w:rPr>
              <w:t>Total</w:t>
            </w:r>
          </w:p>
        </w:tc>
        <w:tc>
          <w:tcPr>
            <w:tcW w:type="dxa" w:w="2880"/>
            <w:vAlign w:val="center"/>
          </w:tcPr>
          <w:p>
            <w:pPr>
              <w:jc w:val="left"/>
            </w:pPr>
            <w:r/>
            <w:r>
              <w:rPr>
                <w:b w:val="0"/>
                <w:color w:val="1F2937"/>
                <w:sz w:val="18"/>
              </w:rPr>
              <w:t>—</w:t>
            </w:r>
          </w:p>
        </w:tc>
        <w:tc>
          <w:tcPr>
            <w:tcW w:type="dxa" w:w="1440"/>
            <w:vAlign w:val="center"/>
          </w:tcPr>
          <w:p>
            <w:pPr>
              <w:jc w:val="left"/>
            </w:pPr>
            <w:r/>
            <w:r>
              <w:rPr>
                <w:b w:val="0"/>
                <w:color w:val="1F2937"/>
                <w:sz w:val="18"/>
              </w:rPr>
              <w:t>11,265</w:t>
            </w:r>
          </w:p>
        </w:tc>
        <w:tc>
          <w:tcPr>
            <w:tcW w:type="dxa" w:w="3312"/>
            <w:vAlign w:val="center"/>
          </w:tcPr>
          <w:p>
            <w:pPr>
              <w:jc w:val="left"/>
            </w:pPr>
            <w:r/>
            <w:r>
              <w:rPr>
                <w:b w:val="0"/>
                <w:color w:val="1F2937"/>
                <w:sz w:val="18"/>
              </w:rPr>
              <w:t>Trainable parameters</w:t>
            </w:r>
          </w:p>
        </w:tc>
      </w:tr>
    </w:tbl>
    <w:p>
      <w:pPr>
        <w:pStyle w:val="Heading2"/>
      </w:pPr>
      <w:r>
        <w:rPr>
          <w:color w:val="3B5B7A"/>
        </w:rPr>
        <w:t>6.1 Hyperparameters</w:t>
      </w:r>
    </w:p>
    <w:tbl>
      <w:tblPr>
        <w:tblW w:type="auto" w:w="0"/>
        <w:jc w:val="center"/>
        <w:tblLayout w:type="fixed"/>
        <w:tblLook w:firstColumn="1" w:firstRow="1" w:lastColumn="0" w:lastRow="0" w:noHBand="0" w:noVBand="1" w:val="04A0"/>
        <w:tblBorders>
          <w:top w:val="single" w:sz="6" w:color="D0D5DD"/>
          <w:left w:val="single" w:sz="6" w:color="D0D5DD"/>
          <w:bottom w:val="single" w:sz="6" w:color="D0D5DD"/>
          <w:right w:val="single" w:sz="6" w:color="D0D5DD"/>
          <w:insideH w:val="single" w:sz="6" w:color="D0D5DD"/>
          <w:insideV w:val="single" w:sz="6" w:color="D0D5DD"/>
        </w:tblBorders>
      </w:tblPr>
      <w:tblGrid>
        <w:gridCol w:w="5112"/>
        <w:gridCol w:w="5112"/>
      </w:tblGrid>
      <w:tr>
        <w:tc>
          <w:tcPr>
            <w:tcW w:type="dxa" w:w="3888"/>
            <w:vAlign w:val="center"/>
            <w:shd w:fill="243B53"/>
          </w:tcPr>
          <w:p>
            <w:pPr>
              <w:jc w:val="center"/>
            </w:pPr>
            <w:r/>
            <w:r>
              <w:rPr>
                <w:b/>
                <w:color w:val="FFFFFF"/>
                <w:sz w:val="18"/>
              </w:rPr>
              <w:t>Hyperparameter</w:t>
            </w:r>
          </w:p>
        </w:tc>
        <w:tc>
          <w:tcPr>
            <w:tcW w:type="dxa" w:w="5616"/>
            <w:vAlign w:val="center"/>
            <w:shd w:fill="243B53"/>
          </w:tcPr>
          <w:p>
            <w:pPr>
              <w:jc w:val="center"/>
            </w:pPr>
            <w:r/>
            <w:r>
              <w:rPr>
                <w:b/>
                <w:color w:val="FFFFFF"/>
                <w:sz w:val="18"/>
              </w:rPr>
              <w:t>Value</w:t>
            </w:r>
          </w:p>
        </w:tc>
      </w:tr>
      <w:tr>
        <w:tc>
          <w:tcPr>
            <w:tcW w:type="dxa" w:w="3888"/>
            <w:vAlign w:val="center"/>
          </w:tcPr>
          <w:p>
            <w:pPr>
              <w:jc w:val="left"/>
            </w:pPr>
            <w:r/>
            <w:r>
              <w:rPr>
                <w:b w:val="0"/>
                <w:color w:val="1F2937"/>
                <w:sz w:val="18"/>
              </w:rPr>
              <w:t>Optimizer</w:t>
            </w:r>
          </w:p>
        </w:tc>
        <w:tc>
          <w:tcPr>
            <w:tcW w:type="dxa" w:w="5616"/>
            <w:vAlign w:val="center"/>
          </w:tcPr>
          <w:p>
            <w:pPr>
              <w:jc w:val="left"/>
            </w:pPr>
            <w:r/>
            <w:r>
              <w:rPr>
                <w:b w:val="0"/>
                <w:color w:val="1F2937"/>
                <w:sz w:val="18"/>
              </w:rPr>
              <w:t>Adam</w:t>
            </w:r>
          </w:p>
        </w:tc>
      </w:tr>
      <w:tr>
        <w:tc>
          <w:tcPr>
            <w:tcW w:type="dxa" w:w="3888"/>
            <w:vAlign w:val="center"/>
          </w:tcPr>
          <w:p>
            <w:pPr>
              <w:jc w:val="left"/>
            </w:pPr>
            <w:r/>
            <w:r>
              <w:rPr>
                <w:b w:val="0"/>
                <w:color w:val="1F2937"/>
                <w:sz w:val="18"/>
              </w:rPr>
              <w:t>Loss</w:t>
            </w:r>
          </w:p>
        </w:tc>
        <w:tc>
          <w:tcPr>
            <w:tcW w:type="dxa" w:w="5616"/>
            <w:vAlign w:val="center"/>
          </w:tcPr>
          <w:p>
            <w:pPr>
              <w:jc w:val="left"/>
            </w:pPr>
            <w:r/>
            <w:r>
              <w:rPr>
                <w:b w:val="0"/>
                <w:color w:val="1F2937"/>
                <w:sz w:val="18"/>
              </w:rPr>
              <w:t>Binary cross-entropy</w:t>
            </w:r>
          </w:p>
        </w:tc>
      </w:tr>
      <w:tr>
        <w:tc>
          <w:tcPr>
            <w:tcW w:type="dxa" w:w="3888"/>
            <w:vAlign w:val="center"/>
          </w:tcPr>
          <w:p>
            <w:pPr>
              <w:jc w:val="left"/>
            </w:pPr>
            <w:r/>
            <w:r>
              <w:rPr>
                <w:b w:val="0"/>
                <w:color w:val="1F2937"/>
                <w:sz w:val="18"/>
              </w:rPr>
              <w:t>Maximum epochs</w:t>
            </w:r>
          </w:p>
        </w:tc>
        <w:tc>
          <w:tcPr>
            <w:tcW w:type="dxa" w:w="5616"/>
            <w:vAlign w:val="center"/>
          </w:tcPr>
          <w:p>
            <w:pPr>
              <w:jc w:val="left"/>
            </w:pPr>
            <w:r/>
            <w:r>
              <w:rPr>
                <w:b w:val="0"/>
                <w:color w:val="1F2937"/>
                <w:sz w:val="18"/>
              </w:rPr>
              <w:t>100</w:t>
            </w:r>
          </w:p>
        </w:tc>
      </w:tr>
      <w:tr>
        <w:tc>
          <w:tcPr>
            <w:tcW w:type="dxa" w:w="3888"/>
            <w:vAlign w:val="center"/>
          </w:tcPr>
          <w:p>
            <w:pPr>
              <w:jc w:val="left"/>
            </w:pPr>
            <w:r/>
            <w:r>
              <w:rPr>
                <w:b w:val="0"/>
                <w:color w:val="1F2937"/>
                <w:sz w:val="18"/>
              </w:rPr>
              <w:t>Batch size</w:t>
            </w:r>
          </w:p>
        </w:tc>
        <w:tc>
          <w:tcPr>
            <w:tcW w:type="dxa" w:w="5616"/>
            <w:vAlign w:val="center"/>
          </w:tcPr>
          <w:p>
            <w:pPr>
              <w:jc w:val="left"/>
            </w:pPr>
            <w:r/>
            <w:r>
              <w:rPr>
                <w:b w:val="0"/>
                <w:color w:val="1F2937"/>
                <w:sz w:val="18"/>
              </w:rPr>
              <w:t>32</w:t>
            </w:r>
          </w:p>
        </w:tc>
      </w:tr>
      <w:tr>
        <w:tc>
          <w:tcPr>
            <w:tcW w:type="dxa" w:w="3888"/>
            <w:vAlign w:val="center"/>
          </w:tcPr>
          <w:p>
            <w:pPr>
              <w:jc w:val="left"/>
            </w:pPr>
            <w:r/>
            <w:r>
              <w:rPr>
                <w:b w:val="0"/>
                <w:color w:val="1F2937"/>
                <w:sz w:val="18"/>
              </w:rPr>
              <w:t>Early stopping</w:t>
            </w:r>
          </w:p>
        </w:tc>
        <w:tc>
          <w:tcPr>
            <w:tcW w:type="dxa" w:w="5616"/>
            <w:vAlign w:val="center"/>
          </w:tcPr>
          <w:p>
            <w:pPr>
              <w:jc w:val="left"/>
            </w:pPr>
            <w:r/>
            <w:r>
              <w:rPr>
                <w:b w:val="0"/>
                <w:color w:val="1F2937"/>
                <w:sz w:val="18"/>
              </w:rPr>
              <w:t>val_loss, patience 10</w:t>
            </w:r>
          </w:p>
        </w:tc>
      </w:tr>
      <w:tr>
        <w:tc>
          <w:tcPr>
            <w:tcW w:type="dxa" w:w="3888"/>
            <w:vAlign w:val="center"/>
          </w:tcPr>
          <w:p>
            <w:pPr>
              <w:jc w:val="left"/>
            </w:pPr>
            <w:r/>
            <w:r>
              <w:rPr>
                <w:b w:val="0"/>
                <w:color w:val="1F2937"/>
                <w:sz w:val="18"/>
              </w:rPr>
              <w:t>Restore best weights</w:t>
            </w:r>
          </w:p>
        </w:tc>
        <w:tc>
          <w:tcPr>
            <w:tcW w:type="dxa" w:w="5616"/>
            <w:vAlign w:val="center"/>
          </w:tcPr>
          <w:p>
            <w:pPr>
              <w:jc w:val="left"/>
            </w:pPr>
            <w:r/>
            <w:r>
              <w:rPr>
                <w:b w:val="0"/>
                <w:color w:val="1F2937"/>
                <w:sz w:val="18"/>
              </w:rPr>
              <w:t>True</w:t>
            </w:r>
          </w:p>
        </w:tc>
      </w:tr>
      <w:tr>
        <w:tc>
          <w:tcPr>
            <w:tcW w:type="dxa" w:w="3888"/>
            <w:vAlign w:val="center"/>
          </w:tcPr>
          <w:p>
            <w:pPr>
              <w:jc w:val="left"/>
            </w:pPr>
            <w:r/>
            <w:r>
              <w:rPr>
                <w:b w:val="0"/>
                <w:color w:val="1F2937"/>
                <w:sz w:val="18"/>
              </w:rPr>
              <w:t>Hidden activation</w:t>
            </w:r>
          </w:p>
        </w:tc>
        <w:tc>
          <w:tcPr>
            <w:tcW w:type="dxa" w:w="5616"/>
            <w:vAlign w:val="center"/>
          </w:tcPr>
          <w:p>
            <w:pPr>
              <w:jc w:val="left"/>
            </w:pPr>
            <w:r/>
            <w:r>
              <w:rPr>
                <w:b w:val="0"/>
                <w:color w:val="1F2937"/>
                <w:sz w:val="18"/>
              </w:rPr>
              <w:t>ReLU</w:t>
            </w:r>
          </w:p>
        </w:tc>
      </w:tr>
      <w:tr>
        <w:tc>
          <w:tcPr>
            <w:tcW w:type="dxa" w:w="3888"/>
            <w:vAlign w:val="center"/>
          </w:tcPr>
          <w:p>
            <w:pPr>
              <w:jc w:val="left"/>
            </w:pPr>
            <w:r/>
            <w:r>
              <w:rPr>
                <w:b w:val="0"/>
                <w:color w:val="1F2937"/>
                <w:sz w:val="18"/>
              </w:rPr>
              <w:t>Output activation</w:t>
            </w:r>
          </w:p>
        </w:tc>
        <w:tc>
          <w:tcPr>
            <w:tcW w:type="dxa" w:w="5616"/>
            <w:vAlign w:val="center"/>
          </w:tcPr>
          <w:p>
            <w:pPr>
              <w:jc w:val="left"/>
            </w:pPr>
            <w:r/>
            <w:r>
              <w:rPr>
                <w:b w:val="0"/>
                <w:color w:val="1F2937"/>
                <w:sz w:val="18"/>
              </w:rPr>
              <w:t>Sigmoid</w:t>
            </w:r>
          </w:p>
        </w:tc>
      </w:tr>
    </w:tbl>
    <w:p>
      <w:r>
        <w:br w:type="page"/>
      </w:r>
    </w:p>
    <w:p>
      <w:pPr>
        <w:pStyle w:val="Heading1"/>
      </w:pPr>
      <w:r>
        <w:rPr>
          <w:color w:val="243B53"/>
        </w:rPr>
        <w:t>7. Training Process and Early Stopping</w:t>
      </w:r>
    </w:p>
    <w:p>
      <w:r>
        <w:t>The ANN was trained with a maximum of 100 epochs and a batch size of 32. EarlyStopping monitored validation loss with patience 10 and restored the best weights. The model completed 23 epochs, with the best validation loss occurring at epoch 13.</w:t>
      </w:r>
    </w:p>
    <w:tbl>
      <w:tblPr>
        <w:tblW w:type="auto" w:w="0"/>
        <w:jc w:val="center"/>
        <w:tblLayout w:type="fixed"/>
        <w:tblLook w:firstColumn="1" w:firstRow="1" w:lastColumn="0" w:lastRow="0" w:noHBand="0" w:noVBand="1" w:val="04A0"/>
        <w:tblBorders>
          <w:top w:val="single" w:sz="6" w:color="D0D5DD"/>
          <w:left w:val="single" w:sz="6" w:color="D0D5DD"/>
          <w:bottom w:val="single" w:sz="6" w:color="D0D5DD"/>
          <w:right w:val="single" w:sz="6" w:color="D0D5DD"/>
          <w:insideH w:val="single" w:sz="6" w:color="D0D5DD"/>
          <w:insideV w:val="single" w:sz="6" w:color="D0D5DD"/>
        </w:tblBorders>
      </w:tblPr>
      <w:tblGrid>
        <w:gridCol w:w="5112"/>
        <w:gridCol w:w="5112"/>
      </w:tblGrid>
      <w:tr>
        <w:tc>
          <w:tcPr>
            <w:tcW w:type="dxa" w:w="3888"/>
            <w:vAlign w:val="center"/>
            <w:shd w:fill="243B53"/>
          </w:tcPr>
          <w:p>
            <w:pPr>
              <w:jc w:val="center"/>
            </w:pPr>
            <w:r/>
            <w:r>
              <w:rPr>
                <w:b/>
                <w:color w:val="FFFFFF"/>
                <w:sz w:val="18"/>
              </w:rPr>
              <w:t>Training result</w:t>
            </w:r>
          </w:p>
        </w:tc>
        <w:tc>
          <w:tcPr>
            <w:tcW w:type="dxa" w:w="5616"/>
            <w:vAlign w:val="center"/>
            <w:shd w:fill="243B53"/>
          </w:tcPr>
          <w:p>
            <w:pPr>
              <w:jc w:val="center"/>
            </w:pPr>
            <w:r/>
            <w:r>
              <w:rPr>
                <w:b/>
                <w:color w:val="FFFFFF"/>
                <w:sz w:val="18"/>
              </w:rPr>
              <w:t>Value</w:t>
            </w:r>
          </w:p>
        </w:tc>
      </w:tr>
      <w:tr>
        <w:tc>
          <w:tcPr>
            <w:tcW w:type="dxa" w:w="3888"/>
            <w:vAlign w:val="center"/>
          </w:tcPr>
          <w:p>
            <w:pPr>
              <w:jc w:val="left"/>
            </w:pPr>
            <w:r/>
            <w:r>
              <w:rPr>
                <w:b w:val="0"/>
                <w:color w:val="1F2937"/>
                <w:sz w:val="18"/>
              </w:rPr>
              <w:t>Total epochs trained</w:t>
            </w:r>
          </w:p>
        </w:tc>
        <w:tc>
          <w:tcPr>
            <w:tcW w:type="dxa" w:w="5616"/>
            <w:vAlign w:val="center"/>
          </w:tcPr>
          <w:p>
            <w:pPr>
              <w:jc w:val="left"/>
            </w:pPr>
            <w:r/>
            <w:r>
              <w:rPr>
                <w:b w:val="0"/>
                <w:color w:val="1F2937"/>
                <w:sz w:val="18"/>
              </w:rPr>
              <w:t>23</w:t>
            </w:r>
          </w:p>
        </w:tc>
      </w:tr>
      <w:tr>
        <w:tc>
          <w:tcPr>
            <w:tcW w:type="dxa" w:w="3888"/>
            <w:vAlign w:val="center"/>
          </w:tcPr>
          <w:p>
            <w:pPr>
              <w:jc w:val="left"/>
            </w:pPr>
            <w:r/>
            <w:r>
              <w:rPr>
                <w:b w:val="0"/>
                <w:color w:val="1F2937"/>
                <w:sz w:val="18"/>
              </w:rPr>
              <w:t>Best epoch</w:t>
            </w:r>
          </w:p>
        </w:tc>
        <w:tc>
          <w:tcPr>
            <w:tcW w:type="dxa" w:w="5616"/>
            <w:vAlign w:val="center"/>
          </w:tcPr>
          <w:p>
            <w:pPr>
              <w:jc w:val="left"/>
            </w:pPr>
            <w:r/>
            <w:r>
              <w:rPr>
                <w:b w:val="0"/>
                <w:color w:val="1F2937"/>
                <w:sz w:val="18"/>
              </w:rPr>
              <w:t>13</w:t>
            </w:r>
          </w:p>
        </w:tc>
      </w:tr>
      <w:tr>
        <w:tc>
          <w:tcPr>
            <w:tcW w:type="dxa" w:w="3888"/>
            <w:vAlign w:val="center"/>
          </w:tcPr>
          <w:p>
            <w:pPr>
              <w:jc w:val="left"/>
            </w:pPr>
            <w:r/>
            <w:r>
              <w:rPr>
                <w:b w:val="0"/>
                <w:color w:val="1F2937"/>
                <w:sz w:val="18"/>
              </w:rPr>
              <w:t>Best validation loss</w:t>
            </w:r>
          </w:p>
        </w:tc>
        <w:tc>
          <w:tcPr>
            <w:tcW w:type="dxa" w:w="5616"/>
            <w:vAlign w:val="center"/>
          </w:tcPr>
          <w:p>
            <w:pPr>
              <w:jc w:val="left"/>
            </w:pPr>
            <w:r/>
            <w:r>
              <w:rPr>
                <w:b w:val="0"/>
                <w:color w:val="1F2937"/>
                <w:sz w:val="18"/>
              </w:rPr>
              <w:t>0.59217</w:t>
            </w:r>
          </w:p>
        </w:tc>
      </w:tr>
      <w:tr>
        <w:tc>
          <w:tcPr>
            <w:tcW w:type="dxa" w:w="3888"/>
            <w:vAlign w:val="center"/>
          </w:tcPr>
          <w:p>
            <w:pPr>
              <w:jc w:val="left"/>
            </w:pPr>
            <w:r/>
            <w:r>
              <w:rPr>
                <w:b w:val="0"/>
                <w:color w:val="1F2937"/>
                <w:sz w:val="18"/>
              </w:rPr>
              <w:t>Best validation AUC observed</w:t>
            </w:r>
          </w:p>
        </w:tc>
        <w:tc>
          <w:tcPr>
            <w:tcW w:type="dxa" w:w="5616"/>
            <w:vAlign w:val="center"/>
          </w:tcPr>
          <w:p>
            <w:pPr>
              <w:jc w:val="left"/>
            </w:pPr>
            <w:r/>
            <w:r>
              <w:rPr>
                <w:b w:val="0"/>
                <w:color w:val="1F2937"/>
                <w:sz w:val="18"/>
              </w:rPr>
              <w:t>≈ 0.7204</w:t>
            </w:r>
          </w:p>
        </w:tc>
      </w:tr>
      <w:tr>
        <w:tc>
          <w:tcPr>
            <w:tcW w:type="dxa" w:w="3888"/>
            <w:vAlign w:val="center"/>
          </w:tcPr>
          <w:p>
            <w:pPr>
              <w:jc w:val="left"/>
            </w:pPr>
            <w:r/>
            <w:r>
              <w:rPr>
                <w:b w:val="0"/>
                <w:color w:val="1F2937"/>
                <w:sz w:val="18"/>
              </w:rPr>
              <w:t>Best validation accuracy observed</w:t>
            </w:r>
          </w:p>
        </w:tc>
        <w:tc>
          <w:tcPr>
            <w:tcW w:type="dxa" w:w="5616"/>
            <w:vAlign w:val="center"/>
          </w:tcPr>
          <w:p>
            <w:pPr>
              <w:jc w:val="left"/>
            </w:pPr>
            <w:r/>
            <w:r>
              <w:rPr>
                <w:b w:val="0"/>
                <w:color w:val="1F2937"/>
                <w:sz w:val="18"/>
              </w:rPr>
              <w:t>≈ 66.10%</w:t>
            </w:r>
          </w:p>
        </w:tc>
      </w:tr>
    </w:tbl>
    <w:tbl>
      <w:tblPr>
        <w:tblW w:type="auto" w:w="0"/>
        <w:jc w:val="center"/>
        <w:tblLook w:firstColumn="1" w:firstRow="1" w:lastColumn="0" w:lastRow="0" w:noHBand="0" w:noVBand="1" w:val="04A0"/>
        <w:tblBorders>
          <w:top w:val="single" w:sz="6" w:color="C7D7F5"/>
          <w:left w:val="single" w:sz="6" w:color="C7D7F5"/>
          <w:bottom w:val="single" w:sz="6" w:color="C7D7F5"/>
          <w:right w:val="single" w:sz="6" w:color="C7D7F5"/>
          <w:insideH w:val="single" w:sz="6" w:color="C7D7F5"/>
          <w:insideV w:val="single" w:sz="6" w:color="C7D7F5"/>
        </w:tblBorders>
      </w:tblPr>
      <w:tblGrid>
        <w:gridCol w:w="10224"/>
      </w:tblGrid>
      <w:tr>
        <w:tc>
          <w:tcPr>
            <w:tcW w:type="dxa" w:w="10224"/>
            <w:shd w:fill="EEF4FF"/>
          </w:tcPr>
          <w:p>
            <w:r/>
            <w:r>
              <w:rPr>
                <w:b/>
                <w:color w:val="243B53"/>
                <w:sz w:val="21"/>
              </w:rPr>
              <w:t>Why early stopping matters</w:t>
            </w:r>
            <w:r>
              <w:rPr>
                <w:sz w:val="19"/>
              </w:rPr>
              <w:br/>
              <w:t>The network was not allowed to continue training indefinitely once validation performance stopped improving. Restoring the best weights ensures the final model corresponds to the strongest validation-loss point.</w:t>
            </w:r>
          </w:p>
        </w:tc>
      </w:tr>
    </w:tbl>
    <w:p/>
    <w:p>
      <w:r>
        <w:br w:type="page"/>
      </w:r>
    </w:p>
    <w:p>
      <w:pPr>
        <w:pStyle w:val="Heading1"/>
      </w:pPr>
      <w:r>
        <w:rPr>
          <w:color w:val="243B53"/>
        </w:rPr>
        <w:t>8. Training Dynamics and Overfitting Analysis</w:t>
      </w:r>
    </w:p>
    <w:p>
      <w:r>
        <w:t>The learning curves show a consistent training/validation performance gap, which is expected in a supervised neural network. Validation loss improves early and then fluctuates, while validation AUC remains around the low 0.70 range. The gap does not show uncontrolled divergence, and the combination of dropout and early stopping provides explicit regularization.</w:t>
      </w:r>
    </w:p>
    <w:tbl>
      <w:tblPr>
        <w:tblW w:type="auto" w:w="0"/>
        <w:jc w:val="center"/>
        <w:tblLayout w:type="fixed"/>
        <w:tblLook w:firstColumn="1" w:firstRow="1" w:lastColumn="0" w:lastRow="0" w:noHBand="0" w:noVBand="1" w:val="04A0"/>
        <w:tblBorders>
          <w:top w:val="single" w:sz="6" w:color="E4E7EC"/>
          <w:left w:val="single" w:sz="6" w:color="E4E7EC"/>
          <w:bottom w:val="single" w:sz="6" w:color="E4E7EC"/>
          <w:right w:val="single" w:sz="6" w:color="E4E7EC"/>
          <w:insideH w:val="single" w:sz="6" w:color="E4E7EC"/>
          <w:insideV w:val="single" w:sz="6" w:color="E4E7EC"/>
        </w:tblBorders>
      </w:tblPr>
      <w:tblGrid>
        <w:gridCol w:w="5112"/>
        <w:gridCol w:w="5112"/>
      </w:tblGrid>
      <w:tr>
        <w:tc>
          <w:tcPr>
            <w:tcW w:type="dxa" w:w="5112"/>
          </w:tcPr>
          <w:p>
            <w:pPr>
              <w:jc w:val="center"/>
            </w:pPr>
            <w:r/>
            <w:r>
              <w:drawing>
                <wp:inline xmlns:a="http://schemas.openxmlformats.org/drawingml/2006/main" xmlns:pic="http://schemas.openxmlformats.org/drawingml/2006/picture">
                  <wp:extent cx="2743200" cy="1713053"/>
                  <wp:docPr id="4" name="Picture 4"/>
                  <wp:cNvGraphicFramePr>
                    <a:graphicFrameLocks noChangeAspect="1"/>
                  </wp:cNvGraphicFramePr>
                  <a:graphic>
                    <a:graphicData uri="http://schemas.openxmlformats.org/drawingml/2006/picture">
                      <pic:pic>
                        <pic:nvPicPr>
                          <pic:cNvPr id="0" name="task5_ss_12.png"/>
                          <pic:cNvPicPr/>
                        </pic:nvPicPr>
                        <pic:blipFill>
                          <a:blip r:embed="rId13"/>
                          <a:stretch>
                            <a:fillRect/>
                          </a:stretch>
                        </pic:blipFill>
                        <pic:spPr>
                          <a:xfrm>
                            <a:off x="0" y="0"/>
                            <a:ext cx="2743200" cy="1713053"/>
                          </a:xfrm>
                          <a:prstGeom prst="rect"/>
                        </pic:spPr>
                      </pic:pic>
                    </a:graphicData>
                  </a:graphic>
                </wp:inline>
              </w:drawing>
            </w:r>
          </w:p>
          <w:p>
            <w:pPr>
              <w:jc w:val="center"/>
            </w:pPr>
            <w:r>
              <w:rPr>
                <w:b/>
                <w:color w:val="667085"/>
                <w:sz w:val="15"/>
              </w:rPr>
              <w:t>12. Training and validation loss</w:t>
            </w:r>
          </w:p>
        </w:tc>
        <w:tc>
          <w:tcPr>
            <w:tcW w:type="dxa" w:w="5112"/>
          </w:tcPr>
          <w:p>
            <w:pPr>
              <w:jc w:val="center"/>
            </w:pPr>
            <w:r/>
            <w:r>
              <w:drawing>
                <wp:inline xmlns:a="http://schemas.openxmlformats.org/drawingml/2006/main" xmlns:pic="http://schemas.openxmlformats.org/drawingml/2006/picture">
                  <wp:extent cx="2743200" cy="1708460"/>
                  <wp:docPr id="5" name="Picture 5"/>
                  <wp:cNvGraphicFramePr>
                    <a:graphicFrameLocks noChangeAspect="1"/>
                  </wp:cNvGraphicFramePr>
                  <a:graphic>
                    <a:graphicData uri="http://schemas.openxmlformats.org/drawingml/2006/picture">
                      <pic:pic>
                        <pic:nvPicPr>
                          <pic:cNvPr id="0" name="task5_ss_13.png"/>
                          <pic:cNvPicPr/>
                        </pic:nvPicPr>
                        <pic:blipFill>
                          <a:blip r:embed="rId14"/>
                          <a:stretch>
                            <a:fillRect/>
                          </a:stretch>
                        </pic:blipFill>
                        <pic:spPr>
                          <a:xfrm>
                            <a:off x="0" y="0"/>
                            <a:ext cx="2743200" cy="1708460"/>
                          </a:xfrm>
                          <a:prstGeom prst="rect"/>
                        </pic:spPr>
                      </pic:pic>
                    </a:graphicData>
                  </a:graphic>
                </wp:inline>
              </w:drawing>
            </w:r>
          </w:p>
          <w:p>
            <w:pPr>
              <w:jc w:val="center"/>
            </w:pPr>
            <w:r>
              <w:rPr>
                <w:b/>
                <w:color w:val="667085"/>
                <w:sz w:val="15"/>
              </w:rPr>
              <w:t>13. Training and validation accuracy</w:t>
            </w:r>
          </w:p>
        </w:tc>
      </w:tr>
    </w:tbl>
    <w:p/>
    <w:tbl>
      <w:tblPr>
        <w:tblW w:type="auto" w:w="0"/>
        <w:jc w:val="center"/>
        <w:tblLayout w:type="fixed"/>
        <w:tblLook w:firstColumn="1" w:firstRow="1" w:lastColumn="0" w:lastRow="0" w:noHBand="0" w:noVBand="1" w:val="04A0"/>
        <w:tblBorders>
          <w:top w:val="single" w:sz="6" w:color="E4E7EC"/>
          <w:left w:val="single" w:sz="6" w:color="E4E7EC"/>
          <w:bottom w:val="single" w:sz="6" w:color="E4E7EC"/>
          <w:right w:val="single" w:sz="6" w:color="E4E7EC"/>
          <w:insideH w:val="single" w:sz="6" w:color="E4E7EC"/>
          <w:insideV w:val="single" w:sz="6" w:color="E4E7EC"/>
        </w:tblBorders>
      </w:tblPr>
      <w:tblGrid>
        <w:gridCol w:w="5112"/>
        <w:gridCol w:w="5112"/>
      </w:tblGrid>
      <w:tr>
        <w:tc>
          <w:tcPr>
            <w:tcW w:type="dxa" w:w="5112"/>
          </w:tcPr>
          <w:p>
            <w:pPr>
              <w:jc w:val="center"/>
            </w:pPr>
            <w:r/>
            <w:r>
              <w:drawing>
                <wp:inline xmlns:a="http://schemas.openxmlformats.org/drawingml/2006/main" xmlns:pic="http://schemas.openxmlformats.org/drawingml/2006/picture">
                  <wp:extent cx="2743200" cy="1826118"/>
                  <wp:docPr id="6" name="Picture 6"/>
                  <wp:cNvGraphicFramePr>
                    <a:graphicFrameLocks noChangeAspect="1"/>
                  </wp:cNvGraphicFramePr>
                  <a:graphic>
                    <a:graphicData uri="http://schemas.openxmlformats.org/drawingml/2006/picture">
                      <pic:pic>
                        <pic:nvPicPr>
                          <pic:cNvPr id="0" name="task5_ss_14.png"/>
                          <pic:cNvPicPr/>
                        </pic:nvPicPr>
                        <pic:blipFill>
                          <a:blip r:embed="rId15"/>
                          <a:stretch>
                            <a:fillRect/>
                          </a:stretch>
                        </pic:blipFill>
                        <pic:spPr>
                          <a:xfrm>
                            <a:off x="0" y="0"/>
                            <a:ext cx="2743200" cy="1826118"/>
                          </a:xfrm>
                          <a:prstGeom prst="rect"/>
                        </pic:spPr>
                      </pic:pic>
                    </a:graphicData>
                  </a:graphic>
                </wp:inline>
              </w:drawing>
            </w:r>
          </w:p>
          <w:p>
            <w:pPr>
              <w:jc w:val="center"/>
            </w:pPr>
            <w:r>
              <w:rPr>
                <w:b/>
                <w:color w:val="667085"/>
                <w:sz w:val="15"/>
              </w:rPr>
              <w:t>14. Training and validation AUC</w:t>
            </w:r>
          </w:p>
        </w:tc>
        <w:tc>
          <w:tcPr>
            <w:tcW w:type="dxa" w:w="5112"/>
          </w:tcPr>
          <w:p>
            <w:pPr>
              <w:jc w:val="center"/>
            </w:pPr>
            <w:r/>
            <w:r>
              <w:drawing>
                <wp:inline xmlns:a="http://schemas.openxmlformats.org/drawingml/2006/main" xmlns:pic="http://schemas.openxmlformats.org/drawingml/2006/picture">
                  <wp:extent cx="2743200" cy="1620253"/>
                  <wp:docPr id="7" name="Picture 7"/>
                  <wp:cNvGraphicFramePr>
                    <a:graphicFrameLocks noChangeAspect="1"/>
                  </wp:cNvGraphicFramePr>
                  <a:graphic>
                    <a:graphicData uri="http://schemas.openxmlformats.org/drawingml/2006/picture">
                      <pic:pic>
                        <pic:nvPicPr>
                          <pic:cNvPr id="0" name="task5_ss_11.png"/>
                          <pic:cNvPicPr/>
                        </pic:nvPicPr>
                        <pic:blipFill>
                          <a:blip r:embed="rId16"/>
                          <a:stretch>
                            <a:fillRect/>
                          </a:stretch>
                        </pic:blipFill>
                        <pic:spPr>
                          <a:xfrm>
                            <a:off x="0" y="0"/>
                            <a:ext cx="2743200" cy="1620253"/>
                          </a:xfrm>
                          <a:prstGeom prst="rect"/>
                        </pic:spPr>
                      </pic:pic>
                    </a:graphicData>
                  </a:graphic>
                </wp:inline>
              </w:drawing>
            </w:r>
          </w:p>
          <w:p>
            <w:pPr>
              <w:jc w:val="center"/>
            </w:pPr>
            <w:r>
              <w:rPr>
                <w:b/>
                <w:color w:val="667085"/>
                <w:sz w:val="15"/>
              </w:rPr>
              <w:t>11. Training completion and early-stopping summary</w:t>
            </w:r>
          </w:p>
        </w:tc>
      </w:tr>
    </w:tbl>
    <w:p/>
    <w:p>
      <w:r>
        <w:br w:type="page"/>
      </w:r>
    </w:p>
    <w:p>
      <w:pPr>
        <w:pStyle w:val="Heading1"/>
      </w:pPr>
      <w:r>
        <w:rPr>
          <w:color w:val="243B53"/>
        </w:rPr>
        <w:t>9. Final Test Evaluation</w:t>
      </w:r>
    </w:p>
    <w:tbl>
      <w:tblPr>
        <w:tblW w:type="auto" w:w="0"/>
        <w:jc w:val="center"/>
        <w:tblLayout w:type="fixed"/>
        <w:tblLook w:firstColumn="1" w:firstRow="1" w:lastColumn="0" w:lastRow="0" w:noHBand="0" w:noVBand="1" w:val="04A0"/>
        <w:tblBorders>
          <w:top w:val="single" w:sz="6" w:color="D0D5DD"/>
          <w:left w:val="single" w:sz="6" w:color="D0D5DD"/>
          <w:bottom w:val="single" w:sz="6" w:color="D0D5DD"/>
          <w:right w:val="single" w:sz="6" w:color="D0D5DD"/>
          <w:insideH w:val="single" w:sz="6" w:color="D0D5DD"/>
          <w:insideV w:val="single" w:sz="6" w:color="D0D5DD"/>
        </w:tblBorders>
      </w:tblPr>
      <w:tblGrid>
        <w:gridCol w:w="3408"/>
        <w:gridCol w:w="3408"/>
        <w:gridCol w:w="3408"/>
      </w:tblGrid>
      <w:tr>
        <w:tc>
          <w:tcPr>
            <w:tcW w:type="dxa" w:w="2160"/>
            <w:vAlign w:val="center"/>
            <w:shd w:fill="243B53"/>
          </w:tcPr>
          <w:p>
            <w:pPr>
              <w:jc w:val="center"/>
            </w:pPr>
            <w:r/>
            <w:r>
              <w:rPr>
                <w:b/>
                <w:color w:val="FFFFFF"/>
                <w:sz w:val="18"/>
              </w:rPr>
              <w:t>Metric</w:t>
            </w:r>
          </w:p>
        </w:tc>
        <w:tc>
          <w:tcPr>
            <w:tcW w:type="dxa" w:w="1872"/>
            <w:vAlign w:val="center"/>
            <w:shd w:fill="243B53"/>
          </w:tcPr>
          <w:p>
            <w:pPr>
              <w:jc w:val="center"/>
            </w:pPr>
            <w:r/>
            <w:r>
              <w:rPr>
                <w:b/>
                <w:color w:val="FFFFFF"/>
                <w:sz w:val="18"/>
              </w:rPr>
              <w:t>ANN result</w:t>
            </w:r>
          </w:p>
        </w:tc>
        <w:tc>
          <w:tcPr>
            <w:tcW w:type="dxa" w:w="5472"/>
            <w:vAlign w:val="center"/>
            <w:shd w:fill="243B53"/>
          </w:tcPr>
          <w:p>
            <w:pPr>
              <w:jc w:val="center"/>
            </w:pPr>
            <w:r/>
            <w:r>
              <w:rPr>
                <w:b/>
                <w:color w:val="FFFFFF"/>
                <w:sz w:val="18"/>
              </w:rPr>
              <w:t>Meaning</w:t>
            </w:r>
          </w:p>
        </w:tc>
      </w:tr>
      <w:tr>
        <w:tc>
          <w:tcPr>
            <w:tcW w:type="dxa" w:w="2160"/>
            <w:vAlign w:val="center"/>
          </w:tcPr>
          <w:p>
            <w:pPr>
              <w:jc w:val="left"/>
            </w:pPr>
            <w:r/>
            <w:r>
              <w:rPr>
                <w:b w:val="0"/>
                <w:color w:val="1F2937"/>
                <w:sz w:val="18"/>
              </w:rPr>
              <w:t>Test loss</w:t>
            </w:r>
          </w:p>
        </w:tc>
        <w:tc>
          <w:tcPr>
            <w:tcW w:type="dxa" w:w="1872"/>
            <w:vAlign w:val="center"/>
          </w:tcPr>
          <w:p>
            <w:pPr>
              <w:jc w:val="left"/>
            </w:pPr>
            <w:r/>
            <w:r>
              <w:rPr>
                <w:b w:val="0"/>
                <w:color w:val="1F2937"/>
                <w:sz w:val="18"/>
              </w:rPr>
              <w:t>0.5798</w:t>
            </w:r>
          </w:p>
        </w:tc>
        <w:tc>
          <w:tcPr>
            <w:tcW w:type="dxa" w:w="5472"/>
            <w:vAlign w:val="center"/>
          </w:tcPr>
          <w:p>
            <w:pPr>
              <w:jc w:val="left"/>
            </w:pPr>
            <w:r/>
            <w:r>
              <w:rPr>
                <w:b w:val="0"/>
                <w:color w:val="1F2937"/>
                <w:sz w:val="18"/>
              </w:rPr>
              <w:t>Binary cross-entropy on unseen customers</w:t>
            </w:r>
          </w:p>
        </w:tc>
      </w:tr>
      <w:tr>
        <w:tc>
          <w:tcPr>
            <w:tcW w:type="dxa" w:w="2160"/>
            <w:vAlign w:val="center"/>
          </w:tcPr>
          <w:p>
            <w:pPr>
              <w:jc w:val="left"/>
            </w:pPr>
            <w:r/>
            <w:r>
              <w:rPr>
                <w:b w:val="0"/>
                <w:color w:val="1F2937"/>
                <w:sz w:val="18"/>
              </w:rPr>
              <w:t>Accuracy</w:t>
            </w:r>
          </w:p>
        </w:tc>
        <w:tc>
          <w:tcPr>
            <w:tcW w:type="dxa" w:w="1872"/>
            <w:vAlign w:val="center"/>
          </w:tcPr>
          <w:p>
            <w:pPr>
              <w:jc w:val="left"/>
            </w:pPr>
            <w:r/>
            <w:r>
              <w:rPr>
                <w:b w:val="0"/>
                <w:color w:val="1F2937"/>
                <w:sz w:val="18"/>
              </w:rPr>
              <w:t>68.22%</w:t>
            </w:r>
          </w:p>
        </w:tc>
        <w:tc>
          <w:tcPr>
            <w:tcW w:type="dxa" w:w="5472"/>
            <w:vAlign w:val="center"/>
          </w:tcPr>
          <w:p>
            <w:pPr>
              <w:jc w:val="left"/>
            </w:pPr>
            <w:r/>
            <w:r>
              <w:rPr>
                <w:b w:val="0"/>
                <w:color w:val="1F2937"/>
                <w:sz w:val="18"/>
              </w:rPr>
              <w:t>Overall correct classification rate</w:t>
            </w:r>
          </w:p>
        </w:tc>
      </w:tr>
      <w:tr>
        <w:tc>
          <w:tcPr>
            <w:tcW w:type="dxa" w:w="2160"/>
            <w:vAlign w:val="center"/>
          </w:tcPr>
          <w:p>
            <w:pPr>
              <w:jc w:val="left"/>
            </w:pPr>
            <w:r/>
            <w:r>
              <w:rPr>
                <w:b w:val="0"/>
                <w:color w:val="1F2937"/>
                <w:sz w:val="18"/>
              </w:rPr>
              <w:t>Precision</w:t>
            </w:r>
          </w:p>
        </w:tc>
        <w:tc>
          <w:tcPr>
            <w:tcW w:type="dxa" w:w="1872"/>
            <w:vAlign w:val="center"/>
          </w:tcPr>
          <w:p>
            <w:pPr>
              <w:jc w:val="left"/>
            </w:pPr>
            <w:r/>
            <w:r>
              <w:rPr>
                <w:b w:val="0"/>
                <w:color w:val="1F2937"/>
                <w:sz w:val="18"/>
              </w:rPr>
              <w:t>73.94%</w:t>
            </w:r>
          </w:p>
        </w:tc>
        <w:tc>
          <w:tcPr>
            <w:tcW w:type="dxa" w:w="5472"/>
            <w:vAlign w:val="center"/>
          </w:tcPr>
          <w:p>
            <w:pPr>
              <w:jc w:val="left"/>
            </w:pPr>
            <w:r/>
            <w:r>
              <w:rPr>
                <w:b w:val="0"/>
                <w:color w:val="1F2937"/>
                <w:sz w:val="18"/>
              </w:rPr>
              <w:t>Correctness of positive predictions</w:t>
            </w:r>
          </w:p>
        </w:tc>
      </w:tr>
      <w:tr>
        <w:tc>
          <w:tcPr>
            <w:tcW w:type="dxa" w:w="2160"/>
            <w:vAlign w:val="center"/>
          </w:tcPr>
          <w:p>
            <w:pPr>
              <w:jc w:val="left"/>
            </w:pPr>
            <w:r/>
            <w:r>
              <w:rPr>
                <w:b w:val="0"/>
                <w:color w:val="1F2937"/>
                <w:sz w:val="18"/>
              </w:rPr>
              <w:t>Recall</w:t>
            </w:r>
          </w:p>
        </w:tc>
        <w:tc>
          <w:tcPr>
            <w:tcW w:type="dxa" w:w="1872"/>
            <w:vAlign w:val="center"/>
          </w:tcPr>
          <w:p>
            <w:pPr>
              <w:jc w:val="left"/>
            </w:pPr>
            <w:r/>
            <w:r>
              <w:rPr>
                <w:b w:val="0"/>
                <w:color w:val="1F2937"/>
                <w:sz w:val="18"/>
              </w:rPr>
              <w:t>71.10%</w:t>
            </w:r>
          </w:p>
        </w:tc>
        <w:tc>
          <w:tcPr>
            <w:tcW w:type="dxa" w:w="5472"/>
            <w:vAlign w:val="center"/>
          </w:tcPr>
          <w:p>
            <w:pPr>
              <w:jc w:val="left"/>
            </w:pPr>
            <w:r/>
            <w:r>
              <w:rPr>
                <w:b w:val="0"/>
                <w:color w:val="1F2937"/>
                <w:sz w:val="18"/>
              </w:rPr>
              <w:t>Repeat customers detected</w:t>
            </w:r>
          </w:p>
        </w:tc>
      </w:tr>
      <w:tr>
        <w:tc>
          <w:tcPr>
            <w:tcW w:type="dxa" w:w="2160"/>
            <w:vAlign w:val="center"/>
          </w:tcPr>
          <w:p>
            <w:pPr>
              <w:jc w:val="left"/>
            </w:pPr>
            <w:r/>
            <w:r>
              <w:rPr>
                <w:b w:val="0"/>
                <w:color w:val="1F2937"/>
                <w:sz w:val="18"/>
              </w:rPr>
              <w:t>F1-score</w:t>
            </w:r>
          </w:p>
        </w:tc>
        <w:tc>
          <w:tcPr>
            <w:tcW w:type="dxa" w:w="1872"/>
            <w:vAlign w:val="center"/>
          </w:tcPr>
          <w:p>
            <w:pPr>
              <w:jc w:val="left"/>
            </w:pPr>
            <w:r/>
            <w:r>
              <w:rPr>
                <w:b w:val="0"/>
                <w:color w:val="1F2937"/>
                <w:sz w:val="18"/>
              </w:rPr>
              <w:t>72.49%</w:t>
            </w:r>
          </w:p>
        </w:tc>
        <w:tc>
          <w:tcPr>
            <w:tcW w:type="dxa" w:w="5472"/>
            <w:vAlign w:val="center"/>
          </w:tcPr>
          <w:p>
            <w:pPr>
              <w:jc w:val="left"/>
            </w:pPr>
            <w:r/>
            <w:r>
              <w:rPr>
                <w:b w:val="0"/>
                <w:color w:val="1F2937"/>
                <w:sz w:val="18"/>
              </w:rPr>
              <w:t>Precision/recall balance</w:t>
            </w:r>
          </w:p>
        </w:tc>
      </w:tr>
      <w:tr>
        <w:tc>
          <w:tcPr>
            <w:tcW w:type="dxa" w:w="2160"/>
            <w:vAlign w:val="center"/>
          </w:tcPr>
          <w:p>
            <w:pPr>
              <w:jc w:val="left"/>
            </w:pPr>
            <w:r/>
            <w:r>
              <w:rPr>
                <w:b w:val="0"/>
                <w:color w:val="1F2937"/>
                <w:sz w:val="18"/>
              </w:rPr>
              <w:t>ROC-AUC</w:t>
            </w:r>
          </w:p>
        </w:tc>
        <w:tc>
          <w:tcPr>
            <w:tcW w:type="dxa" w:w="1872"/>
            <w:vAlign w:val="center"/>
          </w:tcPr>
          <w:p>
            <w:pPr>
              <w:jc w:val="left"/>
            </w:pPr>
            <w:r/>
            <w:r>
              <w:rPr>
                <w:b w:val="0"/>
                <w:color w:val="1F2937"/>
                <w:sz w:val="18"/>
              </w:rPr>
              <w:t>74.02%</w:t>
            </w:r>
          </w:p>
        </w:tc>
        <w:tc>
          <w:tcPr>
            <w:tcW w:type="dxa" w:w="5472"/>
            <w:vAlign w:val="center"/>
          </w:tcPr>
          <w:p>
            <w:pPr>
              <w:jc w:val="left"/>
            </w:pPr>
            <w:r/>
            <w:r>
              <w:rPr>
                <w:b w:val="0"/>
                <w:color w:val="1F2937"/>
                <w:sz w:val="18"/>
              </w:rPr>
              <w:t>Discrimination across thresholds</w:t>
            </w:r>
          </w:p>
        </w:tc>
      </w:tr>
    </w:tbl>
    <w:p>
      <w:pPr>
        <w:pStyle w:val="Heading2"/>
      </w:pPr>
      <w:r>
        <w:rPr>
          <w:color w:val="3B5B7A"/>
        </w:rPr>
        <w:t>9.1 Classification report</w:t>
      </w:r>
    </w:p>
    <w:tbl>
      <w:tblPr>
        <w:tblW w:type="auto" w:w="0"/>
        <w:jc w:val="center"/>
        <w:tblLayout w:type="fixed"/>
        <w:tblLook w:firstColumn="1" w:firstRow="1" w:lastColumn="0" w:lastRow="0" w:noHBand="0" w:noVBand="1" w:val="04A0"/>
        <w:tblBorders>
          <w:top w:val="single" w:sz="6" w:color="D0D5DD"/>
          <w:left w:val="single" w:sz="6" w:color="D0D5DD"/>
          <w:bottom w:val="single" w:sz="6" w:color="D0D5DD"/>
          <w:right w:val="single" w:sz="6" w:color="D0D5DD"/>
          <w:insideH w:val="single" w:sz="6" w:color="D0D5DD"/>
          <w:insideV w:val="single" w:sz="6" w:color="D0D5DD"/>
        </w:tblBorders>
      </w:tblPr>
      <w:tblGrid>
        <w:gridCol w:w="2045"/>
        <w:gridCol w:w="2045"/>
        <w:gridCol w:w="2045"/>
        <w:gridCol w:w="2045"/>
        <w:gridCol w:w="2045"/>
      </w:tblGrid>
      <w:tr>
        <w:tc>
          <w:tcPr>
            <w:tcW w:type="dxa" w:w="3024"/>
            <w:vAlign w:val="center"/>
            <w:shd w:fill="243B53"/>
          </w:tcPr>
          <w:p>
            <w:pPr>
              <w:jc w:val="center"/>
            </w:pPr>
            <w:r/>
            <w:r>
              <w:rPr>
                <w:b/>
                <w:color w:val="FFFFFF"/>
                <w:sz w:val="18"/>
              </w:rPr>
              <w:t>Class</w:t>
            </w:r>
          </w:p>
        </w:tc>
        <w:tc>
          <w:tcPr>
            <w:tcW w:type="dxa" w:w="1440"/>
            <w:vAlign w:val="center"/>
            <w:shd w:fill="243B53"/>
          </w:tcPr>
          <w:p>
            <w:pPr>
              <w:jc w:val="center"/>
            </w:pPr>
            <w:r/>
            <w:r>
              <w:rPr>
                <w:b/>
                <w:color w:val="FFFFFF"/>
                <w:sz w:val="18"/>
              </w:rPr>
              <w:t>Precision</w:t>
            </w:r>
          </w:p>
        </w:tc>
        <w:tc>
          <w:tcPr>
            <w:tcW w:type="dxa" w:w="1440"/>
            <w:vAlign w:val="center"/>
            <w:shd w:fill="243B53"/>
          </w:tcPr>
          <w:p>
            <w:pPr>
              <w:jc w:val="center"/>
            </w:pPr>
            <w:r/>
            <w:r>
              <w:rPr>
                <w:b/>
                <w:color w:val="FFFFFF"/>
                <w:sz w:val="18"/>
              </w:rPr>
              <w:t>Recall</w:t>
            </w:r>
          </w:p>
        </w:tc>
        <w:tc>
          <w:tcPr>
            <w:tcW w:type="dxa" w:w="1296"/>
            <w:vAlign w:val="center"/>
            <w:shd w:fill="243B53"/>
          </w:tcPr>
          <w:p>
            <w:pPr>
              <w:jc w:val="center"/>
            </w:pPr>
            <w:r/>
            <w:r>
              <w:rPr>
                <w:b/>
                <w:color w:val="FFFFFF"/>
                <w:sz w:val="18"/>
              </w:rPr>
              <w:t>F1</w:t>
            </w:r>
          </w:p>
        </w:tc>
        <w:tc>
          <w:tcPr>
            <w:tcW w:type="dxa" w:w="1440"/>
            <w:vAlign w:val="center"/>
            <w:shd w:fill="243B53"/>
          </w:tcPr>
          <w:p>
            <w:pPr>
              <w:jc w:val="center"/>
            </w:pPr>
            <w:r/>
            <w:r>
              <w:rPr>
                <w:b/>
                <w:color w:val="FFFFFF"/>
                <w:sz w:val="18"/>
              </w:rPr>
              <w:t>Support</w:t>
            </w:r>
          </w:p>
        </w:tc>
      </w:tr>
      <w:tr>
        <w:tc>
          <w:tcPr>
            <w:tcW w:type="dxa" w:w="3024"/>
            <w:vAlign w:val="center"/>
          </w:tcPr>
          <w:p>
            <w:pPr>
              <w:jc w:val="left"/>
            </w:pPr>
            <w:r/>
            <w:r>
              <w:rPr>
                <w:b w:val="0"/>
                <w:color w:val="1F2937"/>
                <w:sz w:val="18"/>
              </w:rPr>
              <w:t>0 — No Repeat</w:t>
            </w:r>
          </w:p>
        </w:tc>
        <w:tc>
          <w:tcPr>
            <w:tcW w:type="dxa" w:w="1440"/>
            <w:vAlign w:val="center"/>
          </w:tcPr>
          <w:p>
            <w:pPr>
              <w:jc w:val="left"/>
            </w:pPr>
            <w:r/>
            <w:r>
              <w:rPr>
                <w:b w:val="0"/>
                <w:color w:val="1F2937"/>
                <w:sz w:val="18"/>
              </w:rPr>
              <w:t>0.61</w:t>
            </w:r>
          </w:p>
        </w:tc>
        <w:tc>
          <w:tcPr>
            <w:tcW w:type="dxa" w:w="1440"/>
            <w:vAlign w:val="center"/>
          </w:tcPr>
          <w:p>
            <w:pPr>
              <w:jc w:val="left"/>
            </w:pPr>
            <w:r/>
            <w:r>
              <w:rPr>
                <w:b w:val="0"/>
                <w:color w:val="1F2937"/>
                <w:sz w:val="18"/>
              </w:rPr>
              <w:t>0.64</w:t>
            </w:r>
          </w:p>
        </w:tc>
        <w:tc>
          <w:tcPr>
            <w:tcW w:type="dxa" w:w="1296"/>
            <w:vAlign w:val="center"/>
          </w:tcPr>
          <w:p>
            <w:pPr>
              <w:jc w:val="left"/>
            </w:pPr>
            <w:r/>
            <w:r>
              <w:rPr>
                <w:b w:val="0"/>
                <w:color w:val="1F2937"/>
                <w:sz w:val="18"/>
              </w:rPr>
              <w:t>0.62</w:t>
            </w:r>
          </w:p>
        </w:tc>
        <w:tc>
          <w:tcPr>
            <w:tcW w:type="dxa" w:w="1440"/>
            <w:vAlign w:val="center"/>
          </w:tcPr>
          <w:p>
            <w:pPr>
              <w:jc w:val="left"/>
            </w:pPr>
            <w:r/>
            <w:r>
              <w:rPr>
                <w:b w:val="0"/>
                <w:color w:val="1F2937"/>
                <w:sz w:val="18"/>
              </w:rPr>
              <w:t>273</w:t>
            </w:r>
          </w:p>
        </w:tc>
      </w:tr>
      <w:tr>
        <w:tc>
          <w:tcPr>
            <w:tcW w:type="dxa" w:w="3024"/>
            <w:vAlign w:val="center"/>
          </w:tcPr>
          <w:p>
            <w:pPr>
              <w:jc w:val="left"/>
            </w:pPr>
            <w:r/>
            <w:r>
              <w:rPr>
                <w:b w:val="0"/>
                <w:color w:val="1F2937"/>
                <w:sz w:val="18"/>
              </w:rPr>
              <w:t>1 — Repeat</w:t>
            </w:r>
          </w:p>
        </w:tc>
        <w:tc>
          <w:tcPr>
            <w:tcW w:type="dxa" w:w="1440"/>
            <w:vAlign w:val="center"/>
          </w:tcPr>
          <w:p>
            <w:pPr>
              <w:jc w:val="left"/>
            </w:pPr>
            <w:r/>
            <w:r>
              <w:rPr>
                <w:b w:val="0"/>
                <w:color w:val="1F2937"/>
                <w:sz w:val="18"/>
              </w:rPr>
              <w:t>0.74</w:t>
            </w:r>
          </w:p>
        </w:tc>
        <w:tc>
          <w:tcPr>
            <w:tcW w:type="dxa" w:w="1440"/>
            <w:vAlign w:val="center"/>
          </w:tcPr>
          <w:p>
            <w:pPr>
              <w:jc w:val="left"/>
            </w:pPr>
            <w:r/>
            <w:r>
              <w:rPr>
                <w:b w:val="0"/>
                <w:color w:val="1F2937"/>
                <w:sz w:val="18"/>
              </w:rPr>
              <w:t>0.71</w:t>
            </w:r>
          </w:p>
        </w:tc>
        <w:tc>
          <w:tcPr>
            <w:tcW w:type="dxa" w:w="1296"/>
            <w:vAlign w:val="center"/>
          </w:tcPr>
          <w:p>
            <w:pPr>
              <w:jc w:val="left"/>
            </w:pPr>
            <w:r/>
            <w:r>
              <w:rPr>
                <w:b w:val="0"/>
                <w:color w:val="1F2937"/>
                <w:sz w:val="18"/>
              </w:rPr>
              <w:t>0.72</w:t>
            </w:r>
          </w:p>
        </w:tc>
        <w:tc>
          <w:tcPr>
            <w:tcW w:type="dxa" w:w="1440"/>
            <w:vAlign w:val="center"/>
          </w:tcPr>
          <w:p>
            <w:pPr>
              <w:jc w:val="left"/>
            </w:pPr>
            <w:r/>
            <w:r>
              <w:rPr>
                <w:b w:val="0"/>
                <w:color w:val="1F2937"/>
                <w:sz w:val="18"/>
              </w:rPr>
              <w:t>391</w:t>
            </w:r>
          </w:p>
        </w:tc>
      </w:tr>
      <w:tr>
        <w:tc>
          <w:tcPr>
            <w:tcW w:type="dxa" w:w="3024"/>
            <w:vAlign w:val="center"/>
          </w:tcPr>
          <w:p>
            <w:pPr>
              <w:jc w:val="left"/>
            </w:pPr>
            <w:r/>
            <w:r>
              <w:rPr>
                <w:b w:val="0"/>
                <w:color w:val="1F2937"/>
                <w:sz w:val="18"/>
              </w:rPr>
              <w:t>Macro average</w:t>
            </w:r>
          </w:p>
        </w:tc>
        <w:tc>
          <w:tcPr>
            <w:tcW w:type="dxa" w:w="1440"/>
            <w:vAlign w:val="center"/>
          </w:tcPr>
          <w:p>
            <w:pPr>
              <w:jc w:val="left"/>
            </w:pPr>
            <w:r/>
            <w:r>
              <w:rPr>
                <w:b w:val="0"/>
                <w:color w:val="1F2937"/>
                <w:sz w:val="18"/>
              </w:rPr>
              <w:t>0.67</w:t>
            </w:r>
          </w:p>
        </w:tc>
        <w:tc>
          <w:tcPr>
            <w:tcW w:type="dxa" w:w="1440"/>
            <w:vAlign w:val="center"/>
          </w:tcPr>
          <w:p>
            <w:pPr>
              <w:jc w:val="left"/>
            </w:pPr>
            <w:r/>
            <w:r>
              <w:rPr>
                <w:b w:val="0"/>
                <w:color w:val="1F2937"/>
                <w:sz w:val="18"/>
              </w:rPr>
              <w:t>0.68</w:t>
            </w:r>
          </w:p>
        </w:tc>
        <w:tc>
          <w:tcPr>
            <w:tcW w:type="dxa" w:w="1296"/>
            <w:vAlign w:val="center"/>
          </w:tcPr>
          <w:p>
            <w:pPr>
              <w:jc w:val="left"/>
            </w:pPr>
            <w:r/>
            <w:r>
              <w:rPr>
                <w:b w:val="0"/>
                <w:color w:val="1F2937"/>
                <w:sz w:val="18"/>
              </w:rPr>
              <w:t>0.67</w:t>
            </w:r>
          </w:p>
        </w:tc>
        <w:tc>
          <w:tcPr>
            <w:tcW w:type="dxa" w:w="1440"/>
            <w:vAlign w:val="center"/>
          </w:tcPr>
          <w:p>
            <w:pPr>
              <w:jc w:val="left"/>
            </w:pPr>
            <w:r/>
            <w:r>
              <w:rPr>
                <w:b w:val="0"/>
                <w:color w:val="1F2937"/>
                <w:sz w:val="18"/>
              </w:rPr>
              <w:t>664</w:t>
            </w:r>
          </w:p>
        </w:tc>
      </w:tr>
      <w:tr>
        <w:tc>
          <w:tcPr>
            <w:tcW w:type="dxa" w:w="3024"/>
            <w:vAlign w:val="center"/>
          </w:tcPr>
          <w:p>
            <w:pPr>
              <w:jc w:val="left"/>
            </w:pPr>
            <w:r/>
            <w:r>
              <w:rPr>
                <w:b w:val="0"/>
                <w:color w:val="1F2937"/>
                <w:sz w:val="18"/>
              </w:rPr>
              <w:t>Weighted average</w:t>
            </w:r>
          </w:p>
        </w:tc>
        <w:tc>
          <w:tcPr>
            <w:tcW w:type="dxa" w:w="1440"/>
            <w:vAlign w:val="center"/>
          </w:tcPr>
          <w:p>
            <w:pPr>
              <w:jc w:val="left"/>
            </w:pPr>
            <w:r/>
            <w:r>
              <w:rPr>
                <w:b w:val="0"/>
                <w:color w:val="1F2937"/>
                <w:sz w:val="18"/>
              </w:rPr>
              <w:t>0.69</w:t>
            </w:r>
          </w:p>
        </w:tc>
        <w:tc>
          <w:tcPr>
            <w:tcW w:type="dxa" w:w="1440"/>
            <w:vAlign w:val="center"/>
          </w:tcPr>
          <w:p>
            <w:pPr>
              <w:jc w:val="left"/>
            </w:pPr>
            <w:r/>
            <w:r>
              <w:rPr>
                <w:b w:val="0"/>
                <w:color w:val="1F2937"/>
                <w:sz w:val="18"/>
              </w:rPr>
              <w:t>0.68</w:t>
            </w:r>
          </w:p>
        </w:tc>
        <w:tc>
          <w:tcPr>
            <w:tcW w:type="dxa" w:w="1296"/>
            <w:vAlign w:val="center"/>
          </w:tcPr>
          <w:p>
            <w:pPr>
              <w:jc w:val="left"/>
            </w:pPr>
            <w:r/>
            <w:r>
              <w:rPr>
                <w:b w:val="0"/>
                <w:color w:val="1F2937"/>
                <w:sz w:val="18"/>
              </w:rPr>
              <w:t>0.68</w:t>
            </w:r>
          </w:p>
        </w:tc>
        <w:tc>
          <w:tcPr>
            <w:tcW w:type="dxa" w:w="1440"/>
            <w:vAlign w:val="center"/>
          </w:tcPr>
          <w:p>
            <w:pPr>
              <w:jc w:val="left"/>
            </w:pPr>
            <w:r/>
            <w:r>
              <w:rPr>
                <w:b w:val="0"/>
                <w:color w:val="1F2937"/>
                <w:sz w:val="18"/>
              </w:rPr>
              <w:t>664</w:t>
            </w:r>
          </w:p>
        </w:tc>
      </w:tr>
    </w:tbl>
    <w:p>
      <w:r>
        <w:t>The model identifies repeat purchasers more strongly than non-repeat customers in precision terms, while both classes remain imperfectly separated. This is consistent with the overall moderate predictive performance.</w:t>
      </w:r>
    </w:p>
    <w:p>
      <w:r>
        <w:br w:type="page"/>
      </w:r>
    </w:p>
    <w:p>
      <w:pPr>
        <w:pStyle w:val="Heading1"/>
      </w:pPr>
      <w:r>
        <w:rPr>
          <w:color w:val="243B53"/>
        </w:rPr>
        <w:t>10. Confusion Matrix and ROC Analysis</w:t>
      </w:r>
    </w:p>
    <w:p>
      <w:pPr>
        <w:pStyle w:val="Heading2"/>
      </w:pPr>
      <w:r>
        <w:rPr>
          <w:color w:val="3B5B7A"/>
        </w:rPr>
        <w:t>10.1 Confusion matrix</w:t>
      </w:r>
    </w:p>
    <w:p>
      <w:r>
        <w:t>The confusion matrix shows the distribution of correct and incorrect predictions at the default 0.50 probability threshold. It provides a more operational view than accuracy alone because false positives and false negatives are separated by class.</w:t>
      </w:r>
    </w:p>
    <w:p>
      <w:pPr>
        <w:jc w:val="center"/>
      </w:pPr>
      <w:r>
        <w:drawing>
          <wp:inline xmlns:a="http://schemas.openxmlformats.org/drawingml/2006/main" xmlns:pic="http://schemas.openxmlformats.org/drawingml/2006/picture">
            <wp:extent cx="5029200" cy="4283079"/>
            <wp:docPr id="8" name="Picture 8"/>
            <wp:cNvGraphicFramePr>
              <a:graphicFrameLocks noChangeAspect="1"/>
            </wp:cNvGraphicFramePr>
            <a:graphic>
              <a:graphicData uri="http://schemas.openxmlformats.org/drawingml/2006/picture">
                <pic:pic>
                  <pic:nvPicPr>
                    <pic:cNvPr id="0" name="task5_ss_17.png"/>
                    <pic:cNvPicPr/>
                  </pic:nvPicPr>
                  <pic:blipFill>
                    <a:blip r:embed="rId17"/>
                    <a:stretch>
                      <a:fillRect/>
                    </a:stretch>
                  </pic:blipFill>
                  <pic:spPr>
                    <a:xfrm>
                      <a:off x="0" y="0"/>
                      <a:ext cx="5029200" cy="4283079"/>
                    </a:xfrm>
                    <a:prstGeom prst="rect"/>
                  </pic:spPr>
                </pic:pic>
              </a:graphicData>
            </a:graphic>
          </wp:inline>
        </w:drawing>
      </w:r>
    </w:p>
    <w:p>
      <w:pPr>
        <w:jc w:val="center"/>
      </w:pPr>
      <w:r>
        <w:rPr>
          <w:b/>
          <w:color w:val="667085"/>
          <w:sz w:val="17"/>
        </w:rPr>
        <w:t>Figure 5. ANN confusion matrix on the held-out test set.</w:t>
      </w:r>
    </w:p>
    <w:p>
      <w:pPr>
        <w:pStyle w:val="Heading2"/>
      </w:pPr>
      <w:r>
        <w:rPr>
          <w:color w:val="3B5B7A"/>
        </w:rPr>
        <w:t>10.2 ROC curve</w:t>
      </w:r>
    </w:p>
    <w:p>
      <w:r>
        <w:t>The ROC-AUC of 0.7401 is materially above random discrimination (0.50), indicating useful ranking capability. However, the model is not close to perfect discrimination, leaving room for better features, validation design and threshold selection.</w:t>
      </w:r>
    </w:p>
    <w:p>
      <w:pPr>
        <w:jc w:val="center"/>
      </w:pPr>
      <w:r>
        <w:drawing>
          <wp:inline xmlns:a="http://schemas.openxmlformats.org/drawingml/2006/main" xmlns:pic="http://schemas.openxmlformats.org/drawingml/2006/picture">
            <wp:extent cx="4754880" cy="3917300"/>
            <wp:docPr id="9" name="Picture 9"/>
            <wp:cNvGraphicFramePr>
              <a:graphicFrameLocks noChangeAspect="1"/>
            </wp:cNvGraphicFramePr>
            <a:graphic>
              <a:graphicData uri="http://schemas.openxmlformats.org/drawingml/2006/picture">
                <pic:pic>
                  <pic:nvPicPr>
                    <pic:cNvPr id="0" name="task5_ss_18.png"/>
                    <pic:cNvPicPr/>
                  </pic:nvPicPr>
                  <pic:blipFill>
                    <a:blip r:embed="rId18"/>
                    <a:stretch>
                      <a:fillRect/>
                    </a:stretch>
                  </pic:blipFill>
                  <pic:spPr>
                    <a:xfrm>
                      <a:off x="0" y="0"/>
                      <a:ext cx="4754880" cy="3917300"/>
                    </a:xfrm>
                    <a:prstGeom prst="rect"/>
                  </pic:spPr>
                </pic:pic>
              </a:graphicData>
            </a:graphic>
          </wp:inline>
        </w:drawing>
      </w:r>
    </w:p>
    <w:p>
      <w:pPr>
        <w:jc w:val="center"/>
      </w:pPr>
      <w:r>
        <w:rPr>
          <w:b/>
          <w:color w:val="667085"/>
          <w:sz w:val="17"/>
        </w:rPr>
        <w:t>Figure 6. ANN ROC curve and test ROC-AUC.</w:t>
      </w:r>
    </w:p>
    <w:p>
      <w:r>
        <w:br w:type="page"/>
      </w:r>
    </w:p>
    <w:p>
      <w:pPr>
        <w:pStyle w:val="Heading1"/>
      </w:pPr>
      <w:r>
        <w:rPr>
          <w:color w:val="243B53"/>
        </w:rPr>
        <w:t>11. Task 4 vs Task 5 Model Comparison</w:t>
      </w:r>
    </w:p>
    <w:tbl>
      <w:tblPr>
        <w:tblW w:type="auto" w:w="0"/>
        <w:jc w:val="center"/>
        <w:tblLayout w:type="fixed"/>
        <w:tblLook w:firstColumn="1" w:firstRow="1" w:lastColumn="0" w:lastRow="0" w:noHBand="0" w:noVBand="1" w:val="04A0"/>
        <w:tblBorders>
          <w:top w:val="single" w:sz="6" w:color="D0D5DD"/>
          <w:left w:val="single" w:sz="6" w:color="D0D5DD"/>
          <w:bottom w:val="single" w:sz="6" w:color="D0D5DD"/>
          <w:right w:val="single" w:sz="6" w:color="D0D5DD"/>
          <w:insideH w:val="single" w:sz="6" w:color="D0D5DD"/>
          <w:insideV w:val="single" w:sz="6" w:color="D0D5DD"/>
        </w:tblBorders>
      </w:tblPr>
      <w:tblGrid>
        <w:gridCol w:w="1704"/>
        <w:gridCol w:w="1704"/>
        <w:gridCol w:w="1704"/>
        <w:gridCol w:w="1704"/>
        <w:gridCol w:w="1704"/>
        <w:gridCol w:w="1704"/>
      </w:tblGrid>
      <w:tr>
        <w:tc>
          <w:tcPr>
            <w:tcW w:type="dxa" w:w="3024"/>
            <w:vAlign w:val="center"/>
            <w:shd w:fill="243B53"/>
          </w:tcPr>
          <w:p>
            <w:pPr>
              <w:jc w:val="center"/>
            </w:pPr>
            <w:r/>
            <w:r>
              <w:rPr>
                <w:b/>
                <w:color w:val="FFFFFF"/>
                <w:sz w:val="18"/>
              </w:rPr>
              <w:t>Model</w:t>
            </w:r>
          </w:p>
        </w:tc>
        <w:tc>
          <w:tcPr>
            <w:tcW w:type="dxa" w:w="1224"/>
            <w:vAlign w:val="center"/>
            <w:shd w:fill="243B53"/>
          </w:tcPr>
          <w:p>
            <w:pPr>
              <w:jc w:val="center"/>
            </w:pPr>
            <w:r/>
            <w:r>
              <w:rPr>
                <w:b/>
                <w:color w:val="FFFFFF"/>
                <w:sz w:val="18"/>
              </w:rPr>
              <w:t>Accuracy</w:t>
            </w:r>
          </w:p>
        </w:tc>
        <w:tc>
          <w:tcPr>
            <w:tcW w:type="dxa" w:w="1224"/>
            <w:vAlign w:val="center"/>
            <w:shd w:fill="243B53"/>
          </w:tcPr>
          <w:p>
            <w:pPr>
              <w:jc w:val="center"/>
            </w:pPr>
            <w:r/>
            <w:r>
              <w:rPr>
                <w:b/>
                <w:color w:val="FFFFFF"/>
                <w:sz w:val="18"/>
              </w:rPr>
              <w:t>Precision</w:t>
            </w:r>
          </w:p>
        </w:tc>
        <w:tc>
          <w:tcPr>
            <w:tcW w:type="dxa" w:w="1224"/>
            <w:vAlign w:val="center"/>
            <w:shd w:fill="243B53"/>
          </w:tcPr>
          <w:p>
            <w:pPr>
              <w:jc w:val="center"/>
            </w:pPr>
            <w:r/>
            <w:r>
              <w:rPr>
                <w:b/>
                <w:color w:val="FFFFFF"/>
                <w:sz w:val="18"/>
              </w:rPr>
              <w:t>Recall</w:t>
            </w:r>
          </w:p>
        </w:tc>
        <w:tc>
          <w:tcPr>
            <w:tcW w:type="dxa" w:w="1080"/>
            <w:vAlign w:val="center"/>
            <w:shd w:fill="243B53"/>
          </w:tcPr>
          <w:p>
            <w:pPr>
              <w:jc w:val="center"/>
            </w:pPr>
            <w:r/>
            <w:r>
              <w:rPr>
                <w:b/>
                <w:color w:val="FFFFFF"/>
                <w:sz w:val="18"/>
              </w:rPr>
              <w:t>F1</w:t>
            </w:r>
          </w:p>
        </w:tc>
        <w:tc>
          <w:tcPr>
            <w:tcW w:type="dxa" w:w="1296"/>
            <w:vAlign w:val="center"/>
            <w:shd w:fill="243B53"/>
          </w:tcPr>
          <w:p>
            <w:pPr>
              <w:jc w:val="center"/>
            </w:pPr>
            <w:r/>
            <w:r>
              <w:rPr>
                <w:b/>
                <w:color w:val="FFFFFF"/>
                <w:sz w:val="18"/>
              </w:rPr>
              <w:t>ROC-AUC</w:t>
            </w:r>
          </w:p>
        </w:tc>
      </w:tr>
      <w:tr>
        <w:tc>
          <w:tcPr>
            <w:tcW w:type="dxa" w:w="3024"/>
            <w:vAlign w:val="center"/>
          </w:tcPr>
          <w:p>
            <w:pPr>
              <w:jc w:val="left"/>
            </w:pPr>
            <w:r/>
            <w:r>
              <w:rPr>
                <w:b w:val="0"/>
                <w:color w:val="1F2937"/>
                <w:sz w:val="18"/>
              </w:rPr>
              <w:t>Logistic Regression</w:t>
            </w:r>
          </w:p>
        </w:tc>
        <w:tc>
          <w:tcPr>
            <w:tcW w:type="dxa" w:w="1224"/>
            <w:vAlign w:val="center"/>
          </w:tcPr>
          <w:p>
            <w:pPr>
              <w:jc w:val="left"/>
            </w:pPr>
            <w:r/>
            <w:r>
              <w:rPr>
                <w:b w:val="0"/>
                <w:color w:val="1F2937"/>
                <w:sz w:val="18"/>
              </w:rPr>
              <w:t>68.52%</w:t>
            </w:r>
          </w:p>
        </w:tc>
        <w:tc>
          <w:tcPr>
            <w:tcW w:type="dxa" w:w="1224"/>
            <w:vAlign w:val="center"/>
          </w:tcPr>
          <w:p>
            <w:pPr>
              <w:jc w:val="left"/>
            </w:pPr>
            <w:r/>
            <w:r>
              <w:rPr>
                <w:b w:val="0"/>
                <w:color w:val="1F2937"/>
                <w:sz w:val="18"/>
              </w:rPr>
              <w:t>73.95%</w:t>
            </w:r>
          </w:p>
        </w:tc>
        <w:tc>
          <w:tcPr>
            <w:tcW w:type="dxa" w:w="1224"/>
            <w:vAlign w:val="center"/>
          </w:tcPr>
          <w:p>
            <w:pPr>
              <w:jc w:val="left"/>
            </w:pPr>
            <w:r/>
            <w:r>
              <w:rPr>
                <w:b w:val="0"/>
                <w:color w:val="1F2937"/>
                <w:sz w:val="18"/>
              </w:rPr>
              <w:t>71.87%</w:t>
            </w:r>
          </w:p>
        </w:tc>
        <w:tc>
          <w:tcPr>
            <w:tcW w:type="dxa" w:w="1080"/>
            <w:vAlign w:val="center"/>
          </w:tcPr>
          <w:p>
            <w:pPr>
              <w:jc w:val="left"/>
            </w:pPr>
            <w:r/>
            <w:r>
              <w:rPr>
                <w:b w:val="0"/>
                <w:color w:val="1F2937"/>
                <w:sz w:val="18"/>
              </w:rPr>
              <w:t>72.89%</w:t>
            </w:r>
          </w:p>
        </w:tc>
        <w:tc>
          <w:tcPr>
            <w:tcW w:type="dxa" w:w="1296"/>
            <w:vAlign w:val="center"/>
          </w:tcPr>
          <w:p>
            <w:pPr>
              <w:jc w:val="left"/>
            </w:pPr>
            <w:r/>
            <w:r>
              <w:rPr>
                <w:b w:val="0"/>
                <w:color w:val="1F2937"/>
                <w:sz w:val="18"/>
              </w:rPr>
              <w:t>73.44%</w:t>
            </w:r>
          </w:p>
        </w:tc>
      </w:tr>
      <w:tr>
        <w:tc>
          <w:tcPr>
            <w:tcW w:type="dxa" w:w="3024"/>
            <w:vAlign w:val="center"/>
          </w:tcPr>
          <w:p>
            <w:pPr>
              <w:jc w:val="left"/>
            </w:pPr>
            <w:r/>
            <w:r>
              <w:rPr>
                <w:b w:val="0"/>
                <w:color w:val="1F2937"/>
                <w:sz w:val="18"/>
              </w:rPr>
              <w:t>Random Forest</w:t>
            </w:r>
          </w:p>
        </w:tc>
        <w:tc>
          <w:tcPr>
            <w:tcW w:type="dxa" w:w="1224"/>
            <w:vAlign w:val="center"/>
          </w:tcPr>
          <w:p>
            <w:pPr>
              <w:jc w:val="left"/>
            </w:pPr>
            <w:r/>
            <w:r>
              <w:rPr>
                <w:b w:val="0"/>
                <w:color w:val="1F2937"/>
                <w:sz w:val="18"/>
              </w:rPr>
              <w:t>63.86%</w:t>
            </w:r>
          </w:p>
        </w:tc>
        <w:tc>
          <w:tcPr>
            <w:tcW w:type="dxa" w:w="1224"/>
            <w:vAlign w:val="center"/>
          </w:tcPr>
          <w:p>
            <w:pPr>
              <w:jc w:val="left"/>
            </w:pPr>
            <w:r/>
            <w:r>
              <w:rPr>
                <w:b w:val="0"/>
                <w:color w:val="1F2937"/>
                <w:sz w:val="18"/>
              </w:rPr>
              <w:t>69.31%</w:t>
            </w:r>
          </w:p>
        </w:tc>
        <w:tc>
          <w:tcPr>
            <w:tcW w:type="dxa" w:w="1224"/>
            <w:vAlign w:val="center"/>
          </w:tcPr>
          <w:p>
            <w:pPr>
              <w:jc w:val="left"/>
            </w:pPr>
            <w:r/>
            <w:r>
              <w:rPr>
                <w:b w:val="0"/>
                <w:color w:val="1F2937"/>
                <w:sz w:val="18"/>
              </w:rPr>
              <w:t>69.31%</w:t>
            </w:r>
          </w:p>
        </w:tc>
        <w:tc>
          <w:tcPr>
            <w:tcW w:type="dxa" w:w="1080"/>
            <w:vAlign w:val="center"/>
          </w:tcPr>
          <w:p>
            <w:pPr>
              <w:jc w:val="left"/>
            </w:pPr>
            <w:r/>
            <w:r>
              <w:rPr>
                <w:b w:val="0"/>
                <w:color w:val="1F2937"/>
                <w:sz w:val="18"/>
              </w:rPr>
              <w:t>69.31%</w:t>
            </w:r>
          </w:p>
        </w:tc>
        <w:tc>
          <w:tcPr>
            <w:tcW w:type="dxa" w:w="1296"/>
            <w:vAlign w:val="center"/>
          </w:tcPr>
          <w:p>
            <w:pPr>
              <w:jc w:val="left"/>
            </w:pPr>
            <w:r/>
            <w:r>
              <w:rPr>
                <w:b w:val="0"/>
                <w:color w:val="1F2937"/>
                <w:sz w:val="18"/>
              </w:rPr>
              <w:t>70.01%</w:t>
            </w:r>
          </w:p>
        </w:tc>
      </w:tr>
      <w:tr>
        <w:tc>
          <w:tcPr>
            <w:tcW w:type="dxa" w:w="3024"/>
            <w:vAlign w:val="center"/>
          </w:tcPr>
          <w:p>
            <w:pPr>
              <w:jc w:val="left"/>
            </w:pPr>
            <w:r/>
            <w:r>
              <w:rPr>
                <w:b w:val="0"/>
                <w:color w:val="1F2937"/>
                <w:sz w:val="18"/>
              </w:rPr>
              <w:t>Artificial Neural Network</w:t>
            </w:r>
          </w:p>
        </w:tc>
        <w:tc>
          <w:tcPr>
            <w:tcW w:type="dxa" w:w="1224"/>
            <w:vAlign w:val="center"/>
          </w:tcPr>
          <w:p>
            <w:pPr>
              <w:jc w:val="left"/>
            </w:pPr>
            <w:r/>
            <w:r>
              <w:rPr>
                <w:b w:val="0"/>
                <w:color w:val="1F2937"/>
                <w:sz w:val="18"/>
              </w:rPr>
              <w:t>68.22%</w:t>
            </w:r>
          </w:p>
        </w:tc>
        <w:tc>
          <w:tcPr>
            <w:tcW w:type="dxa" w:w="1224"/>
            <w:vAlign w:val="center"/>
          </w:tcPr>
          <w:p>
            <w:pPr>
              <w:jc w:val="left"/>
            </w:pPr>
            <w:r/>
            <w:r>
              <w:rPr>
                <w:b w:val="0"/>
                <w:color w:val="1F2937"/>
                <w:sz w:val="18"/>
              </w:rPr>
              <w:t>73.94%</w:t>
            </w:r>
          </w:p>
        </w:tc>
        <w:tc>
          <w:tcPr>
            <w:tcW w:type="dxa" w:w="1224"/>
            <w:vAlign w:val="center"/>
          </w:tcPr>
          <w:p>
            <w:pPr>
              <w:jc w:val="left"/>
            </w:pPr>
            <w:r/>
            <w:r>
              <w:rPr>
                <w:b w:val="0"/>
                <w:color w:val="1F2937"/>
                <w:sz w:val="18"/>
              </w:rPr>
              <w:t>71.10%</w:t>
            </w:r>
          </w:p>
        </w:tc>
        <w:tc>
          <w:tcPr>
            <w:tcW w:type="dxa" w:w="1080"/>
            <w:vAlign w:val="center"/>
          </w:tcPr>
          <w:p>
            <w:pPr>
              <w:jc w:val="left"/>
            </w:pPr>
            <w:r/>
            <w:r>
              <w:rPr>
                <w:b w:val="0"/>
                <w:color w:val="1F2937"/>
                <w:sz w:val="18"/>
              </w:rPr>
              <w:t>72.49%</w:t>
            </w:r>
          </w:p>
        </w:tc>
        <w:tc>
          <w:tcPr>
            <w:tcW w:type="dxa" w:w="1296"/>
            <w:vAlign w:val="center"/>
          </w:tcPr>
          <w:p>
            <w:pPr>
              <w:jc w:val="left"/>
            </w:pPr>
            <w:r/>
            <w:r>
              <w:rPr>
                <w:b w:val="0"/>
                <w:color w:val="1F2937"/>
                <w:sz w:val="18"/>
              </w:rPr>
              <w:t>74.02%</w:t>
            </w:r>
          </w:p>
        </w:tc>
      </w:tr>
    </w:tbl>
    <w:p>
      <w:pPr>
        <w:jc w:val="center"/>
      </w:pPr>
      <w:r>
        <w:drawing>
          <wp:inline xmlns:a="http://schemas.openxmlformats.org/drawingml/2006/main" xmlns:pic="http://schemas.openxmlformats.org/drawingml/2006/picture">
            <wp:extent cx="5577840" cy="3110181"/>
            <wp:docPr id="10" name="Picture 10"/>
            <wp:cNvGraphicFramePr>
              <a:graphicFrameLocks noChangeAspect="1"/>
            </wp:cNvGraphicFramePr>
            <a:graphic>
              <a:graphicData uri="http://schemas.openxmlformats.org/drawingml/2006/picture">
                <pic:pic>
                  <pic:nvPicPr>
                    <pic:cNvPr id="0" name="task5_model_comparison_clean.png"/>
                    <pic:cNvPicPr/>
                  </pic:nvPicPr>
                  <pic:blipFill>
                    <a:blip r:embed="rId19"/>
                    <a:stretch>
                      <a:fillRect/>
                    </a:stretch>
                  </pic:blipFill>
                  <pic:spPr>
                    <a:xfrm>
                      <a:off x="0" y="0"/>
                      <a:ext cx="5577840" cy="3110181"/>
                    </a:xfrm>
                    <a:prstGeom prst="rect"/>
                  </pic:spPr>
                </pic:pic>
              </a:graphicData>
            </a:graphic>
          </wp:inline>
        </w:drawing>
      </w:r>
    </w:p>
    <w:p>
      <w:pPr>
        <w:jc w:val="center"/>
      </w:pPr>
      <w:r>
        <w:rPr>
          <w:b/>
          <w:color w:val="667085"/>
          <w:sz w:val="17"/>
        </w:rPr>
        <w:t>Figure 7. Test-set comparison of the three recorded models.</w:t>
      </w:r>
    </w:p>
    <w:p>
      <w:pPr>
        <w:pStyle w:val="Heading2"/>
      </w:pPr>
      <w:r>
        <w:rPr>
          <w:color w:val="3B5B7A"/>
        </w:rPr>
        <w:t>11.1 Interpretation</w:t>
      </w:r>
    </w:p>
    <w:p>
      <w:pPr>
        <w:pStyle w:val="ListBullet"/>
        <w:spacing w:after="40"/>
      </w:pPr>
      <w:r>
        <w:t>The ANN has the highest recorded ROC-AUC (74.02%), narrowly above Logistic Regression (73.44%).</w:t>
      </w:r>
    </w:p>
    <w:p>
      <w:pPr>
        <w:pStyle w:val="ListBullet"/>
        <w:spacing w:after="40"/>
      </w:pPr>
      <w:r>
        <w:t>Logistic Regression has slightly higher accuracy and F1-score than the ANN in this experiment.</w:t>
      </w:r>
    </w:p>
    <w:p>
      <w:pPr>
        <w:pStyle w:val="ListBullet"/>
        <w:spacing w:after="40"/>
      </w:pPr>
      <w:r>
        <w:t>Random Forest records lower accuracy, F1 and ROC-AUC than the other two models.</w:t>
      </w:r>
    </w:p>
    <w:p>
      <w:pPr>
        <w:pStyle w:val="ListBullet"/>
        <w:spacing w:after="40"/>
      </w:pPr>
      <w:r>
        <w:t>The close ANN and Logistic Regression results suggest that the engineered six-feature representation already captures much of the available predictive signal.</w:t>
      </w:r>
    </w:p>
    <w:p>
      <w:pPr>
        <w:pStyle w:val="ListBullet"/>
        <w:spacing w:after="40"/>
      </w:pPr>
      <w:r>
        <w:t>Deep learning should therefore be evaluated on measured performance and operational requirements rather than assumed to be superior because it is more complex.</w:t>
      </w:r>
    </w:p>
    <w:p>
      <w:r>
        <w:br w:type="page"/>
      </w:r>
    </w:p>
    <w:p>
      <w:pPr>
        <w:pStyle w:val="Heading1"/>
      </w:pPr>
      <w:r>
        <w:rPr>
          <w:color w:val="243B53"/>
        </w:rPr>
        <w:t>12. Strengths, Limitations and Challenges</w:t>
      </w:r>
    </w:p>
    <w:p>
      <w:pPr>
        <w:pStyle w:val="Heading2"/>
      </w:pPr>
      <w:r>
        <w:rPr>
          <w:color w:val="3B5B7A"/>
        </w:rPr>
        <w:t>12.1 Strengths</w:t>
      </w:r>
    </w:p>
    <w:p>
      <w:pPr>
        <w:pStyle w:val="ListBullet"/>
        <w:spacing w:after="40"/>
      </w:pPr>
      <w:r>
        <w:t>Complete start-to-finish deep-learning workflow.</w:t>
      </w:r>
    </w:p>
    <w:p>
      <w:pPr>
        <w:pStyle w:val="ListBullet"/>
        <w:spacing w:after="40"/>
      </w:pPr>
      <w:r>
        <w:t>Chronological target construction reduces future-information leakage.</w:t>
      </w:r>
    </w:p>
    <w:p>
      <w:pPr>
        <w:pStyle w:val="ListBullet"/>
        <w:spacing w:after="40"/>
      </w:pPr>
      <w:r>
        <w:t>Appropriate transformations for skewed customer-level variables.</w:t>
      </w:r>
    </w:p>
    <w:p>
      <w:pPr>
        <w:pStyle w:val="ListBullet"/>
        <w:spacing w:after="40"/>
      </w:pPr>
      <w:r>
        <w:t>Regularization through dropout and early stopping.</w:t>
      </w:r>
    </w:p>
    <w:p>
      <w:pPr>
        <w:pStyle w:val="ListBullet"/>
        <w:spacing w:after="40"/>
      </w:pPr>
      <w:r>
        <w:t>Multiple evaluation metrics and a held-out test set.</w:t>
      </w:r>
    </w:p>
    <w:p>
      <w:pPr>
        <w:pStyle w:val="ListBullet"/>
        <w:spacing w:after="40"/>
      </w:pPr>
      <w:r>
        <w:t>Direct benchmark against Task 4 classical models.</w:t>
      </w:r>
    </w:p>
    <w:p>
      <w:pPr>
        <w:pStyle w:val="Heading2"/>
      </w:pPr>
      <w:r>
        <w:rPr>
          <w:color w:val="3B5B7A"/>
        </w:rPr>
        <w:t>12.2 Limitations</w:t>
      </w:r>
    </w:p>
    <w:p>
      <w:pPr>
        <w:pStyle w:val="ListBullet"/>
        <w:spacing w:after="40"/>
      </w:pPr>
      <w:r>
        <w:t>The dataset contains only 3,317 customer-level modeling records and six engineered features, limiting the amount of information available to a neural network.</w:t>
      </w:r>
    </w:p>
    <w:p>
      <w:pPr>
        <w:pStyle w:val="ListBullet"/>
        <w:spacing w:after="40"/>
      </w:pPr>
      <w:r>
        <w:t>The target uses one future window; performance may change for another cutoff or horizon.</w:t>
      </w:r>
    </w:p>
    <w:p>
      <w:pPr>
        <w:pStyle w:val="ListBullet"/>
        <w:spacing w:after="40"/>
      </w:pPr>
      <w:r>
        <w:t>One train/validation/test split does not fully characterize temporal stability.</w:t>
      </w:r>
    </w:p>
    <w:p>
      <w:pPr>
        <w:pStyle w:val="ListBullet"/>
        <w:spacing w:after="40"/>
      </w:pPr>
      <w:r>
        <w:t>The default 0.50 classification threshold may not align with a particular business cost structure.</w:t>
      </w:r>
    </w:p>
    <w:p>
      <w:pPr>
        <w:pStyle w:val="ListBullet"/>
        <w:spacing w:after="40"/>
      </w:pPr>
      <w:r>
        <w:t>ANN predictions are less inherently interpretable than a linear model.</w:t>
      </w:r>
    </w:p>
    <w:p>
      <w:pPr>
        <w:pStyle w:val="Heading2"/>
      </w:pPr>
      <w:r>
        <w:rPr>
          <w:color w:val="3B5B7A"/>
        </w:rPr>
        <w:t>12.3 Challenges and mitigation</w:t>
      </w:r>
    </w:p>
    <w:tbl>
      <w:tblPr>
        <w:tblW w:type="auto" w:w="0"/>
        <w:jc w:val="center"/>
        <w:tblLayout w:type="fixed"/>
        <w:tblLook w:firstColumn="1" w:firstRow="1" w:lastColumn="0" w:lastRow="0" w:noHBand="0" w:noVBand="1" w:val="04A0"/>
        <w:tblBorders>
          <w:top w:val="single" w:sz="6" w:color="D0D5DD"/>
          <w:left w:val="single" w:sz="6" w:color="D0D5DD"/>
          <w:bottom w:val="single" w:sz="6" w:color="D0D5DD"/>
          <w:right w:val="single" w:sz="6" w:color="D0D5DD"/>
          <w:insideH w:val="single" w:sz="6" w:color="D0D5DD"/>
          <w:insideV w:val="single" w:sz="6" w:color="D0D5DD"/>
        </w:tblBorders>
      </w:tblPr>
      <w:tblGrid>
        <w:gridCol w:w="5112"/>
        <w:gridCol w:w="5112"/>
      </w:tblGrid>
      <w:tr>
        <w:tc>
          <w:tcPr>
            <w:tcW w:type="dxa" w:w="3888"/>
            <w:vAlign w:val="center"/>
            <w:shd w:fill="243B53"/>
          </w:tcPr>
          <w:p>
            <w:pPr>
              <w:jc w:val="center"/>
            </w:pPr>
            <w:r/>
            <w:r>
              <w:rPr>
                <w:b/>
                <w:color w:val="FFFFFF"/>
                <w:sz w:val="18"/>
              </w:rPr>
              <w:t>Challenge</w:t>
            </w:r>
          </w:p>
        </w:tc>
        <w:tc>
          <w:tcPr>
            <w:tcW w:type="dxa" w:w="5616"/>
            <w:vAlign w:val="center"/>
            <w:shd w:fill="243B53"/>
          </w:tcPr>
          <w:p>
            <w:pPr>
              <w:jc w:val="center"/>
            </w:pPr>
            <w:r/>
            <w:r>
              <w:rPr>
                <w:b/>
                <w:color w:val="FFFFFF"/>
                <w:sz w:val="18"/>
              </w:rPr>
              <w:t>Mitigation</w:t>
            </w:r>
          </w:p>
        </w:tc>
      </w:tr>
      <w:tr>
        <w:tc>
          <w:tcPr>
            <w:tcW w:type="dxa" w:w="3888"/>
            <w:vAlign w:val="center"/>
          </w:tcPr>
          <w:p>
            <w:pPr>
              <w:jc w:val="left"/>
            </w:pPr>
            <w:r/>
            <w:r>
              <w:rPr>
                <w:b w:val="0"/>
                <w:color w:val="1F2937"/>
                <w:sz w:val="18"/>
              </w:rPr>
              <w:t>Feature skew</w:t>
            </w:r>
          </w:p>
        </w:tc>
        <w:tc>
          <w:tcPr>
            <w:tcW w:type="dxa" w:w="5616"/>
            <w:vAlign w:val="center"/>
          </w:tcPr>
          <w:p>
            <w:pPr>
              <w:jc w:val="left"/>
            </w:pPr>
            <w:r/>
            <w:r>
              <w:rPr>
                <w:b w:val="0"/>
                <w:color w:val="1F2937"/>
                <w:sz w:val="18"/>
              </w:rPr>
              <w:t>log1p transformation</w:t>
            </w:r>
          </w:p>
        </w:tc>
      </w:tr>
      <w:tr>
        <w:tc>
          <w:tcPr>
            <w:tcW w:type="dxa" w:w="3888"/>
            <w:vAlign w:val="center"/>
          </w:tcPr>
          <w:p>
            <w:pPr>
              <w:jc w:val="left"/>
            </w:pPr>
            <w:r/>
            <w:r>
              <w:rPr>
                <w:b w:val="0"/>
                <w:color w:val="1F2937"/>
                <w:sz w:val="18"/>
              </w:rPr>
              <w:t>Different feature scales</w:t>
            </w:r>
          </w:p>
        </w:tc>
        <w:tc>
          <w:tcPr>
            <w:tcW w:type="dxa" w:w="5616"/>
            <w:vAlign w:val="center"/>
          </w:tcPr>
          <w:p>
            <w:pPr>
              <w:jc w:val="left"/>
            </w:pPr>
            <w:r/>
            <w:r>
              <w:rPr>
                <w:b w:val="0"/>
                <w:color w:val="1F2937"/>
                <w:sz w:val="18"/>
              </w:rPr>
              <w:t>StandardScaler fitted only on training data</w:t>
            </w:r>
          </w:p>
        </w:tc>
      </w:tr>
      <w:tr>
        <w:tc>
          <w:tcPr>
            <w:tcW w:type="dxa" w:w="3888"/>
            <w:vAlign w:val="center"/>
          </w:tcPr>
          <w:p>
            <w:pPr>
              <w:jc w:val="left"/>
            </w:pPr>
            <w:r/>
            <w:r>
              <w:rPr>
                <w:b w:val="0"/>
                <w:color w:val="1F2937"/>
                <w:sz w:val="18"/>
              </w:rPr>
              <w:t>Overfitting risk</w:t>
            </w:r>
          </w:p>
        </w:tc>
        <w:tc>
          <w:tcPr>
            <w:tcW w:type="dxa" w:w="5616"/>
            <w:vAlign w:val="center"/>
          </w:tcPr>
          <w:p>
            <w:pPr>
              <w:jc w:val="left"/>
            </w:pPr>
            <w:r/>
            <w:r>
              <w:rPr>
                <w:b w:val="0"/>
                <w:color w:val="1F2937"/>
                <w:sz w:val="18"/>
              </w:rPr>
              <w:t>Dropout + validation monitoring + early stopping</w:t>
            </w:r>
          </w:p>
        </w:tc>
      </w:tr>
      <w:tr>
        <w:tc>
          <w:tcPr>
            <w:tcW w:type="dxa" w:w="3888"/>
            <w:vAlign w:val="center"/>
          </w:tcPr>
          <w:p>
            <w:pPr>
              <w:jc w:val="left"/>
            </w:pPr>
            <w:r/>
            <w:r>
              <w:rPr>
                <w:b w:val="0"/>
                <w:color w:val="1F2937"/>
                <w:sz w:val="18"/>
              </w:rPr>
              <w:t>Future leakage risk</w:t>
            </w:r>
          </w:p>
        </w:tc>
        <w:tc>
          <w:tcPr>
            <w:tcW w:type="dxa" w:w="5616"/>
            <w:vAlign w:val="center"/>
          </w:tcPr>
          <w:p>
            <w:pPr>
              <w:jc w:val="left"/>
            </w:pPr>
            <w:r/>
            <w:r>
              <w:rPr>
                <w:b w:val="0"/>
                <w:color w:val="1F2937"/>
                <w:sz w:val="18"/>
              </w:rPr>
              <w:t>Chronological cutoff</w:t>
            </w:r>
          </w:p>
        </w:tc>
      </w:tr>
      <w:tr>
        <w:tc>
          <w:tcPr>
            <w:tcW w:type="dxa" w:w="3888"/>
            <w:vAlign w:val="center"/>
          </w:tcPr>
          <w:p>
            <w:pPr>
              <w:jc w:val="left"/>
            </w:pPr>
            <w:r/>
            <w:r>
              <w:rPr>
                <w:b w:val="0"/>
                <w:color w:val="1F2937"/>
                <w:sz w:val="18"/>
              </w:rPr>
              <w:t>Small tabular dataset</w:t>
            </w:r>
          </w:p>
        </w:tc>
        <w:tc>
          <w:tcPr>
            <w:tcW w:type="dxa" w:w="5616"/>
            <w:vAlign w:val="center"/>
          </w:tcPr>
          <w:p>
            <w:pPr>
              <w:jc w:val="left"/>
            </w:pPr>
            <w:r/>
            <w:r>
              <w:rPr>
                <w:b w:val="0"/>
                <w:color w:val="1F2937"/>
                <w:sz w:val="18"/>
              </w:rPr>
              <w:t>Compact 11,265-parameter architecture</w:t>
            </w:r>
          </w:p>
        </w:tc>
      </w:tr>
      <w:tr>
        <w:tc>
          <w:tcPr>
            <w:tcW w:type="dxa" w:w="3888"/>
            <w:vAlign w:val="center"/>
          </w:tcPr>
          <w:p>
            <w:pPr>
              <w:jc w:val="left"/>
            </w:pPr>
            <w:r/>
            <w:r>
              <w:rPr>
                <w:b w:val="0"/>
                <w:color w:val="1F2937"/>
                <w:sz w:val="18"/>
              </w:rPr>
              <w:t>Training beyond best validation point</w:t>
            </w:r>
          </w:p>
        </w:tc>
        <w:tc>
          <w:tcPr>
            <w:tcW w:type="dxa" w:w="5616"/>
            <w:vAlign w:val="center"/>
          </w:tcPr>
          <w:p>
            <w:pPr>
              <w:jc w:val="left"/>
            </w:pPr>
            <w:r/>
            <w:r>
              <w:rPr>
                <w:b w:val="0"/>
                <w:color w:val="1F2937"/>
                <w:sz w:val="18"/>
              </w:rPr>
              <w:t>restore_best_weights=True</w:t>
            </w:r>
          </w:p>
        </w:tc>
      </w:tr>
    </w:tbl>
    <w:p>
      <w:r>
        <w:br w:type="page"/>
      </w:r>
    </w:p>
    <w:p>
      <w:pPr>
        <w:pStyle w:val="Heading1"/>
      </w:pPr>
      <w:r>
        <w:rPr>
          <w:color w:val="243B53"/>
        </w:rPr>
        <w:t>13. Improvements and Business Implications</w:t>
      </w:r>
    </w:p>
    <w:p>
      <w:pPr>
        <w:pStyle w:val="Heading2"/>
      </w:pPr>
      <w:r>
        <w:rPr>
          <w:color w:val="3B5B7A"/>
        </w:rPr>
        <w:t>13.1 Technical improvements</w:t>
      </w:r>
    </w:p>
    <w:p>
      <w:pPr>
        <w:pStyle w:val="ListNumber"/>
        <w:spacing w:after="40"/>
      </w:pPr>
      <w:r>
        <w:t>Use rolling or repeated chronological validation to test temporal robustness.</w:t>
      </w:r>
    </w:p>
    <w:p>
      <w:pPr>
        <w:pStyle w:val="ListNumber"/>
        <w:spacing w:after="40"/>
      </w:pPr>
      <w:r>
        <w:t>Optimize the decision threshold for the cost of false positives versus false negatives.</w:t>
      </w:r>
    </w:p>
    <w:p>
      <w:pPr>
        <w:pStyle w:val="ListNumber"/>
        <w:spacing w:after="40"/>
      </w:pPr>
      <w:r>
        <w:t>Engineer richer temporal features such as purchase intervals, recent spending trend and order-frequency changes.</w:t>
      </w:r>
    </w:p>
    <w:p>
      <w:pPr>
        <w:pStyle w:val="ListNumber"/>
        <w:spacing w:after="40"/>
      </w:pPr>
      <w:r>
        <w:t>Add product/category and basket-level features while preserving the temporal leakage constraint.</w:t>
      </w:r>
    </w:p>
    <w:p>
      <w:pPr>
        <w:pStyle w:val="ListNumber"/>
        <w:spacing w:after="40"/>
      </w:pPr>
      <w:r>
        <w:t>Perform controlled hyperparameter tuning or compare a smaller ANN against the current architecture.</w:t>
      </w:r>
    </w:p>
    <w:p>
      <w:pPr>
        <w:pStyle w:val="ListNumber"/>
        <w:spacing w:after="40"/>
      </w:pPr>
      <w:r>
        <w:t>Apply explainability techniques such as SHAP or permutation importance.</w:t>
      </w:r>
    </w:p>
    <w:p>
      <w:pPr>
        <w:pStyle w:val="ListNumber"/>
        <w:spacing w:after="40"/>
      </w:pPr>
      <w:r>
        <w:t>Calibrate probabilities if predicted probabilities will be used for customer prioritization.</w:t>
      </w:r>
    </w:p>
    <w:p>
      <w:pPr>
        <w:pStyle w:val="Heading2"/>
      </w:pPr>
      <w:r>
        <w:rPr>
          <w:color w:val="3B5B7A"/>
        </w:rPr>
        <w:t>13.2 Potential business applications</w:t>
      </w:r>
    </w:p>
    <w:p>
      <w:pPr>
        <w:pStyle w:val="ListBullet"/>
        <w:spacing w:after="40"/>
      </w:pPr>
      <w:r>
        <w:t>Prioritize customers for retention or follow-up analysis.</w:t>
      </w:r>
    </w:p>
    <w:p>
      <w:pPr>
        <w:pStyle w:val="ListBullet"/>
        <w:spacing w:after="40"/>
      </w:pPr>
      <w:r>
        <w:t>Combine repeat-purchase probability with the RFM segments from Task 3.</w:t>
      </w:r>
    </w:p>
    <w:p>
      <w:pPr>
        <w:pStyle w:val="ListBullet"/>
        <w:spacing w:after="40"/>
      </w:pPr>
      <w:r>
        <w:t>Design controlled experiments to test targeted campaigns for different predicted-risk groups.</w:t>
      </w:r>
    </w:p>
    <w:p>
      <w:pPr>
        <w:pStyle w:val="ListBullet"/>
        <w:spacing w:after="40"/>
      </w:pPr>
      <w:r>
        <w:t>Use model probabilities as one decision input rather than an automatic business rule.</w:t>
      </w:r>
    </w:p>
    <w:tbl>
      <w:tblPr>
        <w:tblW w:type="auto" w:w="0"/>
        <w:jc w:val="center"/>
        <w:tblLook w:firstColumn="1" w:firstRow="1" w:lastColumn="0" w:lastRow="0" w:noHBand="0" w:noVBand="1" w:val="04A0"/>
        <w:tblBorders>
          <w:top w:val="single" w:sz="6" w:color="C7D7F5"/>
          <w:left w:val="single" w:sz="6" w:color="C7D7F5"/>
          <w:bottom w:val="single" w:sz="6" w:color="C7D7F5"/>
          <w:right w:val="single" w:sz="6" w:color="C7D7F5"/>
          <w:insideH w:val="single" w:sz="6" w:color="C7D7F5"/>
          <w:insideV w:val="single" w:sz="6" w:color="C7D7F5"/>
        </w:tblBorders>
      </w:tblPr>
      <w:tblGrid>
        <w:gridCol w:w="10224"/>
      </w:tblGrid>
      <w:tr>
        <w:tc>
          <w:tcPr>
            <w:tcW w:type="dxa" w:w="10224"/>
            <w:shd w:fill="EEF4FF"/>
          </w:tcPr>
          <w:p>
            <w:r/>
            <w:r>
              <w:rPr>
                <w:b/>
                <w:color w:val="243B53"/>
                <w:sz w:val="21"/>
              </w:rPr>
              <w:t>Causal caution</w:t>
            </w:r>
            <w:r>
              <w:rPr>
                <w:sz w:val="19"/>
              </w:rPr>
              <w:br/>
              <w:t>A prediction model identifies customers with different probabilities of future purchase. It does not establish that contacting a customer, offering a discount or changing an experience will cause the predicted outcome.</w:t>
            </w:r>
          </w:p>
        </w:tc>
      </w:tr>
    </w:tbl>
    <w:p/>
    <w:p>
      <w:r>
        <w:br w:type="page"/>
      </w:r>
    </w:p>
    <w:p>
      <w:pPr>
        <w:pStyle w:val="Heading1"/>
      </w:pPr>
      <w:r>
        <w:rPr>
          <w:color w:val="243B53"/>
        </w:rPr>
        <w:t>14. Conclusion</w:t>
      </w:r>
    </w:p>
    <w:p>
      <w:r>
        <w:t>The Week 5 task successfully implemented an Artificial Neural Network for customer repeat-purchase prediction using TensorFlow/Keras. The project demonstrates a complete deep-learning workflow: data preparation, leakage-aware target definition, customer-level feature engineering, log transformation, scaling, neural-network design, regularized training, early stopping, held-out testing and comparative evaluation.</w:t>
      </w:r>
    </w:p>
    <w:p>
      <w:r>
        <w:t>The final ANN achieved 68.22% accuracy, 73.94% precision, 71.10% recall, 72.49% F1-score and 74.02% ROC-AUC. Its performance was close to Logistic Regression while producing a slightly higher ROC-AUC in the recorded comparison. The results therefore provide a realistic deep-learning benchmark rather than an unsupported claim that a neural network must outperform classical machine learning.</w:t>
      </w:r>
    </w:p>
    <w:tbl>
      <w:tblPr>
        <w:tblW w:type="auto" w:w="0"/>
        <w:jc w:val="center"/>
        <w:tblLook w:firstColumn="1" w:firstRow="1" w:lastColumn="0" w:lastRow="0" w:noHBand="0" w:noVBand="1" w:val="04A0"/>
        <w:tblBorders>
          <w:top w:val="single" w:sz="6" w:color="C7D7F5"/>
          <w:left w:val="single" w:sz="6" w:color="C7D7F5"/>
          <w:bottom w:val="single" w:sz="6" w:color="C7D7F5"/>
          <w:right w:val="single" w:sz="6" w:color="C7D7F5"/>
          <w:insideH w:val="single" w:sz="6" w:color="C7D7F5"/>
          <w:insideV w:val="single" w:sz="6" w:color="C7D7F5"/>
        </w:tblBorders>
      </w:tblPr>
      <w:tblGrid>
        <w:gridCol w:w="10224"/>
      </w:tblGrid>
      <w:tr>
        <w:tc>
          <w:tcPr>
            <w:tcW w:type="dxa" w:w="10224"/>
            <w:shd w:fill="EEF4FF"/>
          </w:tcPr>
          <w:p>
            <w:r/>
            <w:r>
              <w:rPr>
                <w:b/>
                <w:color w:val="243B53"/>
                <w:sz w:val="21"/>
              </w:rPr>
              <w:t>Final takeaway</w:t>
            </w:r>
            <w:r>
              <w:rPr>
                <w:sz w:val="19"/>
              </w:rPr>
              <w:br/>
              <w:t>The strongest aspect of the project is the rigor of the pipeline: future transactions are kept out of the input features, validation is used for model selection, the test set is held out for final evaluation, and the ANN is compared directly with Task 4 baselines.</w:t>
            </w:r>
          </w:p>
        </w:tc>
      </w:tr>
    </w:tbl>
    <w:p/>
    <w:p>
      <w:r>
        <w:br w:type="page"/>
      </w:r>
    </w:p>
    <w:p>
      <w:pPr>
        <w:pStyle w:val="Heading1"/>
      </w:pPr>
      <w:r>
        <w:rPr>
          <w:color w:val="243B53"/>
        </w:rPr>
        <w:t>Appendix A — Complete Notebook Evidence</w:t>
      </w:r>
    </w:p>
    <w:p>
      <w:r>
        <w:t>All 19 screenshots supplied in the Task 5 ZIP are embedded below. The evidence is arranged compactly so the evaluator can trace each major stage without turning the main report into a screenshot dump.</w:t>
      </w:r>
    </w:p>
    <w:tbl>
      <w:tblPr>
        <w:tblW w:type="auto" w:w="0"/>
        <w:jc w:val="center"/>
        <w:tblLayout w:type="fixed"/>
        <w:tblLook w:firstColumn="1" w:firstRow="1" w:lastColumn="0" w:lastRow="0" w:noHBand="0" w:noVBand="1" w:val="04A0"/>
        <w:tblBorders>
          <w:top w:val="single" w:sz="6" w:color="E4E7EC"/>
          <w:left w:val="single" w:sz="6" w:color="E4E7EC"/>
          <w:bottom w:val="single" w:sz="6" w:color="E4E7EC"/>
          <w:right w:val="single" w:sz="6" w:color="E4E7EC"/>
          <w:insideH w:val="single" w:sz="6" w:color="E4E7EC"/>
          <w:insideV w:val="single" w:sz="6" w:color="E4E7EC"/>
        </w:tblBorders>
      </w:tblPr>
      <w:tblGrid>
        <w:gridCol w:w="5112"/>
        <w:gridCol w:w="5112"/>
      </w:tblGrid>
      <w:tr>
        <w:tc>
          <w:tcPr>
            <w:tcW w:type="dxa" w:w="5112"/>
          </w:tcPr>
          <w:p>
            <w:pPr>
              <w:jc w:val="center"/>
            </w:pPr>
            <w:r/>
            <w:r>
              <w:drawing>
                <wp:inline xmlns:a="http://schemas.openxmlformats.org/drawingml/2006/main" xmlns:pic="http://schemas.openxmlformats.org/drawingml/2006/picture">
                  <wp:extent cx="2697480" cy="2267679"/>
                  <wp:docPr id="11" name="Picture 11"/>
                  <wp:cNvGraphicFramePr>
                    <a:graphicFrameLocks noChangeAspect="1"/>
                  </wp:cNvGraphicFramePr>
                  <a:graphic>
                    <a:graphicData uri="http://schemas.openxmlformats.org/drawingml/2006/picture">
                      <pic:pic>
                        <pic:nvPicPr>
                          <pic:cNvPr id="0" name="task5_ss_01.png"/>
                          <pic:cNvPicPr/>
                        </pic:nvPicPr>
                        <pic:blipFill>
                          <a:blip r:embed="rId20"/>
                          <a:stretch>
                            <a:fillRect/>
                          </a:stretch>
                        </pic:blipFill>
                        <pic:spPr>
                          <a:xfrm>
                            <a:off x="0" y="0"/>
                            <a:ext cx="2697480" cy="2267679"/>
                          </a:xfrm>
                          <a:prstGeom prst="rect"/>
                        </pic:spPr>
                      </pic:pic>
                    </a:graphicData>
                  </a:graphic>
                </wp:inline>
              </w:drawing>
            </w:r>
          </w:p>
          <w:p>
            <w:pPr>
              <w:jc w:val="center"/>
            </w:pPr>
            <w:r>
              <w:rPr>
                <w:b/>
                <w:color w:val="667085"/>
                <w:sz w:val="15"/>
              </w:rPr>
              <w:t>1. Python environment and imports</w:t>
            </w:r>
          </w:p>
        </w:tc>
        <w:tc>
          <w:tcPr>
            <w:tcW w:type="dxa" w:w="5112"/>
          </w:tcPr>
          <w:p>
            <w:pPr>
              <w:jc w:val="center"/>
            </w:pPr>
            <w:r/>
            <w:r>
              <w:drawing>
                <wp:inline xmlns:a="http://schemas.openxmlformats.org/drawingml/2006/main" xmlns:pic="http://schemas.openxmlformats.org/drawingml/2006/picture">
                  <wp:extent cx="2697480" cy="503261"/>
                  <wp:docPr id="12" name="Picture 12"/>
                  <wp:cNvGraphicFramePr>
                    <a:graphicFrameLocks noChangeAspect="1"/>
                  </wp:cNvGraphicFramePr>
                  <a:graphic>
                    <a:graphicData uri="http://schemas.openxmlformats.org/drawingml/2006/picture">
                      <pic:pic>
                        <pic:nvPicPr>
                          <pic:cNvPr id="0" name="task5_ss_02.png"/>
                          <pic:cNvPicPr/>
                        </pic:nvPicPr>
                        <pic:blipFill>
                          <a:blip r:embed="rId21"/>
                          <a:stretch>
                            <a:fillRect/>
                          </a:stretch>
                        </pic:blipFill>
                        <pic:spPr>
                          <a:xfrm>
                            <a:off x="0" y="0"/>
                            <a:ext cx="2697480" cy="503261"/>
                          </a:xfrm>
                          <a:prstGeom prst="rect"/>
                        </pic:spPr>
                      </pic:pic>
                    </a:graphicData>
                  </a:graphic>
                </wp:inline>
              </w:drawing>
            </w:r>
          </w:p>
          <w:p>
            <w:pPr>
              <w:jc w:val="center"/>
            </w:pPr>
            <w:r>
              <w:rPr>
                <w:b/>
                <w:color w:val="667085"/>
                <w:sz w:val="15"/>
              </w:rPr>
              <w:t>2. Original dataset verification</w:t>
            </w:r>
          </w:p>
        </w:tc>
      </w:tr>
    </w:tbl>
    <w:p/>
    <w:tbl>
      <w:tblPr>
        <w:tblW w:type="auto" w:w="0"/>
        <w:jc w:val="center"/>
        <w:tblLayout w:type="fixed"/>
        <w:tblLook w:firstColumn="1" w:firstRow="1" w:lastColumn="0" w:lastRow="0" w:noHBand="0" w:noVBand="1" w:val="04A0"/>
        <w:tblBorders>
          <w:top w:val="single" w:sz="6" w:color="E4E7EC"/>
          <w:left w:val="single" w:sz="6" w:color="E4E7EC"/>
          <w:bottom w:val="single" w:sz="6" w:color="E4E7EC"/>
          <w:right w:val="single" w:sz="6" w:color="E4E7EC"/>
          <w:insideH w:val="single" w:sz="6" w:color="E4E7EC"/>
          <w:insideV w:val="single" w:sz="6" w:color="E4E7EC"/>
        </w:tblBorders>
      </w:tblPr>
      <w:tblGrid>
        <w:gridCol w:w="5112"/>
        <w:gridCol w:w="5112"/>
      </w:tblGrid>
      <w:tr>
        <w:tc>
          <w:tcPr>
            <w:tcW w:type="dxa" w:w="5112"/>
          </w:tcPr>
          <w:p>
            <w:pPr>
              <w:jc w:val="center"/>
            </w:pPr>
            <w:r/>
            <w:r>
              <w:drawing>
                <wp:inline xmlns:a="http://schemas.openxmlformats.org/drawingml/2006/main" xmlns:pic="http://schemas.openxmlformats.org/drawingml/2006/picture">
                  <wp:extent cx="2697480" cy="3176552"/>
                  <wp:docPr id="13" name="Picture 13"/>
                  <wp:cNvGraphicFramePr>
                    <a:graphicFrameLocks noChangeAspect="1"/>
                  </wp:cNvGraphicFramePr>
                  <a:graphic>
                    <a:graphicData uri="http://schemas.openxmlformats.org/drawingml/2006/picture">
                      <pic:pic>
                        <pic:nvPicPr>
                          <pic:cNvPr id="0" name="task5_ss_03.png"/>
                          <pic:cNvPicPr/>
                        </pic:nvPicPr>
                        <pic:blipFill>
                          <a:blip r:embed="rId22"/>
                          <a:stretch>
                            <a:fillRect/>
                          </a:stretch>
                        </pic:blipFill>
                        <pic:spPr>
                          <a:xfrm>
                            <a:off x="0" y="0"/>
                            <a:ext cx="2697480" cy="3176552"/>
                          </a:xfrm>
                          <a:prstGeom prst="rect"/>
                        </pic:spPr>
                      </pic:pic>
                    </a:graphicData>
                  </a:graphic>
                </wp:inline>
              </w:drawing>
            </w:r>
          </w:p>
          <w:p>
            <w:pPr>
              <w:jc w:val="center"/>
            </w:pPr>
            <w:r>
              <w:rPr>
                <w:b/>
                <w:color w:val="667085"/>
                <w:sz w:val="15"/>
              </w:rPr>
              <w:t>3. Temporal split and target construction</w:t>
            </w:r>
          </w:p>
        </w:tc>
        <w:tc>
          <w:tcPr>
            <w:tcW w:type="dxa" w:w="5112"/>
          </w:tcPr>
          <w:p>
            <w:pPr>
              <w:jc w:val="center"/>
            </w:pPr>
            <w:r/>
            <w:r>
              <w:drawing>
                <wp:inline xmlns:a="http://schemas.openxmlformats.org/drawingml/2006/main" xmlns:pic="http://schemas.openxmlformats.org/drawingml/2006/picture">
                  <wp:extent cx="2697480" cy="3148579"/>
                  <wp:docPr id="14" name="Picture 14"/>
                  <wp:cNvGraphicFramePr>
                    <a:graphicFrameLocks noChangeAspect="1"/>
                  </wp:cNvGraphicFramePr>
                  <a:graphic>
                    <a:graphicData uri="http://schemas.openxmlformats.org/drawingml/2006/picture">
                      <pic:pic>
                        <pic:nvPicPr>
                          <pic:cNvPr id="0" name="task5_ss_04.png"/>
                          <pic:cNvPicPr/>
                        </pic:nvPicPr>
                        <pic:blipFill>
                          <a:blip r:embed="rId23"/>
                          <a:stretch>
                            <a:fillRect/>
                          </a:stretch>
                        </pic:blipFill>
                        <pic:spPr>
                          <a:xfrm>
                            <a:off x="0" y="0"/>
                            <a:ext cx="2697480" cy="3148579"/>
                          </a:xfrm>
                          <a:prstGeom prst="rect"/>
                        </pic:spPr>
                      </pic:pic>
                    </a:graphicData>
                  </a:graphic>
                </wp:inline>
              </w:drawing>
            </w:r>
          </w:p>
          <w:p>
            <w:pPr>
              <w:jc w:val="center"/>
            </w:pPr>
            <w:r>
              <w:rPr>
                <w:b/>
                <w:color w:val="667085"/>
                <w:sz w:val="15"/>
              </w:rPr>
              <w:t>4. Customer feature engineering</w:t>
            </w:r>
          </w:p>
        </w:tc>
      </w:tr>
    </w:tbl>
    <w:p/>
    <w:tbl>
      <w:tblPr>
        <w:tblW w:type="auto" w:w="0"/>
        <w:jc w:val="center"/>
        <w:tblLayout w:type="fixed"/>
        <w:tblLook w:firstColumn="1" w:firstRow="1" w:lastColumn="0" w:lastRow="0" w:noHBand="0" w:noVBand="1" w:val="04A0"/>
        <w:tblBorders>
          <w:top w:val="single" w:sz="6" w:color="E4E7EC"/>
          <w:left w:val="single" w:sz="6" w:color="E4E7EC"/>
          <w:bottom w:val="single" w:sz="6" w:color="E4E7EC"/>
          <w:right w:val="single" w:sz="6" w:color="E4E7EC"/>
          <w:insideH w:val="single" w:sz="6" w:color="E4E7EC"/>
          <w:insideV w:val="single" w:sz="6" w:color="E4E7EC"/>
        </w:tblBorders>
      </w:tblPr>
      <w:tblGrid>
        <w:gridCol w:w="5112"/>
        <w:gridCol w:w="5112"/>
      </w:tblGrid>
      <w:tr>
        <w:tc>
          <w:tcPr>
            <w:tcW w:type="dxa" w:w="5112"/>
          </w:tcPr>
          <w:p>
            <w:pPr>
              <w:jc w:val="center"/>
            </w:pPr>
            <w:r/>
            <w:r>
              <w:drawing>
                <wp:inline xmlns:a="http://schemas.openxmlformats.org/drawingml/2006/main" xmlns:pic="http://schemas.openxmlformats.org/drawingml/2006/picture">
                  <wp:extent cx="2697480" cy="2527113"/>
                  <wp:docPr id="15" name="Picture 15"/>
                  <wp:cNvGraphicFramePr>
                    <a:graphicFrameLocks noChangeAspect="1"/>
                  </wp:cNvGraphicFramePr>
                  <a:graphic>
                    <a:graphicData uri="http://schemas.openxmlformats.org/drawingml/2006/picture">
                      <pic:pic>
                        <pic:nvPicPr>
                          <pic:cNvPr id="0" name="task5_ss_05.png"/>
                          <pic:cNvPicPr/>
                        </pic:nvPicPr>
                        <pic:blipFill>
                          <a:blip r:embed="rId24"/>
                          <a:stretch>
                            <a:fillRect/>
                          </a:stretch>
                        </pic:blipFill>
                        <pic:spPr>
                          <a:xfrm>
                            <a:off x="0" y="0"/>
                            <a:ext cx="2697480" cy="2527113"/>
                          </a:xfrm>
                          <a:prstGeom prst="rect"/>
                        </pic:spPr>
                      </pic:pic>
                    </a:graphicData>
                  </a:graphic>
                </wp:inline>
              </w:drawing>
            </w:r>
          </w:p>
          <w:p>
            <w:pPr>
              <w:jc w:val="center"/>
            </w:pPr>
            <w:r>
              <w:rPr>
                <w:b/>
                <w:color w:val="667085"/>
                <w:sz w:val="15"/>
              </w:rPr>
              <w:t>5. Feature statistics and log transformation</w:t>
            </w:r>
          </w:p>
        </w:tc>
        <w:tc>
          <w:tcPr>
            <w:tcW w:type="dxa" w:w="5112"/>
          </w:tcPr>
          <w:p>
            <w:pPr>
              <w:jc w:val="center"/>
            </w:pPr>
            <w:r/>
            <w:r>
              <w:drawing>
                <wp:inline xmlns:a="http://schemas.openxmlformats.org/drawingml/2006/main" xmlns:pic="http://schemas.openxmlformats.org/drawingml/2006/picture">
                  <wp:extent cx="2697480" cy="2098893"/>
                  <wp:docPr id="16" name="Picture 16"/>
                  <wp:cNvGraphicFramePr>
                    <a:graphicFrameLocks noChangeAspect="1"/>
                  </wp:cNvGraphicFramePr>
                  <a:graphic>
                    <a:graphicData uri="http://schemas.openxmlformats.org/drawingml/2006/picture">
                      <pic:pic>
                        <pic:nvPicPr>
                          <pic:cNvPr id="0" name="task5_ss_06.png"/>
                          <pic:cNvPicPr/>
                        </pic:nvPicPr>
                        <pic:blipFill>
                          <a:blip r:embed="rId25"/>
                          <a:stretch>
                            <a:fillRect/>
                          </a:stretch>
                        </pic:blipFill>
                        <pic:spPr>
                          <a:xfrm>
                            <a:off x="0" y="0"/>
                            <a:ext cx="2697480" cy="2098893"/>
                          </a:xfrm>
                          <a:prstGeom prst="rect"/>
                        </pic:spPr>
                      </pic:pic>
                    </a:graphicData>
                  </a:graphic>
                </wp:inline>
              </w:drawing>
            </w:r>
          </w:p>
          <w:p>
            <w:pPr>
              <w:jc w:val="center"/>
            </w:pPr>
            <w:r>
              <w:rPr>
                <w:b/>
                <w:color w:val="667085"/>
                <w:sz w:val="15"/>
              </w:rPr>
              <w:t>6. Train/test split</w:t>
            </w:r>
          </w:p>
        </w:tc>
      </w:tr>
    </w:tbl>
    <w:p/>
    <w:tbl>
      <w:tblPr>
        <w:tblW w:type="auto" w:w="0"/>
        <w:jc w:val="center"/>
        <w:tblLayout w:type="fixed"/>
        <w:tblLook w:firstColumn="1" w:firstRow="1" w:lastColumn="0" w:lastRow="0" w:noHBand="0" w:noVBand="1" w:val="04A0"/>
        <w:tblBorders>
          <w:top w:val="single" w:sz="6" w:color="E4E7EC"/>
          <w:left w:val="single" w:sz="6" w:color="E4E7EC"/>
          <w:bottom w:val="single" w:sz="6" w:color="E4E7EC"/>
          <w:right w:val="single" w:sz="6" w:color="E4E7EC"/>
          <w:insideH w:val="single" w:sz="6" w:color="E4E7EC"/>
          <w:insideV w:val="single" w:sz="6" w:color="E4E7EC"/>
        </w:tblBorders>
      </w:tblPr>
      <w:tblGrid>
        <w:gridCol w:w="5112"/>
        <w:gridCol w:w="5112"/>
      </w:tblGrid>
      <w:tr>
        <w:tc>
          <w:tcPr>
            <w:tcW w:type="dxa" w:w="5112"/>
          </w:tcPr>
          <w:p>
            <w:pPr>
              <w:jc w:val="center"/>
            </w:pPr>
            <w:r/>
            <w:r>
              <w:drawing>
                <wp:inline xmlns:a="http://schemas.openxmlformats.org/drawingml/2006/main" xmlns:pic="http://schemas.openxmlformats.org/drawingml/2006/picture">
                  <wp:extent cx="2697480" cy="1059605"/>
                  <wp:docPr id="17" name="Picture 17"/>
                  <wp:cNvGraphicFramePr>
                    <a:graphicFrameLocks noChangeAspect="1"/>
                  </wp:cNvGraphicFramePr>
                  <a:graphic>
                    <a:graphicData uri="http://schemas.openxmlformats.org/drawingml/2006/picture">
                      <pic:pic>
                        <pic:nvPicPr>
                          <pic:cNvPr id="0" name="task5_ss_07.png"/>
                          <pic:cNvPicPr/>
                        </pic:nvPicPr>
                        <pic:blipFill>
                          <a:blip r:embed="rId26"/>
                          <a:stretch>
                            <a:fillRect/>
                          </a:stretch>
                        </pic:blipFill>
                        <pic:spPr>
                          <a:xfrm>
                            <a:off x="0" y="0"/>
                            <a:ext cx="2697480" cy="1059605"/>
                          </a:xfrm>
                          <a:prstGeom prst="rect"/>
                        </pic:spPr>
                      </pic:pic>
                    </a:graphicData>
                  </a:graphic>
                </wp:inline>
              </w:drawing>
            </w:r>
          </w:p>
          <w:p>
            <w:pPr>
              <w:jc w:val="center"/>
            </w:pPr>
            <w:r>
              <w:rPr>
                <w:b/>
                <w:color w:val="667085"/>
                <w:sz w:val="15"/>
              </w:rPr>
              <w:t>7. StandardScaler processing</w:t>
            </w:r>
          </w:p>
        </w:tc>
        <w:tc>
          <w:tcPr>
            <w:tcW w:type="dxa" w:w="5112"/>
          </w:tcPr>
          <w:p>
            <w:pPr>
              <w:jc w:val="center"/>
            </w:pPr>
            <w:r/>
            <w:r>
              <w:drawing>
                <wp:inline xmlns:a="http://schemas.openxmlformats.org/drawingml/2006/main" xmlns:pic="http://schemas.openxmlformats.org/drawingml/2006/picture">
                  <wp:extent cx="2697480" cy="1807590"/>
                  <wp:docPr id="18" name="Picture 18"/>
                  <wp:cNvGraphicFramePr>
                    <a:graphicFrameLocks noChangeAspect="1"/>
                  </wp:cNvGraphicFramePr>
                  <a:graphic>
                    <a:graphicData uri="http://schemas.openxmlformats.org/drawingml/2006/picture">
                      <pic:pic>
                        <pic:nvPicPr>
                          <pic:cNvPr id="0" name="task5_ss_08.png"/>
                          <pic:cNvPicPr/>
                        </pic:nvPicPr>
                        <pic:blipFill>
                          <a:blip r:embed="rId27"/>
                          <a:stretch>
                            <a:fillRect/>
                          </a:stretch>
                        </pic:blipFill>
                        <pic:spPr>
                          <a:xfrm>
                            <a:off x="0" y="0"/>
                            <a:ext cx="2697480" cy="1807590"/>
                          </a:xfrm>
                          <a:prstGeom prst="rect"/>
                        </pic:spPr>
                      </pic:pic>
                    </a:graphicData>
                  </a:graphic>
                </wp:inline>
              </w:drawing>
            </w:r>
          </w:p>
          <w:p>
            <w:pPr>
              <w:jc w:val="center"/>
            </w:pPr>
            <w:r>
              <w:rPr>
                <w:b/>
                <w:color w:val="667085"/>
                <w:sz w:val="15"/>
              </w:rPr>
              <w:t>8. Validation split</w:t>
            </w:r>
          </w:p>
        </w:tc>
      </w:tr>
    </w:tbl>
    <w:p/>
    <w:tbl>
      <w:tblPr>
        <w:tblW w:type="auto" w:w="0"/>
        <w:jc w:val="center"/>
        <w:tblLayout w:type="fixed"/>
        <w:tblLook w:firstColumn="1" w:firstRow="1" w:lastColumn="0" w:lastRow="0" w:noHBand="0" w:noVBand="1" w:val="04A0"/>
        <w:tblBorders>
          <w:top w:val="single" w:sz="6" w:color="E4E7EC"/>
          <w:left w:val="single" w:sz="6" w:color="E4E7EC"/>
          <w:bottom w:val="single" w:sz="6" w:color="E4E7EC"/>
          <w:right w:val="single" w:sz="6" w:color="E4E7EC"/>
          <w:insideH w:val="single" w:sz="6" w:color="E4E7EC"/>
          <w:insideV w:val="single" w:sz="6" w:color="E4E7EC"/>
        </w:tblBorders>
      </w:tblPr>
      <w:tblGrid>
        <w:gridCol w:w="5112"/>
        <w:gridCol w:w="5112"/>
      </w:tblGrid>
      <w:tr>
        <w:tc>
          <w:tcPr>
            <w:tcW w:type="dxa" w:w="5112"/>
          </w:tcPr>
          <w:p>
            <w:pPr>
              <w:jc w:val="center"/>
            </w:pPr>
            <w:r/>
            <w:r>
              <w:drawing>
                <wp:inline xmlns:a="http://schemas.openxmlformats.org/drawingml/2006/main" xmlns:pic="http://schemas.openxmlformats.org/drawingml/2006/picture">
                  <wp:extent cx="2697480" cy="1742452"/>
                  <wp:docPr id="19" name="Picture 19"/>
                  <wp:cNvGraphicFramePr>
                    <a:graphicFrameLocks noChangeAspect="1"/>
                  </wp:cNvGraphicFramePr>
                  <a:graphic>
                    <a:graphicData uri="http://schemas.openxmlformats.org/drawingml/2006/picture">
                      <pic:pic>
                        <pic:nvPicPr>
                          <pic:cNvPr id="0" name="task5_ss_09.png"/>
                          <pic:cNvPicPr/>
                        </pic:nvPicPr>
                        <pic:blipFill>
                          <a:blip r:embed="rId28"/>
                          <a:stretch>
                            <a:fillRect/>
                          </a:stretch>
                        </pic:blipFill>
                        <pic:spPr>
                          <a:xfrm>
                            <a:off x="0" y="0"/>
                            <a:ext cx="2697480" cy="1742452"/>
                          </a:xfrm>
                          <a:prstGeom prst="rect"/>
                        </pic:spPr>
                      </pic:pic>
                    </a:graphicData>
                  </a:graphic>
                </wp:inline>
              </w:drawing>
            </w:r>
          </w:p>
          <w:p>
            <w:pPr>
              <w:jc w:val="center"/>
            </w:pPr>
            <w:r>
              <w:rPr>
                <w:b/>
                <w:color w:val="667085"/>
                <w:sz w:val="15"/>
              </w:rPr>
              <w:t>9. ANN model summary</w:t>
            </w:r>
          </w:p>
        </w:tc>
        <w:tc>
          <w:tcPr>
            <w:tcW w:type="dxa" w:w="5112"/>
          </w:tcPr>
          <w:p>
            <w:pPr>
              <w:jc w:val="center"/>
            </w:pPr>
            <w:r/>
            <w:r>
              <w:drawing>
                <wp:inline xmlns:a="http://schemas.openxmlformats.org/drawingml/2006/main" xmlns:pic="http://schemas.openxmlformats.org/drawingml/2006/picture">
                  <wp:extent cx="2697480" cy="1316454"/>
                  <wp:docPr id="20" name="Picture 20"/>
                  <wp:cNvGraphicFramePr>
                    <a:graphicFrameLocks noChangeAspect="1"/>
                  </wp:cNvGraphicFramePr>
                  <a:graphic>
                    <a:graphicData uri="http://schemas.openxmlformats.org/drawingml/2006/picture">
                      <pic:pic>
                        <pic:nvPicPr>
                          <pic:cNvPr id="0" name="task5_ss_10.png"/>
                          <pic:cNvPicPr/>
                        </pic:nvPicPr>
                        <pic:blipFill>
                          <a:blip r:embed="rId29"/>
                          <a:stretch>
                            <a:fillRect/>
                          </a:stretch>
                        </pic:blipFill>
                        <pic:spPr>
                          <a:xfrm>
                            <a:off x="0" y="0"/>
                            <a:ext cx="2697480" cy="1316454"/>
                          </a:xfrm>
                          <a:prstGeom prst="rect"/>
                        </pic:spPr>
                      </pic:pic>
                    </a:graphicData>
                  </a:graphic>
                </wp:inline>
              </w:drawing>
            </w:r>
          </w:p>
          <w:p>
            <w:pPr>
              <w:jc w:val="center"/>
            </w:pPr>
            <w:r>
              <w:rPr>
                <w:b/>
                <w:color w:val="667085"/>
                <w:sz w:val="15"/>
              </w:rPr>
              <w:t>10. Training epoch output</w:t>
            </w:r>
          </w:p>
        </w:tc>
      </w:tr>
    </w:tbl>
    <w:p/>
    <w:tbl>
      <w:tblPr>
        <w:tblW w:type="auto" w:w="0"/>
        <w:jc w:val="center"/>
        <w:tblLayout w:type="fixed"/>
        <w:tblLook w:firstColumn="1" w:firstRow="1" w:lastColumn="0" w:lastRow="0" w:noHBand="0" w:noVBand="1" w:val="04A0"/>
        <w:tblBorders>
          <w:top w:val="single" w:sz="6" w:color="E4E7EC"/>
          <w:left w:val="single" w:sz="6" w:color="E4E7EC"/>
          <w:bottom w:val="single" w:sz="6" w:color="E4E7EC"/>
          <w:right w:val="single" w:sz="6" w:color="E4E7EC"/>
          <w:insideH w:val="single" w:sz="6" w:color="E4E7EC"/>
          <w:insideV w:val="single" w:sz="6" w:color="E4E7EC"/>
        </w:tblBorders>
      </w:tblPr>
      <w:tblGrid>
        <w:gridCol w:w="5112"/>
        <w:gridCol w:w="5112"/>
      </w:tblGrid>
      <w:tr>
        <w:tc>
          <w:tcPr>
            <w:tcW w:type="dxa" w:w="5112"/>
          </w:tcPr>
          <w:p>
            <w:pPr>
              <w:jc w:val="center"/>
            </w:pPr>
            <w:r/>
            <w:r>
              <w:drawing>
                <wp:inline xmlns:a="http://schemas.openxmlformats.org/drawingml/2006/main" xmlns:pic="http://schemas.openxmlformats.org/drawingml/2006/picture">
                  <wp:extent cx="2697480" cy="1593248"/>
                  <wp:docPr id="21" name="Picture 21"/>
                  <wp:cNvGraphicFramePr>
                    <a:graphicFrameLocks noChangeAspect="1"/>
                  </wp:cNvGraphicFramePr>
                  <a:graphic>
                    <a:graphicData uri="http://schemas.openxmlformats.org/drawingml/2006/picture">
                      <pic:pic>
                        <pic:nvPicPr>
                          <pic:cNvPr id="0" name="task5_ss_11.png"/>
                          <pic:cNvPicPr/>
                        </pic:nvPicPr>
                        <pic:blipFill>
                          <a:blip r:embed="rId16"/>
                          <a:stretch>
                            <a:fillRect/>
                          </a:stretch>
                        </pic:blipFill>
                        <pic:spPr>
                          <a:xfrm>
                            <a:off x="0" y="0"/>
                            <a:ext cx="2697480" cy="1593248"/>
                          </a:xfrm>
                          <a:prstGeom prst="rect"/>
                        </pic:spPr>
                      </pic:pic>
                    </a:graphicData>
                  </a:graphic>
                </wp:inline>
              </w:drawing>
            </w:r>
          </w:p>
          <w:p>
            <w:pPr>
              <w:jc w:val="center"/>
            </w:pPr>
            <w:r>
              <w:rPr>
                <w:b/>
                <w:color w:val="667085"/>
                <w:sz w:val="15"/>
              </w:rPr>
              <w:t>11. Early-stopping summary</w:t>
            </w:r>
          </w:p>
        </w:tc>
        <w:tc>
          <w:tcPr>
            <w:tcW w:type="dxa" w:w="5112"/>
          </w:tcPr>
          <w:p>
            <w:pPr>
              <w:jc w:val="center"/>
            </w:pPr>
            <w:r/>
            <w:r>
              <w:drawing>
                <wp:inline xmlns:a="http://schemas.openxmlformats.org/drawingml/2006/main" xmlns:pic="http://schemas.openxmlformats.org/drawingml/2006/picture">
                  <wp:extent cx="2697480" cy="1684502"/>
                  <wp:docPr id="22" name="Picture 22"/>
                  <wp:cNvGraphicFramePr>
                    <a:graphicFrameLocks noChangeAspect="1"/>
                  </wp:cNvGraphicFramePr>
                  <a:graphic>
                    <a:graphicData uri="http://schemas.openxmlformats.org/drawingml/2006/picture">
                      <pic:pic>
                        <pic:nvPicPr>
                          <pic:cNvPr id="0" name="task5_ss_12.png"/>
                          <pic:cNvPicPr/>
                        </pic:nvPicPr>
                        <pic:blipFill>
                          <a:blip r:embed="rId13"/>
                          <a:stretch>
                            <a:fillRect/>
                          </a:stretch>
                        </pic:blipFill>
                        <pic:spPr>
                          <a:xfrm>
                            <a:off x="0" y="0"/>
                            <a:ext cx="2697480" cy="1684502"/>
                          </a:xfrm>
                          <a:prstGeom prst="rect"/>
                        </pic:spPr>
                      </pic:pic>
                    </a:graphicData>
                  </a:graphic>
                </wp:inline>
              </w:drawing>
            </w:r>
          </w:p>
          <w:p>
            <w:pPr>
              <w:jc w:val="center"/>
            </w:pPr>
            <w:r>
              <w:rPr>
                <w:b/>
                <w:color w:val="667085"/>
                <w:sz w:val="15"/>
              </w:rPr>
              <w:t>12. Training/validation loss</w:t>
            </w:r>
          </w:p>
        </w:tc>
      </w:tr>
    </w:tbl>
    <w:p/>
    <w:tbl>
      <w:tblPr>
        <w:tblW w:type="auto" w:w="0"/>
        <w:jc w:val="center"/>
        <w:tblLayout w:type="fixed"/>
        <w:tblLook w:firstColumn="1" w:firstRow="1" w:lastColumn="0" w:lastRow="0" w:noHBand="0" w:noVBand="1" w:val="04A0"/>
        <w:tblBorders>
          <w:top w:val="single" w:sz="6" w:color="E4E7EC"/>
          <w:left w:val="single" w:sz="6" w:color="E4E7EC"/>
          <w:bottom w:val="single" w:sz="6" w:color="E4E7EC"/>
          <w:right w:val="single" w:sz="6" w:color="E4E7EC"/>
          <w:insideH w:val="single" w:sz="6" w:color="E4E7EC"/>
          <w:insideV w:val="single" w:sz="6" w:color="E4E7EC"/>
        </w:tblBorders>
      </w:tblPr>
      <w:tblGrid>
        <w:gridCol w:w="5112"/>
        <w:gridCol w:w="5112"/>
      </w:tblGrid>
      <w:tr>
        <w:tc>
          <w:tcPr>
            <w:tcW w:type="dxa" w:w="5112"/>
          </w:tcPr>
          <w:p>
            <w:pPr>
              <w:jc w:val="center"/>
            </w:pPr>
            <w:r/>
            <w:r>
              <w:drawing>
                <wp:inline xmlns:a="http://schemas.openxmlformats.org/drawingml/2006/main" xmlns:pic="http://schemas.openxmlformats.org/drawingml/2006/picture">
                  <wp:extent cx="2697480" cy="1679985"/>
                  <wp:docPr id="23" name="Picture 23"/>
                  <wp:cNvGraphicFramePr>
                    <a:graphicFrameLocks noChangeAspect="1"/>
                  </wp:cNvGraphicFramePr>
                  <a:graphic>
                    <a:graphicData uri="http://schemas.openxmlformats.org/drawingml/2006/picture">
                      <pic:pic>
                        <pic:nvPicPr>
                          <pic:cNvPr id="0" name="task5_ss_13.png"/>
                          <pic:cNvPicPr/>
                        </pic:nvPicPr>
                        <pic:blipFill>
                          <a:blip r:embed="rId14"/>
                          <a:stretch>
                            <a:fillRect/>
                          </a:stretch>
                        </pic:blipFill>
                        <pic:spPr>
                          <a:xfrm>
                            <a:off x="0" y="0"/>
                            <a:ext cx="2697480" cy="1679985"/>
                          </a:xfrm>
                          <a:prstGeom prst="rect"/>
                        </pic:spPr>
                      </pic:pic>
                    </a:graphicData>
                  </a:graphic>
                </wp:inline>
              </w:drawing>
            </w:r>
          </w:p>
          <w:p>
            <w:pPr>
              <w:jc w:val="center"/>
            </w:pPr>
            <w:r>
              <w:rPr>
                <w:b/>
                <w:color w:val="667085"/>
                <w:sz w:val="15"/>
              </w:rPr>
              <w:t>13. Training/validation accuracy</w:t>
            </w:r>
          </w:p>
        </w:tc>
        <w:tc>
          <w:tcPr>
            <w:tcW w:type="dxa" w:w="5112"/>
          </w:tcPr>
          <w:p>
            <w:pPr>
              <w:jc w:val="center"/>
            </w:pPr>
            <w:r/>
            <w:r>
              <w:drawing>
                <wp:inline xmlns:a="http://schemas.openxmlformats.org/drawingml/2006/main" xmlns:pic="http://schemas.openxmlformats.org/drawingml/2006/picture">
                  <wp:extent cx="2697480" cy="1795683"/>
                  <wp:docPr id="24" name="Picture 24"/>
                  <wp:cNvGraphicFramePr>
                    <a:graphicFrameLocks noChangeAspect="1"/>
                  </wp:cNvGraphicFramePr>
                  <a:graphic>
                    <a:graphicData uri="http://schemas.openxmlformats.org/drawingml/2006/picture">
                      <pic:pic>
                        <pic:nvPicPr>
                          <pic:cNvPr id="0" name="task5_ss_14.png"/>
                          <pic:cNvPicPr/>
                        </pic:nvPicPr>
                        <pic:blipFill>
                          <a:blip r:embed="rId15"/>
                          <a:stretch>
                            <a:fillRect/>
                          </a:stretch>
                        </pic:blipFill>
                        <pic:spPr>
                          <a:xfrm>
                            <a:off x="0" y="0"/>
                            <a:ext cx="2697480" cy="1795683"/>
                          </a:xfrm>
                          <a:prstGeom prst="rect"/>
                        </pic:spPr>
                      </pic:pic>
                    </a:graphicData>
                  </a:graphic>
                </wp:inline>
              </w:drawing>
            </w:r>
          </w:p>
          <w:p>
            <w:pPr>
              <w:jc w:val="center"/>
            </w:pPr>
            <w:r>
              <w:rPr>
                <w:b/>
                <w:color w:val="667085"/>
                <w:sz w:val="15"/>
              </w:rPr>
              <w:t>14. Training/validation AUC</w:t>
            </w:r>
          </w:p>
        </w:tc>
      </w:tr>
    </w:tbl>
    <w:p/>
    <w:tbl>
      <w:tblPr>
        <w:tblW w:type="auto" w:w="0"/>
        <w:jc w:val="center"/>
        <w:tblLayout w:type="fixed"/>
        <w:tblLook w:firstColumn="1" w:firstRow="1" w:lastColumn="0" w:lastRow="0" w:noHBand="0" w:noVBand="1" w:val="04A0"/>
        <w:tblBorders>
          <w:top w:val="single" w:sz="6" w:color="E4E7EC"/>
          <w:left w:val="single" w:sz="6" w:color="E4E7EC"/>
          <w:bottom w:val="single" w:sz="6" w:color="E4E7EC"/>
          <w:right w:val="single" w:sz="6" w:color="E4E7EC"/>
          <w:insideH w:val="single" w:sz="6" w:color="E4E7EC"/>
          <w:insideV w:val="single" w:sz="6" w:color="E4E7EC"/>
        </w:tblBorders>
      </w:tblPr>
      <w:tblGrid>
        <w:gridCol w:w="5112"/>
        <w:gridCol w:w="5112"/>
      </w:tblGrid>
      <w:tr>
        <w:tc>
          <w:tcPr>
            <w:tcW w:type="dxa" w:w="5112"/>
          </w:tcPr>
          <w:p>
            <w:pPr>
              <w:jc w:val="center"/>
            </w:pPr>
            <w:r/>
            <w:r>
              <w:drawing>
                <wp:inline xmlns:a="http://schemas.openxmlformats.org/drawingml/2006/main" xmlns:pic="http://schemas.openxmlformats.org/drawingml/2006/picture">
                  <wp:extent cx="2697480" cy="1110727"/>
                  <wp:docPr id="25" name="Picture 25"/>
                  <wp:cNvGraphicFramePr>
                    <a:graphicFrameLocks noChangeAspect="1"/>
                  </wp:cNvGraphicFramePr>
                  <a:graphic>
                    <a:graphicData uri="http://schemas.openxmlformats.org/drawingml/2006/picture">
                      <pic:pic>
                        <pic:nvPicPr>
                          <pic:cNvPr id="0" name="task5_ss_15.png"/>
                          <pic:cNvPicPr/>
                        </pic:nvPicPr>
                        <pic:blipFill>
                          <a:blip r:embed="rId30"/>
                          <a:stretch>
                            <a:fillRect/>
                          </a:stretch>
                        </pic:blipFill>
                        <pic:spPr>
                          <a:xfrm>
                            <a:off x="0" y="0"/>
                            <a:ext cx="2697480" cy="1110727"/>
                          </a:xfrm>
                          <a:prstGeom prst="rect"/>
                        </pic:spPr>
                      </pic:pic>
                    </a:graphicData>
                  </a:graphic>
                </wp:inline>
              </w:drawing>
            </w:r>
          </w:p>
          <w:p>
            <w:pPr>
              <w:jc w:val="center"/>
            </w:pPr>
            <w:r>
              <w:rPr>
                <w:b/>
                <w:color w:val="667085"/>
                <w:sz w:val="15"/>
              </w:rPr>
              <w:t>15. Keras test evaluation</w:t>
            </w:r>
          </w:p>
        </w:tc>
        <w:tc>
          <w:tcPr>
            <w:tcW w:type="dxa" w:w="5112"/>
          </w:tcPr>
          <w:p>
            <w:pPr>
              <w:jc w:val="center"/>
            </w:pPr>
            <w:r/>
            <w:r>
              <w:drawing>
                <wp:inline xmlns:a="http://schemas.openxmlformats.org/drawingml/2006/main" xmlns:pic="http://schemas.openxmlformats.org/drawingml/2006/picture">
                  <wp:extent cx="2697480" cy="2603790"/>
                  <wp:docPr id="26" name="Picture 26"/>
                  <wp:cNvGraphicFramePr>
                    <a:graphicFrameLocks noChangeAspect="1"/>
                  </wp:cNvGraphicFramePr>
                  <a:graphic>
                    <a:graphicData uri="http://schemas.openxmlformats.org/drawingml/2006/picture">
                      <pic:pic>
                        <pic:nvPicPr>
                          <pic:cNvPr id="0" name="task5_ss_16.png"/>
                          <pic:cNvPicPr/>
                        </pic:nvPicPr>
                        <pic:blipFill>
                          <a:blip r:embed="rId31"/>
                          <a:stretch>
                            <a:fillRect/>
                          </a:stretch>
                        </pic:blipFill>
                        <pic:spPr>
                          <a:xfrm>
                            <a:off x="0" y="0"/>
                            <a:ext cx="2697480" cy="2603790"/>
                          </a:xfrm>
                          <a:prstGeom prst="rect"/>
                        </pic:spPr>
                      </pic:pic>
                    </a:graphicData>
                  </a:graphic>
                </wp:inline>
              </w:drawing>
            </w:r>
          </w:p>
          <w:p>
            <w:pPr>
              <w:jc w:val="center"/>
            </w:pPr>
            <w:r>
              <w:rPr>
                <w:b/>
                <w:color w:val="667085"/>
                <w:sz w:val="15"/>
              </w:rPr>
              <w:t>16. Final test metrics and classification report</w:t>
            </w:r>
          </w:p>
        </w:tc>
      </w:tr>
    </w:tbl>
    <w:p/>
    <w:tbl>
      <w:tblPr>
        <w:tblW w:type="auto" w:w="0"/>
        <w:jc w:val="center"/>
        <w:tblLayout w:type="fixed"/>
        <w:tblLook w:firstColumn="1" w:firstRow="1" w:lastColumn="0" w:lastRow="0" w:noHBand="0" w:noVBand="1" w:val="04A0"/>
        <w:tblBorders>
          <w:top w:val="single" w:sz="6" w:color="E4E7EC"/>
          <w:left w:val="single" w:sz="6" w:color="E4E7EC"/>
          <w:bottom w:val="single" w:sz="6" w:color="E4E7EC"/>
          <w:right w:val="single" w:sz="6" w:color="E4E7EC"/>
          <w:insideH w:val="single" w:sz="6" w:color="E4E7EC"/>
          <w:insideV w:val="single" w:sz="6" w:color="E4E7EC"/>
        </w:tblBorders>
      </w:tblPr>
      <w:tblGrid>
        <w:gridCol w:w="5112"/>
        <w:gridCol w:w="5112"/>
      </w:tblGrid>
      <w:tr>
        <w:tc>
          <w:tcPr>
            <w:tcW w:type="dxa" w:w="5112"/>
          </w:tcPr>
          <w:p>
            <w:pPr>
              <w:jc w:val="center"/>
            </w:pPr>
            <w:r/>
            <w:r>
              <w:drawing>
                <wp:inline xmlns:a="http://schemas.openxmlformats.org/drawingml/2006/main" xmlns:pic="http://schemas.openxmlformats.org/drawingml/2006/picture">
                  <wp:extent cx="2697480" cy="2297288"/>
                  <wp:docPr id="27" name="Picture 27"/>
                  <wp:cNvGraphicFramePr>
                    <a:graphicFrameLocks noChangeAspect="1"/>
                  </wp:cNvGraphicFramePr>
                  <a:graphic>
                    <a:graphicData uri="http://schemas.openxmlformats.org/drawingml/2006/picture">
                      <pic:pic>
                        <pic:nvPicPr>
                          <pic:cNvPr id="0" name="task5_ss_17.png"/>
                          <pic:cNvPicPr/>
                        </pic:nvPicPr>
                        <pic:blipFill>
                          <a:blip r:embed="rId17"/>
                          <a:stretch>
                            <a:fillRect/>
                          </a:stretch>
                        </pic:blipFill>
                        <pic:spPr>
                          <a:xfrm>
                            <a:off x="0" y="0"/>
                            <a:ext cx="2697480" cy="2297288"/>
                          </a:xfrm>
                          <a:prstGeom prst="rect"/>
                        </pic:spPr>
                      </pic:pic>
                    </a:graphicData>
                  </a:graphic>
                </wp:inline>
              </w:drawing>
            </w:r>
          </w:p>
          <w:p>
            <w:pPr>
              <w:jc w:val="center"/>
            </w:pPr>
            <w:r>
              <w:rPr>
                <w:b/>
                <w:color w:val="667085"/>
                <w:sz w:val="15"/>
              </w:rPr>
              <w:t>17. Confusion matrix</w:t>
            </w:r>
          </w:p>
        </w:tc>
        <w:tc>
          <w:tcPr>
            <w:tcW w:type="dxa" w:w="5112"/>
          </w:tcPr>
          <w:p>
            <w:pPr>
              <w:jc w:val="center"/>
            </w:pPr>
            <w:r/>
            <w:r>
              <w:drawing>
                <wp:inline xmlns:a="http://schemas.openxmlformats.org/drawingml/2006/main" xmlns:pic="http://schemas.openxmlformats.org/drawingml/2006/picture">
                  <wp:extent cx="2697480" cy="2222314"/>
                  <wp:docPr id="28" name="Picture 28"/>
                  <wp:cNvGraphicFramePr>
                    <a:graphicFrameLocks noChangeAspect="1"/>
                  </wp:cNvGraphicFramePr>
                  <a:graphic>
                    <a:graphicData uri="http://schemas.openxmlformats.org/drawingml/2006/picture">
                      <pic:pic>
                        <pic:nvPicPr>
                          <pic:cNvPr id="0" name="task5_ss_18.png"/>
                          <pic:cNvPicPr/>
                        </pic:nvPicPr>
                        <pic:blipFill>
                          <a:blip r:embed="rId18"/>
                          <a:stretch>
                            <a:fillRect/>
                          </a:stretch>
                        </pic:blipFill>
                        <pic:spPr>
                          <a:xfrm>
                            <a:off x="0" y="0"/>
                            <a:ext cx="2697480" cy="2222314"/>
                          </a:xfrm>
                          <a:prstGeom prst="rect"/>
                        </pic:spPr>
                      </pic:pic>
                    </a:graphicData>
                  </a:graphic>
                </wp:inline>
              </w:drawing>
            </w:r>
          </w:p>
          <w:p>
            <w:pPr>
              <w:jc w:val="center"/>
            </w:pPr>
            <w:r>
              <w:rPr>
                <w:b/>
                <w:color w:val="667085"/>
                <w:sz w:val="15"/>
              </w:rPr>
              <w:t>18. ROC curve</w:t>
            </w:r>
          </w:p>
        </w:tc>
      </w:tr>
    </w:tbl>
    <w:p/>
    <w:p>
      <w:pPr>
        <w:jc w:val="center"/>
      </w:pPr>
      <w:r>
        <w:drawing>
          <wp:inline xmlns:a="http://schemas.openxmlformats.org/drawingml/2006/main" xmlns:pic="http://schemas.openxmlformats.org/drawingml/2006/picture">
            <wp:extent cx="5394960" cy="3949001"/>
            <wp:docPr id="29" name="Picture 29"/>
            <wp:cNvGraphicFramePr>
              <a:graphicFrameLocks noChangeAspect="1"/>
            </wp:cNvGraphicFramePr>
            <a:graphic>
              <a:graphicData uri="http://schemas.openxmlformats.org/drawingml/2006/picture">
                <pic:pic>
                  <pic:nvPicPr>
                    <pic:cNvPr id="0" name="task5_ss_19.png"/>
                    <pic:cNvPicPr/>
                  </pic:nvPicPr>
                  <pic:blipFill>
                    <a:blip r:embed="rId32"/>
                    <a:stretch>
                      <a:fillRect/>
                    </a:stretch>
                  </pic:blipFill>
                  <pic:spPr>
                    <a:xfrm>
                      <a:off x="0" y="0"/>
                      <a:ext cx="5394960" cy="3949001"/>
                    </a:xfrm>
                    <a:prstGeom prst="rect"/>
                  </pic:spPr>
                </pic:pic>
              </a:graphicData>
            </a:graphic>
          </wp:inline>
        </w:drawing>
      </w:r>
    </w:p>
    <w:p>
      <w:pPr>
        <w:jc w:val="center"/>
      </w:pPr>
      <w:r>
        <w:rPr>
          <w:b/>
          <w:color w:val="667085"/>
          <w:sz w:val="17"/>
        </w:rPr>
        <w:t>19. Task 4 vs Task 5 model comparison screenshot.</w:t>
      </w:r>
    </w:p>
    <w:p>
      <w:pPr>
        <w:pStyle w:val="Heading1"/>
      </w:pPr>
      <w:r>
        <w:rPr>
          <w:color w:val="243B53"/>
        </w:rPr>
        <w:t>Appendix B — Reproducibility Artifacts</w:t>
      </w:r>
    </w:p>
    <w:tbl>
      <w:tblPr>
        <w:tblW w:type="auto" w:w="0"/>
        <w:jc w:val="center"/>
        <w:tblLayout w:type="fixed"/>
        <w:tblLook w:firstColumn="1" w:firstRow="1" w:lastColumn="0" w:lastRow="0" w:noHBand="0" w:noVBand="1" w:val="04A0"/>
        <w:tblBorders>
          <w:top w:val="single" w:sz="6" w:color="D0D5DD"/>
          <w:left w:val="single" w:sz="6" w:color="D0D5DD"/>
          <w:bottom w:val="single" w:sz="6" w:color="D0D5DD"/>
          <w:right w:val="single" w:sz="6" w:color="D0D5DD"/>
          <w:insideH w:val="single" w:sz="6" w:color="D0D5DD"/>
          <w:insideV w:val="single" w:sz="6" w:color="D0D5DD"/>
        </w:tblBorders>
      </w:tblPr>
      <w:tblGrid>
        <w:gridCol w:w="3408"/>
        <w:gridCol w:w="3408"/>
        <w:gridCol w:w="3408"/>
      </w:tblGrid>
      <w:tr>
        <w:tc>
          <w:tcPr>
            <w:tcW w:type="dxa" w:w="1872"/>
            <w:vAlign w:val="center"/>
            <w:shd w:fill="243B53"/>
          </w:tcPr>
          <w:p>
            <w:pPr>
              <w:jc w:val="center"/>
            </w:pPr>
            <w:r/>
            <w:r>
              <w:rPr>
                <w:b/>
                <w:color w:val="FFFFFF"/>
                <w:sz w:val="18"/>
              </w:rPr>
              <w:t>Artifact</w:t>
            </w:r>
          </w:p>
        </w:tc>
        <w:tc>
          <w:tcPr>
            <w:tcW w:type="dxa" w:w="4320"/>
            <w:vAlign w:val="center"/>
            <w:shd w:fill="243B53"/>
          </w:tcPr>
          <w:p>
            <w:pPr>
              <w:jc w:val="center"/>
            </w:pPr>
            <w:r/>
            <w:r>
              <w:rPr>
                <w:b/>
                <w:color w:val="FFFFFF"/>
                <w:sz w:val="18"/>
              </w:rPr>
              <w:t>Filename</w:t>
            </w:r>
          </w:p>
        </w:tc>
        <w:tc>
          <w:tcPr>
            <w:tcW w:type="dxa" w:w="3168"/>
            <w:vAlign w:val="center"/>
            <w:shd w:fill="243B53"/>
          </w:tcPr>
          <w:p>
            <w:pPr>
              <w:jc w:val="center"/>
            </w:pPr>
            <w:r/>
            <w:r>
              <w:rPr>
                <w:b/>
                <w:color w:val="FFFFFF"/>
                <w:sz w:val="18"/>
              </w:rPr>
              <w:t>Purpose</w:t>
            </w:r>
          </w:p>
        </w:tc>
      </w:tr>
      <w:tr>
        <w:tc>
          <w:tcPr>
            <w:tcW w:type="dxa" w:w="1872"/>
            <w:vAlign w:val="center"/>
          </w:tcPr>
          <w:p>
            <w:pPr>
              <w:jc w:val="left"/>
            </w:pPr>
            <w:r/>
            <w:r>
              <w:rPr>
                <w:b w:val="0"/>
                <w:color w:val="1F2937"/>
                <w:sz w:val="18"/>
              </w:rPr>
              <w:t>Notebook</w:t>
            </w:r>
          </w:p>
        </w:tc>
        <w:tc>
          <w:tcPr>
            <w:tcW w:type="dxa" w:w="4320"/>
            <w:vAlign w:val="center"/>
          </w:tcPr>
          <w:p>
            <w:pPr>
              <w:jc w:val="left"/>
            </w:pPr>
            <w:r/>
            <w:r>
              <w:rPr>
                <w:b w:val="0"/>
                <w:color w:val="1F2937"/>
                <w:sz w:val="18"/>
              </w:rPr>
              <w:t>Task_5_Deep_Learning_ANN.ipynb</w:t>
            </w:r>
          </w:p>
        </w:tc>
        <w:tc>
          <w:tcPr>
            <w:tcW w:type="dxa" w:w="3168"/>
            <w:vAlign w:val="center"/>
          </w:tcPr>
          <w:p>
            <w:pPr>
              <w:jc w:val="left"/>
            </w:pPr>
            <w:r/>
            <w:r>
              <w:rPr>
                <w:b w:val="0"/>
                <w:color w:val="1F2937"/>
                <w:sz w:val="18"/>
              </w:rPr>
              <w:t>Full executable workflow</w:t>
            </w:r>
          </w:p>
        </w:tc>
      </w:tr>
      <w:tr>
        <w:tc>
          <w:tcPr>
            <w:tcW w:type="dxa" w:w="1872"/>
            <w:vAlign w:val="center"/>
          </w:tcPr>
          <w:p>
            <w:pPr>
              <w:jc w:val="left"/>
            </w:pPr>
            <w:r/>
            <w:r>
              <w:rPr>
                <w:b w:val="0"/>
                <w:color w:val="1F2937"/>
                <w:sz w:val="18"/>
              </w:rPr>
              <w:t>Trained model</w:t>
            </w:r>
          </w:p>
        </w:tc>
        <w:tc>
          <w:tcPr>
            <w:tcW w:type="dxa" w:w="4320"/>
            <w:vAlign w:val="center"/>
          </w:tcPr>
          <w:p>
            <w:pPr>
              <w:jc w:val="left"/>
            </w:pPr>
            <w:r/>
            <w:r>
              <w:rPr>
                <w:b w:val="0"/>
                <w:color w:val="1F2937"/>
                <w:sz w:val="18"/>
              </w:rPr>
              <w:t>task5_customer_repeat_purchase_ann.keras</w:t>
            </w:r>
          </w:p>
        </w:tc>
        <w:tc>
          <w:tcPr>
            <w:tcW w:type="dxa" w:w="3168"/>
            <w:vAlign w:val="center"/>
          </w:tcPr>
          <w:p>
            <w:pPr>
              <w:jc w:val="left"/>
            </w:pPr>
            <w:r/>
            <w:r>
              <w:rPr>
                <w:b w:val="0"/>
                <w:color w:val="1F2937"/>
                <w:sz w:val="18"/>
              </w:rPr>
              <w:t>Saved ANN weights and architecture</w:t>
            </w:r>
          </w:p>
        </w:tc>
      </w:tr>
      <w:tr>
        <w:tc>
          <w:tcPr>
            <w:tcW w:type="dxa" w:w="1872"/>
            <w:vAlign w:val="center"/>
          </w:tcPr>
          <w:p>
            <w:pPr>
              <w:jc w:val="left"/>
            </w:pPr>
            <w:r/>
            <w:r>
              <w:rPr>
                <w:b w:val="0"/>
                <w:color w:val="1F2937"/>
                <w:sz w:val="18"/>
              </w:rPr>
              <w:t>Predictions</w:t>
            </w:r>
          </w:p>
        </w:tc>
        <w:tc>
          <w:tcPr>
            <w:tcW w:type="dxa" w:w="4320"/>
            <w:vAlign w:val="center"/>
          </w:tcPr>
          <w:p>
            <w:pPr>
              <w:jc w:val="left"/>
            </w:pPr>
            <w:r/>
            <w:r>
              <w:rPr>
                <w:b w:val="0"/>
                <w:color w:val="1F2937"/>
                <w:sz w:val="18"/>
              </w:rPr>
              <w:t>task5_ann_predictions.csv</w:t>
            </w:r>
          </w:p>
        </w:tc>
        <w:tc>
          <w:tcPr>
            <w:tcW w:type="dxa" w:w="3168"/>
            <w:vAlign w:val="center"/>
          </w:tcPr>
          <w:p>
            <w:pPr>
              <w:jc w:val="left"/>
            </w:pPr>
            <w:r/>
            <w:r>
              <w:rPr>
                <w:b w:val="0"/>
                <w:color w:val="1F2937"/>
                <w:sz w:val="18"/>
              </w:rPr>
              <w:t>664 held-out predictions and probabilities</w:t>
            </w:r>
          </w:p>
        </w:tc>
      </w:tr>
      <w:tr>
        <w:tc>
          <w:tcPr>
            <w:tcW w:type="dxa" w:w="1872"/>
            <w:vAlign w:val="center"/>
          </w:tcPr>
          <w:p>
            <w:pPr>
              <w:jc w:val="left"/>
            </w:pPr>
            <w:r/>
            <w:r>
              <w:rPr>
                <w:b w:val="0"/>
                <w:color w:val="1F2937"/>
                <w:sz w:val="18"/>
              </w:rPr>
              <w:t>Report</w:t>
            </w:r>
          </w:p>
        </w:tc>
        <w:tc>
          <w:tcPr>
            <w:tcW w:type="dxa" w:w="4320"/>
            <w:vAlign w:val="center"/>
          </w:tcPr>
          <w:p>
            <w:pPr>
              <w:jc w:val="left"/>
            </w:pPr>
            <w:r/>
            <w:r>
              <w:rPr>
                <w:b w:val="0"/>
                <w:color w:val="1F2937"/>
                <w:sz w:val="18"/>
              </w:rPr>
              <w:t>YuvaIntern_Task_5_Deep_Learning_Report_FINAL.docx</w:t>
            </w:r>
          </w:p>
        </w:tc>
        <w:tc>
          <w:tcPr>
            <w:tcW w:type="dxa" w:w="3168"/>
            <w:vAlign w:val="center"/>
          </w:tcPr>
          <w:p>
            <w:pPr>
              <w:jc w:val="left"/>
            </w:pPr>
            <w:r/>
            <w:r>
              <w:rPr>
                <w:b w:val="0"/>
                <w:color w:val="1F2937"/>
                <w:sz w:val="18"/>
              </w:rPr>
              <w:t>Comprehensive submission document</w:t>
            </w:r>
          </w:p>
        </w:tc>
      </w:tr>
    </w:tbl>
    <w:sectPr w:rsidR="00FC693F" w:rsidRPr="0006063C" w:rsidSect="00034616">
      <w:headerReference w:type="default" r:id="rId9"/>
      <w:footerReference w:type="default" r:id="rId10"/>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Deep Learning Application in Data Science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7085"/>
        <w:sz w:val="16"/>
      </w:rPr>
      <w:t>YuvaIntern Data Science Internship  •  Week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