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26"/>
        </w:rPr>
        <w:t>YUVA INTERNSHIP</w:t>
      </w:r>
    </w:p>
    <w:p>
      <w:pPr>
        <w:jc w:val="center"/>
      </w:pPr>
      <w:r>
        <w:rPr>
          <w:b/>
          <w:color w:val="646464"/>
          <w:sz w:val="24"/>
        </w:rPr>
        <w:t>WEEK 4 TASK</w:t>
      </w:r>
    </w:p>
    <w:p>
      <w:pPr>
        <w:jc w:val="center"/>
      </w:pPr>
      <w:r>
        <w:rPr>
          <w:b/>
          <w:color w:val="1F3756"/>
          <w:sz w:val="54"/>
        </w:rPr>
        <w:t>Supervised Learning Model Implementation</w:t>
      </w:r>
    </w:p>
    <w:p>
      <w:pPr>
        <w:jc w:val="center"/>
      </w:pPr>
      <w:r>
        <w:rPr>
          <w:b/>
          <w:color w:val="2F5496"/>
          <w:sz w:val="40"/>
        </w:rPr>
        <w:t>Customer Repeat-Purchase Prediction</w:t>
      </w:r>
    </w:p>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F3756"/>
                <w:sz w:val="21"/>
              </w:rPr>
              <w:t>Project objective</w:t>
            </w:r>
          </w:p>
          <w:p>
            <w:pPr>
              <w:spacing w:after="40"/>
            </w:pPr>
            <w:r>
              <w:rPr>
                <w:sz w:val="19"/>
              </w:rPr>
              <w:t>Build and evaluate supervised machine-learning models that predict whether a customer will make another purchase during a future observation period, using only historical customer behavior available before the prediction cutoff.</w:t>
            </w:r>
          </w:p>
        </w:tc>
      </w:tr>
    </w:tbl>
    <w:p/>
    <w:p>
      <w:pPr>
        <w:jc w:val="center"/>
      </w:pPr>
      <w:r>
        <w:rPr>
          <w:color w:val="282828"/>
          <w:sz w:val="22"/>
        </w:rPr>
        <w:t>Dataset: Online Retail transaction data</w:t>
      </w:r>
    </w:p>
    <w:p>
      <w:pPr>
        <w:jc w:val="center"/>
      </w:pPr>
      <w:r>
        <w:rPr>
          <w:color w:val="282828"/>
          <w:sz w:val="22"/>
        </w:rPr>
        <w:t>Models: Logistic Regression + Random Forest Classifier</w:t>
      </w:r>
    </w:p>
    <w:p>
      <w:pPr>
        <w:jc w:val="center"/>
      </w:pPr>
      <w:r>
        <w:rPr>
          <w:color w:val="282828"/>
          <w:sz w:val="21"/>
        </w:rPr>
        <w:t>Tools: Python • Pandas • NumPy • Matplotlib • Seaborn • Scikit-learn</w:t>
      </w:r>
    </w:p>
    <w:p/>
    <w:p>
      <w:pPr>
        <w:jc w:val="center"/>
      </w:pPr>
      <w:r>
        <w:rPr>
          <w:i/>
          <w:color w:val="6E6E6E"/>
          <w:sz w:val="19"/>
        </w:rPr>
        <w:t>Prepared as the Week 4 supervised-learning deliverable</w:t>
      </w:r>
    </w:p>
    <w:p>
      <w:r>
        <w:br w:type="page"/>
      </w:r>
    </w:p>
    <w:p>
      <w:pPr>
        <w:pStyle w:val="Heading1"/>
      </w:pPr>
      <w:r>
        <w:t>1. Executive Summary</w:t>
      </w:r>
    </w:p>
    <w:p>
      <w:r>
        <w:t>This project implements a binary classification workflow for customer repeat-purchase prediction using the Online Retail transaction dataset. The analysis continues the preprocessing and customer-level analytical work established in the earlier internship tasks. A time-based prediction design was used to reduce target leakage: customer behavior before 1 September 2011 was used to construct features, while purchases from 1 September 2011 onward defined the target.</w:t>
      </w:r>
    </w:p>
    <w:p>
      <w:r>
        <w:t>The final modeling population contained 3,317 customers. Six customer-level behavioral features were engineered: Recency, Frequency, Monetary, TotalQuantity, UniqueProducts, and AvgOrderValue. Because the variables were strongly right-skewed, log1p transformation followed by StandardScaler was applied using training data only.</w:t>
      </w:r>
    </w:p>
    <w:p>
      <w:r>
        <w:t>Two supervised-learning models were evaluated: Logistic Regression and Random Forest. Both were assessed on the same 20% stratified hold-out test set and through five-fold stratified cross-validation. Logistic Regression achieved 68.52% test accuracy, 72.89% test F1, and 0.7344 test ROC-AUC. Its five-fold mean ROC-AUC was 0.7447. Random Forest achieved 63.86% test accuracy, 69.31% test F1, and 0.7001 test ROC-AUC, with a five-fold mean ROC-AUC of 0.7175.</w:t>
      </w:r>
    </w:p>
    <w:tbl>
      <w:tblPr>
        <w:tblW w:type="auto" w:w="0"/>
        <w:jc w:val="center"/>
        <w:tblLook w:firstColumn="1" w:firstRow="1" w:lastColumn="0" w:lastRow="0" w:noHBand="0" w:noVBand="1" w:val="04A0"/>
      </w:tblPr>
      <w:tblGrid>
        <w:gridCol w:w="10080"/>
      </w:tblGrid>
      <w:tr>
        <w:tc>
          <w:tcPr>
            <w:tcW w:type="dxa" w:w="10080"/>
            <w:shd w:fill="E8F5E9"/>
          </w:tcPr>
          <w:p>
            <w:pPr>
              <w:spacing w:after="40"/>
            </w:pPr>
            <w:r>
              <w:rPr>
                <w:b/>
                <w:color w:val="1F3756"/>
                <w:sz w:val="21"/>
              </w:rPr>
              <w:t>Primary analytical result</w:t>
            </w:r>
          </w:p>
          <w:p>
            <w:pPr>
              <w:spacing w:after="40"/>
            </w:pPr>
            <w:r>
              <w:rPr>
                <w:sz w:val="19"/>
              </w:rPr>
              <w:t>For the feature set and model configurations tested in this study, Logistic Regression produced higher measured test-set and cross-validation performance than Random Forest. The result is an empirical finding for this experiment and does not imply that Logistic Regression will outperform Random Forest on every dataset or after every tuning strategy.</w:t>
            </w:r>
          </w:p>
        </w:tc>
      </w:tr>
    </w:tbl>
    <w:p/>
    <w:p>
      <w:pPr>
        <w:pStyle w:val="Heading2"/>
      </w:pPr>
      <w:r>
        <w:t>Project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Item</w:t>
            </w:r>
          </w:p>
        </w:tc>
        <w:tc>
          <w:tcPr>
            <w:tcW w:type="dxa" w:w="5040"/>
            <w:shd w:fill="1F3760"/>
            <w:vAlign w:val="center"/>
          </w:tcPr>
          <w:p>
            <w:pPr>
              <w:spacing w:after="0"/>
            </w:pPr>
            <w:r/>
            <w:r>
              <w:rPr>
                <w:b/>
                <w:color w:val="FFFFFF"/>
                <w:sz w:val="18"/>
              </w:rPr>
              <w:t>Result</w:t>
            </w:r>
          </w:p>
        </w:tc>
      </w:tr>
      <w:tr>
        <w:tc>
          <w:tcPr>
            <w:tcW w:type="dxa" w:w="5040"/>
            <w:shd w:fill="F4F7FA"/>
            <w:vAlign w:val="center"/>
          </w:tcPr>
          <w:p>
            <w:pPr>
              <w:spacing w:after="0"/>
            </w:pPr>
            <w:r/>
            <w:r>
              <w:rPr>
                <w:b w:val="0"/>
                <w:color w:val="282828"/>
                <w:sz w:val="18"/>
              </w:rPr>
              <w:t>Modeling customers</w:t>
            </w:r>
          </w:p>
        </w:tc>
        <w:tc>
          <w:tcPr>
            <w:tcW w:type="dxa" w:w="5040"/>
            <w:shd w:fill="F4F7FA"/>
            <w:vAlign w:val="center"/>
          </w:tcPr>
          <w:p>
            <w:pPr>
              <w:spacing w:after="0"/>
            </w:pPr>
            <w:r/>
            <w:r>
              <w:rPr>
                <w:b w:val="0"/>
                <w:color w:val="282828"/>
                <w:sz w:val="18"/>
              </w:rPr>
              <w:t>3,317</w:t>
            </w:r>
          </w:p>
        </w:tc>
      </w:tr>
      <w:tr>
        <w:tc>
          <w:tcPr>
            <w:tcW w:type="dxa" w:w="5040"/>
            <w:vAlign w:val="center"/>
          </w:tcPr>
          <w:p>
            <w:pPr>
              <w:spacing w:after="0"/>
            </w:pPr>
            <w:r/>
            <w:r>
              <w:rPr>
                <w:b w:val="0"/>
                <w:color w:val="282828"/>
                <w:sz w:val="18"/>
              </w:rPr>
              <w:t>Features</w:t>
            </w:r>
          </w:p>
        </w:tc>
        <w:tc>
          <w:tcPr>
            <w:tcW w:type="dxa" w:w="5040"/>
            <w:vAlign w:val="center"/>
          </w:tcPr>
          <w:p>
            <w:pPr>
              <w:spacing w:after="0"/>
            </w:pPr>
            <w:r/>
            <w:r>
              <w:rPr>
                <w:b w:val="0"/>
                <w:color w:val="282828"/>
                <w:sz w:val="18"/>
              </w:rPr>
              <w:t>6</w:t>
            </w:r>
          </w:p>
        </w:tc>
      </w:tr>
      <w:tr>
        <w:tc>
          <w:tcPr>
            <w:tcW w:type="dxa" w:w="5040"/>
            <w:shd w:fill="F4F7FA"/>
            <w:vAlign w:val="center"/>
          </w:tcPr>
          <w:p>
            <w:pPr>
              <w:spacing w:after="0"/>
            </w:pPr>
            <w:r/>
            <w:r>
              <w:rPr>
                <w:b w:val="0"/>
                <w:color w:val="282828"/>
                <w:sz w:val="18"/>
              </w:rPr>
              <w:t>Repeat purchase = 1</w:t>
            </w:r>
          </w:p>
        </w:tc>
        <w:tc>
          <w:tcPr>
            <w:tcW w:type="dxa" w:w="5040"/>
            <w:shd w:fill="F4F7FA"/>
            <w:vAlign w:val="center"/>
          </w:tcPr>
          <w:p>
            <w:pPr>
              <w:spacing w:after="0"/>
            </w:pPr>
            <w:r/>
            <w:r>
              <w:rPr>
                <w:b w:val="0"/>
                <w:color w:val="282828"/>
                <w:sz w:val="18"/>
              </w:rPr>
              <w:t>1,952 (58.85%)</w:t>
            </w:r>
          </w:p>
        </w:tc>
      </w:tr>
      <w:tr>
        <w:tc>
          <w:tcPr>
            <w:tcW w:type="dxa" w:w="5040"/>
            <w:vAlign w:val="center"/>
          </w:tcPr>
          <w:p>
            <w:pPr>
              <w:spacing w:after="0"/>
            </w:pPr>
            <w:r/>
            <w:r>
              <w:rPr>
                <w:b w:val="0"/>
                <w:color w:val="282828"/>
                <w:sz w:val="18"/>
              </w:rPr>
              <w:t>Repeat purchase = 0</w:t>
            </w:r>
          </w:p>
        </w:tc>
        <w:tc>
          <w:tcPr>
            <w:tcW w:type="dxa" w:w="5040"/>
            <w:vAlign w:val="center"/>
          </w:tcPr>
          <w:p>
            <w:pPr>
              <w:spacing w:after="0"/>
            </w:pPr>
            <w:r/>
            <w:r>
              <w:rPr>
                <w:b w:val="0"/>
                <w:color w:val="282828"/>
                <w:sz w:val="18"/>
              </w:rPr>
              <w:t>1,365 (41.15%)</w:t>
            </w:r>
          </w:p>
        </w:tc>
      </w:tr>
      <w:tr>
        <w:tc>
          <w:tcPr>
            <w:tcW w:type="dxa" w:w="5040"/>
            <w:shd w:fill="F4F7FA"/>
            <w:vAlign w:val="center"/>
          </w:tcPr>
          <w:p>
            <w:pPr>
              <w:spacing w:after="0"/>
            </w:pPr>
            <w:r/>
            <w:r>
              <w:rPr>
                <w:b w:val="0"/>
                <w:color w:val="282828"/>
                <w:sz w:val="18"/>
              </w:rPr>
              <w:t>Train / test split</w:t>
            </w:r>
          </w:p>
        </w:tc>
        <w:tc>
          <w:tcPr>
            <w:tcW w:type="dxa" w:w="5040"/>
            <w:shd w:fill="F4F7FA"/>
            <w:vAlign w:val="center"/>
          </w:tcPr>
          <w:p>
            <w:pPr>
              <w:spacing w:after="0"/>
            </w:pPr>
            <w:r/>
            <w:r>
              <w:rPr>
                <w:b w:val="0"/>
                <w:color w:val="282828"/>
                <w:sz w:val="18"/>
              </w:rPr>
              <w:t>80% / 20%</w:t>
            </w:r>
          </w:p>
        </w:tc>
      </w:tr>
      <w:tr>
        <w:tc>
          <w:tcPr>
            <w:tcW w:type="dxa" w:w="5040"/>
            <w:vAlign w:val="center"/>
          </w:tcPr>
          <w:p>
            <w:pPr>
              <w:spacing w:after="0"/>
            </w:pPr>
            <w:r/>
            <w:r>
              <w:rPr>
                <w:b w:val="0"/>
                <w:color w:val="282828"/>
                <w:sz w:val="18"/>
              </w:rPr>
              <w:t>Training customers</w:t>
            </w:r>
          </w:p>
        </w:tc>
        <w:tc>
          <w:tcPr>
            <w:tcW w:type="dxa" w:w="5040"/>
            <w:vAlign w:val="center"/>
          </w:tcPr>
          <w:p>
            <w:pPr>
              <w:spacing w:after="0"/>
            </w:pPr>
            <w:r/>
            <w:r>
              <w:rPr>
                <w:b w:val="0"/>
                <w:color w:val="282828"/>
                <w:sz w:val="18"/>
              </w:rPr>
              <w:t>2,653</w:t>
            </w:r>
          </w:p>
        </w:tc>
      </w:tr>
      <w:tr>
        <w:tc>
          <w:tcPr>
            <w:tcW w:type="dxa" w:w="5040"/>
            <w:shd w:fill="F4F7FA"/>
            <w:vAlign w:val="center"/>
          </w:tcPr>
          <w:p>
            <w:pPr>
              <w:spacing w:after="0"/>
            </w:pPr>
            <w:r/>
            <w:r>
              <w:rPr>
                <w:b w:val="0"/>
                <w:color w:val="282828"/>
                <w:sz w:val="18"/>
              </w:rPr>
              <w:t>Testing customers</w:t>
            </w:r>
          </w:p>
        </w:tc>
        <w:tc>
          <w:tcPr>
            <w:tcW w:type="dxa" w:w="5040"/>
            <w:shd w:fill="F4F7FA"/>
            <w:vAlign w:val="center"/>
          </w:tcPr>
          <w:p>
            <w:pPr>
              <w:spacing w:after="0"/>
            </w:pPr>
            <w:r/>
            <w:r>
              <w:rPr>
                <w:b w:val="0"/>
                <w:color w:val="282828"/>
                <w:sz w:val="18"/>
              </w:rPr>
              <w:t>664</w:t>
            </w:r>
          </w:p>
        </w:tc>
      </w:tr>
      <w:tr>
        <w:tc>
          <w:tcPr>
            <w:tcW w:type="dxa" w:w="5040"/>
            <w:vAlign w:val="center"/>
          </w:tcPr>
          <w:p>
            <w:pPr>
              <w:spacing w:after="0"/>
            </w:pPr>
            <w:r/>
            <w:r>
              <w:rPr>
                <w:b w:val="0"/>
                <w:color w:val="282828"/>
                <w:sz w:val="18"/>
              </w:rPr>
              <w:t>Cross-validation</w:t>
            </w:r>
          </w:p>
        </w:tc>
        <w:tc>
          <w:tcPr>
            <w:tcW w:type="dxa" w:w="5040"/>
            <w:vAlign w:val="center"/>
          </w:tcPr>
          <w:p>
            <w:pPr>
              <w:spacing w:after="0"/>
            </w:pPr>
            <w:r/>
            <w:r>
              <w:rPr>
                <w:b w:val="0"/>
                <w:color w:val="282828"/>
                <w:sz w:val="18"/>
              </w:rPr>
              <w:t>5-fold StratifiedKFold</w:t>
            </w:r>
          </w:p>
        </w:tc>
      </w:tr>
      <w:tr>
        <w:tc>
          <w:tcPr>
            <w:tcW w:type="dxa" w:w="5040"/>
            <w:shd w:fill="F4F7FA"/>
            <w:vAlign w:val="center"/>
          </w:tcPr>
          <w:p>
            <w:pPr>
              <w:spacing w:after="0"/>
            </w:pPr>
            <w:r/>
            <w:r>
              <w:rPr>
                <w:b w:val="0"/>
                <w:color w:val="282828"/>
                <w:sz w:val="18"/>
              </w:rPr>
              <w:t>Best measured test ROC-AUC in this experiment</w:t>
            </w:r>
          </w:p>
        </w:tc>
        <w:tc>
          <w:tcPr>
            <w:tcW w:type="dxa" w:w="5040"/>
            <w:shd w:fill="F4F7FA"/>
            <w:vAlign w:val="center"/>
          </w:tcPr>
          <w:p>
            <w:pPr>
              <w:spacing w:after="0"/>
            </w:pPr>
            <w:r/>
            <w:r>
              <w:rPr>
                <w:b w:val="0"/>
                <w:color w:val="282828"/>
                <w:sz w:val="18"/>
              </w:rPr>
              <w:t>Logistic Regression — 0.7344</w:t>
            </w:r>
          </w:p>
        </w:tc>
      </w:tr>
    </w:tbl>
    <w:p/>
    <w:p>
      <w:r>
        <w:br w:type="page"/>
      </w:r>
    </w:p>
    <w:p>
      <w:pPr>
        <w:pStyle w:val="Heading1"/>
      </w:pPr>
      <w:r>
        <w:t>2. Report Contents</w:t>
      </w:r>
    </w:p>
    <w:p>
      <w:pPr>
        <w:pStyle w:val="ListBullet"/>
        <w:spacing w:after="60"/>
      </w:pPr>
      <w:r>
        <w:t>1. Executive Summary</w:t>
      </w:r>
    </w:p>
    <w:p>
      <w:pPr>
        <w:pStyle w:val="ListBullet"/>
        <w:spacing w:after="60"/>
      </w:pPr>
      <w:r>
        <w:t>2. Report Contents</w:t>
      </w:r>
    </w:p>
    <w:p>
      <w:pPr>
        <w:pStyle w:val="ListBullet"/>
        <w:spacing w:after="60"/>
      </w:pPr>
      <w:r>
        <w:t>3. Task Objective and Problem Definition</w:t>
      </w:r>
    </w:p>
    <w:p>
      <w:pPr>
        <w:pStyle w:val="ListBullet"/>
        <w:spacing w:after="60"/>
      </w:pPr>
      <w:r>
        <w:t>4. Dataset and Project Continuity</w:t>
      </w:r>
    </w:p>
    <w:p>
      <w:pPr>
        <w:pStyle w:val="ListBullet"/>
        <w:spacing w:after="60"/>
      </w:pPr>
      <w:r>
        <w:t>5. Prediction Design and Leakage Prevention</w:t>
      </w:r>
    </w:p>
    <w:p>
      <w:pPr>
        <w:pStyle w:val="ListBullet"/>
        <w:spacing w:after="60"/>
      </w:pPr>
      <w:r>
        <w:t>6. Data Preparation and Feature Engineering</w:t>
      </w:r>
    </w:p>
    <w:p>
      <w:pPr>
        <w:pStyle w:val="ListBullet"/>
        <w:spacing w:after="60"/>
      </w:pPr>
      <w:r>
        <w:t>7. Exploratory Analysis</w:t>
      </w:r>
    </w:p>
    <w:p>
      <w:pPr>
        <w:pStyle w:val="ListBullet"/>
        <w:spacing w:after="60"/>
      </w:pPr>
      <w:r>
        <w:t>8. Train/Test Split and Preprocessing</w:t>
      </w:r>
    </w:p>
    <w:p>
      <w:pPr>
        <w:pStyle w:val="ListBullet"/>
        <w:spacing w:after="60"/>
      </w:pPr>
      <w:r>
        <w:t>9. Logistic Regression</w:t>
      </w:r>
    </w:p>
    <w:p>
      <w:pPr>
        <w:pStyle w:val="ListBullet"/>
        <w:spacing w:after="60"/>
      </w:pPr>
      <w:r>
        <w:t>10. Random Forest</w:t>
      </w:r>
    </w:p>
    <w:p>
      <w:pPr>
        <w:pStyle w:val="ListBullet"/>
        <w:spacing w:after="60"/>
      </w:pPr>
      <w:r>
        <w:t>11. Model Validation and Comparison</w:t>
      </w:r>
    </w:p>
    <w:p>
      <w:pPr>
        <w:pStyle w:val="ListBullet"/>
        <w:spacing w:after="60"/>
      </w:pPr>
      <w:r>
        <w:t>12. Feature Interpretation</w:t>
      </w:r>
    </w:p>
    <w:p>
      <w:pPr>
        <w:pStyle w:val="ListBullet"/>
        <w:spacing w:after="60"/>
      </w:pPr>
      <w:r>
        <w:t>13. Strengths and Limitations</w:t>
      </w:r>
    </w:p>
    <w:p>
      <w:pPr>
        <w:pStyle w:val="ListBullet"/>
        <w:spacing w:after="60"/>
      </w:pPr>
      <w:r>
        <w:t>14. Improvement Opportunities</w:t>
      </w:r>
    </w:p>
    <w:p>
      <w:pPr>
        <w:pStyle w:val="ListBullet"/>
        <w:spacing w:after="60"/>
      </w:pPr>
      <w:r>
        <w:t>15. Business and Analytical Implications</w:t>
      </w:r>
    </w:p>
    <w:p>
      <w:pPr>
        <w:pStyle w:val="ListBullet"/>
        <w:spacing w:after="60"/>
      </w:pPr>
      <w:r>
        <w:t>16. Conclusion</w:t>
      </w:r>
    </w:p>
    <w:p>
      <w:pPr>
        <w:pStyle w:val="ListBullet"/>
        <w:spacing w:after="60"/>
      </w:pPr>
      <w:r>
        <w:t>17. Appendix A — Selected Code</w:t>
      </w:r>
    </w:p>
    <w:p>
      <w:pPr>
        <w:pStyle w:val="ListBullet"/>
        <w:spacing w:after="60"/>
      </w:pPr>
      <w:r>
        <w:t>18. Appendix B — Deliverable Checklist</w:t>
      </w:r>
    </w:p>
    <w:p/>
    <w:tbl>
      <w:tblPr>
        <w:tblW w:type="auto" w:w="0"/>
        <w:jc w:val="center"/>
        <w:tblLook w:firstColumn="1" w:firstRow="1" w:lastColumn="0" w:lastRow="0" w:noHBand="0" w:noVBand="1" w:val="04A0"/>
      </w:tblPr>
      <w:tblGrid>
        <w:gridCol w:w="10080"/>
      </w:tblGrid>
      <w:tr>
        <w:tc>
          <w:tcPr>
            <w:tcW w:type="dxa" w:w="10080"/>
            <w:shd w:fill="F7F7F7"/>
          </w:tcPr>
          <w:p>
            <w:pPr>
              <w:spacing w:after="40"/>
            </w:pPr>
            <w:r>
              <w:rPr>
                <w:b/>
                <w:color w:val="1F3756"/>
                <w:sz w:val="21"/>
              </w:rPr>
              <w:t>Note on evidence</w:t>
            </w:r>
          </w:p>
          <w:p>
            <w:pPr>
              <w:spacing w:after="40"/>
            </w:pPr>
            <w:r>
              <w:rPr>
                <w:sz w:val="19"/>
              </w:rPr>
              <w:t>The report incorporates the 11 screenshots supplied for the final Task 4 workflow, including target distribution, feature distributions, correlation analysis, confusion matrices, ROC analysis, feature importance, coefficients, and final model comparisons.</w:t>
            </w:r>
          </w:p>
        </w:tc>
      </w:tr>
    </w:tbl>
    <w:p/>
    <w:p>
      <w:r>
        <w:br w:type="page"/>
      </w:r>
    </w:p>
    <w:p>
      <w:pPr>
        <w:pStyle w:val="Heading1"/>
      </w:pPr>
      <w:r>
        <w:t>3. Task Objective and Problem Definition</w:t>
      </w:r>
    </w:p>
    <w:p>
      <w:pPr>
        <w:pStyle w:val="Heading2"/>
      </w:pPr>
      <w:r>
        <w:t>3.1 Task requirements addressed</w:t>
      </w:r>
    </w:p>
    <w:p>
      <w:pPr>
        <w:pStyle w:val="ListBullet"/>
        <w:spacing w:after="60"/>
      </w:pPr>
      <w:r>
        <w:t>Design and implement a supervised-learning model in Python.</w:t>
      </w:r>
    </w:p>
    <w:p>
      <w:pPr>
        <w:pStyle w:val="ListBullet"/>
        <w:spacing w:after="60"/>
      </w:pPr>
      <w:r>
        <w:t>Define a classification problem using a public transaction dataset.</w:t>
      </w:r>
    </w:p>
    <w:p>
      <w:pPr>
        <w:pStyle w:val="ListBullet"/>
        <w:spacing w:after="60"/>
      </w:pPr>
      <w:r>
        <w:t>Prepare data and engineer customer-level predictive features.</w:t>
      </w:r>
    </w:p>
    <w:p>
      <w:pPr>
        <w:pStyle w:val="ListBullet"/>
        <w:spacing w:after="60"/>
      </w:pPr>
      <w:r>
        <w:t>Train models using Scikit-learn.</w:t>
      </w:r>
    </w:p>
    <w:p>
      <w:pPr>
        <w:pStyle w:val="ListBullet"/>
        <w:spacing w:after="60"/>
      </w:pPr>
      <w:r>
        <w:t>Validate the models using stratified cross-validation.</w:t>
      </w:r>
    </w:p>
    <w:p>
      <w:pPr>
        <w:pStyle w:val="ListBullet"/>
        <w:spacing w:after="60"/>
      </w:pPr>
      <w:r>
        <w:t>Evaluate performance with Accuracy, Precision, Recall, F1-score, and ROC-AUC.</w:t>
      </w:r>
    </w:p>
    <w:p>
      <w:pPr>
        <w:pStyle w:val="ListBullet"/>
        <w:spacing w:after="60"/>
      </w:pPr>
      <w:r>
        <w:t>Analyze model behavior using confusion matrices, ROC curves, feature importance, and model coefficients.</w:t>
      </w:r>
    </w:p>
    <w:p>
      <w:pPr>
        <w:pStyle w:val="ListBullet"/>
        <w:spacing w:after="60"/>
      </w:pPr>
      <w:r>
        <w:t>Discuss strengths, limitations, improvements, and practical implications.</w:t>
      </w:r>
    </w:p>
    <w:p>
      <w:pPr>
        <w:pStyle w:val="Heading2"/>
      </w:pPr>
      <w:r>
        <w:t>3.2 Problem statement</w:t>
      </w:r>
    </w:p>
    <w:p>
      <w:r>
        <w:t>The objective is to predict whether a customer who has previously purchased from the retailer will make at least one additional purchase during a later observation period. This is formulated as a binary classification problem:</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Target value</w:t>
            </w:r>
          </w:p>
        </w:tc>
        <w:tc>
          <w:tcPr>
            <w:tcW w:type="dxa" w:w="5040"/>
            <w:shd w:fill="1F3760"/>
            <w:vAlign w:val="center"/>
          </w:tcPr>
          <w:p>
            <w:pPr>
              <w:spacing w:after="0"/>
            </w:pPr>
            <w:r/>
            <w:r>
              <w:rPr>
                <w:b/>
                <w:color w:val="FFFFFF"/>
                <w:sz w:val="18"/>
              </w:rPr>
              <w:t>Definition</w:t>
            </w:r>
          </w:p>
        </w:tc>
      </w:tr>
      <w:tr>
        <w:tc>
          <w:tcPr>
            <w:tcW w:type="dxa" w:w="5040"/>
            <w:shd w:fill="F4F7FA"/>
            <w:vAlign w:val="center"/>
          </w:tcPr>
          <w:p>
            <w:pPr>
              <w:spacing w:after="0"/>
            </w:pPr>
            <w:r/>
            <w:r>
              <w:rPr>
                <w:b w:val="0"/>
                <w:color w:val="282828"/>
                <w:sz w:val="18"/>
              </w:rPr>
              <w:t>1 — Repeat Purchase</w:t>
            </w:r>
          </w:p>
        </w:tc>
        <w:tc>
          <w:tcPr>
            <w:tcW w:type="dxa" w:w="5040"/>
            <w:shd w:fill="F4F7FA"/>
            <w:vAlign w:val="center"/>
          </w:tcPr>
          <w:p>
            <w:pPr>
              <w:spacing w:after="0"/>
            </w:pPr>
            <w:r/>
            <w:r>
              <w:rPr>
                <w:b w:val="0"/>
                <w:color w:val="282828"/>
                <w:sz w:val="18"/>
              </w:rPr>
              <w:t>Customer made at least one purchase during the future period beginning 1 September 2011.</w:t>
            </w:r>
          </w:p>
        </w:tc>
      </w:tr>
      <w:tr>
        <w:tc>
          <w:tcPr>
            <w:tcW w:type="dxa" w:w="5040"/>
            <w:vAlign w:val="center"/>
          </w:tcPr>
          <w:p>
            <w:pPr>
              <w:spacing w:after="0"/>
            </w:pPr>
            <w:r/>
            <w:r>
              <w:rPr>
                <w:b w:val="0"/>
                <w:color w:val="282828"/>
                <w:sz w:val="18"/>
              </w:rPr>
              <w:t>0 — No Repeat Purchase</w:t>
            </w:r>
          </w:p>
        </w:tc>
        <w:tc>
          <w:tcPr>
            <w:tcW w:type="dxa" w:w="5040"/>
            <w:vAlign w:val="center"/>
          </w:tcPr>
          <w:p>
            <w:pPr>
              <w:spacing w:after="0"/>
            </w:pPr>
            <w:r/>
            <w:r>
              <w:rPr>
                <w:b w:val="0"/>
                <w:color w:val="282828"/>
                <w:sz w:val="18"/>
              </w:rPr>
              <w:t>Customer did not make a purchase during the future observation period.</w:t>
            </w:r>
          </w:p>
        </w:tc>
      </w:tr>
    </w:tbl>
    <w:p/>
    <w:p>
      <w:r>
        <w:t>The task is therefore a forward-looking customer-retention prediction problem among customers with historical purchasing activity. It is not a claim that the model can predict behavior for entirely new customers with no historical data.</w:t>
      </w:r>
    </w:p>
    <w:p>
      <w:r>
        <w:br w:type="page"/>
      </w:r>
    </w:p>
    <w:p>
      <w:pPr>
        <w:pStyle w:val="Heading1"/>
      </w:pPr>
      <w:r>
        <w:t>4. Dataset and Project Continuity</w:t>
      </w:r>
    </w:p>
    <w:p>
      <w:pPr>
        <w:pStyle w:val="Heading2"/>
      </w:pPr>
      <w:r>
        <w:t>4.1 Dataset</w:t>
      </w:r>
    </w:p>
    <w:p>
      <w:r>
        <w:t>The project uses the Online Retail transaction dataset. The raw dataset contains 541,909 transaction rows and eight original fields: InvoiceNo, StockCode, Description, Quantity, InvoiceDate, UnitPrice, CustomerID, and Country.</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Dataset characteristic</w:t>
            </w:r>
          </w:p>
        </w:tc>
        <w:tc>
          <w:tcPr>
            <w:tcW w:type="dxa" w:w="5040"/>
            <w:shd w:fill="1F3760"/>
            <w:vAlign w:val="center"/>
          </w:tcPr>
          <w:p>
            <w:pPr>
              <w:spacing w:after="0"/>
            </w:pPr>
            <w:r/>
            <w:r>
              <w:rPr>
                <w:b/>
                <w:color w:val="FFFFFF"/>
                <w:sz w:val="18"/>
              </w:rPr>
              <w:t>Value</w:t>
            </w:r>
          </w:p>
        </w:tc>
      </w:tr>
      <w:tr>
        <w:tc>
          <w:tcPr>
            <w:tcW w:type="dxa" w:w="5040"/>
            <w:shd w:fill="F4F7FA"/>
            <w:vAlign w:val="center"/>
          </w:tcPr>
          <w:p>
            <w:pPr>
              <w:spacing w:after="0"/>
            </w:pPr>
            <w:r/>
            <w:r>
              <w:rPr>
                <w:b w:val="0"/>
                <w:color w:val="282828"/>
                <w:sz w:val="18"/>
              </w:rPr>
              <w:t>Raw transaction rows</w:t>
            </w:r>
          </w:p>
        </w:tc>
        <w:tc>
          <w:tcPr>
            <w:tcW w:type="dxa" w:w="5040"/>
            <w:shd w:fill="F4F7FA"/>
            <w:vAlign w:val="center"/>
          </w:tcPr>
          <w:p>
            <w:pPr>
              <w:spacing w:after="0"/>
            </w:pPr>
            <w:r/>
            <w:r>
              <w:rPr>
                <w:b w:val="0"/>
                <w:color w:val="282828"/>
                <w:sz w:val="18"/>
              </w:rPr>
              <w:t>541,909</w:t>
            </w:r>
          </w:p>
        </w:tc>
      </w:tr>
      <w:tr>
        <w:tc>
          <w:tcPr>
            <w:tcW w:type="dxa" w:w="5040"/>
            <w:vAlign w:val="center"/>
          </w:tcPr>
          <w:p>
            <w:pPr>
              <w:spacing w:after="0"/>
            </w:pPr>
            <w:r/>
            <w:r>
              <w:rPr>
                <w:b w:val="0"/>
                <w:color w:val="282828"/>
                <w:sz w:val="18"/>
              </w:rPr>
              <w:t>Original columns</w:t>
            </w:r>
          </w:p>
        </w:tc>
        <w:tc>
          <w:tcPr>
            <w:tcW w:type="dxa" w:w="5040"/>
            <w:vAlign w:val="center"/>
          </w:tcPr>
          <w:p>
            <w:pPr>
              <w:spacing w:after="0"/>
            </w:pPr>
            <w:r/>
            <w:r>
              <w:rPr>
                <w:b w:val="0"/>
                <w:color w:val="282828"/>
                <w:sz w:val="18"/>
              </w:rPr>
              <w:t>8</w:t>
            </w:r>
          </w:p>
        </w:tc>
      </w:tr>
      <w:tr>
        <w:tc>
          <w:tcPr>
            <w:tcW w:type="dxa" w:w="5040"/>
            <w:shd w:fill="F4F7FA"/>
            <w:vAlign w:val="center"/>
          </w:tcPr>
          <w:p>
            <w:pPr>
              <w:spacing w:after="0"/>
            </w:pPr>
            <w:r/>
            <w:r>
              <w:rPr>
                <w:b w:val="0"/>
                <w:color w:val="282828"/>
                <w:sz w:val="18"/>
              </w:rPr>
              <w:t>Cleaned/preprocessed columns used</w:t>
            </w:r>
          </w:p>
        </w:tc>
        <w:tc>
          <w:tcPr>
            <w:tcW w:type="dxa" w:w="5040"/>
            <w:shd w:fill="F4F7FA"/>
            <w:vAlign w:val="center"/>
          </w:tcPr>
          <w:p>
            <w:pPr>
              <w:spacing w:after="0"/>
            </w:pPr>
            <w:r/>
            <w:r>
              <w:rPr>
                <w:b w:val="0"/>
                <w:color w:val="282828"/>
                <w:sz w:val="18"/>
              </w:rPr>
              <w:t>13</w:t>
            </w:r>
          </w:p>
        </w:tc>
      </w:tr>
      <w:tr>
        <w:tc>
          <w:tcPr>
            <w:tcW w:type="dxa" w:w="5040"/>
            <w:vAlign w:val="center"/>
          </w:tcPr>
          <w:p>
            <w:pPr>
              <w:spacing w:after="0"/>
            </w:pPr>
            <w:r/>
            <w:r>
              <w:rPr>
                <w:b w:val="0"/>
                <w:color w:val="282828"/>
                <w:sz w:val="18"/>
              </w:rPr>
              <w:t>Cleaned transaction rows</w:t>
            </w:r>
          </w:p>
        </w:tc>
        <w:tc>
          <w:tcPr>
            <w:tcW w:type="dxa" w:w="5040"/>
            <w:vAlign w:val="center"/>
          </w:tcPr>
          <w:p>
            <w:pPr>
              <w:spacing w:after="0"/>
            </w:pPr>
            <w:r/>
            <w:r>
              <w:rPr>
                <w:b w:val="0"/>
                <w:color w:val="282828"/>
                <w:sz w:val="18"/>
              </w:rPr>
              <w:t>392,692</w:t>
            </w:r>
          </w:p>
        </w:tc>
      </w:tr>
      <w:tr>
        <w:tc>
          <w:tcPr>
            <w:tcW w:type="dxa" w:w="5040"/>
            <w:shd w:fill="F4F7FA"/>
            <w:vAlign w:val="center"/>
          </w:tcPr>
          <w:p>
            <w:pPr>
              <w:spacing w:after="0"/>
            </w:pPr>
            <w:r/>
            <w:r>
              <w:rPr>
                <w:b w:val="0"/>
                <w:color w:val="282828"/>
                <w:sz w:val="18"/>
              </w:rPr>
              <w:t>Unique customers after cleaning</w:t>
            </w:r>
          </w:p>
        </w:tc>
        <w:tc>
          <w:tcPr>
            <w:tcW w:type="dxa" w:w="5040"/>
            <w:shd w:fill="F4F7FA"/>
            <w:vAlign w:val="center"/>
          </w:tcPr>
          <w:p>
            <w:pPr>
              <w:spacing w:after="0"/>
            </w:pPr>
            <w:r/>
            <w:r>
              <w:rPr>
                <w:b w:val="0"/>
                <w:color w:val="282828"/>
                <w:sz w:val="18"/>
              </w:rPr>
              <w:t>4,338</w:t>
            </w:r>
          </w:p>
        </w:tc>
      </w:tr>
      <w:tr>
        <w:tc>
          <w:tcPr>
            <w:tcW w:type="dxa" w:w="5040"/>
            <w:vAlign w:val="center"/>
          </w:tcPr>
          <w:p>
            <w:pPr>
              <w:spacing w:after="0"/>
            </w:pPr>
            <w:r/>
            <w:r>
              <w:rPr>
                <w:b w:val="0"/>
                <w:color w:val="282828"/>
                <w:sz w:val="18"/>
              </w:rPr>
              <w:t>Unique invoices after cleaning</w:t>
            </w:r>
          </w:p>
        </w:tc>
        <w:tc>
          <w:tcPr>
            <w:tcW w:type="dxa" w:w="5040"/>
            <w:vAlign w:val="center"/>
          </w:tcPr>
          <w:p>
            <w:pPr>
              <w:spacing w:after="0"/>
            </w:pPr>
            <w:r/>
            <w:r>
              <w:rPr>
                <w:b w:val="0"/>
                <w:color w:val="282828"/>
                <w:sz w:val="18"/>
              </w:rPr>
              <w:t>18,532</w:t>
            </w:r>
          </w:p>
        </w:tc>
      </w:tr>
      <w:tr>
        <w:tc>
          <w:tcPr>
            <w:tcW w:type="dxa" w:w="5040"/>
            <w:shd w:fill="F4F7FA"/>
            <w:vAlign w:val="center"/>
          </w:tcPr>
          <w:p>
            <w:pPr>
              <w:spacing w:after="0"/>
            </w:pPr>
            <w:r/>
            <w:r>
              <w:rPr>
                <w:b w:val="0"/>
                <w:color w:val="282828"/>
                <w:sz w:val="18"/>
              </w:rPr>
              <w:t>Unique products</w:t>
            </w:r>
          </w:p>
        </w:tc>
        <w:tc>
          <w:tcPr>
            <w:tcW w:type="dxa" w:w="5040"/>
            <w:shd w:fill="F4F7FA"/>
            <w:vAlign w:val="center"/>
          </w:tcPr>
          <w:p>
            <w:pPr>
              <w:spacing w:after="0"/>
            </w:pPr>
            <w:r/>
            <w:r>
              <w:rPr>
                <w:b w:val="0"/>
                <w:color w:val="282828"/>
                <w:sz w:val="18"/>
              </w:rPr>
              <w:t>3,665</w:t>
            </w:r>
          </w:p>
        </w:tc>
      </w:tr>
      <w:tr>
        <w:tc>
          <w:tcPr>
            <w:tcW w:type="dxa" w:w="5040"/>
            <w:vAlign w:val="center"/>
          </w:tcPr>
          <w:p>
            <w:pPr>
              <w:spacing w:after="0"/>
            </w:pPr>
            <w:r/>
            <w:r>
              <w:rPr>
                <w:b w:val="0"/>
                <w:color w:val="282828"/>
                <w:sz w:val="18"/>
              </w:rPr>
              <w:t>Countries</w:t>
            </w:r>
          </w:p>
        </w:tc>
        <w:tc>
          <w:tcPr>
            <w:tcW w:type="dxa" w:w="5040"/>
            <w:vAlign w:val="center"/>
          </w:tcPr>
          <w:p>
            <w:pPr>
              <w:spacing w:after="0"/>
            </w:pPr>
            <w:r/>
            <w:r>
              <w:rPr>
                <w:b w:val="0"/>
                <w:color w:val="282828"/>
                <w:sz w:val="18"/>
              </w:rPr>
              <w:t>37</w:t>
            </w:r>
          </w:p>
        </w:tc>
      </w:tr>
      <w:tr>
        <w:tc>
          <w:tcPr>
            <w:tcW w:type="dxa" w:w="5040"/>
            <w:shd w:fill="F4F7FA"/>
            <w:vAlign w:val="center"/>
          </w:tcPr>
          <w:p>
            <w:pPr>
              <w:spacing w:after="0"/>
            </w:pPr>
            <w:r/>
            <w:r>
              <w:rPr>
                <w:b w:val="0"/>
                <w:color w:val="282828"/>
                <w:sz w:val="18"/>
              </w:rPr>
              <w:t>Transaction date range</w:t>
            </w:r>
          </w:p>
        </w:tc>
        <w:tc>
          <w:tcPr>
            <w:tcW w:type="dxa" w:w="5040"/>
            <w:shd w:fill="F4F7FA"/>
            <w:vAlign w:val="center"/>
          </w:tcPr>
          <w:p>
            <w:pPr>
              <w:spacing w:after="0"/>
            </w:pPr>
            <w:r/>
            <w:r>
              <w:rPr>
                <w:b w:val="0"/>
                <w:color w:val="282828"/>
                <w:sz w:val="18"/>
              </w:rPr>
              <w:t>1 Dec 2010 to 9 Dec 2011</w:t>
            </w:r>
          </w:p>
        </w:tc>
      </w:tr>
    </w:tbl>
    <w:p/>
    <w:p>
      <w:pPr>
        <w:pStyle w:val="Heading2"/>
      </w:pPr>
      <w:r>
        <w:t>4.2 Continuity with previous internship tasks</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Task</w:t>
            </w:r>
          </w:p>
        </w:tc>
        <w:tc>
          <w:tcPr>
            <w:tcW w:type="dxa" w:w="5040"/>
            <w:shd w:fill="1F3760"/>
            <w:vAlign w:val="center"/>
          </w:tcPr>
          <w:p>
            <w:pPr>
              <w:spacing w:after="0"/>
            </w:pPr>
            <w:r/>
            <w:r>
              <w:rPr>
                <w:b/>
                <w:color w:val="FFFFFF"/>
                <w:sz w:val="18"/>
              </w:rPr>
              <w:t>Contribution to Task 4</w:t>
            </w:r>
          </w:p>
        </w:tc>
      </w:tr>
      <w:tr>
        <w:tc>
          <w:tcPr>
            <w:tcW w:type="dxa" w:w="5040"/>
            <w:shd w:fill="F4F7FA"/>
            <w:vAlign w:val="center"/>
          </w:tcPr>
          <w:p>
            <w:pPr>
              <w:spacing w:after="0"/>
            </w:pPr>
            <w:r/>
            <w:r>
              <w:rPr>
                <w:b w:val="0"/>
                <w:color w:val="282828"/>
                <w:sz w:val="18"/>
              </w:rPr>
              <w:t>Task 1 — Data Cleaning</w:t>
            </w:r>
          </w:p>
        </w:tc>
        <w:tc>
          <w:tcPr>
            <w:tcW w:type="dxa" w:w="5040"/>
            <w:shd w:fill="F4F7FA"/>
            <w:vAlign w:val="center"/>
          </w:tcPr>
          <w:p>
            <w:pPr>
              <w:spacing w:after="0"/>
            </w:pPr>
            <w:r/>
            <w:r>
              <w:rPr>
                <w:b w:val="0"/>
                <w:color w:val="282828"/>
                <w:sz w:val="18"/>
              </w:rPr>
              <w:t>Established valid positive transactions, removed duplicates/missing customer records and cancellations, and created TotalAmount/time features.</w:t>
            </w:r>
          </w:p>
        </w:tc>
      </w:tr>
      <w:tr>
        <w:tc>
          <w:tcPr>
            <w:tcW w:type="dxa" w:w="5040"/>
            <w:vAlign w:val="center"/>
          </w:tcPr>
          <w:p>
            <w:pPr>
              <w:spacing w:after="0"/>
            </w:pPr>
            <w:r/>
            <w:r>
              <w:rPr>
                <w:b w:val="0"/>
                <w:color w:val="282828"/>
                <w:sz w:val="18"/>
              </w:rPr>
              <w:t>Task 2 — EDA</w:t>
            </w:r>
          </w:p>
        </w:tc>
        <w:tc>
          <w:tcPr>
            <w:tcW w:type="dxa" w:w="5040"/>
            <w:vAlign w:val="center"/>
          </w:tcPr>
          <w:p>
            <w:pPr>
              <w:spacing w:after="0"/>
            </w:pPr>
            <w:r/>
            <w:r>
              <w:rPr>
                <w:b w:val="0"/>
                <w:color w:val="282828"/>
                <w:sz w:val="18"/>
              </w:rPr>
              <w:t>Established transaction-level patterns and customer/product aggregates on the cleaned dataset.</w:t>
            </w:r>
          </w:p>
        </w:tc>
      </w:tr>
      <w:tr>
        <w:tc>
          <w:tcPr>
            <w:tcW w:type="dxa" w:w="5040"/>
            <w:shd w:fill="F4F7FA"/>
            <w:vAlign w:val="center"/>
          </w:tcPr>
          <w:p>
            <w:pPr>
              <w:spacing w:after="0"/>
            </w:pPr>
            <w:r/>
            <w:r>
              <w:rPr>
                <w:b w:val="0"/>
                <w:color w:val="282828"/>
                <w:sz w:val="18"/>
              </w:rPr>
              <w:t>Task 3 — Clustering</w:t>
            </w:r>
          </w:p>
        </w:tc>
        <w:tc>
          <w:tcPr>
            <w:tcW w:type="dxa" w:w="5040"/>
            <w:shd w:fill="F4F7FA"/>
            <w:vAlign w:val="center"/>
          </w:tcPr>
          <w:p>
            <w:pPr>
              <w:spacing w:after="0"/>
            </w:pPr>
            <w:r/>
            <w:r>
              <w:rPr>
                <w:b w:val="0"/>
                <w:color w:val="282828"/>
                <w:sz w:val="18"/>
              </w:rPr>
              <w:t>Demonstrated customer-level RFM analysis and segmentation.</w:t>
            </w:r>
          </w:p>
        </w:tc>
      </w:tr>
      <w:tr>
        <w:tc>
          <w:tcPr>
            <w:tcW w:type="dxa" w:w="5040"/>
            <w:vAlign w:val="center"/>
          </w:tcPr>
          <w:p>
            <w:pPr>
              <w:spacing w:after="0"/>
            </w:pPr>
            <w:r/>
            <w:r>
              <w:rPr>
                <w:b w:val="0"/>
                <w:color w:val="282828"/>
                <w:sz w:val="18"/>
              </w:rPr>
              <w:t>Task 4 — Supervised Learning</w:t>
            </w:r>
          </w:p>
        </w:tc>
        <w:tc>
          <w:tcPr>
            <w:tcW w:type="dxa" w:w="5040"/>
            <w:vAlign w:val="center"/>
          </w:tcPr>
          <w:p>
            <w:pPr>
              <w:spacing w:after="0"/>
            </w:pPr>
            <w:r/>
            <w:r>
              <w:rPr>
                <w:b w:val="0"/>
                <w:color w:val="282828"/>
                <w:sz w:val="18"/>
              </w:rPr>
              <w:t>Uses historical customer behavior to predict future repeat purchasing.</w:t>
            </w:r>
          </w:p>
        </w:tc>
      </w:tr>
    </w:tbl>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F3756"/>
                <w:sz w:val="21"/>
              </w:rPr>
              <w:t>Project continuity</w:t>
            </w:r>
          </w:p>
          <w:p>
            <w:pPr>
              <w:spacing w:after="40"/>
            </w:pPr>
            <w:r>
              <w:rPr>
                <w:sz w:val="19"/>
              </w:rPr>
              <w:t>Task 4 deliberately continues the same Online Retail analytical workflow instead of introducing an unrelated dataset. This creates a coherent progression from cleaning → EDA → customer segmentation → predictive modeling.</w:t>
            </w:r>
          </w:p>
        </w:tc>
      </w:tr>
    </w:tbl>
    <w:p/>
    <w:p>
      <w:r>
        <w:br w:type="page"/>
      </w:r>
    </w:p>
    <w:p>
      <w:pPr>
        <w:pStyle w:val="Heading1"/>
      </w:pPr>
      <w:r>
        <w:t>5. Prediction Design and Leakage Prevention</w:t>
      </w:r>
    </w:p>
    <w:p>
      <w:pPr>
        <w:pStyle w:val="Heading2"/>
      </w:pPr>
      <w:r>
        <w:t>5.1 Time-based observation design</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Period</w:t>
            </w:r>
          </w:p>
        </w:tc>
        <w:tc>
          <w:tcPr>
            <w:tcW w:type="dxa" w:w="5040"/>
            <w:shd w:fill="1F3760"/>
            <w:vAlign w:val="center"/>
          </w:tcPr>
          <w:p>
            <w:pPr>
              <w:spacing w:after="0"/>
            </w:pPr>
            <w:r/>
            <w:r>
              <w:rPr>
                <w:b/>
                <w:color w:val="FFFFFF"/>
                <w:sz w:val="18"/>
              </w:rPr>
              <w:t>Role</w:t>
            </w:r>
          </w:p>
        </w:tc>
      </w:tr>
      <w:tr>
        <w:tc>
          <w:tcPr>
            <w:tcW w:type="dxa" w:w="5040"/>
            <w:shd w:fill="F4F7FA"/>
            <w:vAlign w:val="center"/>
          </w:tcPr>
          <w:p>
            <w:pPr>
              <w:spacing w:after="0"/>
            </w:pPr>
            <w:r/>
            <w:r>
              <w:rPr>
                <w:b w:val="0"/>
                <w:color w:val="282828"/>
                <w:sz w:val="18"/>
              </w:rPr>
              <w:t>Before 1 Sep 2011</w:t>
            </w:r>
          </w:p>
        </w:tc>
        <w:tc>
          <w:tcPr>
            <w:tcW w:type="dxa" w:w="5040"/>
            <w:shd w:fill="F4F7FA"/>
            <w:vAlign w:val="center"/>
          </w:tcPr>
          <w:p>
            <w:pPr>
              <w:spacing w:after="0"/>
            </w:pPr>
            <w:r/>
            <w:r>
              <w:rPr>
                <w:b w:val="0"/>
                <w:color w:val="282828"/>
                <w:sz w:val="18"/>
              </w:rPr>
              <w:t>Historical period used to calculate all predictive features.</w:t>
            </w:r>
          </w:p>
        </w:tc>
      </w:tr>
      <w:tr>
        <w:tc>
          <w:tcPr>
            <w:tcW w:type="dxa" w:w="5040"/>
            <w:vAlign w:val="center"/>
          </w:tcPr>
          <w:p>
            <w:pPr>
              <w:spacing w:after="0"/>
            </w:pPr>
            <w:r/>
            <w:r>
              <w:rPr>
                <w:b w:val="0"/>
                <w:color w:val="282828"/>
                <w:sz w:val="18"/>
              </w:rPr>
              <w:t>1 Sep 2011 onward</w:t>
            </w:r>
          </w:p>
        </w:tc>
        <w:tc>
          <w:tcPr>
            <w:tcW w:type="dxa" w:w="5040"/>
            <w:vAlign w:val="center"/>
          </w:tcPr>
          <w:p>
            <w:pPr>
              <w:spacing w:after="0"/>
            </w:pPr>
            <w:r/>
            <w:r>
              <w:rPr>
                <w:b w:val="0"/>
                <w:color w:val="282828"/>
                <w:sz w:val="18"/>
              </w:rPr>
              <w:t>Future period used only to define the RepeatPurchase target.</w:t>
            </w:r>
          </w:p>
        </w:tc>
      </w:tr>
    </w:tbl>
    <w:p/>
    <w:p>
      <w:r>
        <w:t>The cutoff is essential because using purchases from the future period as predictive features would expose the model to information that would not have been available at prediction time. The target was therefore constructed by intersecting historical customers with customers observed in the future period.</w:t>
      </w:r>
    </w:p>
    <w:p>
      <w:pPr>
        <w:pStyle w:val="Heading2"/>
      </w:pPr>
      <w:r>
        <w:t>5.2 Target construction</w:t>
      </w:r>
    </w:p>
    <w:p>
      <w:pPr>
        <w:pStyle w:val="ListNumber"/>
        <w:spacing w:after="60"/>
      </w:pPr>
      <w:r>
        <w:t>Identify all customers with valid transactions before the cutoff.</w:t>
      </w:r>
    </w:p>
    <w:p>
      <w:pPr>
        <w:pStyle w:val="ListNumber"/>
        <w:spacing w:after="60"/>
      </w:pPr>
      <w:r>
        <w:t>Identify all customers appearing in the future observation period.</w:t>
      </w:r>
    </w:p>
    <w:p>
      <w:pPr>
        <w:pStyle w:val="ListNumber"/>
        <w:spacing w:after="60"/>
      </w:pPr>
      <w:r>
        <w:t>Mark a historical customer as RepeatPurchase = 1 if the customer appears in the future customer set.</w:t>
      </w:r>
    </w:p>
    <w:p>
      <w:pPr>
        <w:pStyle w:val="ListNumber"/>
        <w:spacing w:after="60"/>
      </w:pPr>
      <w:r>
        <w:t>Otherwise assign RepeatPurchase = 0.</w:t>
      </w:r>
    </w:p>
    <w:p>
      <w:r>
        <w:t>This produces a binary target with 1,952 positive cases and 1,365 negative cases. The class proportions are 58.85% and 41.15%, respectively.</w:t>
      </w:r>
    </w:p>
    <w:p>
      <w:pPr>
        <w:pStyle w:val="Heading2"/>
      </w:pPr>
      <w:r>
        <w:t>5.3 Why this design matters</w:t>
      </w:r>
    </w:p>
    <w:p>
      <w:pPr>
        <w:pStyle w:val="ListBullet"/>
        <w:spacing w:after="60"/>
      </w:pPr>
      <w:r>
        <w:t>It reflects the chronological nature of repeat-purchase prediction.</w:t>
      </w:r>
    </w:p>
    <w:p>
      <w:pPr>
        <w:pStyle w:val="ListBullet"/>
        <w:spacing w:after="60"/>
      </w:pPr>
      <w:r>
        <w:t>It separates feature information from future outcome information.</w:t>
      </w:r>
    </w:p>
    <w:p>
      <w:pPr>
        <w:pStyle w:val="ListBullet"/>
        <w:spacing w:after="60"/>
      </w:pPr>
      <w:r>
        <w:t>It makes the evaluation more realistic than randomly constructing the target from the same time period as the features.</w:t>
      </w:r>
    </w:p>
    <w:p>
      <w:pPr>
        <w:pStyle w:val="ListBullet"/>
        <w:spacing w:after="60"/>
      </w:pPr>
      <w:r>
        <w:t>It defines the prediction population as known historical customers rather than unseen customers.</w:t>
      </w:r>
    </w:p>
    <w:p>
      <w:r>
        <w:br w:type="page"/>
      </w:r>
    </w:p>
    <w:p>
      <w:pPr>
        <w:pStyle w:val="Heading1"/>
      </w:pPr>
      <w:r>
        <w:t>6. Data Preparation and Feature Engineering</w:t>
      </w:r>
    </w:p>
    <w:p>
      <w:pPr>
        <w:pStyle w:val="Heading2"/>
      </w:pPr>
      <w:r>
        <w:t>6.1 Customer-level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760"/>
            <w:vAlign w:val="center"/>
          </w:tcPr>
          <w:p>
            <w:pPr>
              <w:spacing w:after="0"/>
            </w:pPr>
            <w:r/>
            <w:r>
              <w:rPr>
                <w:b/>
                <w:color w:val="FFFFFF"/>
                <w:sz w:val="18"/>
              </w:rPr>
              <w:t>Feature</w:t>
            </w:r>
          </w:p>
        </w:tc>
        <w:tc>
          <w:tcPr>
            <w:tcW w:type="dxa" w:w="3360"/>
            <w:shd w:fill="1F3760"/>
            <w:vAlign w:val="center"/>
          </w:tcPr>
          <w:p>
            <w:pPr>
              <w:spacing w:after="0"/>
            </w:pPr>
            <w:r/>
            <w:r>
              <w:rPr>
                <w:b/>
                <w:color w:val="FFFFFF"/>
                <w:sz w:val="18"/>
              </w:rPr>
              <w:t>Definition</w:t>
            </w:r>
          </w:p>
        </w:tc>
        <w:tc>
          <w:tcPr>
            <w:tcW w:type="dxa" w:w="3360"/>
            <w:shd w:fill="1F3760"/>
            <w:vAlign w:val="center"/>
          </w:tcPr>
          <w:p>
            <w:pPr>
              <w:spacing w:after="0"/>
            </w:pPr>
            <w:r/>
            <w:r>
              <w:rPr>
                <w:b/>
                <w:color w:val="FFFFFF"/>
                <w:sz w:val="18"/>
              </w:rPr>
              <w:t>Analytical role</w:t>
            </w:r>
          </w:p>
        </w:tc>
      </w:tr>
      <w:tr>
        <w:tc>
          <w:tcPr>
            <w:tcW w:type="dxa" w:w="3360"/>
            <w:shd w:fill="F4F7FA"/>
            <w:vAlign w:val="center"/>
          </w:tcPr>
          <w:p>
            <w:pPr>
              <w:spacing w:after="0"/>
            </w:pPr>
            <w:r/>
            <w:r>
              <w:rPr>
                <w:b w:val="0"/>
                <w:color w:val="282828"/>
                <w:sz w:val="18"/>
              </w:rPr>
              <w:t>Recency</w:t>
            </w:r>
          </w:p>
        </w:tc>
        <w:tc>
          <w:tcPr>
            <w:tcW w:type="dxa" w:w="3360"/>
            <w:shd w:fill="F4F7FA"/>
            <w:vAlign w:val="center"/>
          </w:tcPr>
          <w:p>
            <w:pPr>
              <w:spacing w:after="0"/>
            </w:pPr>
            <w:r/>
            <w:r>
              <w:rPr>
                <w:b w:val="0"/>
                <w:color w:val="282828"/>
                <w:sz w:val="18"/>
              </w:rPr>
              <w:t>Days between the historical reference date and the customer's most recent purchase.</w:t>
            </w:r>
          </w:p>
        </w:tc>
        <w:tc>
          <w:tcPr>
            <w:tcW w:type="dxa" w:w="3360"/>
            <w:shd w:fill="F4F7FA"/>
            <w:vAlign w:val="center"/>
          </w:tcPr>
          <w:p>
            <w:pPr>
              <w:spacing w:after="0"/>
            </w:pPr>
            <w:r/>
            <w:r>
              <w:rPr>
                <w:b w:val="0"/>
                <w:color w:val="282828"/>
                <w:sz w:val="18"/>
              </w:rPr>
              <w:t>Measures how recently the customer was active.</w:t>
            </w:r>
          </w:p>
        </w:tc>
      </w:tr>
      <w:tr>
        <w:tc>
          <w:tcPr>
            <w:tcW w:type="dxa" w:w="3360"/>
            <w:vAlign w:val="center"/>
          </w:tcPr>
          <w:p>
            <w:pPr>
              <w:spacing w:after="0"/>
            </w:pPr>
            <w:r/>
            <w:r>
              <w:rPr>
                <w:b w:val="0"/>
                <w:color w:val="282828"/>
                <w:sz w:val="18"/>
              </w:rPr>
              <w:t>Frequency</w:t>
            </w:r>
          </w:p>
        </w:tc>
        <w:tc>
          <w:tcPr>
            <w:tcW w:type="dxa" w:w="3360"/>
            <w:vAlign w:val="center"/>
          </w:tcPr>
          <w:p>
            <w:pPr>
              <w:spacing w:after="0"/>
            </w:pPr>
            <w:r/>
            <w:r>
              <w:rPr>
                <w:b w:val="0"/>
                <w:color w:val="282828"/>
                <w:sz w:val="18"/>
              </w:rPr>
              <w:t>Number of unique invoices in the historical period.</w:t>
            </w:r>
          </w:p>
        </w:tc>
        <w:tc>
          <w:tcPr>
            <w:tcW w:type="dxa" w:w="3360"/>
            <w:vAlign w:val="center"/>
          </w:tcPr>
          <w:p>
            <w:pPr>
              <w:spacing w:after="0"/>
            </w:pPr>
            <w:r/>
            <w:r>
              <w:rPr>
                <w:b w:val="0"/>
                <w:color w:val="282828"/>
                <w:sz w:val="18"/>
              </w:rPr>
              <w:t>Measures purchase frequency.</w:t>
            </w:r>
          </w:p>
        </w:tc>
      </w:tr>
      <w:tr>
        <w:tc>
          <w:tcPr>
            <w:tcW w:type="dxa" w:w="3360"/>
            <w:shd w:fill="F4F7FA"/>
            <w:vAlign w:val="center"/>
          </w:tcPr>
          <w:p>
            <w:pPr>
              <w:spacing w:after="0"/>
            </w:pPr>
            <w:r/>
            <w:r>
              <w:rPr>
                <w:b w:val="0"/>
                <w:color w:val="282828"/>
                <w:sz w:val="18"/>
              </w:rPr>
              <w:t>Monetary</w:t>
            </w:r>
          </w:p>
        </w:tc>
        <w:tc>
          <w:tcPr>
            <w:tcW w:type="dxa" w:w="3360"/>
            <w:shd w:fill="F4F7FA"/>
            <w:vAlign w:val="center"/>
          </w:tcPr>
          <w:p>
            <w:pPr>
              <w:spacing w:after="0"/>
            </w:pPr>
            <w:r/>
            <w:r>
              <w:rPr>
                <w:b w:val="0"/>
                <w:color w:val="282828"/>
                <w:sz w:val="18"/>
              </w:rPr>
              <w:t>Sum of TotalAmount in the historical period.</w:t>
            </w:r>
          </w:p>
        </w:tc>
        <w:tc>
          <w:tcPr>
            <w:tcW w:type="dxa" w:w="3360"/>
            <w:shd w:fill="F4F7FA"/>
            <w:vAlign w:val="center"/>
          </w:tcPr>
          <w:p>
            <w:pPr>
              <w:spacing w:after="0"/>
            </w:pPr>
            <w:r/>
            <w:r>
              <w:rPr>
                <w:b w:val="0"/>
                <w:color w:val="282828"/>
                <w:sz w:val="18"/>
              </w:rPr>
              <w:t>Measures historical spending.</w:t>
            </w:r>
          </w:p>
        </w:tc>
      </w:tr>
      <w:tr>
        <w:tc>
          <w:tcPr>
            <w:tcW w:type="dxa" w:w="3360"/>
            <w:vAlign w:val="center"/>
          </w:tcPr>
          <w:p>
            <w:pPr>
              <w:spacing w:after="0"/>
            </w:pPr>
            <w:r/>
            <w:r>
              <w:rPr>
                <w:b w:val="0"/>
                <w:color w:val="282828"/>
                <w:sz w:val="18"/>
              </w:rPr>
              <w:t>TotalQuantity</w:t>
            </w:r>
          </w:p>
        </w:tc>
        <w:tc>
          <w:tcPr>
            <w:tcW w:type="dxa" w:w="3360"/>
            <w:vAlign w:val="center"/>
          </w:tcPr>
          <w:p>
            <w:pPr>
              <w:spacing w:after="0"/>
            </w:pPr>
            <w:r/>
            <w:r>
              <w:rPr>
                <w:b w:val="0"/>
                <w:color w:val="282828"/>
                <w:sz w:val="18"/>
              </w:rPr>
              <w:t>Total number of units purchased historically.</w:t>
            </w:r>
          </w:p>
        </w:tc>
        <w:tc>
          <w:tcPr>
            <w:tcW w:type="dxa" w:w="3360"/>
            <w:vAlign w:val="center"/>
          </w:tcPr>
          <w:p>
            <w:pPr>
              <w:spacing w:after="0"/>
            </w:pPr>
            <w:r/>
            <w:r>
              <w:rPr>
                <w:b w:val="0"/>
                <w:color w:val="282828"/>
                <w:sz w:val="18"/>
              </w:rPr>
              <w:t>Measures purchase volume.</w:t>
            </w:r>
          </w:p>
        </w:tc>
      </w:tr>
      <w:tr>
        <w:tc>
          <w:tcPr>
            <w:tcW w:type="dxa" w:w="3360"/>
            <w:shd w:fill="F4F7FA"/>
            <w:vAlign w:val="center"/>
          </w:tcPr>
          <w:p>
            <w:pPr>
              <w:spacing w:after="0"/>
            </w:pPr>
            <w:r/>
            <w:r>
              <w:rPr>
                <w:b w:val="0"/>
                <w:color w:val="282828"/>
                <w:sz w:val="18"/>
              </w:rPr>
              <w:t>UniqueProducts</w:t>
            </w:r>
          </w:p>
        </w:tc>
        <w:tc>
          <w:tcPr>
            <w:tcW w:type="dxa" w:w="3360"/>
            <w:shd w:fill="F4F7FA"/>
            <w:vAlign w:val="center"/>
          </w:tcPr>
          <w:p>
            <w:pPr>
              <w:spacing w:after="0"/>
            </w:pPr>
            <w:r/>
            <w:r>
              <w:rPr>
                <w:b w:val="0"/>
                <w:color w:val="282828"/>
                <w:sz w:val="18"/>
              </w:rPr>
              <w:t>Number of unique StockCode values purchased.</w:t>
            </w:r>
          </w:p>
        </w:tc>
        <w:tc>
          <w:tcPr>
            <w:tcW w:type="dxa" w:w="3360"/>
            <w:shd w:fill="F4F7FA"/>
            <w:vAlign w:val="center"/>
          </w:tcPr>
          <w:p>
            <w:pPr>
              <w:spacing w:after="0"/>
            </w:pPr>
            <w:r/>
            <w:r>
              <w:rPr>
                <w:b w:val="0"/>
                <w:color w:val="282828"/>
                <w:sz w:val="18"/>
              </w:rPr>
              <w:t>Measures product breadth.</w:t>
            </w:r>
          </w:p>
        </w:tc>
      </w:tr>
      <w:tr>
        <w:tc>
          <w:tcPr>
            <w:tcW w:type="dxa" w:w="3360"/>
            <w:vAlign w:val="center"/>
          </w:tcPr>
          <w:p>
            <w:pPr>
              <w:spacing w:after="0"/>
            </w:pPr>
            <w:r/>
            <w:r>
              <w:rPr>
                <w:b w:val="0"/>
                <w:color w:val="282828"/>
                <w:sz w:val="18"/>
              </w:rPr>
              <w:t>AvgOrderValue</w:t>
            </w:r>
          </w:p>
        </w:tc>
        <w:tc>
          <w:tcPr>
            <w:tcW w:type="dxa" w:w="3360"/>
            <w:vAlign w:val="center"/>
          </w:tcPr>
          <w:p>
            <w:pPr>
              <w:spacing w:after="0"/>
            </w:pPr>
            <w:r/>
            <w:r>
              <w:rPr>
                <w:b w:val="0"/>
                <w:color w:val="282828"/>
                <w:sz w:val="18"/>
              </w:rPr>
              <w:t>Monetary divided by Frequency.</w:t>
            </w:r>
          </w:p>
        </w:tc>
        <w:tc>
          <w:tcPr>
            <w:tcW w:type="dxa" w:w="3360"/>
            <w:vAlign w:val="center"/>
          </w:tcPr>
          <w:p>
            <w:pPr>
              <w:spacing w:after="0"/>
            </w:pPr>
            <w:r/>
            <w:r>
              <w:rPr>
                <w:b w:val="0"/>
                <w:color w:val="282828"/>
                <w:sz w:val="18"/>
              </w:rPr>
              <w:t>Measures average transaction value.</w:t>
            </w:r>
          </w:p>
        </w:tc>
      </w:tr>
    </w:tbl>
    <w:p/>
    <w:p>
      <w:pPr>
        <w:pStyle w:val="Heading2"/>
      </w:pPr>
      <w:r>
        <w:t>6.2 Mathematical construction</w:t>
      </w:r>
    </w:p>
    <w:p>
      <w:r>
        <w:t>For each customer, historical transactions were grouped by CustomerID. Recency was computed relative to the day after the latest historical transaction. Frequency was based on unique invoices, Monetary was the sum of transaction amounts, TotalQuantity was the sum of units, UniqueProducts was the number of distinct stock codes, and AvgOrderValue was Monetary / Frequency.</w:t>
      </w:r>
    </w:p>
    <w:p>
      <w:pPr>
        <w:pStyle w:val="Heading2"/>
      </w:pPr>
      <w:r>
        <w:t>6.3 Skewness handling</w:t>
      </w:r>
    </w:p>
    <w:p>
      <w:r>
        <w:t>Customer-level behavioral variables displayed substantial positive skew. To reduce the influence of extreme values and make the numerical scales more suitable for linear modeling, each feature was transformed using np.log1p followed by StandardScaler.</w:t>
      </w:r>
    </w:p>
    <w:p>
      <w:r>
        <w:t>The scaler was fitted only on X_train and then applied to X_test. The processed training matrix had mean approximately 0 and standard deviation approximately 1 for all six features.</w:t>
      </w:r>
    </w:p>
    <w:p>
      <w:r>
        <w:br w:type="page"/>
      </w:r>
    </w:p>
    <w:p>
      <w:pPr>
        <w:pStyle w:val="Heading1"/>
      </w:pPr>
      <w:r>
        <w:t>7. Exploratory Analysis</w:t>
      </w:r>
    </w:p>
    <w:p>
      <w:pPr>
        <w:pStyle w:val="Heading2"/>
      </w:pPr>
      <w:r>
        <w:t>7.1 Target distribution</w:t>
      </w:r>
    </w:p>
    <w:p>
      <w:r>
        <w:t>The target is not severely imbalanced: repeat purchasers represent 58.85% of the modeling population and non-repeat customers represent 41.15%. This allowed the study to use stratification rather than synthetic oversampling.</w:t>
      </w:r>
    </w:p>
    <w:p>
      <w:pPr>
        <w:pStyle w:val="Heading2"/>
      </w:pPr>
      <w:r>
        <w:t>7.2 Feature distributions</w:t>
      </w:r>
    </w:p>
    <w:p>
      <w:r>
        <w:t>The feature distributions justify the log transformation used before standardization. The long right tails indicate that a relatively small number of customers have much larger transaction counts, quantities, spending, or product breadth than the majority.</w:t>
      </w:r>
    </w:p>
    <w:p>
      <w:pPr>
        <w:pStyle w:val="Heading2"/>
      </w:pPr>
      <w:r>
        <w:t>7.3 Correlation structure</w:t>
      </w:r>
    </w:p>
    <w:p>
      <w:r>
        <w:t>The correlation matrix shows strong relationships among several volume-oriented features. Monetary and TotalQuantity are particularly correlated because customers purchasing more units often generate more transaction value. Frequency and UniqueProducts are also strongly related. These relationships should be considered when interpreting feature importance and coefficients.</w:t>
      </w:r>
    </w:p>
    <w:p>
      <w:r>
        <w:br w:type="page"/>
      </w:r>
    </w:p>
    <w:p>
      <w:pPr>
        <w:pStyle w:val="Heading1"/>
      </w:pPr>
      <w:r>
        <w:t>8. Train/Test Split and Preprocessing</w:t>
      </w:r>
    </w:p>
    <w:p>
      <w:pPr>
        <w:pStyle w:val="Heading2"/>
      </w:pPr>
      <w:r>
        <w:t>8.1 Stratified split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3760"/>
            <w:vAlign w:val="center"/>
          </w:tcPr>
          <w:p>
            <w:pPr>
              <w:spacing w:after="0"/>
            </w:pPr>
            <w:r/>
            <w:r>
              <w:rPr>
                <w:b/>
                <w:color w:val="FFFFFF"/>
                <w:sz w:val="18"/>
              </w:rPr>
              <w:t>Set</w:t>
            </w:r>
          </w:p>
        </w:tc>
        <w:tc>
          <w:tcPr>
            <w:tcW w:type="dxa" w:w="2520"/>
            <w:shd w:fill="1F3760"/>
            <w:vAlign w:val="center"/>
          </w:tcPr>
          <w:p>
            <w:pPr>
              <w:spacing w:after="0"/>
            </w:pPr>
            <w:r/>
            <w:r>
              <w:rPr>
                <w:b/>
                <w:color w:val="FFFFFF"/>
                <w:sz w:val="18"/>
              </w:rPr>
              <w:t>Customers</w:t>
            </w:r>
          </w:p>
        </w:tc>
        <w:tc>
          <w:tcPr>
            <w:tcW w:type="dxa" w:w="2520"/>
            <w:shd w:fill="1F3760"/>
            <w:vAlign w:val="center"/>
          </w:tcPr>
          <w:p>
            <w:pPr>
              <w:spacing w:after="0"/>
            </w:pPr>
            <w:r/>
            <w:r>
              <w:rPr>
                <w:b/>
                <w:color w:val="FFFFFF"/>
                <w:sz w:val="18"/>
              </w:rPr>
              <w:t>Repeat = 1</w:t>
            </w:r>
          </w:p>
        </w:tc>
        <w:tc>
          <w:tcPr>
            <w:tcW w:type="dxa" w:w="2520"/>
            <w:shd w:fill="1F3760"/>
            <w:vAlign w:val="center"/>
          </w:tcPr>
          <w:p>
            <w:pPr>
              <w:spacing w:after="0"/>
            </w:pPr>
            <w:r/>
            <w:r>
              <w:rPr>
                <w:b/>
                <w:color w:val="FFFFFF"/>
                <w:sz w:val="18"/>
              </w:rPr>
              <w:t>Repeat = 0</w:t>
            </w:r>
          </w:p>
        </w:tc>
      </w:tr>
      <w:tr>
        <w:tc>
          <w:tcPr>
            <w:tcW w:type="dxa" w:w="2520"/>
            <w:shd w:fill="F4F7FA"/>
            <w:vAlign w:val="center"/>
          </w:tcPr>
          <w:p>
            <w:pPr>
              <w:spacing w:after="0"/>
            </w:pPr>
            <w:r/>
            <w:r>
              <w:rPr>
                <w:b w:val="0"/>
                <w:color w:val="282828"/>
                <w:sz w:val="18"/>
              </w:rPr>
              <w:t>Training</w:t>
            </w:r>
          </w:p>
        </w:tc>
        <w:tc>
          <w:tcPr>
            <w:tcW w:type="dxa" w:w="2520"/>
            <w:shd w:fill="F4F7FA"/>
            <w:vAlign w:val="center"/>
          </w:tcPr>
          <w:p>
            <w:pPr>
              <w:spacing w:after="0"/>
            </w:pPr>
            <w:r/>
            <w:r>
              <w:rPr>
                <w:b w:val="0"/>
                <w:color w:val="282828"/>
                <w:sz w:val="18"/>
              </w:rPr>
              <w:t>2,653</w:t>
            </w:r>
          </w:p>
        </w:tc>
        <w:tc>
          <w:tcPr>
            <w:tcW w:type="dxa" w:w="2520"/>
            <w:shd w:fill="F4F7FA"/>
            <w:vAlign w:val="center"/>
          </w:tcPr>
          <w:p>
            <w:pPr>
              <w:spacing w:after="0"/>
            </w:pPr>
            <w:r/>
            <w:r>
              <w:rPr>
                <w:b w:val="0"/>
                <w:color w:val="282828"/>
                <w:sz w:val="18"/>
              </w:rPr>
              <w:t>1,561</w:t>
            </w:r>
          </w:p>
        </w:tc>
        <w:tc>
          <w:tcPr>
            <w:tcW w:type="dxa" w:w="2520"/>
            <w:shd w:fill="F4F7FA"/>
            <w:vAlign w:val="center"/>
          </w:tcPr>
          <w:p>
            <w:pPr>
              <w:spacing w:after="0"/>
            </w:pPr>
            <w:r/>
            <w:r>
              <w:rPr>
                <w:b w:val="0"/>
                <w:color w:val="282828"/>
                <w:sz w:val="18"/>
              </w:rPr>
              <w:t>1,092</w:t>
            </w:r>
          </w:p>
        </w:tc>
      </w:tr>
      <w:tr>
        <w:tc>
          <w:tcPr>
            <w:tcW w:type="dxa" w:w="2520"/>
            <w:vAlign w:val="center"/>
          </w:tcPr>
          <w:p>
            <w:pPr>
              <w:spacing w:after="0"/>
            </w:pPr>
            <w:r/>
            <w:r>
              <w:rPr>
                <w:b w:val="0"/>
                <w:color w:val="282828"/>
                <w:sz w:val="18"/>
              </w:rPr>
              <w:t>Testing</w:t>
            </w:r>
          </w:p>
        </w:tc>
        <w:tc>
          <w:tcPr>
            <w:tcW w:type="dxa" w:w="2520"/>
            <w:vAlign w:val="center"/>
          </w:tcPr>
          <w:p>
            <w:pPr>
              <w:spacing w:after="0"/>
            </w:pPr>
            <w:r/>
            <w:r>
              <w:rPr>
                <w:b w:val="0"/>
                <w:color w:val="282828"/>
                <w:sz w:val="18"/>
              </w:rPr>
              <w:t>664</w:t>
            </w:r>
          </w:p>
        </w:tc>
        <w:tc>
          <w:tcPr>
            <w:tcW w:type="dxa" w:w="2520"/>
            <w:vAlign w:val="center"/>
          </w:tcPr>
          <w:p>
            <w:pPr>
              <w:spacing w:after="0"/>
            </w:pPr>
            <w:r/>
            <w:r>
              <w:rPr>
                <w:b w:val="0"/>
                <w:color w:val="282828"/>
                <w:sz w:val="18"/>
              </w:rPr>
              <w:t>391</w:t>
            </w:r>
          </w:p>
        </w:tc>
        <w:tc>
          <w:tcPr>
            <w:tcW w:type="dxa" w:w="2520"/>
            <w:vAlign w:val="center"/>
          </w:tcPr>
          <w:p>
            <w:pPr>
              <w:spacing w:after="0"/>
            </w:pPr>
            <w:r/>
            <w:r>
              <w:rPr>
                <w:b w:val="0"/>
                <w:color w:val="282828"/>
                <w:sz w:val="18"/>
              </w:rPr>
              <w:t>273</w:t>
            </w:r>
          </w:p>
        </w:tc>
      </w:tr>
      <w:tr>
        <w:tc>
          <w:tcPr>
            <w:tcW w:type="dxa" w:w="2520"/>
            <w:shd w:fill="F4F7FA"/>
            <w:vAlign w:val="center"/>
          </w:tcPr>
          <w:p>
            <w:pPr>
              <w:spacing w:after="0"/>
            </w:pPr>
            <w:r/>
            <w:r>
              <w:rPr>
                <w:b w:val="0"/>
                <w:color w:val="282828"/>
                <w:sz w:val="18"/>
              </w:rPr>
              <w:t>Total</w:t>
            </w:r>
          </w:p>
        </w:tc>
        <w:tc>
          <w:tcPr>
            <w:tcW w:type="dxa" w:w="2520"/>
            <w:shd w:fill="F4F7FA"/>
            <w:vAlign w:val="center"/>
          </w:tcPr>
          <w:p>
            <w:pPr>
              <w:spacing w:after="0"/>
            </w:pPr>
            <w:r/>
            <w:r>
              <w:rPr>
                <w:b w:val="0"/>
                <w:color w:val="282828"/>
                <w:sz w:val="18"/>
              </w:rPr>
              <w:t>3,317</w:t>
            </w:r>
          </w:p>
        </w:tc>
        <w:tc>
          <w:tcPr>
            <w:tcW w:type="dxa" w:w="2520"/>
            <w:shd w:fill="F4F7FA"/>
            <w:vAlign w:val="center"/>
          </w:tcPr>
          <w:p>
            <w:pPr>
              <w:spacing w:after="0"/>
            </w:pPr>
            <w:r/>
            <w:r>
              <w:rPr>
                <w:b w:val="0"/>
                <w:color w:val="282828"/>
                <w:sz w:val="18"/>
              </w:rPr>
              <w:t>1,952</w:t>
            </w:r>
          </w:p>
        </w:tc>
        <w:tc>
          <w:tcPr>
            <w:tcW w:type="dxa" w:w="2520"/>
            <w:shd w:fill="F4F7FA"/>
            <w:vAlign w:val="center"/>
          </w:tcPr>
          <w:p>
            <w:pPr>
              <w:spacing w:after="0"/>
            </w:pPr>
            <w:r/>
            <w:r>
              <w:rPr>
                <w:b w:val="0"/>
                <w:color w:val="282828"/>
                <w:sz w:val="18"/>
              </w:rPr>
              <w:t>1,365</w:t>
            </w:r>
          </w:p>
        </w:tc>
      </w:tr>
    </w:tbl>
    <w:p/>
    <w:p>
      <w:r>
        <w:t>An 80/20 train/test split was used with random_state=42 and stratify=y. The stratification preserved the target distribution in both partitions.</w:t>
      </w:r>
    </w:p>
    <w:p>
      <w:pPr>
        <w:pStyle w:val="Heading2"/>
      </w:pPr>
      <w:r>
        <w:t>8.2 Preprocessing pipeline</w:t>
      </w:r>
    </w:p>
    <w:p>
      <w:pPr>
        <w:pStyle w:val="ListNumber"/>
        <w:spacing w:after="60"/>
      </w:pPr>
      <w:r>
        <w:t>Select the six engineered numerical features.</w:t>
      </w:r>
    </w:p>
    <w:p>
      <w:pPr>
        <w:pStyle w:val="ListNumber"/>
        <w:spacing w:after="60"/>
      </w:pPr>
      <w:r>
        <w:t>Apply np.log1p to reduce positive skew.</w:t>
      </w:r>
    </w:p>
    <w:p>
      <w:pPr>
        <w:pStyle w:val="ListNumber"/>
        <w:spacing w:after="60"/>
      </w:pPr>
      <w:r>
        <w:t>Fit StandardScaler on training data only.</w:t>
      </w:r>
    </w:p>
    <w:p>
      <w:pPr>
        <w:pStyle w:val="ListNumber"/>
        <w:spacing w:after="60"/>
      </w:pPr>
      <w:r>
        <w:t>Transform the training and testing sets using the fitted preprocessing parameters.</w:t>
      </w:r>
    </w:p>
    <w:p>
      <w:pPr>
        <w:pStyle w:val="ListNumber"/>
        <w:spacing w:after="60"/>
      </w:pPr>
      <w:r>
        <w:t>Train each model on the processed training matrix.</w:t>
      </w:r>
    </w:p>
    <w:p>
      <w:pPr>
        <w:pStyle w:val="ListNumber"/>
        <w:spacing w:after="60"/>
      </w:pPr>
      <w:r>
        <w:t>Evaluate predictions only on the held-out test matrix.</w:t>
      </w:r>
    </w:p>
    <w:tbl>
      <w:tblPr>
        <w:tblW w:type="auto" w:w="0"/>
        <w:jc w:val="center"/>
        <w:tblLook w:firstColumn="1" w:firstRow="1" w:lastColumn="0" w:lastRow="0" w:noHBand="0" w:noVBand="1" w:val="04A0"/>
      </w:tblPr>
      <w:tblGrid>
        <w:gridCol w:w="10080"/>
      </w:tblGrid>
      <w:tr>
        <w:tc>
          <w:tcPr>
            <w:tcW w:type="dxa" w:w="10080"/>
            <w:shd w:fill="FFF4E5"/>
          </w:tcPr>
          <w:p>
            <w:pPr>
              <w:spacing w:after="40"/>
            </w:pPr>
            <w:r>
              <w:rPr>
                <w:b/>
                <w:color w:val="1F3756"/>
                <w:sz w:val="21"/>
              </w:rPr>
              <w:t>Leakage control</w:t>
            </w:r>
          </w:p>
          <w:p>
            <w:pPr>
              <w:spacing w:after="40"/>
            </w:pPr>
            <w:r>
              <w:rPr>
                <w:sz w:val="19"/>
              </w:rPr>
              <w:t>The test set is never used to fit the log-scaling parameters. This prevents the test distribution from influencing preprocessing and keeps the held-out evaluation independent.</w:t>
            </w:r>
          </w:p>
        </w:tc>
      </w:tr>
    </w:tbl>
    <w:p/>
    <w:p>
      <w:r>
        <w:br w:type="page"/>
      </w:r>
    </w:p>
    <w:p>
      <w:pPr>
        <w:pStyle w:val="Heading1"/>
      </w:pPr>
      <w:r>
        <w:t>9. Logistic Regression</w:t>
      </w:r>
    </w:p>
    <w:p>
      <w:pPr>
        <w:pStyle w:val="Heading2"/>
      </w:pPr>
      <w:r>
        <w:t>9.1 Model rationale</w:t>
      </w:r>
    </w:p>
    <w:p>
      <w:r>
        <w:t>Logistic Regression was selected as an interpretable baseline for binary classification. It estimates the probability of RepeatPurchase = 1 from a weighted combination of the transformed customer features. Its coefficients provide a direct way to inspect the direction of association between each feature and the predicted log-odds.</w:t>
      </w:r>
    </w:p>
    <w:p>
      <w:pPr>
        <w:pStyle w:val="Heading2"/>
      </w:pPr>
      <w:r>
        <w:t>9.2 Test-set performance</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Metric</w:t>
            </w:r>
          </w:p>
        </w:tc>
        <w:tc>
          <w:tcPr>
            <w:tcW w:type="dxa" w:w="5040"/>
            <w:shd w:fill="1F3760"/>
            <w:vAlign w:val="center"/>
          </w:tcPr>
          <w:p>
            <w:pPr>
              <w:spacing w:after="0"/>
            </w:pPr>
            <w:r/>
            <w:r>
              <w:rPr>
                <w:b/>
                <w:color w:val="FFFFFF"/>
                <w:sz w:val="18"/>
              </w:rPr>
              <w:t>Score</w:t>
            </w:r>
          </w:p>
        </w:tc>
      </w:tr>
      <w:tr>
        <w:tc>
          <w:tcPr>
            <w:tcW w:type="dxa" w:w="5040"/>
            <w:shd w:fill="F4F7FA"/>
            <w:vAlign w:val="center"/>
          </w:tcPr>
          <w:p>
            <w:pPr>
              <w:spacing w:after="0"/>
            </w:pPr>
            <w:r/>
            <w:r>
              <w:rPr>
                <w:b w:val="0"/>
                <w:color w:val="282828"/>
                <w:sz w:val="18"/>
              </w:rPr>
              <w:t>Accuracy</w:t>
            </w:r>
          </w:p>
        </w:tc>
        <w:tc>
          <w:tcPr>
            <w:tcW w:type="dxa" w:w="5040"/>
            <w:shd w:fill="F4F7FA"/>
            <w:vAlign w:val="center"/>
          </w:tcPr>
          <w:p>
            <w:pPr>
              <w:spacing w:after="0"/>
            </w:pPr>
            <w:r/>
            <w:r>
              <w:rPr>
                <w:b w:val="0"/>
                <w:color w:val="282828"/>
                <w:sz w:val="18"/>
              </w:rPr>
              <w:t>0.6852 (68.52%)</w:t>
            </w:r>
          </w:p>
        </w:tc>
      </w:tr>
      <w:tr>
        <w:tc>
          <w:tcPr>
            <w:tcW w:type="dxa" w:w="5040"/>
            <w:vAlign w:val="center"/>
          </w:tcPr>
          <w:p>
            <w:pPr>
              <w:spacing w:after="0"/>
            </w:pPr>
            <w:r/>
            <w:r>
              <w:rPr>
                <w:b w:val="0"/>
                <w:color w:val="282828"/>
                <w:sz w:val="18"/>
              </w:rPr>
              <w:t>Precision</w:t>
            </w:r>
          </w:p>
        </w:tc>
        <w:tc>
          <w:tcPr>
            <w:tcW w:type="dxa" w:w="5040"/>
            <w:vAlign w:val="center"/>
          </w:tcPr>
          <w:p>
            <w:pPr>
              <w:spacing w:after="0"/>
            </w:pPr>
            <w:r/>
            <w:r>
              <w:rPr>
                <w:b w:val="0"/>
                <w:color w:val="282828"/>
                <w:sz w:val="18"/>
              </w:rPr>
              <w:t>0.7395 (73.95%)</w:t>
            </w:r>
          </w:p>
        </w:tc>
      </w:tr>
      <w:tr>
        <w:tc>
          <w:tcPr>
            <w:tcW w:type="dxa" w:w="5040"/>
            <w:shd w:fill="F4F7FA"/>
            <w:vAlign w:val="center"/>
          </w:tcPr>
          <w:p>
            <w:pPr>
              <w:spacing w:after="0"/>
            </w:pPr>
            <w:r/>
            <w:r>
              <w:rPr>
                <w:b w:val="0"/>
                <w:color w:val="282828"/>
                <w:sz w:val="18"/>
              </w:rPr>
              <w:t>Recall</w:t>
            </w:r>
          </w:p>
        </w:tc>
        <w:tc>
          <w:tcPr>
            <w:tcW w:type="dxa" w:w="5040"/>
            <w:shd w:fill="F4F7FA"/>
            <w:vAlign w:val="center"/>
          </w:tcPr>
          <w:p>
            <w:pPr>
              <w:spacing w:after="0"/>
            </w:pPr>
            <w:r/>
            <w:r>
              <w:rPr>
                <w:b w:val="0"/>
                <w:color w:val="282828"/>
                <w:sz w:val="18"/>
              </w:rPr>
              <w:t>0.7187 (71.87%)</w:t>
            </w:r>
          </w:p>
        </w:tc>
      </w:tr>
      <w:tr>
        <w:tc>
          <w:tcPr>
            <w:tcW w:type="dxa" w:w="5040"/>
            <w:vAlign w:val="center"/>
          </w:tcPr>
          <w:p>
            <w:pPr>
              <w:spacing w:after="0"/>
            </w:pPr>
            <w:r/>
            <w:r>
              <w:rPr>
                <w:b w:val="0"/>
                <w:color w:val="282828"/>
                <w:sz w:val="18"/>
              </w:rPr>
              <w:t>F1-score</w:t>
            </w:r>
          </w:p>
        </w:tc>
        <w:tc>
          <w:tcPr>
            <w:tcW w:type="dxa" w:w="5040"/>
            <w:vAlign w:val="center"/>
          </w:tcPr>
          <w:p>
            <w:pPr>
              <w:spacing w:after="0"/>
            </w:pPr>
            <w:r/>
            <w:r>
              <w:rPr>
                <w:b w:val="0"/>
                <w:color w:val="282828"/>
                <w:sz w:val="18"/>
              </w:rPr>
              <w:t>0.7289 (72.89%)</w:t>
            </w:r>
          </w:p>
        </w:tc>
      </w:tr>
      <w:tr>
        <w:tc>
          <w:tcPr>
            <w:tcW w:type="dxa" w:w="5040"/>
            <w:shd w:fill="F4F7FA"/>
            <w:vAlign w:val="center"/>
          </w:tcPr>
          <w:p>
            <w:pPr>
              <w:spacing w:after="0"/>
            </w:pPr>
            <w:r/>
            <w:r>
              <w:rPr>
                <w:b w:val="0"/>
                <w:color w:val="282828"/>
                <w:sz w:val="18"/>
              </w:rPr>
              <w:t>ROC-AUC</w:t>
            </w:r>
          </w:p>
        </w:tc>
        <w:tc>
          <w:tcPr>
            <w:tcW w:type="dxa" w:w="5040"/>
            <w:shd w:fill="F4F7FA"/>
            <w:vAlign w:val="center"/>
          </w:tcPr>
          <w:p>
            <w:pPr>
              <w:spacing w:after="0"/>
            </w:pPr>
            <w:r/>
            <w:r>
              <w:rPr>
                <w:b w:val="0"/>
                <w:color w:val="282828"/>
                <w:sz w:val="18"/>
              </w:rPr>
              <w:t>0.7344</w:t>
            </w:r>
          </w:p>
        </w:tc>
      </w:tr>
    </w:tbl>
    <w:p/>
    <w:p>
      <w:r>
        <w:t>The model correctly classified 455 of the 664 test customers. The confusion matrix contains 174 true negatives, 99 false positives, 110 false negatives, and 281 true positives.</w:t>
      </w:r>
    </w:p>
    <w:p>
      <w:pPr>
        <w:pStyle w:val="Heading2"/>
      </w:pPr>
      <w:r>
        <w:t>9.3 Five-fold cross-validation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760"/>
            <w:vAlign w:val="center"/>
          </w:tcPr>
          <w:p>
            <w:pPr>
              <w:spacing w:after="0"/>
            </w:pPr>
            <w:r/>
            <w:r>
              <w:rPr>
                <w:b/>
                <w:color w:val="FFFFFF"/>
                <w:sz w:val="18"/>
              </w:rPr>
              <w:t>Validation metric</w:t>
            </w:r>
          </w:p>
        </w:tc>
        <w:tc>
          <w:tcPr>
            <w:tcW w:type="dxa" w:w="3360"/>
            <w:shd w:fill="1F3760"/>
            <w:vAlign w:val="center"/>
          </w:tcPr>
          <w:p>
            <w:pPr>
              <w:spacing w:after="0"/>
            </w:pPr>
            <w:r/>
            <w:r>
              <w:rPr>
                <w:b/>
                <w:color w:val="FFFFFF"/>
                <w:sz w:val="18"/>
              </w:rPr>
              <w:t>Fold scores</w:t>
            </w:r>
          </w:p>
        </w:tc>
        <w:tc>
          <w:tcPr>
            <w:tcW w:type="dxa" w:w="3360"/>
            <w:shd w:fill="1F3760"/>
            <w:vAlign w:val="center"/>
          </w:tcPr>
          <w:p>
            <w:pPr>
              <w:spacing w:after="0"/>
            </w:pPr>
            <w:r/>
            <w:r>
              <w:rPr>
                <w:b/>
                <w:color w:val="FFFFFF"/>
                <w:sz w:val="18"/>
              </w:rPr>
              <w:t>Mean</w:t>
            </w:r>
          </w:p>
        </w:tc>
      </w:tr>
      <w:tr>
        <w:tc>
          <w:tcPr>
            <w:tcW w:type="dxa" w:w="3360"/>
            <w:shd w:fill="F4F7FA"/>
            <w:vAlign w:val="center"/>
          </w:tcPr>
          <w:p>
            <w:pPr>
              <w:spacing w:after="0"/>
            </w:pPr>
            <w:r/>
            <w:r>
              <w:rPr>
                <w:b w:val="0"/>
                <w:color w:val="282828"/>
                <w:sz w:val="18"/>
              </w:rPr>
              <w:t>Accuracy</w:t>
            </w:r>
          </w:p>
        </w:tc>
        <w:tc>
          <w:tcPr>
            <w:tcW w:type="dxa" w:w="3360"/>
            <w:shd w:fill="F4F7FA"/>
            <w:vAlign w:val="center"/>
          </w:tcPr>
          <w:p>
            <w:pPr>
              <w:spacing w:after="0"/>
            </w:pPr>
            <w:r/>
            <w:r>
              <w:rPr>
                <w:b w:val="0"/>
                <w:color w:val="282828"/>
                <w:sz w:val="18"/>
              </w:rPr>
              <w:t>0.6798, 0.6968, 0.6685, 0.7094, 0.6491</w:t>
            </w:r>
          </w:p>
        </w:tc>
        <w:tc>
          <w:tcPr>
            <w:tcW w:type="dxa" w:w="3360"/>
            <w:shd w:fill="F4F7FA"/>
            <w:vAlign w:val="center"/>
          </w:tcPr>
          <w:p>
            <w:pPr>
              <w:spacing w:after="0"/>
            </w:pPr>
            <w:r/>
            <w:r>
              <w:rPr>
                <w:b w:val="0"/>
                <w:color w:val="282828"/>
                <w:sz w:val="18"/>
              </w:rPr>
              <w:t>0.6807</w:t>
            </w:r>
          </w:p>
        </w:tc>
      </w:tr>
      <w:tr>
        <w:tc>
          <w:tcPr>
            <w:tcW w:type="dxa" w:w="3360"/>
            <w:vAlign w:val="center"/>
          </w:tcPr>
          <w:p>
            <w:pPr>
              <w:spacing w:after="0"/>
            </w:pPr>
            <w:r/>
            <w:r>
              <w:rPr>
                <w:b w:val="0"/>
                <w:color w:val="282828"/>
                <w:sz w:val="18"/>
              </w:rPr>
              <w:t>F1</w:t>
            </w:r>
          </w:p>
        </w:tc>
        <w:tc>
          <w:tcPr>
            <w:tcW w:type="dxa" w:w="3360"/>
            <w:vAlign w:val="center"/>
          </w:tcPr>
          <w:p>
            <w:pPr>
              <w:spacing w:after="0"/>
            </w:pPr>
            <w:r/>
            <w:r>
              <w:rPr>
                <w:b w:val="0"/>
                <w:color w:val="282828"/>
                <w:sz w:val="18"/>
              </w:rPr>
              <w:t>0.7344, 0.7488, 0.7170, 0.7475, 0.6951</w:t>
            </w:r>
          </w:p>
        </w:tc>
        <w:tc>
          <w:tcPr>
            <w:tcW w:type="dxa" w:w="3360"/>
            <w:vAlign w:val="center"/>
          </w:tcPr>
          <w:p>
            <w:pPr>
              <w:spacing w:after="0"/>
            </w:pPr>
            <w:r/>
            <w:r>
              <w:rPr>
                <w:b w:val="0"/>
                <w:color w:val="282828"/>
                <w:sz w:val="18"/>
              </w:rPr>
              <w:t>0.7286</w:t>
            </w:r>
          </w:p>
        </w:tc>
      </w:tr>
      <w:tr>
        <w:tc>
          <w:tcPr>
            <w:tcW w:type="dxa" w:w="3360"/>
            <w:shd w:fill="F4F7FA"/>
            <w:vAlign w:val="center"/>
          </w:tcPr>
          <w:p>
            <w:pPr>
              <w:spacing w:after="0"/>
            </w:pPr>
            <w:r/>
            <w:r>
              <w:rPr>
                <w:b w:val="0"/>
                <w:color w:val="282828"/>
                <w:sz w:val="18"/>
              </w:rPr>
              <w:t>ROC-AUC</w:t>
            </w:r>
          </w:p>
        </w:tc>
        <w:tc>
          <w:tcPr>
            <w:tcW w:type="dxa" w:w="3360"/>
            <w:shd w:fill="F4F7FA"/>
            <w:vAlign w:val="center"/>
          </w:tcPr>
          <w:p>
            <w:pPr>
              <w:spacing w:after="0"/>
            </w:pPr>
            <w:r/>
            <w:r>
              <w:rPr>
                <w:b w:val="0"/>
                <w:color w:val="282828"/>
                <w:sz w:val="18"/>
              </w:rPr>
              <w:t>0.7455, 0.7610, 0.7356, 0.7629, 0.7186</w:t>
            </w:r>
          </w:p>
        </w:tc>
        <w:tc>
          <w:tcPr>
            <w:tcW w:type="dxa" w:w="3360"/>
            <w:shd w:fill="F4F7FA"/>
            <w:vAlign w:val="center"/>
          </w:tcPr>
          <w:p>
            <w:pPr>
              <w:spacing w:after="0"/>
            </w:pPr>
            <w:r/>
            <w:r>
              <w:rPr>
                <w:b w:val="0"/>
                <w:color w:val="282828"/>
                <w:sz w:val="18"/>
              </w:rPr>
              <w:t>0.7447</w:t>
            </w:r>
          </w:p>
        </w:tc>
      </w:tr>
    </w:tbl>
    <w:p/>
    <w:p>
      <w:r>
        <w:t>The ROC-AUC standard deviation across the five folds was 0.0165, indicating relatively stable discrimination performance across the validation folds.</w:t>
      </w:r>
    </w:p>
    <w:p>
      <w:r>
        <w:br w:type="page"/>
      </w:r>
    </w:p>
    <w:p>
      <w:pPr>
        <w:pStyle w:val="Heading1"/>
      </w:pPr>
      <w:r>
        <w:t>10. Random Forest</w:t>
      </w:r>
    </w:p>
    <w:p>
      <w:pPr>
        <w:pStyle w:val="Heading2"/>
      </w:pPr>
      <w:r>
        <w:t>10.1 Model rationale</w:t>
      </w:r>
    </w:p>
    <w:p>
      <w:r>
        <w:t>Random Forest was included as a nonlinear ensemble comparison. It combines multiple decision trees and can represent nonlinear feature relationships and interactions that a linear model may not capture.</w:t>
      </w:r>
    </w:p>
    <w:p>
      <w:r>
        <w:t>The evaluated configuration used 200 trees, random_state=42, and n_jobs=-1. The same transformed customer-level inputs were supplied for a controlled comparison.</w:t>
      </w:r>
    </w:p>
    <w:p>
      <w:pPr>
        <w:pStyle w:val="Heading2"/>
      </w:pPr>
      <w:r>
        <w:t>10.2 Test-set performance</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Metric</w:t>
            </w:r>
          </w:p>
        </w:tc>
        <w:tc>
          <w:tcPr>
            <w:tcW w:type="dxa" w:w="5040"/>
            <w:shd w:fill="1F3760"/>
            <w:vAlign w:val="center"/>
          </w:tcPr>
          <w:p>
            <w:pPr>
              <w:spacing w:after="0"/>
            </w:pPr>
            <w:r/>
            <w:r>
              <w:rPr>
                <w:b/>
                <w:color w:val="FFFFFF"/>
                <w:sz w:val="18"/>
              </w:rPr>
              <w:t>Score</w:t>
            </w:r>
          </w:p>
        </w:tc>
      </w:tr>
      <w:tr>
        <w:tc>
          <w:tcPr>
            <w:tcW w:type="dxa" w:w="5040"/>
            <w:shd w:fill="F4F7FA"/>
            <w:vAlign w:val="center"/>
          </w:tcPr>
          <w:p>
            <w:pPr>
              <w:spacing w:after="0"/>
            </w:pPr>
            <w:r/>
            <w:r>
              <w:rPr>
                <w:b w:val="0"/>
                <w:color w:val="282828"/>
                <w:sz w:val="18"/>
              </w:rPr>
              <w:t>Accuracy</w:t>
            </w:r>
          </w:p>
        </w:tc>
        <w:tc>
          <w:tcPr>
            <w:tcW w:type="dxa" w:w="5040"/>
            <w:shd w:fill="F4F7FA"/>
            <w:vAlign w:val="center"/>
          </w:tcPr>
          <w:p>
            <w:pPr>
              <w:spacing w:after="0"/>
            </w:pPr>
            <w:r/>
            <w:r>
              <w:rPr>
                <w:b w:val="0"/>
                <w:color w:val="282828"/>
                <w:sz w:val="18"/>
              </w:rPr>
              <w:t>0.6386 (63.86%)</w:t>
            </w:r>
          </w:p>
        </w:tc>
      </w:tr>
      <w:tr>
        <w:tc>
          <w:tcPr>
            <w:tcW w:type="dxa" w:w="5040"/>
            <w:vAlign w:val="center"/>
          </w:tcPr>
          <w:p>
            <w:pPr>
              <w:spacing w:after="0"/>
            </w:pPr>
            <w:r/>
            <w:r>
              <w:rPr>
                <w:b w:val="0"/>
                <w:color w:val="282828"/>
                <w:sz w:val="18"/>
              </w:rPr>
              <w:t>Precision</w:t>
            </w:r>
          </w:p>
        </w:tc>
        <w:tc>
          <w:tcPr>
            <w:tcW w:type="dxa" w:w="5040"/>
            <w:vAlign w:val="center"/>
          </w:tcPr>
          <w:p>
            <w:pPr>
              <w:spacing w:after="0"/>
            </w:pPr>
            <w:r/>
            <w:r>
              <w:rPr>
                <w:b w:val="0"/>
                <w:color w:val="282828"/>
                <w:sz w:val="18"/>
              </w:rPr>
              <w:t>0.6931 (69.31%)</w:t>
            </w:r>
          </w:p>
        </w:tc>
      </w:tr>
      <w:tr>
        <w:tc>
          <w:tcPr>
            <w:tcW w:type="dxa" w:w="5040"/>
            <w:shd w:fill="F4F7FA"/>
            <w:vAlign w:val="center"/>
          </w:tcPr>
          <w:p>
            <w:pPr>
              <w:spacing w:after="0"/>
            </w:pPr>
            <w:r/>
            <w:r>
              <w:rPr>
                <w:b w:val="0"/>
                <w:color w:val="282828"/>
                <w:sz w:val="18"/>
              </w:rPr>
              <w:t>Recall</w:t>
            </w:r>
          </w:p>
        </w:tc>
        <w:tc>
          <w:tcPr>
            <w:tcW w:type="dxa" w:w="5040"/>
            <w:shd w:fill="F4F7FA"/>
            <w:vAlign w:val="center"/>
          </w:tcPr>
          <w:p>
            <w:pPr>
              <w:spacing w:after="0"/>
            </w:pPr>
            <w:r/>
            <w:r>
              <w:rPr>
                <w:b w:val="0"/>
                <w:color w:val="282828"/>
                <w:sz w:val="18"/>
              </w:rPr>
              <w:t>0.6931 (69.31%)</w:t>
            </w:r>
          </w:p>
        </w:tc>
      </w:tr>
      <w:tr>
        <w:tc>
          <w:tcPr>
            <w:tcW w:type="dxa" w:w="5040"/>
            <w:vAlign w:val="center"/>
          </w:tcPr>
          <w:p>
            <w:pPr>
              <w:spacing w:after="0"/>
            </w:pPr>
            <w:r/>
            <w:r>
              <w:rPr>
                <w:b w:val="0"/>
                <w:color w:val="282828"/>
                <w:sz w:val="18"/>
              </w:rPr>
              <w:t>F1-score</w:t>
            </w:r>
          </w:p>
        </w:tc>
        <w:tc>
          <w:tcPr>
            <w:tcW w:type="dxa" w:w="5040"/>
            <w:vAlign w:val="center"/>
          </w:tcPr>
          <w:p>
            <w:pPr>
              <w:spacing w:after="0"/>
            </w:pPr>
            <w:r/>
            <w:r>
              <w:rPr>
                <w:b w:val="0"/>
                <w:color w:val="282828"/>
                <w:sz w:val="18"/>
              </w:rPr>
              <w:t>0.6931 (69.31%)</w:t>
            </w:r>
          </w:p>
        </w:tc>
      </w:tr>
      <w:tr>
        <w:tc>
          <w:tcPr>
            <w:tcW w:type="dxa" w:w="5040"/>
            <w:shd w:fill="F4F7FA"/>
            <w:vAlign w:val="center"/>
          </w:tcPr>
          <w:p>
            <w:pPr>
              <w:spacing w:after="0"/>
            </w:pPr>
            <w:r/>
            <w:r>
              <w:rPr>
                <w:b w:val="0"/>
                <w:color w:val="282828"/>
                <w:sz w:val="18"/>
              </w:rPr>
              <w:t>ROC-AUC</w:t>
            </w:r>
          </w:p>
        </w:tc>
        <w:tc>
          <w:tcPr>
            <w:tcW w:type="dxa" w:w="5040"/>
            <w:shd w:fill="F4F7FA"/>
            <w:vAlign w:val="center"/>
          </w:tcPr>
          <w:p>
            <w:pPr>
              <w:spacing w:after="0"/>
            </w:pPr>
            <w:r/>
            <w:r>
              <w:rPr>
                <w:b w:val="0"/>
                <w:color w:val="282828"/>
                <w:sz w:val="18"/>
              </w:rPr>
              <w:t>0.7001</w:t>
            </w:r>
          </w:p>
        </w:tc>
      </w:tr>
    </w:tbl>
    <w:p/>
    <w:p>
      <w:r>
        <w:t>The Random Forest confusion matrix contains 153 true negatives, 120 false positives, 120 false negatives, and 271 true positives.</w:t>
      </w:r>
    </w:p>
    <w:p>
      <w:pPr>
        <w:pStyle w:val="Heading2"/>
      </w:pPr>
      <w:r>
        <w:t>10.3 Five-fold cross-validation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760"/>
            <w:vAlign w:val="center"/>
          </w:tcPr>
          <w:p>
            <w:pPr>
              <w:spacing w:after="0"/>
            </w:pPr>
            <w:r/>
            <w:r>
              <w:rPr>
                <w:b/>
                <w:color w:val="FFFFFF"/>
                <w:sz w:val="18"/>
              </w:rPr>
              <w:t>Validation metric</w:t>
            </w:r>
          </w:p>
        </w:tc>
        <w:tc>
          <w:tcPr>
            <w:tcW w:type="dxa" w:w="3360"/>
            <w:shd w:fill="1F3760"/>
            <w:vAlign w:val="center"/>
          </w:tcPr>
          <w:p>
            <w:pPr>
              <w:spacing w:after="0"/>
            </w:pPr>
            <w:r/>
            <w:r>
              <w:rPr>
                <w:b/>
                <w:color w:val="FFFFFF"/>
                <w:sz w:val="18"/>
              </w:rPr>
              <w:t>Fold scores</w:t>
            </w:r>
          </w:p>
        </w:tc>
        <w:tc>
          <w:tcPr>
            <w:tcW w:type="dxa" w:w="3360"/>
            <w:shd w:fill="1F3760"/>
            <w:vAlign w:val="center"/>
          </w:tcPr>
          <w:p>
            <w:pPr>
              <w:spacing w:after="0"/>
            </w:pPr>
            <w:r/>
            <w:r>
              <w:rPr>
                <w:b/>
                <w:color w:val="FFFFFF"/>
                <w:sz w:val="18"/>
              </w:rPr>
              <w:t>Mean</w:t>
            </w:r>
          </w:p>
        </w:tc>
      </w:tr>
      <w:tr>
        <w:tc>
          <w:tcPr>
            <w:tcW w:type="dxa" w:w="3360"/>
            <w:shd w:fill="F4F7FA"/>
            <w:vAlign w:val="center"/>
          </w:tcPr>
          <w:p>
            <w:pPr>
              <w:spacing w:after="0"/>
            </w:pPr>
            <w:r/>
            <w:r>
              <w:rPr>
                <w:b w:val="0"/>
                <w:color w:val="282828"/>
                <w:sz w:val="18"/>
              </w:rPr>
              <w:t>Accuracy</w:t>
            </w:r>
          </w:p>
        </w:tc>
        <w:tc>
          <w:tcPr>
            <w:tcW w:type="dxa" w:w="3360"/>
            <w:shd w:fill="F4F7FA"/>
            <w:vAlign w:val="center"/>
          </w:tcPr>
          <w:p>
            <w:pPr>
              <w:spacing w:after="0"/>
            </w:pPr>
            <w:r/>
            <w:r>
              <w:rPr>
                <w:b w:val="0"/>
                <w:color w:val="282828"/>
                <w:sz w:val="18"/>
              </w:rPr>
              <w:t>0.6591, 0.6535, 0.6610, 0.6585, 0.6283</w:t>
            </w:r>
          </w:p>
        </w:tc>
        <w:tc>
          <w:tcPr>
            <w:tcW w:type="dxa" w:w="3360"/>
            <w:shd w:fill="F4F7FA"/>
            <w:vAlign w:val="center"/>
          </w:tcPr>
          <w:p>
            <w:pPr>
              <w:spacing w:after="0"/>
            </w:pPr>
            <w:r/>
            <w:r>
              <w:rPr>
                <w:b w:val="0"/>
                <w:color w:val="282828"/>
                <w:sz w:val="18"/>
              </w:rPr>
              <w:t>0.6521</w:t>
            </w:r>
          </w:p>
        </w:tc>
      </w:tr>
      <w:tr>
        <w:tc>
          <w:tcPr>
            <w:tcW w:type="dxa" w:w="3360"/>
            <w:vAlign w:val="center"/>
          </w:tcPr>
          <w:p>
            <w:pPr>
              <w:spacing w:after="0"/>
            </w:pPr>
            <w:r/>
            <w:r>
              <w:rPr>
                <w:b w:val="0"/>
                <w:color w:val="282828"/>
                <w:sz w:val="18"/>
              </w:rPr>
              <w:t>F1</w:t>
            </w:r>
          </w:p>
        </w:tc>
        <w:tc>
          <w:tcPr>
            <w:tcW w:type="dxa" w:w="3360"/>
            <w:vAlign w:val="center"/>
          </w:tcPr>
          <w:p>
            <w:pPr>
              <w:spacing w:after="0"/>
            </w:pPr>
            <w:r/>
            <w:r>
              <w:rPr>
                <w:b w:val="0"/>
                <w:color w:val="282828"/>
                <w:sz w:val="18"/>
              </w:rPr>
              <w:t>0.7122, 0.7134, 0.7179, 0.7141, 0.6765</w:t>
            </w:r>
          </w:p>
        </w:tc>
        <w:tc>
          <w:tcPr>
            <w:tcW w:type="dxa" w:w="3360"/>
            <w:vAlign w:val="center"/>
          </w:tcPr>
          <w:p>
            <w:pPr>
              <w:spacing w:after="0"/>
            </w:pPr>
            <w:r/>
            <w:r>
              <w:rPr>
                <w:b w:val="0"/>
                <w:color w:val="282828"/>
                <w:sz w:val="18"/>
              </w:rPr>
              <w:t>0.7068</w:t>
            </w:r>
          </w:p>
        </w:tc>
      </w:tr>
      <w:tr>
        <w:tc>
          <w:tcPr>
            <w:tcW w:type="dxa" w:w="3360"/>
            <w:shd w:fill="F4F7FA"/>
            <w:vAlign w:val="center"/>
          </w:tcPr>
          <w:p>
            <w:pPr>
              <w:spacing w:after="0"/>
            </w:pPr>
            <w:r/>
            <w:r>
              <w:rPr>
                <w:b w:val="0"/>
                <w:color w:val="282828"/>
                <w:sz w:val="18"/>
              </w:rPr>
              <w:t>ROC-AUC</w:t>
            </w:r>
          </w:p>
        </w:tc>
        <w:tc>
          <w:tcPr>
            <w:tcW w:type="dxa" w:w="3360"/>
            <w:shd w:fill="F4F7FA"/>
            <w:vAlign w:val="center"/>
          </w:tcPr>
          <w:p>
            <w:pPr>
              <w:spacing w:after="0"/>
            </w:pPr>
            <w:r/>
            <w:r>
              <w:rPr>
                <w:b w:val="0"/>
                <w:color w:val="282828"/>
                <w:sz w:val="18"/>
              </w:rPr>
              <w:t>0.7277, 0.7329, 0.7072, 0.7220, 0.6977</w:t>
            </w:r>
          </w:p>
        </w:tc>
        <w:tc>
          <w:tcPr>
            <w:tcW w:type="dxa" w:w="3360"/>
            <w:shd w:fill="F4F7FA"/>
            <w:vAlign w:val="center"/>
          </w:tcPr>
          <w:p>
            <w:pPr>
              <w:spacing w:after="0"/>
            </w:pPr>
            <w:r/>
            <w:r>
              <w:rPr>
                <w:b w:val="0"/>
                <w:color w:val="282828"/>
                <w:sz w:val="18"/>
              </w:rPr>
              <w:t>0.7175</w:t>
            </w:r>
          </w:p>
        </w:tc>
      </w:tr>
    </w:tbl>
    <w:p/>
    <w:p>
      <w:r>
        <w:t>The ROC-AUC standard deviation across the five folds was 0.0131, showing slightly lower fold-to-fold variation than Logistic Regression in this experiment, although the mean ROC-AUC was also lower.</w:t>
      </w:r>
    </w:p>
    <w:p>
      <w:r>
        <w:br w:type="page"/>
      </w:r>
    </w:p>
    <w:p>
      <w:pPr>
        <w:pStyle w:val="Heading1"/>
      </w:pPr>
      <w:r>
        <w:t>11. Model Validation and Comparison</w:t>
      </w:r>
    </w:p>
    <w:p>
      <w:pPr>
        <w:pStyle w:val="Heading2"/>
      </w:pPr>
      <w:r>
        <w:t>11.1 ROC analysis</w:t>
      </w:r>
    </w:p>
    <w:p>
      <w:pPr>
        <w:pStyle w:val="Heading2"/>
      </w:pPr>
      <w:r>
        <w:t>11.2 Final quantitative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760"/>
            <w:vAlign w:val="center"/>
          </w:tcPr>
          <w:p>
            <w:pPr>
              <w:spacing w:after="0"/>
            </w:pPr>
            <w:r/>
            <w:r>
              <w:rPr>
                <w:b/>
                <w:color w:val="FFFFFF"/>
                <w:sz w:val="18"/>
              </w:rPr>
              <w:t>Metric</w:t>
            </w:r>
          </w:p>
        </w:tc>
        <w:tc>
          <w:tcPr>
            <w:tcW w:type="dxa" w:w="3360"/>
            <w:shd w:fill="1F3760"/>
            <w:vAlign w:val="center"/>
          </w:tcPr>
          <w:p>
            <w:pPr>
              <w:spacing w:after="0"/>
            </w:pPr>
            <w:r/>
            <w:r>
              <w:rPr>
                <w:b/>
                <w:color w:val="FFFFFF"/>
                <w:sz w:val="18"/>
              </w:rPr>
              <w:t>Logistic Regression</w:t>
            </w:r>
          </w:p>
        </w:tc>
        <w:tc>
          <w:tcPr>
            <w:tcW w:type="dxa" w:w="3360"/>
            <w:shd w:fill="1F3760"/>
            <w:vAlign w:val="center"/>
          </w:tcPr>
          <w:p>
            <w:pPr>
              <w:spacing w:after="0"/>
            </w:pPr>
            <w:r/>
            <w:r>
              <w:rPr>
                <w:b/>
                <w:color w:val="FFFFFF"/>
                <w:sz w:val="18"/>
              </w:rPr>
              <w:t>Random Forest</w:t>
            </w:r>
          </w:p>
        </w:tc>
      </w:tr>
      <w:tr>
        <w:tc>
          <w:tcPr>
            <w:tcW w:type="dxa" w:w="3360"/>
            <w:shd w:fill="F4F7FA"/>
            <w:vAlign w:val="center"/>
          </w:tcPr>
          <w:p>
            <w:pPr>
              <w:spacing w:after="0"/>
            </w:pPr>
            <w:r/>
            <w:r>
              <w:rPr>
                <w:b w:val="0"/>
                <w:color w:val="282828"/>
                <w:sz w:val="18"/>
              </w:rPr>
              <w:t>Test Accuracy</w:t>
            </w:r>
          </w:p>
        </w:tc>
        <w:tc>
          <w:tcPr>
            <w:tcW w:type="dxa" w:w="3360"/>
            <w:shd w:fill="F4F7FA"/>
            <w:vAlign w:val="center"/>
          </w:tcPr>
          <w:p>
            <w:pPr>
              <w:spacing w:after="0"/>
            </w:pPr>
            <w:r/>
            <w:r>
              <w:rPr>
                <w:b w:val="0"/>
                <w:color w:val="282828"/>
                <w:sz w:val="18"/>
              </w:rPr>
              <w:t>0.6852</w:t>
            </w:r>
          </w:p>
        </w:tc>
        <w:tc>
          <w:tcPr>
            <w:tcW w:type="dxa" w:w="3360"/>
            <w:shd w:fill="F4F7FA"/>
            <w:vAlign w:val="center"/>
          </w:tcPr>
          <w:p>
            <w:pPr>
              <w:spacing w:after="0"/>
            </w:pPr>
            <w:r/>
            <w:r>
              <w:rPr>
                <w:b w:val="0"/>
                <w:color w:val="282828"/>
                <w:sz w:val="18"/>
              </w:rPr>
              <w:t>0.6386</w:t>
            </w:r>
          </w:p>
        </w:tc>
      </w:tr>
      <w:tr>
        <w:tc>
          <w:tcPr>
            <w:tcW w:type="dxa" w:w="3360"/>
            <w:vAlign w:val="center"/>
          </w:tcPr>
          <w:p>
            <w:pPr>
              <w:spacing w:after="0"/>
            </w:pPr>
            <w:r/>
            <w:r>
              <w:rPr>
                <w:b w:val="0"/>
                <w:color w:val="282828"/>
                <w:sz w:val="18"/>
              </w:rPr>
              <w:t>Test Precision</w:t>
            </w:r>
          </w:p>
        </w:tc>
        <w:tc>
          <w:tcPr>
            <w:tcW w:type="dxa" w:w="3360"/>
            <w:vAlign w:val="center"/>
          </w:tcPr>
          <w:p>
            <w:pPr>
              <w:spacing w:after="0"/>
            </w:pPr>
            <w:r/>
            <w:r>
              <w:rPr>
                <w:b w:val="0"/>
                <w:color w:val="282828"/>
                <w:sz w:val="18"/>
              </w:rPr>
              <w:t>0.7395</w:t>
            </w:r>
          </w:p>
        </w:tc>
        <w:tc>
          <w:tcPr>
            <w:tcW w:type="dxa" w:w="3360"/>
            <w:vAlign w:val="center"/>
          </w:tcPr>
          <w:p>
            <w:pPr>
              <w:spacing w:after="0"/>
            </w:pPr>
            <w:r/>
            <w:r>
              <w:rPr>
                <w:b w:val="0"/>
                <w:color w:val="282828"/>
                <w:sz w:val="18"/>
              </w:rPr>
              <w:t>0.6931</w:t>
            </w:r>
          </w:p>
        </w:tc>
      </w:tr>
      <w:tr>
        <w:tc>
          <w:tcPr>
            <w:tcW w:type="dxa" w:w="3360"/>
            <w:shd w:fill="F4F7FA"/>
            <w:vAlign w:val="center"/>
          </w:tcPr>
          <w:p>
            <w:pPr>
              <w:spacing w:after="0"/>
            </w:pPr>
            <w:r/>
            <w:r>
              <w:rPr>
                <w:b w:val="0"/>
                <w:color w:val="282828"/>
                <w:sz w:val="18"/>
              </w:rPr>
              <w:t>Test Recall</w:t>
            </w:r>
          </w:p>
        </w:tc>
        <w:tc>
          <w:tcPr>
            <w:tcW w:type="dxa" w:w="3360"/>
            <w:shd w:fill="F4F7FA"/>
            <w:vAlign w:val="center"/>
          </w:tcPr>
          <w:p>
            <w:pPr>
              <w:spacing w:after="0"/>
            </w:pPr>
            <w:r/>
            <w:r>
              <w:rPr>
                <w:b w:val="0"/>
                <w:color w:val="282828"/>
                <w:sz w:val="18"/>
              </w:rPr>
              <w:t>0.7187</w:t>
            </w:r>
          </w:p>
        </w:tc>
        <w:tc>
          <w:tcPr>
            <w:tcW w:type="dxa" w:w="3360"/>
            <w:shd w:fill="F4F7FA"/>
            <w:vAlign w:val="center"/>
          </w:tcPr>
          <w:p>
            <w:pPr>
              <w:spacing w:after="0"/>
            </w:pPr>
            <w:r/>
            <w:r>
              <w:rPr>
                <w:b w:val="0"/>
                <w:color w:val="282828"/>
                <w:sz w:val="18"/>
              </w:rPr>
              <w:t>0.6931</w:t>
            </w:r>
          </w:p>
        </w:tc>
      </w:tr>
      <w:tr>
        <w:tc>
          <w:tcPr>
            <w:tcW w:type="dxa" w:w="3360"/>
            <w:vAlign w:val="center"/>
          </w:tcPr>
          <w:p>
            <w:pPr>
              <w:spacing w:after="0"/>
            </w:pPr>
            <w:r/>
            <w:r>
              <w:rPr>
                <w:b w:val="0"/>
                <w:color w:val="282828"/>
                <w:sz w:val="18"/>
              </w:rPr>
              <w:t>Test F1</w:t>
            </w:r>
          </w:p>
        </w:tc>
        <w:tc>
          <w:tcPr>
            <w:tcW w:type="dxa" w:w="3360"/>
            <w:vAlign w:val="center"/>
          </w:tcPr>
          <w:p>
            <w:pPr>
              <w:spacing w:after="0"/>
            </w:pPr>
            <w:r/>
            <w:r>
              <w:rPr>
                <w:b w:val="0"/>
                <w:color w:val="282828"/>
                <w:sz w:val="18"/>
              </w:rPr>
              <w:t>0.7289</w:t>
            </w:r>
          </w:p>
        </w:tc>
        <w:tc>
          <w:tcPr>
            <w:tcW w:type="dxa" w:w="3360"/>
            <w:vAlign w:val="center"/>
          </w:tcPr>
          <w:p>
            <w:pPr>
              <w:spacing w:after="0"/>
            </w:pPr>
            <w:r/>
            <w:r>
              <w:rPr>
                <w:b w:val="0"/>
                <w:color w:val="282828"/>
                <w:sz w:val="18"/>
              </w:rPr>
              <w:t>0.6931</w:t>
            </w:r>
          </w:p>
        </w:tc>
      </w:tr>
      <w:tr>
        <w:tc>
          <w:tcPr>
            <w:tcW w:type="dxa" w:w="3360"/>
            <w:shd w:fill="F4F7FA"/>
            <w:vAlign w:val="center"/>
          </w:tcPr>
          <w:p>
            <w:pPr>
              <w:spacing w:after="0"/>
            </w:pPr>
            <w:r/>
            <w:r>
              <w:rPr>
                <w:b w:val="0"/>
                <w:color w:val="282828"/>
                <w:sz w:val="18"/>
              </w:rPr>
              <w:t>Test ROC-AUC</w:t>
            </w:r>
          </w:p>
        </w:tc>
        <w:tc>
          <w:tcPr>
            <w:tcW w:type="dxa" w:w="3360"/>
            <w:shd w:fill="F4F7FA"/>
            <w:vAlign w:val="center"/>
          </w:tcPr>
          <w:p>
            <w:pPr>
              <w:spacing w:after="0"/>
            </w:pPr>
            <w:r/>
            <w:r>
              <w:rPr>
                <w:b w:val="0"/>
                <w:color w:val="282828"/>
                <w:sz w:val="18"/>
              </w:rPr>
              <w:t>0.7344</w:t>
            </w:r>
          </w:p>
        </w:tc>
        <w:tc>
          <w:tcPr>
            <w:tcW w:type="dxa" w:w="3360"/>
            <w:shd w:fill="F4F7FA"/>
            <w:vAlign w:val="center"/>
          </w:tcPr>
          <w:p>
            <w:pPr>
              <w:spacing w:after="0"/>
            </w:pPr>
            <w:r/>
            <w:r>
              <w:rPr>
                <w:b w:val="0"/>
                <w:color w:val="282828"/>
                <w:sz w:val="18"/>
              </w:rPr>
              <w:t>0.7001</w:t>
            </w:r>
          </w:p>
        </w:tc>
      </w:tr>
      <w:tr>
        <w:tc>
          <w:tcPr>
            <w:tcW w:type="dxa" w:w="3360"/>
            <w:vAlign w:val="center"/>
          </w:tcPr>
          <w:p>
            <w:pPr>
              <w:spacing w:after="0"/>
            </w:pPr>
            <w:r/>
            <w:r>
              <w:rPr>
                <w:b w:val="0"/>
                <w:color w:val="282828"/>
                <w:sz w:val="18"/>
              </w:rPr>
              <w:t>CV Accuracy</w:t>
            </w:r>
          </w:p>
        </w:tc>
        <w:tc>
          <w:tcPr>
            <w:tcW w:type="dxa" w:w="3360"/>
            <w:vAlign w:val="center"/>
          </w:tcPr>
          <w:p>
            <w:pPr>
              <w:spacing w:after="0"/>
            </w:pPr>
            <w:r/>
            <w:r>
              <w:rPr>
                <w:b w:val="0"/>
                <w:color w:val="282828"/>
                <w:sz w:val="18"/>
              </w:rPr>
              <w:t>0.6807</w:t>
            </w:r>
          </w:p>
        </w:tc>
        <w:tc>
          <w:tcPr>
            <w:tcW w:type="dxa" w:w="3360"/>
            <w:vAlign w:val="center"/>
          </w:tcPr>
          <w:p>
            <w:pPr>
              <w:spacing w:after="0"/>
            </w:pPr>
            <w:r/>
            <w:r>
              <w:rPr>
                <w:b w:val="0"/>
                <w:color w:val="282828"/>
                <w:sz w:val="18"/>
              </w:rPr>
              <w:t>0.6521</w:t>
            </w:r>
          </w:p>
        </w:tc>
      </w:tr>
      <w:tr>
        <w:tc>
          <w:tcPr>
            <w:tcW w:type="dxa" w:w="3360"/>
            <w:shd w:fill="F4F7FA"/>
            <w:vAlign w:val="center"/>
          </w:tcPr>
          <w:p>
            <w:pPr>
              <w:spacing w:after="0"/>
            </w:pPr>
            <w:r/>
            <w:r>
              <w:rPr>
                <w:b w:val="0"/>
                <w:color w:val="282828"/>
                <w:sz w:val="18"/>
              </w:rPr>
              <w:t>CV F1</w:t>
            </w:r>
          </w:p>
        </w:tc>
        <w:tc>
          <w:tcPr>
            <w:tcW w:type="dxa" w:w="3360"/>
            <w:shd w:fill="F4F7FA"/>
            <w:vAlign w:val="center"/>
          </w:tcPr>
          <w:p>
            <w:pPr>
              <w:spacing w:after="0"/>
            </w:pPr>
            <w:r/>
            <w:r>
              <w:rPr>
                <w:b w:val="0"/>
                <w:color w:val="282828"/>
                <w:sz w:val="18"/>
              </w:rPr>
              <w:t>0.7286</w:t>
            </w:r>
          </w:p>
        </w:tc>
        <w:tc>
          <w:tcPr>
            <w:tcW w:type="dxa" w:w="3360"/>
            <w:shd w:fill="F4F7FA"/>
            <w:vAlign w:val="center"/>
          </w:tcPr>
          <w:p>
            <w:pPr>
              <w:spacing w:after="0"/>
            </w:pPr>
            <w:r/>
            <w:r>
              <w:rPr>
                <w:b w:val="0"/>
                <w:color w:val="282828"/>
                <w:sz w:val="18"/>
              </w:rPr>
              <w:t>0.7068</w:t>
            </w:r>
          </w:p>
        </w:tc>
      </w:tr>
      <w:tr>
        <w:tc>
          <w:tcPr>
            <w:tcW w:type="dxa" w:w="3360"/>
            <w:vAlign w:val="center"/>
          </w:tcPr>
          <w:p>
            <w:pPr>
              <w:spacing w:after="0"/>
            </w:pPr>
            <w:r/>
            <w:r>
              <w:rPr>
                <w:b w:val="0"/>
                <w:color w:val="282828"/>
                <w:sz w:val="18"/>
              </w:rPr>
              <w:t>CV ROC-AUC</w:t>
            </w:r>
          </w:p>
        </w:tc>
        <w:tc>
          <w:tcPr>
            <w:tcW w:type="dxa" w:w="3360"/>
            <w:vAlign w:val="center"/>
          </w:tcPr>
          <w:p>
            <w:pPr>
              <w:spacing w:after="0"/>
            </w:pPr>
            <w:r/>
            <w:r>
              <w:rPr>
                <w:b w:val="0"/>
                <w:color w:val="282828"/>
                <w:sz w:val="18"/>
              </w:rPr>
              <w:t>0.7447</w:t>
            </w:r>
          </w:p>
        </w:tc>
        <w:tc>
          <w:tcPr>
            <w:tcW w:type="dxa" w:w="3360"/>
            <w:vAlign w:val="center"/>
          </w:tcPr>
          <w:p>
            <w:pPr>
              <w:spacing w:after="0"/>
            </w:pPr>
            <w:r/>
            <w:r>
              <w:rPr>
                <w:b w:val="0"/>
                <w:color w:val="282828"/>
                <w:sz w:val="18"/>
              </w:rPr>
              <w:t>0.7175</w:t>
            </w:r>
          </w:p>
        </w:tc>
      </w:tr>
      <w:tr>
        <w:tc>
          <w:tcPr>
            <w:tcW w:type="dxa" w:w="3360"/>
            <w:shd w:fill="F4F7FA"/>
            <w:vAlign w:val="center"/>
          </w:tcPr>
          <w:p>
            <w:pPr>
              <w:spacing w:after="0"/>
            </w:pPr>
            <w:r/>
            <w:r>
              <w:rPr>
                <w:b w:val="0"/>
                <w:color w:val="282828"/>
                <w:sz w:val="18"/>
              </w:rPr>
              <w:t>CV ROC-AUC Std</w:t>
            </w:r>
          </w:p>
        </w:tc>
        <w:tc>
          <w:tcPr>
            <w:tcW w:type="dxa" w:w="3360"/>
            <w:shd w:fill="F4F7FA"/>
            <w:vAlign w:val="center"/>
          </w:tcPr>
          <w:p>
            <w:pPr>
              <w:spacing w:after="0"/>
            </w:pPr>
            <w:r/>
            <w:r>
              <w:rPr>
                <w:b w:val="0"/>
                <w:color w:val="282828"/>
                <w:sz w:val="18"/>
              </w:rPr>
              <w:t>0.0165</w:t>
            </w:r>
          </w:p>
        </w:tc>
        <w:tc>
          <w:tcPr>
            <w:tcW w:type="dxa" w:w="3360"/>
            <w:shd w:fill="F4F7FA"/>
            <w:vAlign w:val="center"/>
          </w:tcPr>
          <w:p>
            <w:pPr>
              <w:spacing w:after="0"/>
            </w:pPr>
            <w:r/>
            <w:r>
              <w:rPr>
                <w:b w:val="0"/>
                <w:color w:val="282828"/>
                <w:sz w:val="18"/>
              </w:rPr>
              <w:t>0.0131</w:t>
            </w:r>
          </w:p>
        </w:tc>
      </w:tr>
    </w:tbl>
    <w:p/>
    <w:p>
      <w:pPr>
        <w:pStyle w:val="Heading2"/>
      </w:pPr>
      <w:r>
        <w:t>11.3 Final performance visualization</w:t>
      </w:r>
    </w:p>
    <w:tbl>
      <w:tblPr>
        <w:tblW w:type="auto" w:w="0"/>
        <w:jc w:val="center"/>
        <w:tblLook w:firstColumn="1" w:firstRow="1" w:lastColumn="0" w:lastRow="0" w:noHBand="0" w:noVBand="1" w:val="04A0"/>
      </w:tblPr>
      <w:tblGrid>
        <w:gridCol w:w="10080"/>
      </w:tblGrid>
      <w:tr>
        <w:tc>
          <w:tcPr>
            <w:tcW w:type="dxa" w:w="10080"/>
            <w:shd w:fill="E8F5E9"/>
          </w:tcPr>
          <w:p>
            <w:pPr>
              <w:spacing w:after="40"/>
            </w:pPr>
            <w:r>
              <w:rPr>
                <w:b/>
                <w:color w:val="1F3756"/>
                <w:sz w:val="21"/>
              </w:rPr>
              <w:t>Observed model comparison</w:t>
            </w:r>
          </w:p>
          <w:p>
            <w:pPr>
              <w:spacing w:after="40"/>
            </w:pPr>
            <w:r>
              <w:rPr>
                <w:sz w:val="19"/>
              </w:rPr>
              <w:t>Logistic Regression has higher measured performance than the evaluated Random Forest configuration on every reported test metric and on the mean cross-validation metrics. Random Forest has a slightly smaller ROC-AUC standard deviation across folds, indicating marginally lower fold-to-fold variation in this experiment.</w:t>
            </w:r>
          </w:p>
        </w:tc>
      </w:tr>
    </w:tbl>
    <w:p/>
    <w:p>
      <w:r>
        <w:br w:type="page"/>
      </w:r>
    </w:p>
    <w:p>
      <w:pPr>
        <w:pStyle w:val="Heading1"/>
      </w:pPr>
      <w:r>
        <w:t>12. Feature Interpretation</w:t>
      </w:r>
    </w:p>
    <w:p>
      <w:pPr>
        <w:pStyle w:val="Heading2"/>
      </w:pPr>
      <w:r>
        <w:t>12.1 Random Forest feature importance</w:t>
      </w:r>
    </w:p>
    <w:tbl>
      <w:tblPr>
        <w:tblStyle w:val="TableGrid"/>
        <w:tblW w:type="auto" w:w="0"/>
        <w:jc w:val="center"/>
        <w:tblLook w:firstColumn="1" w:firstRow="1" w:lastColumn="0" w:lastRow="0" w:noHBand="0" w:noVBand="1" w:val="04A0"/>
      </w:tblPr>
      <w:tblGrid>
        <w:gridCol w:w="5040"/>
        <w:gridCol w:w="5040"/>
      </w:tblGrid>
      <w:tr>
        <w:tc>
          <w:tcPr>
            <w:tcW w:type="dxa" w:w="5040"/>
            <w:shd w:fill="1F3760"/>
            <w:vAlign w:val="center"/>
          </w:tcPr>
          <w:p>
            <w:pPr>
              <w:spacing w:after="0"/>
            </w:pPr>
            <w:r/>
            <w:r>
              <w:rPr>
                <w:b/>
                <w:color w:val="FFFFFF"/>
                <w:sz w:val="18"/>
              </w:rPr>
              <w:t>Feature</w:t>
            </w:r>
          </w:p>
        </w:tc>
        <w:tc>
          <w:tcPr>
            <w:tcW w:type="dxa" w:w="5040"/>
            <w:shd w:fill="1F3760"/>
            <w:vAlign w:val="center"/>
          </w:tcPr>
          <w:p>
            <w:pPr>
              <w:spacing w:after="0"/>
            </w:pPr>
            <w:r/>
            <w:r>
              <w:rPr>
                <w:b/>
                <w:color w:val="FFFFFF"/>
                <w:sz w:val="18"/>
              </w:rPr>
              <w:t>Importance</w:t>
            </w:r>
          </w:p>
        </w:tc>
      </w:tr>
      <w:tr>
        <w:tc>
          <w:tcPr>
            <w:tcW w:type="dxa" w:w="5040"/>
            <w:shd w:fill="F4F7FA"/>
            <w:vAlign w:val="center"/>
          </w:tcPr>
          <w:p>
            <w:pPr>
              <w:spacing w:after="0"/>
            </w:pPr>
            <w:r/>
            <w:r>
              <w:rPr>
                <w:b w:val="0"/>
                <w:color w:val="282828"/>
                <w:sz w:val="18"/>
              </w:rPr>
              <w:t>Monetary</w:t>
            </w:r>
          </w:p>
        </w:tc>
        <w:tc>
          <w:tcPr>
            <w:tcW w:type="dxa" w:w="5040"/>
            <w:shd w:fill="F4F7FA"/>
            <w:vAlign w:val="center"/>
          </w:tcPr>
          <w:p>
            <w:pPr>
              <w:spacing w:after="0"/>
            </w:pPr>
            <w:r/>
            <w:r>
              <w:rPr>
                <w:b w:val="0"/>
                <w:color w:val="282828"/>
                <w:sz w:val="18"/>
              </w:rPr>
              <w:t>0.201359</w:t>
            </w:r>
          </w:p>
        </w:tc>
      </w:tr>
      <w:tr>
        <w:tc>
          <w:tcPr>
            <w:tcW w:type="dxa" w:w="5040"/>
            <w:vAlign w:val="center"/>
          </w:tcPr>
          <w:p>
            <w:pPr>
              <w:spacing w:after="0"/>
            </w:pPr>
            <w:r/>
            <w:r>
              <w:rPr>
                <w:b w:val="0"/>
                <w:color w:val="282828"/>
                <w:sz w:val="18"/>
              </w:rPr>
              <w:t>TotalQuantity</w:t>
            </w:r>
          </w:p>
        </w:tc>
        <w:tc>
          <w:tcPr>
            <w:tcW w:type="dxa" w:w="5040"/>
            <w:vAlign w:val="center"/>
          </w:tcPr>
          <w:p>
            <w:pPr>
              <w:spacing w:after="0"/>
            </w:pPr>
            <w:r/>
            <w:r>
              <w:rPr>
                <w:b w:val="0"/>
                <w:color w:val="282828"/>
                <w:sz w:val="18"/>
              </w:rPr>
              <w:t>0.198308</w:t>
            </w:r>
          </w:p>
        </w:tc>
      </w:tr>
      <w:tr>
        <w:tc>
          <w:tcPr>
            <w:tcW w:type="dxa" w:w="5040"/>
            <w:shd w:fill="F4F7FA"/>
            <w:vAlign w:val="center"/>
          </w:tcPr>
          <w:p>
            <w:pPr>
              <w:spacing w:after="0"/>
            </w:pPr>
            <w:r/>
            <w:r>
              <w:rPr>
                <w:b w:val="0"/>
                <w:color w:val="282828"/>
                <w:sz w:val="18"/>
              </w:rPr>
              <w:t>Recency</w:t>
            </w:r>
          </w:p>
        </w:tc>
        <w:tc>
          <w:tcPr>
            <w:tcW w:type="dxa" w:w="5040"/>
            <w:shd w:fill="F4F7FA"/>
            <w:vAlign w:val="center"/>
          </w:tcPr>
          <w:p>
            <w:pPr>
              <w:spacing w:after="0"/>
            </w:pPr>
            <w:r/>
            <w:r>
              <w:rPr>
                <w:b w:val="0"/>
                <w:color w:val="282828"/>
                <w:sz w:val="18"/>
              </w:rPr>
              <w:t>0.193191</w:t>
            </w:r>
          </w:p>
        </w:tc>
      </w:tr>
      <w:tr>
        <w:tc>
          <w:tcPr>
            <w:tcW w:type="dxa" w:w="5040"/>
            <w:vAlign w:val="center"/>
          </w:tcPr>
          <w:p>
            <w:pPr>
              <w:spacing w:after="0"/>
            </w:pPr>
            <w:r/>
            <w:r>
              <w:rPr>
                <w:b w:val="0"/>
                <w:color w:val="282828"/>
                <w:sz w:val="18"/>
              </w:rPr>
              <w:t>AvgOrderValue</w:t>
            </w:r>
          </w:p>
        </w:tc>
        <w:tc>
          <w:tcPr>
            <w:tcW w:type="dxa" w:w="5040"/>
            <w:vAlign w:val="center"/>
          </w:tcPr>
          <w:p>
            <w:pPr>
              <w:spacing w:after="0"/>
            </w:pPr>
            <w:r/>
            <w:r>
              <w:rPr>
                <w:b w:val="0"/>
                <w:color w:val="282828"/>
                <w:sz w:val="18"/>
              </w:rPr>
              <w:t>0.165496</w:t>
            </w:r>
          </w:p>
        </w:tc>
      </w:tr>
      <w:tr>
        <w:tc>
          <w:tcPr>
            <w:tcW w:type="dxa" w:w="5040"/>
            <w:shd w:fill="F4F7FA"/>
            <w:vAlign w:val="center"/>
          </w:tcPr>
          <w:p>
            <w:pPr>
              <w:spacing w:after="0"/>
            </w:pPr>
            <w:r/>
            <w:r>
              <w:rPr>
                <w:b w:val="0"/>
                <w:color w:val="282828"/>
                <w:sz w:val="18"/>
              </w:rPr>
              <w:t>UniqueProducts</w:t>
            </w:r>
          </w:p>
        </w:tc>
        <w:tc>
          <w:tcPr>
            <w:tcW w:type="dxa" w:w="5040"/>
            <w:shd w:fill="F4F7FA"/>
            <w:vAlign w:val="center"/>
          </w:tcPr>
          <w:p>
            <w:pPr>
              <w:spacing w:after="0"/>
            </w:pPr>
            <w:r/>
            <w:r>
              <w:rPr>
                <w:b w:val="0"/>
                <w:color w:val="282828"/>
                <w:sz w:val="18"/>
              </w:rPr>
              <w:t>0.161418</w:t>
            </w:r>
          </w:p>
        </w:tc>
      </w:tr>
      <w:tr>
        <w:tc>
          <w:tcPr>
            <w:tcW w:type="dxa" w:w="5040"/>
            <w:vAlign w:val="center"/>
          </w:tcPr>
          <w:p>
            <w:pPr>
              <w:spacing w:after="0"/>
            </w:pPr>
            <w:r/>
            <w:r>
              <w:rPr>
                <w:b w:val="0"/>
                <w:color w:val="282828"/>
                <w:sz w:val="18"/>
              </w:rPr>
              <w:t>Frequency</w:t>
            </w:r>
          </w:p>
        </w:tc>
        <w:tc>
          <w:tcPr>
            <w:tcW w:type="dxa" w:w="5040"/>
            <w:vAlign w:val="center"/>
          </w:tcPr>
          <w:p>
            <w:pPr>
              <w:spacing w:after="0"/>
            </w:pPr>
            <w:r/>
            <w:r>
              <w:rPr>
                <w:b w:val="0"/>
                <w:color w:val="282828"/>
                <w:sz w:val="18"/>
              </w:rPr>
              <w:t>0.080227</w:t>
            </w:r>
          </w:p>
        </w:tc>
      </w:tr>
    </w:tbl>
    <w:p/>
    <w:p>
      <w:r>
        <w:t>Monetary has the largest Random Forest importance (0.201359), closely followed by TotalQuantity (0.198308) and Recency (0.193191). Frequency has the smallest importance (0.080227) in this model. These values describe how the fitted forest uses the features to reduce impurity; they should not be interpreted as causal effects.</w:t>
      </w:r>
    </w:p>
    <w:p>
      <w:pPr>
        <w:pStyle w:val="Heading2"/>
      </w:pPr>
      <w:r>
        <w:t>12.2 Logistic Regression coefficients</w:t>
      </w:r>
    </w:p>
    <w:p>
      <w:r>
        <w:t>The coefficient chart provides an interpretable directional view. With log-transformed and standardized features, positive coefficients indicate an increase in the model's predicted log-odds of repeat purchase as the corresponding transformed feature increases, holding the other model inputs constant. Negative coefficients indicate the opposite direction in the fitted model.</w:t>
      </w:r>
    </w:p>
    <w:p>
      <w:pPr>
        <w:pStyle w:val="ListBullet"/>
        <w:spacing w:after="60"/>
      </w:pPr>
      <w:r>
        <w:t>Frequency shows a positive coefficient in the fitted model.</w:t>
      </w:r>
    </w:p>
    <w:p>
      <w:pPr>
        <w:pStyle w:val="ListBullet"/>
        <w:spacing w:after="60"/>
      </w:pPr>
      <w:r>
        <w:t>AvgOrderValue, UniqueProducts, and TotalQuantity also show positive coefficients.</w:t>
      </w:r>
    </w:p>
    <w:p>
      <w:pPr>
        <w:pStyle w:val="ListBullet"/>
        <w:spacing w:after="60"/>
      </w:pPr>
      <w:r>
        <w:t>Monetary and Recency show negative coefficients.</w:t>
      </w:r>
    </w:p>
    <w:p>
      <w:pPr>
        <w:pStyle w:val="ListBullet"/>
        <w:spacing w:after="60"/>
      </w:pPr>
      <w:r>
        <w:t>These signs are model associations and should not be interpreted as causal relationships.</w:t>
      </w:r>
    </w:p>
    <w:p>
      <w:r>
        <w:br w:type="page"/>
      </w:r>
    </w:p>
    <w:p>
      <w:pPr>
        <w:pStyle w:val="Heading1"/>
      </w:pPr>
      <w:r>
        <w:t>13. Strengths and Limitations</w:t>
      </w:r>
    </w:p>
    <w:p>
      <w:pPr>
        <w:pStyle w:val="Heading2"/>
      </w:pPr>
      <w:r>
        <w:t>13.1 Strengths</w:t>
      </w:r>
    </w:p>
    <w:p>
      <w:pPr>
        <w:pStyle w:val="ListBullet"/>
        <w:spacing w:after="60"/>
      </w:pPr>
      <w:r>
        <w:t>Time-based target construction reduces the risk of using future purchase information as a predictor.</w:t>
      </w:r>
    </w:p>
    <w:p>
      <w:pPr>
        <w:pStyle w:val="ListBullet"/>
        <w:spacing w:after="60"/>
      </w:pPr>
      <w:r>
        <w:t>Customer-level features are directly tied to purchasing behavior and are easy to explain.</w:t>
      </w:r>
    </w:p>
    <w:p>
      <w:pPr>
        <w:pStyle w:val="ListBullet"/>
        <w:spacing w:after="60"/>
      </w:pPr>
      <w:r>
        <w:t>The class distribution is moderate rather than severely imbalanced.</w:t>
      </w:r>
    </w:p>
    <w:p>
      <w:pPr>
        <w:pStyle w:val="ListBullet"/>
        <w:spacing w:after="60"/>
      </w:pPr>
      <w:r>
        <w:t>Both a linear interpretable model and a nonlinear ensemble were evaluated.</w:t>
      </w:r>
    </w:p>
    <w:p>
      <w:pPr>
        <w:pStyle w:val="ListBullet"/>
        <w:spacing w:after="60"/>
      </w:pPr>
      <w:r>
        <w:t>Evaluation includes hold-out testing and five-fold stratified cross-validation.</w:t>
      </w:r>
    </w:p>
    <w:p>
      <w:pPr>
        <w:pStyle w:val="ListBullet"/>
        <w:spacing w:after="60"/>
      </w:pPr>
      <w:r>
        <w:t>Multiple complementary diagnostics were used: confusion matrices, ROC curves, feature importance, and coefficients.</w:t>
      </w:r>
    </w:p>
    <w:p>
      <w:pPr>
        <w:pStyle w:val="ListBullet"/>
        <w:spacing w:after="60"/>
      </w:pPr>
      <w:r>
        <w:t>The workflow is reproducible through fixed random states.</w:t>
      </w:r>
    </w:p>
    <w:p>
      <w:pPr>
        <w:pStyle w:val="Heading2"/>
      </w:pPr>
      <w:r>
        <w:t>13.2 Limitations</w:t>
      </w:r>
    </w:p>
    <w:p>
      <w:pPr>
        <w:pStyle w:val="ListBullet"/>
        <w:spacing w:after="60"/>
      </w:pPr>
      <w:r>
        <w:t>The feature set contains only six numerical behavioral variables; demographic, product-category, country, seasonality, and interaction features were not included.</w:t>
      </w:r>
    </w:p>
    <w:p>
      <w:pPr>
        <w:pStyle w:val="ListBullet"/>
        <w:spacing w:after="60"/>
      </w:pPr>
      <w:r>
        <w:t>The target window begins on 1 September 2011 and runs to the end of the available data, so the prediction horizon is constrained by the dataset.</w:t>
      </w:r>
    </w:p>
    <w:p>
      <w:pPr>
        <w:pStyle w:val="ListBullet"/>
        <w:spacing w:after="60"/>
      </w:pPr>
      <w:r>
        <w:t>Only customers with historical activity before the cutoff can be modeled; the approach does not address cold-start customers.</w:t>
      </w:r>
    </w:p>
    <w:p>
      <w:pPr>
        <w:pStyle w:val="ListBullet"/>
        <w:spacing w:after="60"/>
      </w:pPr>
      <w:r>
        <w:t>The Random Forest configuration was not extensively hyperparameter-tuned.</w:t>
      </w:r>
    </w:p>
    <w:p>
      <w:pPr>
        <w:pStyle w:val="ListBullet"/>
        <w:spacing w:after="60"/>
      </w:pPr>
      <w:r>
        <w:t>The analysis uses one primary temporal cutoff rather than repeated rolling-origin evaluation.</w:t>
      </w:r>
    </w:p>
    <w:p>
      <w:pPr>
        <w:pStyle w:val="ListBullet"/>
        <w:spacing w:after="60"/>
      </w:pPr>
      <w:r>
        <w:t>Correlation and model importance measures do not establish causality.</w:t>
      </w:r>
    </w:p>
    <w:p>
      <w:pPr>
        <w:pStyle w:val="ListBullet"/>
        <w:spacing w:after="60"/>
      </w:pPr>
      <w:r>
        <w:t>The results reflect this dataset and experimental configuration and should not be generalized automatically to another retailer.</w:t>
      </w:r>
    </w:p>
    <w:p>
      <w:r>
        <w:br w:type="page"/>
      </w:r>
    </w:p>
    <w:p>
      <w:pPr>
        <w:pStyle w:val="Heading1"/>
      </w:pPr>
      <w:r>
        <w:t>14. Improvement Opportunities</w:t>
      </w:r>
    </w:p>
    <w:p>
      <w:pPr>
        <w:pStyle w:val="Heading2"/>
      </w:pPr>
      <w:r>
        <w:t>14.1 Feature engineering improvements</w:t>
      </w:r>
    </w:p>
    <w:p>
      <w:pPr>
        <w:pStyle w:val="ListBullet"/>
        <w:spacing w:after="60"/>
      </w:pPr>
      <w:r>
        <w:t>Add Country as a categorical predictor using one-hot encoding.</w:t>
      </w:r>
    </w:p>
    <w:p>
      <w:pPr>
        <w:pStyle w:val="ListBullet"/>
        <w:spacing w:after="60"/>
      </w:pPr>
      <w:r>
        <w:t>Add purchase-day, month, weekday, or seasonal features calculated strictly from the historical period.</w:t>
      </w:r>
    </w:p>
    <w:p>
      <w:pPr>
        <w:pStyle w:val="ListBullet"/>
        <w:spacing w:after="60"/>
      </w:pPr>
      <w:r>
        <w:t>Add average days between purchases and variability of inter-purchase intervals.</w:t>
      </w:r>
    </w:p>
    <w:p>
      <w:pPr>
        <w:pStyle w:val="ListBullet"/>
        <w:spacing w:after="60"/>
      </w:pPr>
      <w:r>
        <w:t>Add category-level diversity or repeat-product ratios.</w:t>
      </w:r>
    </w:p>
    <w:p>
      <w:pPr>
        <w:pStyle w:val="ListBullet"/>
        <w:spacing w:after="60"/>
      </w:pPr>
      <w:r>
        <w:t>Add customer lifetime duration and percentage of cancelled/returned historical activity where analytically appropriate.</w:t>
      </w:r>
    </w:p>
    <w:p>
      <w:pPr>
        <w:pStyle w:val="Heading2"/>
      </w:pPr>
      <w:r>
        <w:t>14.2 Modeling improvements</w:t>
      </w:r>
    </w:p>
    <w:p>
      <w:pPr>
        <w:pStyle w:val="ListBullet"/>
        <w:spacing w:after="60"/>
      </w:pPr>
      <w:r>
        <w:t>Tune Random Forest hyperparameters such as max_depth, min_samples_leaf, max_features, and class weighting.</w:t>
      </w:r>
    </w:p>
    <w:p>
      <w:pPr>
        <w:pStyle w:val="ListBullet"/>
        <w:spacing w:after="60"/>
      </w:pPr>
      <w:r>
        <w:t>Evaluate gradient-boosting methods such as HistGradientBoostingClassifier or other appropriate tree ensembles.</w:t>
      </w:r>
    </w:p>
    <w:p>
      <w:pPr>
        <w:pStyle w:val="ListBullet"/>
        <w:spacing w:after="60"/>
      </w:pPr>
      <w:r>
        <w:t>Use calibrated probabilities if predicted probabilities will drive customer-level decisions.</w:t>
      </w:r>
    </w:p>
    <w:p>
      <w:pPr>
        <w:pStyle w:val="ListBullet"/>
        <w:spacing w:after="60"/>
      </w:pPr>
      <w:r>
        <w:t>Tune the classification threshold instead of assuming 0.50 is optimal for every business objective.</w:t>
      </w:r>
    </w:p>
    <w:p>
      <w:pPr>
        <w:pStyle w:val="ListBullet"/>
        <w:spacing w:after="60"/>
      </w:pPr>
      <w:r>
        <w:t>Use permutation importance or SHAP-style analysis for more robust model interpretation.</w:t>
      </w:r>
    </w:p>
    <w:p>
      <w:pPr>
        <w:pStyle w:val="Heading2"/>
      </w:pPr>
      <w:r>
        <w:t>14.3 Validation improvements</w:t>
      </w:r>
    </w:p>
    <w:p>
      <w:pPr>
        <w:pStyle w:val="ListBullet"/>
        <w:spacing w:after="60"/>
      </w:pPr>
      <w:r>
        <w:t>Use rolling or expanding time-based validation to test stability across multiple historical cutoffs.</w:t>
      </w:r>
    </w:p>
    <w:p>
      <w:pPr>
        <w:pStyle w:val="ListBullet"/>
        <w:spacing w:after="60"/>
      </w:pPr>
      <w:r>
        <w:t>Evaluate performance separately across customer cohorts, countries, or customer-value groups.</w:t>
      </w:r>
    </w:p>
    <w:p>
      <w:pPr>
        <w:pStyle w:val="ListBullet"/>
        <w:spacing w:after="60"/>
      </w:pPr>
      <w:r>
        <w:t>Track precision-recall curves in addition to ROC curves if the positive class becomes substantially imbalanced.</w:t>
      </w:r>
    </w:p>
    <w:p>
      <w:pPr>
        <w:pStyle w:val="ListBullet"/>
        <w:spacing w:after="60"/>
      </w:pPr>
      <w:r>
        <w:t>Evaluate calibration and business-cost metrics when the model is used operationally.</w:t>
      </w:r>
    </w:p>
    <w:p>
      <w:r>
        <w:br w:type="page"/>
      </w:r>
    </w:p>
    <w:p>
      <w:pPr>
        <w:pStyle w:val="Heading1"/>
      </w:pPr>
      <w:r>
        <w:t>15. Business and Analytical Implications</w:t>
      </w:r>
    </w:p>
    <w:p>
      <w:r>
        <w:t>A repeat-purchase prediction model can support customer-retention workflows by estimating which historical customers are more likely to purchase again. For example, predicted probabilities could be used to prioritize customer communications, retention experiments, or personalized product recommendations.</w:t>
      </w:r>
    </w:p>
    <w:p>
      <w:r>
        <w:t>However, the model should be treated as a decision-support component rather than a causal engine. A high predicted probability does not mean that a specific marketing action will cause a purchase. Any intervention should be evaluated through controlled experiments or other appropriate measurement designs.</w:t>
      </w:r>
    </w:p>
    <w:p>
      <w:pPr>
        <w:pStyle w:val="Heading2"/>
      </w:pPr>
      <w:r>
        <w:t>15.1 Interpretation of the current experiment</w:t>
      </w:r>
    </w:p>
    <w:p>
      <w:pPr>
        <w:pStyle w:val="ListBullet"/>
        <w:spacing w:after="60"/>
      </w:pPr>
      <w:r>
        <w:t>The target distribution is sufficiently balanced for standard stratified classification without mandatory resampling.</w:t>
      </w:r>
    </w:p>
    <w:p>
      <w:pPr>
        <w:pStyle w:val="ListBullet"/>
        <w:spacing w:after="60"/>
      </w:pPr>
      <w:r>
        <w:t>The six engineered behavioral features contain meaningful predictive signal: both models perform above random discrimination according to ROC-AUC.</w:t>
      </w:r>
    </w:p>
    <w:p>
      <w:pPr>
        <w:pStyle w:val="ListBullet"/>
        <w:spacing w:after="60"/>
      </w:pPr>
      <w:r>
        <w:t>Logistic Regression achieved a test ROC-AUC of 0.7344 and five-fold mean ROC-AUC of 0.7447.</w:t>
      </w:r>
    </w:p>
    <w:p>
      <w:pPr>
        <w:pStyle w:val="ListBullet"/>
        <w:spacing w:after="60"/>
      </w:pPr>
      <w:r>
        <w:t>Random Forest achieved a test ROC-AUC of 0.7001 and five-fold mean ROC-AUC of 0.7175.</w:t>
      </w:r>
    </w:p>
    <w:p>
      <w:pPr>
        <w:pStyle w:val="ListBullet"/>
        <w:spacing w:after="60"/>
      </w:pPr>
      <w:r>
        <w:t>The current evidence supports using Logistic Regression as the primary model for this experiment, while retaining Random Forest as a documented nonlinear benchmark.</w:t>
      </w:r>
    </w:p>
    <w:p>
      <w:pPr>
        <w:pStyle w:val="Heading1"/>
      </w:pPr>
      <w:r>
        <w:t>16. Conclusion</w:t>
      </w:r>
    </w:p>
    <w:p>
      <w:r>
        <w:t>This Task 4 project successfully implemented a complete supervised-learning pipeline for customer repeat-purchase prediction. The workflow progressed from a cleaned transaction dataset to a leakage-aware time-based target, customer-level feature engineering, skewness correction, stratified train/test splitting, model training, cross-validation, and multi-metric evaluation.</w:t>
      </w:r>
    </w:p>
    <w:p>
      <w:r>
        <w:t>The final comparison showed that Logistic Regression outperformed the evaluated Random Forest configuration across the reported test and mean cross-validation metrics. Its 0.7344 test ROC-AUC and 0.7447 cross-validation ROC-AUC demonstrate useful predictive discrimination for the available behavioral features. At the same time, the limitations identified in this report indicate clear opportunities for future work through richer features, hyperparameter tuning, rolling temporal validation, probability calibration, and threshold optimization.</w:t>
      </w:r>
    </w:p>
    <w:tbl>
      <w:tblPr>
        <w:tblW w:type="auto" w:w="0"/>
        <w:jc w:val="center"/>
        <w:tblLook w:firstColumn="1" w:firstRow="1" w:lastColumn="0" w:lastRow="0" w:noHBand="0" w:noVBand="1" w:val="04A0"/>
      </w:tblPr>
      <w:tblGrid>
        <w:gridCol w:w="10080"/>
      </w:tblGrid>
      <w:tr>
        <w:tc>
          <w:tcPr>
            <w:tcW w:type="dxa" w:w="10080"/>
            <w:shd w:fill="E8F5E9"/>
          </w:tcPr>
          <w:p>
            <w:pPr>
              <w:spacing w:after="40"/>
            </w:pPr>
            <w:r>
              <w:rPr>
                <w:b/>
                <w:color w:val="1F3756"/>
                <w:sz w:val="21"/>
              </w:rPr>
              <w:t>Final outcome</w:t>
            </w:r>
          </w:p>
          <w:p>
            <w:pPr>
              <w:spacing w:after="40"/>
            </w:pPr>
            <w:r>
              <w:rPr>
                <w:sz w:val="19"/>
              </w:rPr>
              <w:t>Task 4 demonstrates a reproducible supervised-learning workflow in Scikit-learn and provides both predictive evaluation and interpretability analysis suitable for a customer-retention use case.</w:t>
            </w:r>
          </w:p>
        </w:tc>
      </w:tr>
    </w:tbl>
    <w:p/>
    <w:p>
      <w:r>
        <w:br w:type="page"/>
      </w:r>
    </w:p>
    <w:p>
      <w:pPr>
        <w:pStyle w:val="Heading1"/>
      </w:pPr>
      <w:r>
        <w:t>17. Appendix A — Selected Code</w:t>
      </w:r>
    </w:p>
    <w:p>
      <w:r>
        <w:t>The following excerpts represent the key implementation stages used in the notebook.</w:t>
      </w:r>
    </w:p>
    <w:p>
      <w:pPr>
        <w:pStyle w:val="Heading2"/>
      </w:pPr>
      <w:r>
        <w:t>A.1 Time-based split</w:t>
      </w:r>
    </w:p>
    <w:p>
      <w:pPr>
        <w:pStyle w:val="Code"/>
        <w:ind w:left="288" w:right="288"/>
      </w:pPr>
      <w:r>
        <w:rPr>
          <w:rFonts w:ascii="Consolas" w:hAnsi="Consolas"/>
          <w:sz w:val="16"/>
        </w:rPr>
        <w:t># Time-based target split</w:t>
        <w:br/>
        <w:t>cutoff_date = pd.Timestamp("2011-09-01")</w:t>
        <w:br/>
        <w:br/>
        <w:t>historical_df = clean_df[</w:t>
        <w:br/>
        <w:t xml:space="preserve">    clean_df["InvoiceDate"] &lt; cutoff_date</w:t>
        <w:br/>
        <w:t>].copy()</w:t>
        <w:br/>
        <w:br/>
        <w:t>future_df = clean_df[</w:t>
        <w:br/>
        <w:t xml:space="preserve">    clean_df["InvoiceDate"] &gt;= cutoff_date</w:t>
        <w:br/>
        <w:t>].copy()</w:t>
      </w:r>
    </w:p>
    <w:p/>
    <w:p>
      <w:pPr>
        <w:pStyle w:val="Heading2"/>
      </w:pPr>
      <w:r>
        <w:t>A.2 Feature engineering</w:t>
      </w:r>
    </w:p>
    <w:p>
      <w:pPr>
        <w:pStyle w:val="Code"/>
        <w:ind w:left="288" w:right="288"/>
      </w:pPr>
      <w:r>
        <w:rPr>
          <w:rFonts w:ascii="Consolas" w:hAnsi="Consolas"/>
          <w:sz w:val="16"/>
        </w:rPr>
        <w:t># Customer-level feature engineering</w:t>
        <w:br/>
        <w:t>reference_date = historical_df["InvoiceDate"].max() + pd.Timedelta(days=1)</w:t>
        <w:br/>
        <w:br/>
        <w:t>customer_features = historical_df.groupby("CustomerID").agg(</w:t>
        <w:br/>
        <w:t xml:space="preserve">    Recency=("InvoiceDate", lambda x: (reference_date - x.max()).days),</w:t>
        <w:br/>
        <w:t xml:space="preserve">    Frequency=("InvoiceNo", "nunique"),</w:t>
        <w:br/>
        <w:t xml:space="preserve">    Monetary=("TotalAmount", "sum"),</w:t>
        <w:br/>
        <w:t xml:space="preserve">    TotalQuantity=("Quantity", "sum"),</w:t>
        <w:br/>
        <w:t xml:space="preserve">    UniqueProducts=("StockCode", "nunique")</w:t>
        <w:br/>
        <w:t>).reset_index()</w:t>
        <w:br/>
        <w:br/>
        <w:t>customer_features["AvgOrderValue"] = (</w:t>
        <w:br/>
        <w:t xml:space="preserve">    customer_features["Monetary"] /</w:t>
        <w:br/>
        <w:t xml:space="preserve">    customer_features["Frequency"]</w:t>
        <w:br/>
        <w:t>)</w:t>
      </w:r>
    </w:p>
    <w:p/>
    <w:p>
      <w:pPr>
        <w:pStyle w:val="Heading2"/>
      </w:pPr>
      <w:r>
        <w:t>A.3 Leakage-aware preprocessing</w:t>
      </w:r>
    </w:p>
    <w:p>
      <w:pPr>
        <w:pStyle w:val="Code"/>
        <w:ind w:left="288" w:right="288"/>
      </w:pPr>
      <w:r>
        <w:rPr>
          <w:rFonts w:ascii="Consolas" w:hAnsi="Consolas"/>
          <w:sz w:val="16"/>
        </w:rPr>
        <w:t># Log transformation and scaling</w:t>
        <w:br/>
        <w:t>log_scaler = Pipeline([</w:t>
        <w:br/>
        <w:t xml:space="preserve">    ("log_transform", FunctionTransformer(np.log1p, validate=False)),</w:t>
        <w:br/>
        <w:t xml:space="preserve">    ("scaler", StandardScaler())</w:t>
        <w:br/>
        <w:t>])</w:t>
        <w:br/>
        <w:br/>
        <w:t>X_train_processed = log_scaler.fit_transform(X_train)</w:t>
        <w:br/>
        <w:t>X_test_processed = log_scaler.transform(X_test)</w:t>
      </w:r>
    </w:p>
    <w:p/>
    <w:p>
      <w:pPr>
        <w:pStyle w:val="Heading2"/>
      </w:pPr>
      <w:r>
        <w:t>A.4 Logistic Regression</w:t>
      </w:r>
    </w:p>
    <w:p>
      <w:pPr>
        <w:pStyle w:val="Code"/>
        <w:ind w:left="288" w:right="288"/>
      </w:pPr>
      <w:r>
        <w:rPr>
          <w:rFonts w:ascii="Consolas" w:hAnsi="Consolas"/>
          <w:sz w:val="16"/>
        </w:rPr>
        <w:t># Logistic Regression</w:t>
        <w:br/>
        <w:t>logistic_model = LogisticRegression(</w:t>
        <w:br/>
        <w:t xml:space="preserve">    random_state=42,</w:t>
        <w:br/>
        <w:t xml:space="preserve">    max_iter=1000</w:t>
        <w:br/>
        <w:t>)</w:t>
        <w:br/>
        <w:br/>
        <w:t>logistic_model.fit(X_train_processed, y_train)</w:t>
        <w:br/>
        <w:br/>
        <w:t>y_pred_lr = logistic_model.predict(X_test_processed)</w:t>
        <w:br/>
        <w:t>y_prob_lr = logistic_model.predict_proba(X_test_processed)[:, 1]</w:t>
      </w:r>
    </w:p>
    <w:p/>
    <w:p>
      <w:pPr>
        <w:pStyle w:val="Heading2"/>
      </w:pPr>
      <w:r>
        <w:t>A.5 Random Forest</w:t>
      </w:r>
    </w:p>
    <w:p>
      <w:pPr>
        <w:pStyle w:val="Code"/>
        <w:ind w:left="288" w:right="288"/>
      </w:pPr>
      <w:r>
        <w:rPr>
          <w:rFonts w:ascii="Consolas" w:hAnsi="Consolas"/>
          <w:sz w:val="16"/>
        </w:rPr>
        <w:t># Random Forest</w:t>
        <w:br/>
        <w:t>random_forest_model = RandomForestClassifier(</w:t>
        <w:br/>
        <w:t xml:space="preserve">    n_estimators=200,</w:t>
        <w:br/>
        <w:t xml:space="preserve">    random_state=42,</w:t>
        <w:br/>
        <w:t xml:space="preserve">    n_jobs=-1</w:t>
        <w:br/>
        <w:t>)</w:t>
        <w:br/>
        <w:br/>
        <w:t>random_forest_model.fit(X_train_processed, y_train)</w:t>
        <w:br/>
        <w:br/>
        <w:t>y_pred_rf = random_forest_model.predict(X_test_processed)</w:t>
        <w:br/>
        <w:t>y_prob_rf = random_forest_model.predict_proba(X_test_processed)[:, 1]</w:t>
      </w:r>
    </w:p>
    <w:p/>
    <w:p>
      <w:pPr>
        <w:pStyle w:val="Heading2"/>
      </w:pPr>
      <w:r>
        <w:t>A.6 Cross-validation</w:t>
      </w:r>
    </w:p>
    <w:p>
      <w:pPr>
        <w:pStyle w:val="Code"/>
        <w:ind w:left="288" w:right="288"/>
      </w:pPr>
      <w:r>
        <w:rPr>
          <w:rFonts w:ascii="Consolas" w:hAnsi="Consolas"/>
          <w:sz w:val="16"/>
        </w:rPr>
        <w:t># Five-fold stratified validation</w:t>
        <w:br/>
        <w:t>cv = StratifiedKFold(</w:t>
        <w:br/>
        <w:t xml:space="preserve">    n_splits=5,</w:t>
        <w:br/>
        <w:t xml:space="preserve">    shuffle=True,</w:t>
        <w:br/>
        <w:t xml:space="preserve">    random_state=42</w:t>
        <w:br/>
        <w:t>)</w:t>
        <w:br/>
        <w:br/>
        <w:t>lr_cv_roc_auc = cross_val_score(</w:t>
        <w:br/>
        <w:t xml:space="preserve">    logistic_model,</w:t>
        <w:br/>
        <w:t xml:space="preserve">    X_train_processed,</w:t>
        <w:br/>
        <w:t xml:space="preserve">    y_train,</w:t>
        <w:br/>
        <w:t xml:space="preserve">    cv=cv,</w:t>
        <w:br/>
        <w:t xml:space="preserve">    scoring="roc_auc"</w:t>
        <w:br/>
        <w:t>)</w:t>
      </w:r>
    </w:p>
    <w:p/>
    <w:p>
      <w:r>
        <w:br w:type="page"/>
      </w:r>
    </w:p>
    <w:p>
      <w:pPr>
        <w:pStyle w:val="Heading1"/>
      </w:pPr>
      <w:r>
        <w:t>18. Appendix B — Deliverable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760"/>
            <w:vAlign w:val="center"/>
          </w:tcPr>
          <w:p>
            <w:pPr>
              <w:spacing w:after="0"/>
            </w:pPr>
            <w:r/>
            <w:r>
              <w:rPr>
                <w:b/>
                <w:color w:val="FFFFFF"/>
                <w:sz w:val="18"/>
              </w:rPr>
              <w:t>Task 4 requirement</w:t>
            </w:r>
          </w:p>
        </w:tc>
        <w:tc>
          <w:tcPr>
            <w:tcW w:type="dxa" w:w="3360"/>
            <w:shd w:fill="1F3760"/>
            <w:vAlign w:val="center"/>
          </w:tcPr>
          <w:p>
            <w:pPr>
              <w:spacing w:after="0"/>
            </w:pPr>
            <w:r/>
            <w:r>
              <w:rPr>
                <w:b/>
                <w:color w:val="FFFFFF"/>
                <w:sz w:val="18"/>
              </w:rPr>
              <w:t>Status</w:t>
            </w:r>
          </w:p>
        </w:tc>
        <w:tc>
          <w:tcPr>
            <w:tcW w:type="dxa" w:w="3360"/>
            <w:shd w:fill="1F3760"/>
            <w:vAlign w:val="center"/>
          </w:tcPr>
          <w:p>
            <w:pPr>
              <w:spacing w:after="0"/>
            </w:pPr>
            <w:r/>
            <w:r>
              <w:rPr>
                <w:b/>
                <w:color w:val="FFFFFF"/>
                <w:sz w:val="18"/>
              </w:rPr>
              <w:t>Evidence in report</w:t>
            </w:r>
          </w:p>
        </w:tc>
      </w:tr>
      <w:tr>
        <w:tc>
          <w:tcPr>
            <w:tcW w:type="dxa" w:w="3360"/>
            <w:shd w:fill="F4F7FA"/>
            <w:vAlign w:val="center"/>
          </w:tcPr>
          <w:p>
            <w:pPr>
              <w:spacing w:after="0"/>
            </w:pPr>
            <w:r/>
            <w:r>
              <w:rPr>
                <w:b w:val="0"/>
                <w:color w:val="282828"/>
                <w:sz w:val="18"/>
              </w:rPr>
              <w:t>Define supervised-learning problem</w:t>
            </w:r>
          </w:p>
        </w:tc>
        <w:tc>
          <w:tcPr>
            <w:tcW w:type="dxa" w:w="3360"/>
            <w:shd w:fill="F4F7FA"/>
            <w:vAlign w:val="center"/>
          </w:tcPr>
          <w:p>
            <w:pPr>
              <w:spacing w:after="0"/>
            </w:pPr>
            <w:r/>
            <w:r>
              <w:rPr>
                <w:b w:val="0"/>
                <w:color w:val="282828"/>
                <w:sz w:val="18"/>
              </w:rPr>
              <w:t>Completed</w:t>
            </w:r>
          </w:p>
        </w:tc>
        <w:tc>
          <w:tcPr>
            <w:tcW w:type="dxa" w:w="3360"/>
            <w:shd w:fill="F4F7FA"/>
            <w:vAlign w:val="center"/>
          </w:tcPr>
          <w:p>
            <w:pPr>
              <w:spacing w:after="0"/>
            </w:pPr>
            <w:r/>
            <w:r>
              <w:rPr>
                <w:b w:val="0"/>
                <w:color w:val="282828"/>
                <w:sz w:val="18"/>
              </w:rPr>
              <w:t>Problem definition and target design</w:t>
            </w:r>
          </w:p>
        </w:tc>
      </w:tr>
      <w:tr>
        <w:tc>
          <w:tcPr>
            <w:tcW w:type="dxa" w:w="3360"/>
            <w:vAlign w:val="center"/>
          </w:tcPr>
          <w:p>
            <w:pPr>
              <w:spacing w:after="0"/>
            </w:pPr>
            <w:r/>
            <w:r>
              <w:rPr>
                <w:b w:val="0"/>
                <w:color w:val="282828"/>
                <w:sz w:val="18"/>
              </w:rPr>
              <w:t>Public dataset</w:t>
            </w:r>
          </w:p>
        </w:tc>
        <w:tc>
          <w:tcPr>
            <w:tcW w:type="dxa" w:w="3360"/>
            <w:vAlign w:val="center"/>
          </w:tcPr>
          <w:p>
            <w:pPr>
              <w:spacing w:after="0"/>
            </w:pPr>
            <w:r/>
            <w:r>
              <w:rPr>
                <w:b w:val="0"/>
                <w:color w:val="282828"/>
                <w:sz w:val="18"/>
              </w:rPr>
              <w:t>Completed</w:t>
            </w:r>
          </w:p>
        </w:tc>
        <w:tc>
          <w:tcPr>
            <w:tcW w:type="dxa" w:w="3360"/>
            <w:vAlign w:val="center"/>
          </w:tcPr>
          <w:p>
            <w:pPr>
              <w:spacing w:after="0"/>
            </w:pPr>
            <w:r/>
            <w:r>
              <w:rPr>
                <w:b w:val="0"/>
                <w:color w:val="282828"/>
                <w:sz w:val="18"/>
              </w:rPr>
              <w:t>Online Retail dataset description</w:t>
            </w:r>
          </w:p>
        </w:tc>
      </w:tr>
      <w:tr>
        <w:tc>
          <w:tcPr>
            <w:tcW w:type="dxa" w:w="3360"/>
            <w:shd w:fill="F4F7FA"/>
            <w:vAlign w:val="center"/>
          </w:tcPr>
          <w:p>
            <w:pPr>
              <w:spacing w:after="0"/>
            </w:pPr>
            <w:r/>
            <w:r>
              <w:rPr>
                <w:b w:val="0"/>
                <w:color w:val="282828"/>
                <w:sz w:val="18"/>
              </w:rPr>
              <w:t>Data preprocessing</w:t>
            </w:r>
          </w:p>
        </w:tc>
        <w:tc>
          <w:tcPr>
            <w:tcW w:type="dxa" w:w="3360"/>
            <w:shd w:fill="F4F7FA"/>
            <w:vAlign w:val="center"/>
          </w:tcPr>
          <w:p>
            <w:pPr>
              <w:spacing w:after="0"/>
            </w:pPr>
            <w:r/>
            <w:r>
              <w:rPr>
                <w:b w:val="0"/>
                <w:color w:val="282828"/>
                <w:sz w:val="18"/>
              </w:rPr>
              <w:t>Completed</w:t>
            </w:r>
          </w:p>
        </w:tc>
        <w:tc>
          <w:tcPr>
            <w:tcW w:type="dxa" w:w="3360"/>
            <w:shd w:fill="F4F7FA"/>
            <w:vAlign w:val="center"/>
          </w:tcPr>
          <w:p>
            <w:pPr>
              <w:spacing w:after="0"/>
            </w:pPr>
            <w:r/>
            <w:r>
              <w:rPr>
                <w:b w:val="0"/>
                <w:color w:val="282828"/>
                <w:sz w:val="18"/>
              </w:rPr>
              <w:t>Cleaning continuity + log transformation + scaling</w:t>
            </w:r>
          </w:p>
        </w:tc>
      </w:tr>
      <w:tr>
        <w:tc>
          <w:tcPr>
            <w:tcW w:type="dxa" w:w="3360"/>
            <w:vAlign w:val="center"/>
          </w:tcPr>
          <w:p>
            <w:pPr>
              <w:spacing w:after="0"/>
            </w:pPr>
            <w:r/>
            <w:r>
              <w:rPr>
                <w:b w:val="0"/>
                <w:color w:val="282828"/>
                <w:sz w:val="18"/>
              </w:rPr>
              <w:t>Feature engineering</w:t>
            </w:r>
          </w:p>
        </w:tc>
        <w:tc>
          <w:tcPr>
            <w:tcW w:type="dxa" w:w="3360"/>
            <w:vAlign w:val="center"/>
          </w:tcPr>
          <w:p>
            <w:pPr>
              <w:spacing w:after="0"/>
            </w:pPr>
            <w:r/>
            <w:r>
              <w:rPr>
                <w:b w:val="0"/>
                <w:color w:val="282828"/>
                <w:sz w:val="18"/>
              </w:rPr>
              <w:t>Completed</w:t>
            </w:r>
          </w:p>
        </w:tc>
        <w:tc>
          <w:tcPr>
            <w:tcW w:type="dxa" w:w="3360"/>
            <w:vAlign w:val="center"/>
          </w:tcPr>
          <w:p>
            <w:pPr>
              <w:spacing w:after="0"/>
            </w:pPr>
            <w:r/>
            <w:r>
              <w:rPr>
                <w:b w:val="0"/>
                <w:color w:val="282828"/>
                <w:sz w:val="18"/>
              </w:rPr>
              <w:t>Six customer-level behavioral features</w:t>
            </w:r>
          </w:p>
        </w:tc>
      </w:tr>
      <w:tr>
        <w:tc>
          <w:tcPr>
            <w:tcW w:type="dxa" w:w="3360"/>
            <w:shd w:fill="F4F7FA"/>
            <w:vAlign w:val="center"/>
          </w:tcPr>
          <w:p>
            <w:pPr>
              <w:spacing w:after="0"/>
            </w:pPr>
            <w:r/>
            <w:r>
              <w:rPr>
                <w:b w:val="0"/>
                <w:color w:val="282828"/>
                <w:sz w:val="18"/>
              </w:rPr>
              <w:t>Scikit-learn model</w:t>
            </w:r>
          </w:p>
        </w:tc>
        <w:tc>
          <w:tcPr>
            <w:tcW w:type="dxa" w:w="3360"/>
            <w:shd w:fill="F4F7FA"/>
            <w:vAlign w:val="center"/>
          </w:tcPr>
          <w:p>
            <w:pPr>
              <w:spacing w:after="0"/>
            </w:pPr>
            <w:r/>
            <w:r>
              <w:rPr>
                <w:b w:val="0"/>
                <w:color w:val="282828"/>
                <w:sz w:val="18"/>
              </w:rPr>
              <w:t>Completed</w:t>
            </w:r>
          </w:p>
        </w:tc>
        <w:tc>
          <w:tcPr>
            <w:tcW w:type="dxa" w:w="3360"/>
            <w:shd w:fill="F4F7FA"/>
            <w:vAlign w:val="center"/>
          </w:tcPr>
          <w:p>
            <w:pPr>
              <w:spacing w:after="0"/>
            </w:pPr>
            <w:r/>
            <w:r>
              <w:rPr>
                <w:b w:val="0"/>
                <w:color w:val="282828"/>
                <w:sz w:val="18"/>
              </w:rPr>
              <w:t>Logistic Regression + Random Forest</w:t>
            </w:r>
          </w:p>
        </w:tc>
      </w:tr>
      <w:tr>
        <w:tc>
          <w:tcPr>
            <w:tcW w:type="dxa" w:w="3360"/>
            <w:vAlign w:val="center"/>
          </w:tcPr>
          <w:p>
            <w:pPr>
              <w:spacing w:after="0"/>
            </w:pPr>
            <w:r/>
            <w:r>
              <w:rPr>
                <w:b w:val="0"/>
                <w:color w:val="282828"/>
                <w:sz w:val="18"/>
              </w:rPr>
              <w:t>Validation</w:t>
            </w:r>
          </w:p>
        </w:tc>
        <w:tc>
          <w:tcPr>
            <w:tcW w:type="dxa" w:w="3360"/>
            <w:vAlign w:val="center"/>
          </w:tcPr>
          <w:p>
            <w:pPr>
              <w:spacing w:after="0"/>
            </w:pPr>
            <w:r/>
            <w:r>
              <w:rPr>
                <w:b w:val="0"/>
                <w:color w:val="282828"/>
                <w:sz w:val="18"/>
              </w:rPr>
              <w:t>Completed</w:t>
            </w:r>
          </w:p>
        </w:tc>
        <w:tc>
          <w:tcPr>
            <w:tcW w:type="dxa" w:w="3360"/>
            <w:vAlign w:val="center"/>
          </w:tcPr>
          <w:p>
            <w:pPr>
              <w:spacing w:after="0"/>
            </w:pPr>
            <w:r/>
            <w:r>
              <w:rPr>
                <w:b w:val="0"/>
                <w:color w:val="282828"/>
                <w:sz w:val="18"/>
              </w:rPr>
              <w:t>Five-fold StratifiedKFold</w:t>
            </w:r>
          </w:p>
        </w:tc>
      </w:tr>
      <w:tr>
        <w:tc>
          <w:tcPr>
            <w:tcW w:type="dxa" w:w="3360"/>
            <w:shd w:fill="F4F7FA"/>
            <w:vAlign w:val="center"/>
          </w:tcPr>
          <w:p>
            <w:pPr>
              <w:spacing w:after="0"/>
            </w:pPr>
            <w:r/>
            <w:r>
              <w:rPr>
                <w:b w:val="0"/>
                <w:color w:val="282828"/>
                <w:sz w:val="18"/>
              </w:rPr>
              <w:t>Evaluation metrics</w:t>
            </w:r>
          </w:p>
        </w:tc>
        <w:tc>
          <w:tcPr>
            <w:tcW w:type="dxa" w:w="3360"/>
            <w:shd w:fill="F4F7FA"/>
            <w:vAlign w:val="center"/>
          </w:tcPr>
          <w:p>
            <w:pPr>
              <w:spacing w:after="0"/>
            </w:pPr>
            <w:r/>
            <w:r>
              <w:rPr>
                <w:b w:val="0"/>
                <w:color w:val="282828"/>
                <w:sz w:val="18"/>
              </w:rPr>
              <w:t>Completed</w:t>
            </w:r>
          </w:p>
        </w:tc>
        <w:tc>
          <w:tcPr>
            <w:tcW w:type="dxa" w:w="3360"/>
            <w:shd w:fill="F4F7FA"/>
            <w:vAlign w:val="center"/>
          </w:tcPr>
          <w:p>
            <w:pPr>
              <w:spacing w:after="0"/>
            </w:pPr>
            <w:r/>
            <w:r>
              <w:rPr>
                <w:b w:val="0"/>
                <w:color w:val="282828"/>
                <w:sz w:val="18"/>
              </w:rPr>
              <w:t>Accuracy, Precision, Recall, F1, ROC-AUC</w:t>
            </w:r>
          </w:p>
        </w:tc>
      </w:tr>
      <w:tr>
        <w:tc>
          <w:tcPr>
            <w:tcW w:type="dxa" w:w="3360"/>
            <w:vAlign w:val="center"/>
          </w:tcPr>
          <w:p>
            <w:pPr>
              <w:spacing w:after="0"/>
            </w:pPr>
            <w:r/>
            <w:r>
              <w:rPr>
                <w:b w:val="0"/>
                <w:color w:val="282828"/>
                <w:sz w:val="18"/>
              </w:rPr>
              <w:t>Performance analysis</w:t>
            </w:r>
          </w:p>
        </w:tc>
        <w:tc>
          <w:tcPr>
            <w:tcW w:type="dxa" w:w="3360"/>
            <w:vAlign w:val="center"/>
          </w:tcPr>
          <w:p>
            <w:pPr>
              <w:spacing w:after="0"/>
            </w:pPr>
            <w:r/>
            <w:r>
              <w:rPr>
                <w:b w:val="0"/>
                <w:color w:val="282828"/>
                <w:sz w:val="18"/>
              </w:rPr>
              <w:t>Completed</w:t>
            </w:r>
          </w:p>
        </w:tc>
        <w:tc>
          <w:tcPr>
            <w:tcW w:type="dxa" w:w="3360"/>
            <w:vAlign w:val="center"/>
          </w:tcPr>
          <w:p>
            <w:pPr>
              <w:spacing w:after="0"/>
            </w:pPr>
            <w:r/>
            <w:r>
              <w:rPr>
                <w:b w:val="0"/>
                <w:color w:val="282828"/>
                <w:sz w:val="18"/>
              </w:rPr>
              <w:t>Confusion matrices, ROC curves, comparison tables</w:t>
            </w:r>
          </w:p>
        </w:tc>
      </w:tr>
      <w:tr>
        <w:tc>
          <w:tcPr>
            <w:tcW w:type="dxa" w:w="3360"/>
            <w:shd w:fill="F4F7FA"/>
            <w:vAlign w:val="center"/>
          </w:tcPr>
          <w:p>
            <w:pPr>
              <w:spacing w:after="0"/>
            </w:pPr>
            <w:r/>
            <w:r>
              <w:rPr>
                <w:b w:val="0"/>
                <w:color w:val="282828"/>
                <w:sz w:val="18"/>
              </w:rPr>
              <w:t>Feature interpretation</w:t>
            </w:r>
          </w:p>
        </w:tc>
        <w:tc>
          <w:tcPr>
            <w:tcW w:type="dxa" w:w="3360"/>
            <w:shd w:fill="F4F7FA"/>
            <w:vAlign w:val="center"/>
          </w:tcPr>
          <w:p>
            <w:pPr>
              <w:spacing w:after="0"/>
            </w:pPr>
            <w:r/>
            <w:r>
              <w:rPr>
                <w:b w:val="0"/>
                <w:color w:val="282828"/>
                <w:sz w:val="18"/>
              </w:rPr>
              <w:t>Completed</w:t>
            </w:r>
          </w:p>
        </w:tc>
        <w:tc>
          <w:tcPr>
            <w:tcW w:type="dxa" w:w="3360"/>
            <w:shd w:fill="F4F7FA"/>
            <w:vAlign w:val="center"/>
          </w:tcPr>
          <w:p>
            <w:pPr>
              <w:spacing w:after="0"/>
            </w:pPr>
            <w:r/>
            <w:r>
              <w:rPr>
                <w:b w:val="0"/>
                <w:color w:val="282828"/>
                <w:sz w:val="18"/>
              </w:rPr>
              <w:t>Random Forest importance + Logistic coefficients</w:t>
            </w:r>
          </w:p>
        </w:tc>
      </w:tr>
      <w:tr>
        <w:tc>
          <w:tcPr>
            <w:tcW w:type="dxa" w:w="3360"/>
            <w:vAlign w:val="center"/>
          </w:tcPr>
          <w:p>
            <w:pPr>
              <w:spacing w:after="0"/>
            </w:pPr>
            <w:r/>
            <w:r>
              <w:rPr>
                <w:b w:val="0"/>
                <w:color w:val="282828"/>
                <w:sz w:val="18"/>
              </w:rPr>
              <w:t>Strengths/limitations</w:t>
            </w:r>
          </w:p>
        </w:tc>
        <w:tc>
          <w:tcPr>
            <w:tcW w:type="dxa" w:w="3360"/>
            <w:vAlign w:val="center"/>
          </w:tcPr>
          <w:p>
            <w:pPr>
              <w:spacing w:after="0"/>
            </w:pPr>
            <w:r/>
            <w:r>
              <w:rPr>
                <w:b w:val="0"/>
                <w:color w:val="282828"/>
                <w:sz w:val="18"/>
              </w:rPr>
              <w:t>Completed</w:t>
            </w:r>
          </w:p>
        </w:tc>
        <w:tc>
          <w:tcPr>
            <w:tcW w:type="dxa" w:w="3360"/>
            <w:vAlign w:val="center"/>
          </w:tcPr>
          <w:p>
            <w:pPr>
              <w:spacing w:after="0"/>
            </w:pPr>
            <w:r/>
            <w:r>
              <w:rPr>
                <w:b w:val="0"/>
                <w:color w:val="282828"/>
                <w:sz w:val="18"/>
              </w:rPr>
              <w:t>Dedicated section</w:t>
            </w:r>
          </w:p>
        </w:tc>
      </w:tr>
      <w:tr>
        <w:tc>
          <w:tcPr>
            <w:tcW w:type="dxa" w:w="3360"/>
            <w:shd w:fill="F4F7FA"/>
            <w:vAlign w:val="center"/>
          </w:tcPr>
          <w:p>
            <w:pPr>
              <w:spacing w:after="0"/>
            </w:pPr>
            <w:r/>
            <w:r>
              <w:rPr>
                <w:b w:val="0"/>
                <w:color w:val="282828"/>
                <w:sz w:val="18"/>
              </w:rPr>
              <w:t>Improvement discussion</w:t>
            </w:r>
          </w:p>
        </w:tc>
        <w:tc>
          <w:tcPr>
            <w:tcW w:type="dxa" w:w="3360"/>
            <w:shd w:fill="F4F7FA"/>
            <w:vAlign w:val="center"/>
          </w:tcPr>
          <w:p>
            <w:pPr>
              <w:spacing w:after="0"/>
            </w:pPr>
            <w:r/>
            <w:r>
              <w:rPr>
                <w:b w:val="0"/>
                <w:color w:val="282828"/>
                <w:sz w:val="18"/>
              </w:rPr>
              <w:t>Completed</w:t>
            </w:r>
          </w:p>
        </w:tc>
        <w:tc>
          <w:tcPr>
            <w:tcW w:type="dxa" w:w="3360"/>
            <w:shd w:fill="F4F7FA"/>
            <w:vAlign w:val="center"/>
          </w:tcPr>
          <w:p>
            <w:pPr>
              <w:spacing w:after="0"/>
            </w:pPr>
            <w:r/>
            <w:r>
              <w:rPr>
                <w:b w:val="0"/>
                <w:color w:val="282828"/>
                <w:sz w:val="18"/>
              </w:rPr>
              <w:t>Feature, modeling, and validation improvements</w:t>
            </w:r>
          </w:p>
        </w:tc>
      </w:tr>
      <w:tr>
        <w:tc>
          <w:tcPr>
            <w:tcW w:type="dxa" w:w="3360"/>
            <w:vAlign w:val="center"/>
          </w:tcPr>
          <w:p>
            <w:pPr>
              <w:spacing w:after="0"/>
            </w:pPr>
            <w:r/>
            <w:r>
              <w:rPr>
                <w:b w:val="0"/>
                <w:color w:val="282828"/>
                <w:sz w:val="18"/>
              </w:rPr>
              <w:t>Structured DOC report</w:t>
            </w:r>
          </w:p>
        </w:tc>
        <w:tc>
          <w:tcPr>
            <w:tcW w:type="dxa" w:w="3360"/>
            <w:vAlign w:val="center"/>
          </w:tcPr>
          <w:p>
            <w:pPr>
              <w:spacing w:after="0"/>
            </w:pPr>
            <w:r/>
            <w:r>
              <w:rPr>
                <w:b w:val="0"/>
                <w:color w:val="282828"/>
                <w:sz w:val="18"/>
              </w:rPr>
              <w:t>Completed</w:t>
            </w:r>
          </w:p>
        </w:tc>
        <w:tc>
          <w:tcPr>
            <w:tcW w:type="dxa" w:w="3360"/>
            <w:vAlign w:val="center"/>
          </w:tcPr>
          <w:p>
            <w:pPr>
              <w:spacing w:after="0"/>
            </w:pPr>
            <w:r/>
            <w:r>
              <w:rPr>
                <w:b w:val="0"/>
                <w:color w:val="282828"/>
                <w:sz w:val="18"/>
              </w:rPr>
              <w:t>This document</w:t>
            </w:r>
          </w:p>
        </w:tc>
      </w:tr>
    </w:tbl>
    <w:p/>
    <w:p>
      <w:pPr>
        <w:pStyle w:val="Heading2"/>
      </w:pPr>
      <w:r>
        <w:t>Final project artifacts</w:t>
      </w:r>
    </w:p>
    <w:p>
      <w:pPr>
        <w:pStyle w:val="ListBullet"/>
        <w:spacing w:after="60"/>
      </w:pPr>
      <w:r>
        <w:t>Task 4 Jupyter/Colab notebook containing the complete workflow.</w:t>
      </w:r>
    </w:p>
    <w:p>
      <w:pPr>
        <w:pStyle w:val="ListBullet"/>
        <w:spacing w:after="60"/>
      </w:pPr>
      <w:r>
        <w:t>Customer-level prediction CSV generated from the selected model.</w:t>
      </w:r>
    </w:p>
    <w:p>
      <w:pPr>
        <w:pStyle w:val="ListBullet"/>
        <w:spacing w:after="60"/>
      </w:pPr>
      <w:r>
        <w:t>This structured Task 4 report with analytical evidence and visualizations.</w:t>
      </w:r>
    </w:p>
    <w:p/>
    <w:p>
      <w:pPr>
        <w:jc w:val="center"/>
      </w:pPr>
      <w:r>
        <w:rPr>
          <w:b/>
          <w:color w:val="1F3756"/>
          <w:sz w:val="20"/>
        </w:rPr>
        <w:t>END OF REPORT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Supervised Learning Model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YUVA INTERNSHIP • DATA SCIENCE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75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5A5A5A"/>
      <w:sz w:val="18"/>
    </w:rPr>
  </w:style>
  <w:style w:type="paragraph" w:customStyle="1" w:styleId="Code">
    <w:name w:val="Code"/>
    <w:pPr>
      <w:spacing w:after="60"/>
      <w:ind w:left="216"/>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