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1405F"/>
          <w:sz w:val="36"/>
        </w:rPr>
        <w:t>INTERNSHIP TASK 1</w:t>
      </w:r>
    </w:p>
    <w:p>
      <w:pPr>
        <w:spacing w:before="360"/>
        <w:jc w:val="center"/>
      </w:pPr>
      <w:r>
        <w:rPr>
          <w:b/>
          <w:color w:val="1A237E"/>
          <w:sz w:val="50"/>
        </w:rPr>
        <w:t>DATA CLEANING AND PREPROCESSING</w:t>
      </w:r>
    </w:p>
    <w:p>
      <w:pPr>
        <w:jc w:val="center"/>
      </w:pPr>
      <w:r>
        <w:rPr>
          <w:b/>
          <w:color w:val="464646"/>
          <w:sz w:val="32"/>
        </w:rPr>
        <w:t>Online Retail Transaction Dataset</w:t>
      </w:r>
    </w:p>
    <w:p/>
    <w:p/>
    <w:p>
      <w:pPr>
        <w:jc w:val="center"/>
      </w:pPr>
      <w:r>
        <w:rPr>
          <w:b/>
          <w:sz w:val="22"/>
        </w:rPr>
        <w:t>Submitted by</w:t>
      </w:r>
    </w:p>
    <w:p>
      <w:pPr>
        <w:jc w:val="center"/>
      </w:pPr>
      <w:r>
        <w:rPr>
          <w:b/>
          <w:sz w:val="32"/>
        </w:rPr>
        <w:t>Suryansh Nigam</w:t>
      </w:r>
    </w:p>
    <w:p>
      <w:pPr>
        <w:jc w:val="center"/>
      </w:pPr>
      <w:r>
        <w:rPr>
          <w:sz w:val="22"/>
        </w:rPr>
        <w:t>B.Tech – Artificial Intelligence &amp; Machine Learning</w:t>
        <w:br/>
        <w:t>SRMCEM, Lucknow</w:t>
      </w:r>
    </w:p>
    <w:p/>
    <w:p>
      <w:pPr>
        <w:jc w:val="center"/>
      </w:pPr>
      <w:r>
        <w:rPr>
          <w:i/>
          <w:color w:val="5A5A5A"/>
          <w:sz w:val="22"/>
        </w:rPr>
        <w:t>Prepared as part of Internship Task 1</w:t>
      </w:r>
    </w:p>
    <w:p>
      <w:r>
        <w:br w:type="page"/>
      </w:r>
    </w:p>
    <w:p>
      <w:pPr>
        <w:pStyle w:val="Heading1"/>
      </w:pPr>
      <w:r>
        <w:rPr>
          <w:color w:val="21405F"/>
        </w:rPr>
        <w:t>1. Executive Summary</w:t>
      </w:r>
    </w:p>
    <w:p>
      <w:r>
        <w:t>This report documents the complete data cleaning, validation, preprocessing, and feature-engineering workflow performed on an Online Retail transaction dataset. The original dataset contained 541,909 transaction records and 8 columns. The analysis identified missing values, duplicate records, cancelled transactions, non-positive quantities, non-positive prices, and extreme observations.</w:t>
      </w:r>
    </w:p>
    <w:p>
      <w:r>
        <w:t>A business-rule-based cleaning process was applied rather than blindly removing every statistical outlier. After cleaning, 392,692 valid transaction records remained. The dataset was then preprocessed by converting CustomerID to an integer, creating TotalAmount, and extracting Year, Month, Day, and Hour from InvoiceDate. Final validation confirmed zero missing values, zero duplicate rows, positive quantities and prices, and consistent date and identifier fields.</w:t>
      </w:r>
    </w:p>
    <w:p>
      <w:pPr>
        <w:pStyle w:val="Heading1"/>
      </w:pPr>
      <w:r>
        <w:rPr>
          <w:color w:val="21405F"/>
        </w:rPr>
        <w:t>2. Project Snapshot</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263238"/>
          </w:tcPr>
          <w:p>
            <w:pPr>
              <w:spacing w:after="0"/>
            </w:pPr>
            <w:r/>
            <w:r>
              <w:rPr>
                <w:rFonts w:ascii="Aptos" w:hAnsi="Aptos"/>
                <w:b/>
                <w:color w:val="FFFFFF"/>
                <w:sz w:val="19"/>
              </w:rPr>
              <w:t>Metric</w:t>
            </w:r>
          </w:p>
        </w:tc>
        <w:tc>
          <w:tcPr>
            <w:tcW w:type="dxa" w:w="4752"/>
            <w:vAlign w:val="center"/>
            <w:shd w:fill="263238"/>
          </w:tcPr>
          <w:p>
            <w:pPr>
              <w:spacing w:after="0"/>
            </w:pPr>
            <w:r/>
            <w:r>
              <w:rPr>
                <w:rFonts w:ascii="Aptos" w:hAnsi="Aptos"/>
                <w:b/>
                <w:color w:val="FFFFFF"/>
                <w:sz w:val="19"/>
              </w:rPr>
              <w:t>Result</w:t>
            </w:r>
          </w:p>
        </w:tc>
      </w:tr>
      <w:tr>
        <w:tc>
          <w:tcPr>
            <w:tcW w:type="dxa" w:w="4320"/>
            <w:vAlign w:val="center"/>
          </w:tcPr>
          <w:p>
            <w:pPr>
              <w:spacing w:after="0"/>
            </w:pPr>
            <w:r/>
            <w:r>
              <w:rPr>
                <w:rFonts w:ascii="Aptos" w:hAnsi="Aptos"/>
                <w:b w:val="0"/>
                <w:sz w:val="19"/>
              </w:rPr>
              <w:t>Original dataset</w:t>
            </w:r>
          </w:p>
        </w:tc>
        <w:tc>
          <w:tcPr>
            <w:tcW w:type="dxa" w:w="4752"/>
            <w:vAlign w:val="center"/>
          </w:tcPr>
          <w:p>
            <w:pPr>
              <w:spacing w:after="0"/>
            </w:pPr>
            <w:r/>
            <w:r>
              <w:rPr>
                <w:rFonts w:ascii="Aptos" w:hAnsi="Aptos"/>
                <w:b w:val="0"/>
                <w:sz w:val="19"/>
              </w:rPr>
              <w:t>541,909 rows × 8 columns</w:t>
            </w:r>
          </w:p>
        </w:tc>
      </w:tr>
      <w:tr>
        <w:tc>
          <w:tcPr>
            <w:tcW w:type="dxa" w:w="4320"/>
            <w:vAlign w:val="center"/>
          </w:tcPr>
          <w:p>
            <w:pPr>
              <w:spacing w:after="0"/>
            </w:pPr>
            <w:r/>
            <w:r>
              <w:rPr>
                <w:rFonts w:ascii="Aptos" w:hAnsi="Aptos"/>
                <w:b w:val="0"/>
                <w:sz w:val="19"/>
              </w:rPr>
              <w:t>Cleaned dataset</w:t>
            </w:r>
          </w:p>
        </w:tc>
        <w:tc>
          <w:tcPr>
            <w:tcW w:type="dxa" w:w="4752"/>
            <w:vAlign w:val="center"/>
          </w:tcPr>
          <w:p>
            <w:pPr>
              <w:spacing w:after="0"/>
            </w:pPr>
            <w:r/>
            <w:r>
              <w:rPr>
                <w:rFonts w:ascii="Aptos" w:hAnsi="Aptos"/>
                <w:b w:val="0"/>
                <w:sz w:val="19"/>
              </w:rPr>
              <w:t>392,692 rows × 13 columns</w:t>
            </w:r>
          </w:p>
        </w:tc>
      </w:tr>
      <w:tr>
        <w:tc>
          <w:tcPr>
            <w:tcW w:type="dxa" w:w="4320"/>
            <w:vAlign w:val="center"/>
          </w:tcPr>
          <w:p>
            <w:pPr>
              <w:spacing w:after="0"/>
            </w:pPr>
            <w:r/>
            <w:r>
              <w:rPr>
                <w:rFonts w:ascii="Aptos" w:hAnsi="Aptos"/>
                <w:b w:val="0"/>
                <w:sz w:val="19"/>
              </w:rPr>
              <w:t>Rows removed</w:t>
            </w:r>
          </w:p>
        </w:tc>
        <w:tc>
          <w:tcPr>
            <w:tcW w:type="dxa" w:w="4752"/>
            <w:vAlign w:val="center"/>
          </w:tcPr>
          <w:p>
            <w:pPr>
              <w:spacing w:after="0"/>
            </w:pPr>
            <w:r/>
            <w:r>
              <w:rPr>
                <w:rFonts w:ascii="Aptos" w:hAnsi="Aptos"/>
                <w:b w:val="0"/>
                <w:sz w:val="19"/>
              </w:rPr>
              <w:t>149,217 (27.53%)</w:t>
            </w:r>
          </w:p>
        </w:tc>
      </w:tr>
      <w:tr>
        <w:tc>
          <w:tcPr>
            <w:tcW w:type="dxa" w:w="4320"/>
            <w:vAlign w:val="center"/>
          </w:tcPr>
          <w:p>
            <w:pPr>
              <w:spacing w:after="0"/>
            </w:pPr>
            <w:r/>
            <w:r>
              <w:rPr>
                <w:rFonts w:ascii="Aptos" w:hAnsi="Aptos"/>
                <w:b w:val="0"/>
                <w:sz w:val="19"/>
              </w:rPr>
              <w:t>Customers in final dataset</w:t>
            </w:r>
          </w:p>
        </w:tc>
        <w:tc>
          <w:tcPr>
            <w:tcW w:type="dxa" w:w="4752"/>
            <w:vAlign w:val="center"/>
          </w:tcPr>
          <w:p>
            <w:pPr>
              <w:spacing w:after="0"/>
            </w:pPr>
            <w:r/>
            <w:r>
              <w:rPr>
                <w:rFonts w:ascii="Aptos" w:hAnsi="Aptos"/>
                <w:b w:val="0"/>
                <w:sz w:val="19"/>
              </w:rPr>
              <w:t>4,338</w:t>
            </w:r>
          </w:p>
        </w:tc>
      </w:tr>
      <w:tr>
        <w:tc>
          <w:tcPr>
            <w:tcW w:type="dxa" w:w="4320"/>
            <w:vAlign w:val="center"/>
          </w:tcPr>
          <w:p>
            <w:pPr>
              <w:spacing w:after="0"/>
            </w:pPr>
            <w:r/>
            <w:r>
              <w:rPr>
                <w:rFonts w:ascii="Aptos" w:hAnsi="Aptos"/>
                <w:b w:val="0"/>
                <w:sz w:val="19"/>
              </w:rPr>
              <w:t>Invoices in final dataset</w:t>
            </w:r>
          </w:p>
        </w:tc>
        <w:tc>
          <w:tcPr>
            <w:tcW w:type="dxa" w:w="4752"/>
            <w:vAlign w:val="center"/>
          </w:tcPr>
          <w:p>
            <w:pPr>
              <w:spacing w:after="0"/>
            </w:pPr>
            <w:r/>
            <w:r>
              <w:rPr>
                <w:rFonts w:ascii="Aptos" w:hAnsi="Aptos"/>
                <w:b w:val="0"/>
                <w:sz w:val="19"/>
              </w:rPr>
              <w:t>18,532</w:t>
            </w:r>
          </w:p>
        </w:tc>
      </w:tr>
      <w:tr>
        <w:tc>
          <w:tcPr>
            <w:tcW w:type="dxa" w:w="4320"/>
            <w:vAlign w:val="center"/>
          </w:tcPr>
          <w:p>
            <w:pPr>
              <w:spacing w:after="0"/>
            </w:pPr>
            <w:r/>
            <w:r>
              <w:rPr>
                <w:rFonts w:ascii="Aptos" w:hAnsi="Aptos"/>
                <w:b w:val="0"/>
                <w:sz w:val="19"/>
              </w:rPr>
              <w:t>Countries in final dataset</w:t>
            </w:r>
          </w:p>
        </w:tc>
        <w:tc>
          <w:tcPr>
            <w:tcW w:type="dxa" w:w="4752"/>
            <w:vAlign w:val="center"/>
          </w:tcPr>
          <w:p>
            <w:pPr>
              <w:spacing w:after="0"/>
            </w:pPr>
            <w:r/>
            <w:r>
              <w:rPr>
                <w:rFonts w:ascii="Aptos" w:hAnsi="Aptos"/>
                <w:b w:val="0"/>
                <w:sz w:val="19"/>
              </w:rPr>
              <w:t>37</w:t>
            </w:r>
          </w:p>
        </w:tc>
      </w:tr>
      <w:tr>
        <w:tc>
          <w:tcPr>
            <w:tcW w:type="dxa" w:w="4320"/>
            <w:vAlign w:val="center"/>
          </w:tcPr>
          <w:p>
            <w:pPr>
              <w:spacing w:after="0"/>
            </w:pPr>
            <w:r/>
            <w:r>
              <w:rPr>
                <w:rFonts w:ascii="Aptos" w:hAnsi="Aptos"/>
                <w:b w:val="0"/>
                <w:sz w:val="19"/>
              </w:rPr>
              <w:t>Missing values after cleaning</w:t>
            </w:r>
          </w:p>
        </w:tc>
        <w:tc>
          <w:tcPr>
            <w:tcW w:type="dxa" w:w="4752"/>
            <w:vAlign w:val="center"/>
          </w:tcPr>
          <w:p>
            <w:pPr>
              <w:spacing w:after="0"/>
            </w:pPr>
            <w:r/>
            <w:r>
              <w:rPr>
                <w:rFonts w:ascii="Aptos" w:hAnsi="Aptos"/>
                <w:b w:val="0"/>
                <w:sz w:val="19"/>
              </w:rPr>
              <w:t>0</w:t>
            </w:r>
          </w:p>
        </w:tc>
      </w:tr>
      <w:tr>
        <w:tc>
          <w:tcPr>
            <w:tcW w:type="dxa" w:w="4320"/>
            <w:vAlign w:val="center"/>
          </w:tcPr>
          <w:p>
            <w:pPr>
              <w:spacing w:after="0"/>
            </w:pPr>
            <w:r/>
            <w:r>
              <w:rPr>
                <w:rFonts w:ascii="Aptos" w:hAnsi="Aptos"/>
                <w:b w:val="0"/>
                <w:sz w:val="19"/>
              </w:rPr>
              <w:t>Duplicate rows after cleaning</w:t>
            </w:r>
          </w:p>
        </w:tc>
        <w:tc>
          <w:tcPr>
            <w:tcW w:type="dxa" w:w="4752"/>
            <w:vAlign w:val="center"/>
          </w:tcPr>
          <w:p>
            <w:pPr>
              <w:spacing w:after="0"/>
            </w:pPr>
            <w:r/>
            <w:r>
              <w:rPr>
                <w:rFonts w:ascii="Aptos" w:hAnsi="Aptos"/>
                <w:b w:val="0"/>
                <w:sz w:val="19"/>
              </w:rPr>
              <w:t>0</w:t>
            </w:r>
          </w:p>
        </w:tc>
      </w:tr>
    </w:tbl>
    <w:p>
      <w:pPr>
        <w:spacing w:after="40"/>
      </w:pPr>
    </w:p>
    <w:p>
      <w:pPr>
        <w:pStyle w:val="Heading1"/>
      </w:pPr>
      <w:r>
        <w:rPr>
          <w:color w:val="21405F"/>
        </w:rPr>
        <w:t>3. Introduction</w:t>
      </w:r>
    </w:p>
    <w:p>
      <w:r>
        <w:t>Data cleaning and preprocessing are essential stages of a data-science workflow. Raw transaction datasets often contain missing identifiers, duplicate records, cancellations, invalid numeric values, inconsistent data types, and extreme observations. If these issues are not addressed, subsequent analysis can produce misleading results.</w:t>
      </w:r>
    </w:p>
    <w:p>
      <w:r>
        <w:t>The purpose of this task was to inspect the raw retail data, identify data-quality issues, apply transparent cleaning rules, validate the resulting dataset, and create analytical features that make the data suitable for further business and machine-learning analysis.</w:t>
      </w:r>
    </w:p>
    <w:p>
      <w:pPr>
        <w:pStyle w:val="Heading1"/>
      </w:pPr>
      <w:r>
        <w:rPr>
          <w:color w:val="21405F"/>
        </w:rPr>
        <w:t>4. Objectives</w:t>
      </w:r>
    </w:p>
    <w:p>
      <w:pPr>
        <w:pStyle w:val="ListBullet"/>
        <w:spacing w:after="60"/>
      </w:pPr>
      <w:r>
        <w:t>Load and inspect the raw retail transaction dataset.</w:t>
      </w:r>
    </w:p>
    <w:p>
      <w:pPr>
        <w:pStyle w:val="ListBullet"/>
        <w:spacing w:after="60"/>
      </w:pPr>
      <w:r>
        <w:t>Understand the structure, data types, and quality of each field.</w:t>
      </w:r>
    </w:p>
    <w:p>
      <w:pPr>
        <w:pStyle w:val="ListBullet"/>
        <w:spacing w:after="60"/>
      </w:pPr>
      <w:r>
        <w:t>Identify and quantify missing values and duplicate records.</w:t>
      </w:r>
    </w:p>
    <w:p>
      <w:pPr>
        <w:pStyle w:val="ListBullet"/>
        <w:spacing w:after="60"/>
      </w:pPr>
      <w:r>
        <w:t>Detect cancellations, invalid quantities, invalid prices, and unusual observations.</w:t>
      </w:r>
    </w:p>
    <w:p>
      <w:pPr>
        <w:pStyle w:val="ListBullet"/>
        <w:spacing w:after="60"/>
      </w:pPr>
      <w:r>
        <w:t>Apply documented business rules to create a reliable transaction-level analysis dataset.</w:t>
      </w:r>
    </w:p>
    <w:p>
      <w:pPr>
        <w:pStyle w:val="ListBullet"/>
        <w:spacing w:after="60"/>
      </w:pPr>
      <w:r>
        <w:t>Validate the cleaned dataset after every major transformation.</w:t>
      </w:r>
    </w:p>
    <w:p>
      <w:pPr>
        <w:pStyle w:val="ListBullet"/>
        <w:spacing w:after="60"/>
      </w:pPr>
      <w:r>
        <w:t>Engineer useful features such as TotalAmount, Year, Month, Day, and Hour.</w:t>
      </w:r>
    </w:p>
    <w:p>
      <w:pPr>
        <w:pStyle w:val="ListBullet"/>
        <w:spacing w:after="60"/>
      </w:pPr>
      <w:r>
        <w:t>Produce visual evidence showing the impact of cleaning and the distribution of transaction values.</w:t>
      </w:r>
    </w:p>
    <w:p>
      <w:pPr>
        <w:pStyle w:val="Heading1"/>
      </w:pPr>
      <w:r>
        <w:rPr>
          <w:color w:val="21405F"/>
        </w:rPr>
        <w:t>5. Dataset Description</w:t>
      </w:r>
    </w:p>
    <w:p>
      <w:r>
        <w:t>The dataset used for this task is an Online Retail transaction dataset. Each row represents a transaction line and includes invoice, product, quantity, date-time, price, customer, and country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263238"/>
          </w:tcPr>
          <w:p>
            <w:pPr>
              <w:spacing w:after="0"/>
            </w:pPr>
            <w:r/>
            <w:r>
              <w:rPr>
                <w:rFonts w:ascii="Aptos" w:hAnsi="Aptos"/>
                <w:b/>
                <w:color w:val="FFFFFF"/>
                <w:sz w:val="19"/>
              </w:rPr>
              <w:t>Column</w:t>
            </w:r>
          </w:p>
        </w:tc>
        <w:tc>
          <w:tcPr>
            <w:tcW w:type="dxa" w:w="2376"/>
            <w:vAlign w:val="center"/>
            <w:shd w:fill="263238"/>
          </w:tcPr>
          <w:p>
            <w:pPr>
              <w:spacing w:after="0"/>
            </w:pPr>
            <w:r/>
            <w:r>
              <w:rPr>
                <w:rFonts w:ascii="Aptos" w:hAnsi="Aptos"/>
                <w:b/>
                <w:color w:val="FFFFFF"/>
                <w:sz w:val="19"/>
              </w:rPr>
              <w:t>Data Type (Initial)</w:t>
            </w:r>
          </w:p>
        </w:tc>
        <w:tc>
          <w:tcPr>
            <w:tcW w:type="dxa" w:w="4752"/>
            <w:vAlign w:val="center"/>
            <w:shd w:fill="263238"/>
          </w:tcPr>
          <w:p>
            <w:pPr>
              <w:spacing w:after="0"/>
            </w:pPr>
            <w:r/>
            <w:r>
              <w:rPr>
                <w:rFonts w:ascii="Aptos" w:hAnsi="Aptos"/>
                <w:b/>
                <w:color w:val="FFFFFF"/>
                <w:sz w:val="19"/>
              </w:rPr>
              <w:t>Description</w:t>
            </w:r>
          </w:p>
        </w:tc>
      </w:tr>
      <w:tr>
        <w:tc>
          <w:tcPr>
            <w:tcW w:type="dxa" w:w="1944"/>
            <w:vAlign w:val="center"/>
          </w:tcPr>
          <w:p>
            <w:pPr>
              <w:spacing w:after="0"/>
            </w:pPr>
            <w:r/>
            <w:r>
              <w:rPr>
                <w:rFonts w:ascii="Aptos" w:hAnsi="Aptos"/>
                <w:b w:val="0"/>
                <w:sz w:val="19"/>
              </w:rPr>
              <w:t>InvoiceNo</w:t>
            </w:r>
          </w:p>
        </w:tc>
        <w:tc>
          <w:tcPr>
            <w:tcW w:type="dxa" w:w="2376"/>
            <w:vAlign w:val="center"/>
          </w:tcPr>
          <w:p>
            <w:pPr>
              <w:spacing w:after="0"/>
            </w:pPr>
            <w:r/>
            <w:r>
              <w:rPr>
                <w:rFonts w:ascii="Aptos" w:hAnsi="Aptos"/>
                <w:b w:val="0"/>
                <w:sz w:val="19"/>
              </w:rPr>
              <w:t>object</w:t>
            </w:r>
          </w:p>
        </w:tc>
        <w:tc>
          <w:tcPr>
            <w:tcW w:type="dxa" w:w="4752"/>
            <w:vAlign w:val="center"/>
          </w:tcPr>
          <w:p>
            <w:pPr>
              <w:spacing w:after="0"/>
            </w:pPr>
            <w:r/>
            <w:r>
              <w:rPr>
                <w:rFonts w:ascii="Aptos" w:hAnsi="Aptos"/>
                <w:b w:val="0"/>
                <w:sz w:val="19"/>
              </w:rPr>
              <w:t>Invoice or transaction identifier</w:t>
            </w:r>
          </w:p>
        </w:tc>
      </w:tr>
      <w:tr>
        <w:tc>
          <w:tcPr>
            <w:tcW w:type="dxa" w:w="1944"/>
            <w:vAlign w:val="center"/>
          </w:tcPr>
          <w:p>
            <w:pPr>
              <w:spacing w:after="0"/>
            </w:pPr>
            <w:r/>
            <w:r>
              <w:rPr>
                <w:rFonts w:ascii="Aptos" w:hAnsi="Aptos"/>
                <w:b w:val="0"/>
                <w:sz w:val="19"/>
              </w:rPr>
              <w:t>StockCode</w:t>
            </w:r>
          </w:p>
        </w:tc>
        <w:tc>
          <w:tcPr>
            <w:tcW w:type="dxa" w:w="2376"/>
            <w:vAlign w:val="center"/>
          </w:tcPr>
          <w:p>
            <w:pPr>
              <w:spacing w:after="0"/>
            </w:pPr>
            <w:r/>
            <w:r>
              <w:rPr>
                <w:rFonts w:ascii="Aptos" w:hAnsi="Aptos"/>
                <w:b w:val="0"/>
                <w:sz w:val="19"/>
              </w:rPr>
              <w:t>object</w:t>
            </w:r>
          </w:p>
        </w:tc>
        <w:tc>
          <w:tcPr>
            <w:tcW w:type="dxa" w:w="4752"/>
            <w:vAlign w:val="center"/>
          </w:tcPr>
          <w:p>
            <w:pPr>
              <w:spacing w:after="0"/>
            </w:pPr>
            <w:r/>
            <w:r>
              <w:rPr>
                <w:rFonts w:ascii="Aptos" w:hAnsi="Aptos"/>
                <w:b w:val="0"/>
                <w:sz w:val="19"/>
              </w:rPr>
              <w:t>Product/stock identifier</w:t>
            </w:r>
          </w:p>
        </w:tc>
      </w:tr>
      <w:tr>
        <w:tc>
          <w:tcPr>
            <w:tcW w:type="dxa" w:w="1944"/>
            <w:vAlign w:val="center"/>
          </w:tcPr>
          <w:p>
            <w:pPr>
              <w:spacing w:after="0"/>
            </w:pPr>
            <w:r/>
            <w:r>
              <w:rPr>
                <w:rFonts w:ascii="Aptos" w:hAnsi="Aptos"/>
                <w:b w:val="0"/>
                <w:sz w:val="19"/>
              </w:rPr>
              <w:t>Description</w:t>
            </w:r>
          </w:p>
        </w:tc>
        <w:tc>
          <w:tcPr>
            <w:tcW w:type="dxa" w:w="2376"/>
            <w:vAlign w:val="center"/>
          </w:tcPr>
          <w:p>
            <w:pPr>
              <w:spacing w:after="0"/>
            </w:pPr>
            <w:r/>
            <w:r>
              <w:rPr>
                <w:rFonts w:ascii="Aptos" w:hAnsi="Aptos"/>
                <w:b w:val="0"/>
                <w:sz w:val="19"/>
              </w:rPr>
              <w:t>object</w:t>
            </w:r>
          </w:p>
        </w:tc>
        <w:tc>
          <w:tcPr>
            <w:tcW w:type="dxa" w:w="4752"/>
            <w:vAlign w:val="center"/>
          </w:tcPr>
          <w:p>
            <w:pPr>
              <w:spacing w:after="0"/>
            </w:pPr>
            <w:r/>
            <w:r>
              <w:rPr>
                <w:rFonts w:ascii="Aptos" w:hAnsi="Aptos"/>
                <w:b w:val="0"/>
                <w:sz w:val="19"/>
              </w:rPr>
              <w:t>Product description</w:t>
            </w:r>
          </w:p>
        </w:tc>
      </w:tr>
      <w:tr>
        <w:tc>
          <w:tcPr>
            <w:tcW w:type="dxa" w:w="1944"/>
            <w:vAlign w:val="center"/>
          </w:tcPr>
          <w:p>
            <w:pPr>
              <w:spacing w:after="0"/>
            </w:pPr>
            <w:r/>
            <w:r>
              <w:rPr>
                <w:rFonts w:ascii="Aptos" w:hAnsi="Aptos"/>
                <w:b w:val="0"/>
                <w:sz w:val="19"/>
              </w:rPr>
              <w:t>Quantity</w:t>
            </w:r>
          </w:p>
        </w:tc>
        <w:tc>
          <w:tcPr>
            <w:tcW w:type="dxa" w:w="2376"/>
            <w:vAlign w:val="center"/>
          </w:tcPr>
          <w:p>
            <w:pPr>
              <w:spacing w:after="0"/>
            </w:pPr>
            <w:r/>
            <w:r>
              <w:rPr>
                <w:rFonts w:ascii="Aptos" w:hAnsi="Aptos"/>
                <w:b w:val="0"/>
                <w:sz w:val="19"/>
              </w:rPr>
              <w:t>int64</w:t>
            </w:r>
          </w:p>
        </w:tc>
        <w:tc>
          <w:tcPr>
            <w:tcW w:type="dxa" w:w="4752"/>
            <w:vAlign w:val="center"/>
          </w:tcPr>
          <w:p>
            <w:pPr>
              <w:spacing w:after="0"/>
            </w:pPr>
            <w:r/>
            <w:r>
              <w:rPr>
                <w:rFonts w:ascii="Aptos" w:hAnsi="Aptos"/>
                <w:b w:val="0"/>
                <w:sz w:val="19"/>
              </w:rPr>
              <w:t>Number of units in the transaction line</w:t>
            </w:r>
          </w:p>
        </w:tc>
      </w:tr>
      <w:tr>
        <w:tc>
          <w:tcPr>
            <w:tcW w:type="dxa" w:w="1944"/>
            <w:vAlign w:val="center"/>
          </w:tcPr>
          <w:p>
            <w:pPr>
              <w:spacing w:after="0"/>
            </w:pPr>
            <w:r/>
            <w:r>
              <w:rPr>
                <w:rFonts w:ascii="Aptos" w:hAnsi="Aptos"/>
                <w:b w:val="0"/>
                <w:sz w:val="19"/>
              </w:rPr>
              <w:t>InvoiceDate</w:t>
            </w:r>
          </w:p>
        </w:tc>
        <w:tc>
          <w:tcPr>
            <w:tcW w:type="dxa" w:w="2376"/>
            <w:vAlign w:val="center"/>
          </w:tcPr>
          <w:p>
            <w:pPr>
              <w:spacing w:after="0"/>
            </w:pPr>
            <w:r/>
            <w:r>
              <w:rPr>
                <w:rFonts w:ascii="Aptos" w:hAnsi="Aptos"/>
                <w:b w:val="0"/>
                <w:sz w:val="19"/>
              </w:rPr>
              <w:t>object → datetime64[ns]</w:t>
            </w:r>
          </w:p>
        </w:tc>
        <w:tc>
          <w:tcPr>
            <w:tcW w:type="dxa" w:w="4752"/>
            <w:vAlign w:val="center"/>
          </w:tcPr>
          <w:p>
            <w:pPr>
              <w:spacing w:after="0"/>
            </w:pPr>
            <w:r/>
            <w:r>
              <w:rPr>
                <w:rFonts w:ascii="Aptos" w:hAnsi="Aptos"/>
                <w:b w:val="0"/>
                <w:sz w:val="19"/>
              </w:rPr>
              <w:t>Transaction date and time</w:t>
            </w:r>
          </w:p>
        </w:tc>
      </w:tr>
      <w:tr>
        <w:tc>
          <w:tcPr>
            <w:tcW w:type="dxa" w:w="1944"/>
            <w:vAlign w:val="center"/>
          </w:tcPr>
          <w:p>
            <w:pPr>
              <w:spacing w:after="0"/>
            </w:pPr>
            <w:r/>
            <w:r>
              <w:rPr>
                <w:rFonts w:ascii="Aptos" w:hAnsi="Aptos"/>
                <w:b w:val="0"/>
                <w:sz w:val="19"/>
              </w:rPr>
              <w:t>UnitPrice</w:t>
            </w:r>
          </w:p>
        </w:tc>
        <w:tc>
          <w:tcPr>
            <w:tcW w:type="dxa" w:w="2376"/>
            <w:vAlign w:val="center"/>
          </w:tcPr>
          <w:p>
            <w:pPr>
              <w:spacing w:after="0"/>
            </w:pPr>
            <w:r/>
            <w:r>
              <w:rPr>
                <w:rFonts w:ascii="Aptos" w:hAnsi="Aptos"/>
                <w:b w:val="0"/>
                <w:sz w:val="19"/>
              </w:rPr>
              <w:t>float64</w:t>
            </w:r>
          </w:p>
        </w:tc>
        <w:tc>
          <w:tcPr>
            <w:tcW w:type="dxa" w:w="4752"/>
            <w:vAlign w:val="center"/>
          </w:tcPr>
          <w:p>
            <w:pPr>
              <w:spacing w:after="0"/>
            </w:pPr>
            <w:r/>
            <w:r>
              <w:rPr>
                <w:rFonts w:ascii="Aptos" w:hAnsi="Aptos"/>
                <w:b w:val="0"/>
                <w:sz w:val="19"/>
              </w:rPr>
              <w:t>Price per unit</w:t>
            </w:r>
          </w:p>
        </w:tc>
      </w:tr>
      <w:tr>
        <w:tc>
          <w:tcPr>
            <w:tcW w:type="dxa" w:w="1944"/>
            <w:vAlign w:val="center"/>
          </w:tcPr>
          <w:p>
            <w:pPr>
              <w:spacing w:after="0"/>
            </w:pPr>
            <w:r/>
            <w:r>
              <w:rPr>
                <w:rFonts w:ascii="Aptos" w:hAnsi="Aptos"/>
                <w:b w:val="0"/>
                <w:sz w:val="19"/>
              </w:rPr>
              <w:t>CustomerID</w:t>
            </w:r>
          </w:p>
        </w:tc>
        <w:tc>
          <w:tcPr>
            <w:tcW w:type="dxa" w:w="2376"/>
            <w:vAlign w:val="center"/>
          </w:tcPr>
          <w:p>
            <w:pPr>
              <w:spacing w:after="0"/>
            </w:pPr>
            <w:r/>
            <w:r>
              <w:rPr>
                <w:rFonts w:ascii="Aptos" w:hAnsi="Aptos"/>
                <w:b w:val="0"/>
                <w:sz w:val="19"/>
              </w:rPr>
              <w:t>float64 → int64</w:t>
            </w:r>
          </w:p>
        </w:tc>
        <w:tc>
          <w:tcPr>
            <w:tcW w:type="dxa" w:w="4752"/>
            <w:vAlign w:val="center"/>
          </w:tcPr>
          <w:p>
            <w:pPr>
              <w:spacing w:after="0"/>
            </w:pPr>
            <w:r/>
            <w:r>
              <w:rPr>
                <w:rFonts w:ascii="Aptos" w:hAnsi="Aptos"/>
                <w:b w:val="0"/>
                <w:sz w:val="19"/>
              </w:rPr>
              <w:t>Customer identifier</w:t>
            </w:r>
          </w:p>
        </w:tc>
      </w:tr>
      <w:tr>
        <w:tc>
          <w:tcPr>
            <w:tcW w:type="dxa" w:w="1944"/>
            <w:vAlign w:val="center"/>
          </w:tcPr>
          <w:p>
            <w:pPr>
              <w:spacing w:after="0"/>
            </w:pPr>
            <w:r/>
            <w:r>
              <w:rPr>
                <w:rFonts w:ascii="Aptos" w:hAnsi="Aptos"/>
                <w:b w:val="0"/>
                <w:sz w:val="19"/>
              </w:rPr>
              <w:t>Country</w:t>
            </w:r>
          </w:p>
        </w:tc>
        <w:tc>
          <w:tcPr>
            <w:tcW w:type="dxa" w:w="2376"/>
            <w:vAlign w:val="center"/>
          </w:tcPr>
          <w:p>
            <w:pPr>
              <w:spacing w:after="0"/>
            </w:pPr>
            <w:r/>
            <w:r>
              <w:rPr>
                <w:rFonts w:ascii="Aptos" w:hAnsi="Aptos"/>
                <w:b w:val="0"/>
                <w:sz w:val="19"/>
              </w:rPr>
              <w:t>object</w:t>
            </w:r>
          </w:p>
        </w:tc>
        <w:tc>
          <w:tcPr>
            <w:tcW w:type="dxa" w:w="4752"/>
            <w:vAlign w:val="center"/>
          </w:tcPr>
          <w:p>
            <w:pPr>
              <w:spacing w:after="0"/>
            </w:pPr>
            <w:r/>
            <w:r>
              <w:rPr>
                <w:rFonts w:ascii="Aptos" w:hAnsi="Aptos"/>
                <w:b w:val="0"/>
                <w:sz w:val="19"/>
              </w:rPr>
              <w:t>Customer/transaction country</w:t>
            </w:r>
          </w:p>
        </w:tc>
      </w:tr>
    </w:tbl>
    <w:p>
      <w:pPr>
        <w:spacing w:after="40"/>
      </w:pPr>
    </w:p>
    <w:p>
      <w:pPr>
        <w:pStyle w:val="Heading1"/>
      </w:pPr>
      <w:r>
        <w:rPr>
          <w:color w:val="21405F"/>
        </w:rPr>
        <w:t>6. Tools and Technologies</w:t>
      </w:r>
    </w:p>
    <w:p>
      <w:pPr>
        <w:pStyle w:val="ListBullet"/>
        <w:spacing w:after="60"/>
      </w:pPr>
      <w:r>
        <w:t>Python – primary programming language.</w:t>
      </w:r>
    </w:p>
    <w:p>
      <w:pPr>
        <w:pStyle w:val="ListBullet"/>
        <w:spacing w:after="60"/>
      </w:pPr>
      <w:r>
        <w:t>Pandas – data loading, inspection, cleaning, transformation, and validation.</w:t>
      </w:r>
    </w:p>
    <w:p>
      <w:pPr>
        <w:pStyle w:val="ListBullet"/>
        <w:spacing w:after="60"/>
      </w:pPr>
      <w:r>
        <w:t>NumPy – numerical operations and logarithmic bin construction for visualization.</w:t>
      </w:r>
    </w:p>
    <w:p>
      <w:pPr>
        <w:pStyle w:val="ListBullet"/>
        <w:spacing w:after="60"/>
      </w:pPr>
      <w:r>
        <w:t>Matplotlib – creation of report visualizations.</w:t>
      </w:r>
    </w:p>
    <w:p>
      <w:pPr>
        <w:pStyle w:val="ListBullet"/>
        <w:spacing w:after="60"/>
      </w:pPr>
      <w:r>
        <w:t>Jupyter/Notebook environment – iterative execution and inspection of results.</w:t>
      </w:r>
    </w:p>
    <w:p>
      <w:pPr>
        <w:pStyle w:val="Heading1"/>
      </w:pPr>
      <w:r>
        <w:rPr>
          <w:color w:val="21405F"/>
        </w:rPr>
        <w:t>7. Data Loading and Initial Inspection</w:t>
      </w:r>
    </w:p>
    <w:p>
      <w:r>
        <w:t>The raw dataset was loaded into a Pandas DataFrame and inspected using shape, info, null-value, duplicate, and descriptive-statistics checks. The initial shape was 541,909 rows and 8 columns.</w:t>
      </w:r>
    </w:p>
    <w:p>
      <w:pPr>
        <w:pStyle w:val="CodeBlock"/>
        <w:spacing w:before="80" w:after="120"/>
        <w:ind w:left="216" w:right="216"/>
      </w:pPr>
      <w:r>
        <w:rPr>
          <w:rFonts w:ascii="Consolas" w:hAnsi="Consolas"/>
          <w:sz w:val="16"/>
        </w:rPr>
        <w:t>df.shape</w:t>
        <w:br/>
        <w:t># Output:</w:t>
        <w:br/>
        <w:t>(541909, 8)</w:t>
        <w:br/>
        <w:br/>
        <w:t>df.info()</w:t>
        <w:br/>
        <w:t># Key observations:</w:t>
        <w:br/>
        <w:t># InvoiceDate was initially an object column.</w:t>
        <w:br/>
        <w:t># CustomerID contained missing values.</w:t>
        <w:br/>
        <w:t># Description contained missing values.</w:t>
      </w:r>
    </w:p>
    <w:p>
      <w:r>
        <w:t>InvoiceDate was converted to datetime format before feature engineering so that calendar and time components could be extracted reliably.</w:t>
      </w:r>
    </w:p>
    <w:p>
      <w:pPr>
        <w:pStyle w:val="Heading1"/>
      </w:pPr>
      <w:r>
        <w:rPr>
          <w:color w:val="21405F"/>
        </w:rPr>
        <w:t>8. Data Quality Analysis</w:t>
      </w:r>
    </w:p>
    <w:p>
      <w:pPr>
        <w:pStyle w:val="Heading2"/>
      </w:pPr>
      <w:r>
        <w:t>8.1 Missing Values</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263238"/>
          </w:tcPr>
          <w:p>
            <w:pPr>
              <w:spacing w:after="0"/>
            </w:pPr>
            <w:r/>
            <w:r>
              <w:rPr>
                <w:rFonts w:ascii="Aptos" w:hAnsi="Aptos"/>
                <w:b/>
                <w:color w:val="FFFFFF"/>
                <w:sz w:val="19"/>
              </w:rPr>
              <w:t>Column</w:t>
            </w:r>
          </w:p>
        </w:tc>
        <w:tc>
          <w:tcPr>
            <w:tcW w:type="dxa" w:w="2880"/>
            <w:vAlign w:val="center"/>
            <w:shd w:fill="263238"/>
          </w:tcPr>
          <w:p>
            <w:pPr>
              <w:spacing w:after="0"/>
            </w:pPr>
            <w:r/>
            <w:r>
              <w:rPr>
                <w:rFonts w:ascii="Aptos" w:hAnsi="Aptos"/>
                <w:b/>
                <w:color w:val="FFFFFF"/>
                <w:sz w:val="19"/>
              </w:rPr>
              <w:t>Missing Count</w:t>
            </w:r>
          </w:p>
        </w:tc>
        <w:tc>
          <w:tcPr>
            <w:tcW w:type="dxa" w:w="3024"/>
            <w:vAlign w:val="center"/>
            <w:shd w:fill="263238"/>
          </w:tcPr>
          <w:p>
            <w:pPr>
              <w:spacing w:after="0"/>
            </w:pPr>
            <w:r/>
            <w:r>
              <w:rPr>
                <w:rFonts w:ascii="Aptos" w:hAnsi="Aptos"/>
                <w:b/>
                <w:color w:val="FFFFFF"/>
                <w:sz w:val="19"/>
              </w:rPr>
              <w:t>Missing Percentage</w:t>
            </w:r>
          </w:p>
        </w:tc>
      </w:tr>
      <w:tr>
        <w:tc>
          <w:tcPr>
            <w:tcW w:type="dxa" w:w="3168"/>
            <w:vAlign w:val="center"/>
          </w:tcPr>
          <w:p>
            <w:pPr>
              <w:spacing w:after="0"/>
            </w:pPr>
            <w:r/>
            <w:r>
              <w:rPr>
                <w:rFonts w:ascii="Aptos" w:hAnsi="Aptos"/>
                <w:b w:val="0"/>
                <w:sz w:val="19"/>
              </w:rPr>
              <w:t>Description</w:t>
            </w:r>
          </w:p>
        </w:tc>
        <w:tc>
          <w:tcPr>
            <w:tcW w:type="dxa" w:w="2880"/>
            <w:vAlign w:val="center"/>
          </w:tcPr>
          <w:p>
            <w:pPr>
              <w:spacing w:after="0"/>
            </w:pPr>
            <w:r/>
            <w:r>
              <w:rPr>
                <w:rFonts w:ascii="Aptos" w:hAnsi="Aptos"/>
                <w:b w:val="0"/>
                <w:sz w:val="19"/>
              </w:rPr>
              <w:t>1,454</w:t>
            </w:r>
          </w:p>
        </w:tc>
        <w:tc>
          <w:tcPr>
            <w:tcW w:type="dxa" w:w="3024"/>
            <w:vAlign w:val="center"/>
          </w:tcPr>
          <w:p>
            <w:pPr>
              <w:spacing w:after="0"/>
            </w:pPr>
            <w:r/>
            <w:r>
              <w:rPr>
                <w:rFonts w:ascii="Aptos" w:hAnsi="Aptos"/>
                <w:b w:val="0"/>
                <w:sz w:val="19"/>
              </w:rPr>
              <w:t>0.27%</w:t>
            </w:r>
          </w:p>
        </w:tc>
      </w:tr>
      <w:tr>
        <w:tc>
          <w:tcPr>
            <w:tcW w:type="dxa" w:w="3168"/>
            <w:vAlign w:val="center"/>
          </w:tcPr>
          <w:p>
            <w:pPr>
              <w:spacing w:after="0"/>
            </w:pPr>
            <w:r/>
            <w:r>
              <w:rPr>
                <w:rFonts w:ascii="Aptos" w:hAnsi="Aptos"/>
                <w:b w:val="0"/>
                <w:sz w:val="19"/>
              </w:rPr>
              <w:t>CustomerID</w:t>
            </w:r>
          </w:p>
        </w:tc>
        <w:tc>
          <w:tcPr>
            <w:tcW w:type="dxa" w:w="2880"/>
            <w:vAlign w:val="center"/>
          </w:tcPr>
          <w:p>
            <w:pPr>
              <w:spacing w:after="0"/>
            </w:pPr>
            <w:r/>
            <w:r>
              <w:rPr>
                <w:rFonts w:ascii="Aptos" w:hAnsi="Aptos"/>
                <w:b w:val="0"/>
                <w:sz w:val="19"/>
              </w:rPr>
              <w:t>135,080</w:t>
            </w:r>
          </w:p>
        </w:tc>
        <w:tc>
          <w:tcPr>
            <w:tcW w:type="dxa" w:w="3024"/>
            <w:vAlign w:val="center"/>
          </w:tcPr>
          <w:p>
            <w:pPr>
              <w:spacing w:after="0"/>
            </w:pPr>
            <w:r/>
            <w:r>
              <w:rPr>
                <w:rFonts w:ascii="Aptos" w:hAnsi="Aptos"/>
                <w:b w:val="0"/>
                <w:sz w:val="19"/>
              </w:rPr>
              <w:t>24.93%</w:t>
            </w:r>
          </w:p>
        </w:tc>
      </w:tr>
      <w:tr>
        <w:tc>
          <w:tcPr>
            <w:tcW w:type="dxa" w:w="3168"/>
            <w:vAlign w:val="center"/>
          </w:tcPr>
          <w:p>
            <w:pPr>
              <w:spacing w:after="0"/>
            </w:pPr>
            <w:r/>
            <w:r>
              <w:rPr>
                <w:rFonts w:ascii="Aptos" w:hAnsi="Aptos"/>
                <w:b w:val="0"/>
                <w:sz w:val="19"/>
              </w:rPr>
              <w:t>Other columns</w:t>
            </w:r>
          </w:p>
        </w:tc>
        <w:tc>
          <w:tcPr>
            <w:tcW w:type="dxa" w:w="2880"/>
            <w:vAlign w:val="center"/>
          </w:tcPr>
          <w:p>
            <w:pPr>
              <w:spacing w:after="0"/>
            </w:pPr>
            <w:r/>
            <w:r>
              <w:rPr>
                <w:rFonts w:ascii="Aptos" w:hAnsi="Aptos"/>
                <w:b w:val="0"/>
                <w:sz w:val="19"/>
              </w:rPr>
              <w:t>0</w:t>
            </w:r>
          </w:p>
        </w:tc>
        <w:tc>
          <w:tcPr>
            <w:tcW w:type="dxa" w:w="3024"/>
            <w:vAlign w:val="center"/>
          </w:tcPr>
          <w:p>
            <w:pPr>
              <w:spacing w:after="0"/>
            </w:pPr>
            <w:r/>
            <w:r>
              <w:rPr>
                <w:rFonts w:ascii="Aptos" w:hAnsi="Aptos"/>
                <w:b w:val="0"/>
                <w:sz w:val="19"/>
              </w:rPr>
              <w:t>0%</w:t>
            </w:r>
          </w:p>
        </w:tc>
      </w:tr>
    </w:tbl>
    <w:p>
      <w:pPr>
        <w:spacing w:after="40"/>
      </w:pPr>
    </w:p>
    <w:p>
      <w:r>
        <w:t>Description had a small number of missing values, while CustomerID had a substantial number of missing identifiers. Missing CustomerID values were excluded from the customer-linked analysis dataset because reliable customer-level linkage could not be established for those rows. This is a documented analytical choice rather than an assertion that every transaction without a CustomerID is invalid.</w:t>
      </w:r>
    </w:p>
    <w:p>
      <w:pPr>
        <w:jc w:val="center"/>
      </w:pPr>
      <w:r>
        <w:drawing>
          <wp:inline xmlns:a="http://schemas.openxmlformats.org/drawingml/2006/main" xmlns:pic="http://schemas.openxmlformats.org/drawingml/2006/picture">
            <wp:extent cx="5760720" cy="3508131"/>
            <wp:docPr id="1" name="Picture 1"/>
            <wp:cNvGraphicFramePr>
              <a:graphicFrameLocks noChangeAspect="1"/>
            </wp:cNvGraphicFramePr>
            <a:graphic>
              <a:graphicData uri="http://schemas.openxmlformats.org/drawingml/2006/picture">
                <pic:pic>
                  <pic:nvPicPr>
                    <pic:cNvPr id="0" name="9b867d78-1300-4593-a140-8696fdd6b96e.png"/>
                    <pic:cNvPicPr/>
                  </pic:nvPicPr>
                  <pic:blipFill>
                    <a:blip r:embed="rId11"/>
                    <a:stretch>
                      <a:fillRect/>
                    </a:stretch>
                  </pic:blipFill>
                  <pic:spPr>
                    <a:xfrm>
                      <a:off x="0" y="0"/>
                      <a:ext cx="5760720" cy="3508131"/>
                    </a:xfrm>
                    <a:prstGeom prst="rect"/>
                  </pic:spPr>
                </pic:pic>
              </a:graphicData>
            </a:graphic>
          </wp:inline>
        </w:drawing>
      </w:r>
    </w:p>
    <w:p>
      <w:pPr>
        <w:jc w:val="center"/>
      </w:pPr>
      <w:r>
        <w:rPr>
          <w:b/>
          <w:color w:val="464646"/>
          <w:sz w:val="18"/>
        </w:rPr>
        <w:t>Figure 1: Missing Values Before Data Cleaning</w:t>
      </w:r>
    </w:p>
    <w:p>
      <w:pPr>
        <w:pStyle w:val="Heading2"/>
      </w:pPr>
      <w:r>
        <w:t>8.2 Duplicate Records</w:t>
      </w:r>
    </w:p>
    <w:p>
      <w:r>
        <w:t>Duplicate transaction rows were identified using Pandas duplicate detection. The later full-dataset validation identified 10,147 duplicate rows. Exact duplicate records were removed during the cleaning stage to prevent the same transaction line from being counted more than once.</w:t>
      </w:r>
    </w:p>
    <w:p>
      <w:pPr>
        <w:pStyle w:val="CodeBlock"/>
        <w:spacing w:before="80" w:after="120"/>
        <w:ind w:left="216" w:right="216"/>
      </w:pPr>
      <w:r>
        <w:rPr>
          <w:rFonts w:ascii="Consolas" w:hAnsi="Consolas"/>
          <w:sz w:val="16"/>
        </w:rPr>
        <w:t>df.duplicated().sum()</w:t>
        <w:br/>
        <w:t># Result:</w:t>
        <w:br/>
        <w:t>10147</w:t>
        <w:br/>
        <w:br/>
        <w:t>clean_df = df.copy()</w:t>
        <w:br/>
        <w:t>clean_df = clean_df.drop_duplicates()</w:t>
      </w:r>
    </w:p>
    <w:p>
      <w:pPr>
        <w:pStyle w:val="Heading2"/>
      </w:pPr>
      <w:r>
        <w:t>8.3 Quantity Validation</w:t>
      </w:r>
    </w:p>
    <w:p>
      <w:r>
        <w:t>The original dataset contained 10,624 negative quantity records and no zero-quantity records. Negative quantities included cancellation/return-related records and operational entries such as disposal or damaged stock. Cancelled invoices were separately identified using InvoiceNo values beginning with 'C'.</w:t>
      </w:r>
    </w:p>
    <w:tbl>
      <w:tblPr>
        <w:tblStyle w:val="TableGrid"/>
        <w:tblW w:type="auto" w:w="0"/>
        <w:jc w:val="center"/>
        <w:tblLook w:firstColumn="1" w:firstRow="1" w:lastColumn="0" w:lastRow="0" w:noHBand="0" w:noVBand="1" w:val="04A0"/>
      </w:tblPr>
      <w:tblGrid>
        <w:gridCol w:w="4968"/>
        <w:gridCol w:w="4968"/>
      </w:tblGrid>
      <w:tr>
        <w:tc>
          <w:tcPr>
            <w:tcW w:type="dxa" w:w="5904"/>
            <w:vAlign w:val="center"/>
            <w:shd w:fill="263238"/>
          </w:tcPr>
          <w:p>
            <w:pPr>
              <w:spacing w:after="0"/>
            </w:pPr>
            <w:r/>
            <w:r>
              <w:rPr>
                <w:rFonts w:ascii="Aptos" w:hAnsi="Aptos"/>
                <w:b/>
                <w:color w:val="FFFFFF"/>
                <w:sz w:val="19"/>
              </w:rPr>
              <w:t>Quantity Check</w:t>
            </w:r>
          </w:p>
        </w:tc>
        <w:tc>
          <w:tcPr>
            <w:tcW w:type="dxa" w:w="3168"/>
            <w:vAlign w:val="center"/>
            <w:shd w:fill="263238"/>
          </w:tcPr>
          <w:p>
            <w:pPr>
              <w:spacing w:after="0"/>
            </w:pPr>
            <w:r/>
            <w:r>
              <w:rPr>
                <w:rFonts w:ascii="Aptos" w:hAnsi="Aptos"/>
                <w:b/>
                <w:color w:val="FFFFFF"/>
                <w:sz w:val="19"/>
              </w:rPr>
              <w:t>Result</w:t>
            </w:r>
          </w:p>
        </w:tc>
      </w:tr>
      <w:tr>
        <w:tc>
          <w:tcPr>
            <w:tcW w:type="dxa" w:w="5904"/>
            <w:vAlign w:val="center"/>
          </w:tcPr>
          <w:p>
            <w:pPr>
              <w:spacing w:after="0"/>
            </w:pPr>
            <w:r/>
            <w:r>
              <w:rPr>
                <w:rFonts w:ascii="Aptos" w:hAnsi="Aptos"/>
                <w:b w:val="0"/>
                <w:sz w:val="19"/>
              </w:rPr>
              <w:t>Negative quantities</w:t>
            </w:r>
          </w:p>
        </w:tc>
        <w:tc>
          <w:tcPr>
            <w:tcW w:type="dxa" w:w="3168"/>
            <w:vAlign w:val="center"/>
          </w:tcPr>
          <w:p>
            <w:pPr>
              <w:spacing w:after="0"/>
            </w:pPr>
            <w:r/>
            <w:r>
              <w:rPr>
                <w:rFonts w:ascii="Aptos" w:hAnsi="Aptos"/>
                <w:b w:val="0"/>
                <w:sz w:val="19"/>
              </w:rPr>
              <w:t>10,624</w:t>
            </w:r>
          </w:p>
        </w:tc>
      </w:tr>
      <w:tr>
        <w:tc>
          <w:tcPr>
            <w:tcW w:type="dxa" w:w="5904"/>
            <w:vAlign w:val="center"/>
          </w:tcPr>
          <w:p>
            <w:pPr>
              <w:spacing w:after="0"/>
            </w:pPr>
            <w:r/>
            <w:r>
              <w:rPr>
                <w:rFonts w:ascii="Aptos" w:hAnsi="Aptos"/>
                <w:b w:val="0"/>
                <w:sz w:val="19"/>
              </w:rPr>
              <w:t>Zero quantities</w:t>
            </w:r>
          </w:p>
        </w:tc>
        <w:tc>
          <w:tcPr>
            <w:tcW w:type="dxa" w:w="3168"/>
            <w:vAlign w:val="center"/>
          </w:tcPr>
          <w:p>
            <w:pPr>
              <w:spacing w:after="0"/>
            </w:pPr>
            <w:r/>
            <w:r>
              <w:rPr>
                <w:rFonts w:ascii="Aptos" w:hAnsi="Aptos"/>
                <w:b w:val="0"/>
                <w:sz w:val="19"/>
              </w:rPr>
              <w:t>0</w:t>
            </w:r>
          </w:p>
        </w:tc>
      </w:tr>
      <w:tr>
        <w:tc>
          <w:tcPr>
            <w:tcW w:type="dxa" w:w="5904"/>
            <w:vAlign w:val="center"/>
          </w:tcPr>
          <w:p>
            <w:pPr>
              <w:spacing w:after="0"/>
            </w:pPr>
            <w:r/>
            <w:r>
              <w:rPr>
                <w:rFonts w:ascii="Aptos" w:hAnsi="Aptos"/>
                <w:b w:val="0"/>
                <w:sz w:val="19"/>
              </w:rPr>
              <w:t>Cancellation invoice rows</w:t>
            </w:r>
          </w:p>
        </w:tc>
        <w:tc>
          <w:tcPr>
            <w:tcW w:type="dxa" w:w="3168"/>
            <w:vAlign w:val="center"/>
          </w:tcPr>
          <w:p>
            <w:pPr>
              <w:spacing w:after="0"/>
            </w:pPr>
            <w:r/>
            <w:r>
              <w:rPr>
                <w:rFonts w:ascii="Aptos" w:hAnsi="Aptos"/>
                <w:b w:val="0"/>
                <w:sz w:val="19"/>
              </w:rPr>
              <w:t>9,288</w:t>
            </w:r>
          </w:p>
        </w:tc>
      </w:tr>
      <w:tr>
        <w:tc>
          <w:tcPr>
            <w:tcW w:type="dxa" w:w="5904"/>
            <w:vAlign w:val="center"/>
          </w:tcPr>
          <w:p>
            <w:pPr>
              <w:spacing w:after="0"/>
            </w:pPr>
            <w:r/>
            <w:r>
              <w:rPr>
                <w:rFonts w:ascii="Aptos" w:hAnsi="Aptos"/>
                <w:b w:val="0"/>
                <w:sz w:val="19"/>
              </w:rPr>
              <w:t>Negative quantity without cancellation invoice</w:t>
            </w:r>
          </w:p>
        </w:tc>
        <w:tc>
          <w:tcPr>
            <w:tcW w:type="dxa" w:w="3168"/>
            <w:vAlign w:val="center"/>
          </w:tcPr>
          <w:p>
            <w:pPr>
              <w:spacing w:after="0"/>
            </w:pPr>
            <w:r/>
            <w:r>
              <w:rPr>
                <w:rFonts w:ascii="Aptos" w:hAnsi="Aptos"/>
                <w:b w:val="0"/>
                <w:sz w:val="19"/>
              </w:rPr>
              <w:t>1,336</w:t>
            </w:r>
          </w:p>
        </w:tc>
      </w:tr>
    </w:tbl>
    <w:p>
      <w:pPr>
        <w:spacing w:after="40"/>
      </w:pPr>
    </w:p>
    <w:p>
      <w:pPr>
        <w:pStyle w:val="Heading2"/>
      </w:pPr>
      <w:r>
        <w:t>8.4 UnitPrice Validation</w:t>
      </w:r>
    </w:p>
    <w:p>
      <w:r>
        <w:t>The initial data contained 2,515 zero-price records and 2 negative UnitPrice records. The negative prices were associated with adjustment/bad-debt records. Since the objective was to create a positive-sales analysis dataset, non-positive UnitPrice values were excluded.</w:t>
      </w:r>
    </w:p>
    <w:tbl>
      <w:tblPr>
        <w:tblStyle w:val="TableGrid"/>
        <w:tblW w:type="auto" w:w="0"/>
        <w:jc w:val="center"/>
        <w:tblLook w:firstColumn="1" w:firstRow="1" w:lastColumn="0" w:lastRow="0" w:noHBand="0" w:noVBand="1" w:val="04A0"/>
      </w:tblPr>
      <w:tblGrid>
        <w:gridCol w:w="4968"/>
        <w:gridCol w:w="4968"/>
      </w:tblGrid>
      <w:tr>
        <w:tc>
          <w:tcPr>
            <w:tcW w:type="dxa" w:w="5904"/>
            <w:vAlign w:val="center"/>
            <w:shd w:fill="263238"/>
          </w:tcPr>
          <w:p>
            <w:pPr>
              <w:spacing w:after="0"/>
            </w:pPr>
            <w:r/>
            <w:r>
              <w:rPr>
                <w:rFonts w:ascii="Aptos" w:hAnsi="Aptos"/>
                <w:b/>
                <w:color w:val="FFFFFF"/>
                <w:sz w:val="19"/>
              </w:rPr>
              <w:t>Price Check</w:t>
            </w:r>
          </w:p>
        </w:tc>
        <w:tc>
          <w:tcPr>
            <w:tcW w:type="dxa" w:w="3168"/>
            <w:vAlign w:val="center"/>
            <w:shd w:fill="263238"/>
          </w:tcPr>
          <w:p>
            <w:pPr>
              <w:spacing w:after="0"/>
            </w:pPr>
            <w:r/>
            <w:r>
              <w:rPr>
                <w:rFonts w:ascii="Aptos" w:hAnsi="Aptos"/>
                <w:b/>
                <w:color w:val="FFFFFF"/>
                <w:sz w:val="19"/>
              </w:rPr>
              <w:t>Result</w:t>
            </w:r>
          </w:p>
        </w:tc>
      </w:tr>
      <w:tr>
        <w:tc>
          <w:tcPr>
            <w:tcW w:type="dxa" w:w="5904"/>
            <w:vAlign w:val="center"/>
          </w:tcPr>
          <w:p>
            <w:pPr>
              <w:spacing w:after="0"/>
            </w:pPr>
            <w:r/>
            <w:r>
              <w:rPr>
                <w:rFonts w:ascii="Aptos" w:hAnsi="Aptos"/>
                <w:b w:val="0"/>
                <w:sz w:val="19"/>
              </w:rPr>
              <w:t>Zero UnitPrice</w:t>
            </w:r>
          </w:p>
        </w:tc>
        <w:tc>
          <w:tcPr>
            <w:tcW w:type="dxa" w:w="3168"/>
            <w:vAlign w:val="center"/>
          </w:tcPr>
          <w:p>
            <w:pPr>
              <w:spacing w:after="0"/>
            </w:pPr>
            <w:r/>
            <w:r>
              <w:rPr>
                <w:rFonts w:ascii="Aptos" w:hAnsi="Aptos"/>
                <w:b w:val="0"/>
                <w:sz w:val="19"/>
              </w:rPr>
              <w:t>2,515</w:t>
            </w:r>
          </w:p>
        </w:tc>
      </w:tr>
      <w:tr>
        <w:tc>
          <w:tcPr>
            <w:tcW w:type="dxa" w:w="5904"/>
            <w:vAlign w:val="center"/>
          </w:tcPr>
          <w:p>
            <w:pPr>
              <w:spacing w:after="0"/>
            </w:pPr>
            <w:r/>
            <w:r>
              <w:rPr>
                <w:rFonts w:ascii="Aptos" w:hAnsi="Aptos"/>
                <w:b w:val="0"/>
                <w:sz w:val="19"/>
              </w:rPr>
              <w:t>Negative UnitPrice</w:t>
            </w:r>
          </w:p>
        </w:tc>
        <w:tc>
          <w:tcPr>
            <w:tcW w:type="dxa" w:w="3168"/>
            <w:vAlign w:val="center"/>
          </w:tcPr>
          <w:p>
            <w:pPr>
              <w:spacing w:after="0"/>
            </w:pPr>
            <w:r/>
            <w:r>
              <w:rPr>
                <w:rFonts w:ascii="Aptos" w:hAnsi="Aptos"/>
                <w:b w:val="0"/>
                <w:sz w:val="19"/>
              </w:rPr>
              <w:t>2</w:t>
            </w:r>
          </w:p>
        </w:tc>
      </w:tr>
      <w:tr>
        <w:tc>
          <w:tcPr>
            <w:tcW w:type="dxa" w:w="5904"/>
            <w:vAlign w:val="center"/>
          </w:tcPr>
          <w:p>
            <w:pPr>
              <w:spacing w:after="0"/>
            </w:pPr>
            <w:r/>
            <w:r>
              <w:rPr>
                <w:rFonts w:ascii="Aptos" w:hAnsi="Aptos"/>
                <w:b w:val="0"/>
                <w:sz w:val="19"/>
              </w:rPr>
              <w:t>Initial maximum UnitPrice</w:t>
            </w:r>
          </w:p>
        </w:tc>
        <w:tc>
          <w:tcPr>
            <w:tcW w:type="dxa" w:w="3168"/>
            <w:vAlign w:val="center"/>
          </w:tcPr>
          <w:p>
            <w:pPr>
              <w:spacing w:after="0"/>
            </w:pPr>
            <w:r/>
            <w:r>
              <w:rPr>
                <w:rFonts w:ascii="Aptos" w:hAnsi="Aptos"/>
                <w:b w:val="0"/>
                <w:sz w:val="19"/>
              </w:rPr>
              <w:t>38,970</w:t>
            </w:r>
          </w:p>
        </w:tc>
      </w:tr>
      <w:tr>
        <w:tc>
          <w:tcPr>
            <w:tcW w:type="dxa" w:w="5904"/>
            <w:vAlign w:val="center"/>
          </w:tcPr>
          <w:p>
            <w:pPr>
              <w:spacing w:after="0"/>
            </w:pPr>
            <w:r/>
            <w:r>
              <w:rPr>
                <w:rFonts w:ascii="Aptos" w:hAnsi="Aptos"/>
                <w:b w:val="0"/>
                <w:sz w:val="19"/>
              </w:rPr>
              <w:t>Final maximum UnitPrice</w:t>
            </w:r>
          </w:p>
        </w:tc>
        <w:tc>
          <w:tcPr>
            <w:tcW w:type="dxa" w:w="3168"/>
            <w:vAlign w:val="center"/>
          </w:tcPr>
          <w:p>
            <w:pPr>
              <w:spacing w:after="0"/>
            </w:pPr>
            <w:r/>
            <w:r>
              <w:rPr>
                <w:rFonts w:ascii="Aptos" w:hAnsi="Aptos"/>
                <w:b w:val="0"/>
                <w:sz w:val="19"/>
              </w:rPr>
              <w:t>8,142.75</w:t>
            </w:r>
          </w:p>
        </w:tc>
      </w:tr>
    </w:tbl>
    <w:p>
      <w:pPr>
        <w:spacing w:after="40"/>
      </w:pPr>
    </w:p>
    <w:p>
      <w:pPr>
        <w:pStyle w:val="Heading1"/>
      </w:pPr>
      <w:r>
        <w:rPr>
          <w:color w:val="21405F"/>
        </w:rPr>
        <w:t>9. Outlier Analysis</w:t>
      </w:r>
    </w:p>
    <w:p>
      <w:r>
        <w:t>Potential outliers were assessed using descriptive statistics and the Interquartile Range (IQR) method. The purpose of this analysis was to identify observations requiring investigation, not to automatically delete every value outside the IQR bounds.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584"/>
            <w:vAlign w:val="center"/>
            <w:shd w:fill="263238"/>
          </w:tcPr>
          <w:p>
            <w:pPr>
              <w:spacing w:after="0"/>
            </w:pPr>
            <w:r/>
            <w:r>
              <w:rPr>
                <w:rFonts w:ascii="Aptos" w:hAnsi="Aptos"/>
                <w:b/>
                <w:color w:val="FFFFFF"/>
                <w:sz w:val="19"/>
              </w:rPr>
              <w:t>Variable</w:t>
            </w:r>
          </w:p>
        </w:tc>
        <w:tc>
          <w:tcPr>
            <w:tcW w:type="dxa" w:w="1152"/>
            <w:vAlign w:val="center"/>
            <w:shd w:fill="263238"/>
          </w:tcPr>
          <w:p>
            <w:pPr>
              <w:spacing w:after="0"/>
            </w:pPr>
            <w:r/>
            <w:r>
              <w:rPr>
                <w:rFonts w:ascii="Aptos" w:hAnsi="Aptos"/>
                <w:b/>
                <w:color w:val="FFFFFF"/>
                <w:sz w:val="19"/>
              </w:rPr>
              <w:t>Q1</w:t>
            </w:r>
          </w:p>
        </w:tc>
        <w:tc>
          <w:tcPr>
            <w:tcW w:type="dxa" w:w="1152"/>
            <w:vAlign w:val="center"/>
            <w:shd w:fill="263238"/>
          </w:tcPr>
          <w:p>
            <w:pPr>
              <w:spacing w:after="0"/>
            </w:pPr>
            <w:r/>
            <w:r>
              <w:rPr>
                <w:rFonts w:ascii="Aptos" w:hAnsi="Aptos"/>
                <w:b/>
                <w:color w:val="FFFFFF"/>
                <w:sz w:val="19"/>
              </w:rPr>
              <w:t>Q3</w:t>
            </w:r>
          </w:p>
        </w:tc>
        <w:tc>
          <w:tcPr>
            <w:tcW w:type="dxa" w:w="1152"/>
            <w:vAlign w:val="center"/>
            <w:shd w:fill="263238"/>
          </w:tcPr>
          <w:p>
            <w:pPr>
              <w:spacing w:after="0"/>
            </w:pPr>
            <w:r/>
            <w:r>
              <w:rPr>
                <w:rFonts w:ascii="Aptos" w:hAnsi="Aptos"/>
                <w:b/>
                <w:color w:val="FFFFFF"/>
                <w:sz w:val="19"/>
              </w:rPr>
              <w:t>IQR</w:t>
            </w:r>
          </w:p>
        </w:tc>
        <w:tc>
          <w:tcPr>
            <w:tcW w:type="dxa" w:w="1728"/>
            <w:vAlign w:val="center"/>
            <w:shd w:fill="263238"/>
          </w:tcPr>
          <w:p>
            <w:pPr>
              <w:spacing w:after="0"/>
            </w:pPr>
            <w:r/>
            <w:r>
              <w:rPr>
                <w:rFonts w:ascii="Aptos" w:hAnsi="Aptos"/>
                <w:b/>
                <w:color w:val="FFFFFF"/>
                <w:sz w:val="19"/>
              </w:rPr>
              <w:t>Upper IQR Bound</w:t>
            </w:r>
          </w:p>
        </w:tc>
        <w:tc>
          <w:tcPr>
            <w:tcW w:type="dxa" w:w="2304"/>
            <w:vAlign w:val="center"/>
            <w:shd w:fill="263238"/>
          </w:tcPr>
          <w:p>
            <w:pPr>
              <w:spacing w:after="0"/>
            </w:pPr>
            <w:r/>
            <w:r>
              <w:rPr>
                <w:rFonts w:ascii="Aptos" w:hAnsi="Aptos"/>
                <w:b/>
                <w:color w:val="FFFFFF"/>
                <w:sz w:val="19"/>
              </w:rPr>
              <w:t>Potential Outliers</w:t>
            </w:r>
          </w:p>
        </w:tc>
      </w:tr>
      <w:tr>
        <w:tc>
          <w:tcPr>
            <w:tcW w:type="dxa" w:w="1584"/>
            <w:vAlign w:val="center"/>
          </w:tcPr>
          <w:p>
            <w:pPr>
              <w:spacing w:after="0"/>
            </w:pPr>
            <w:r/>
            <w:r>
              <w:rPr>
                <w:rFonts w:ascii="Aptos" w:hAnsi="Aptos"/>
                <w:b w:val="0"/>
                <w:sz w:val="19"/>
              </w:rPr>
              <w:t>Quantity</w:t>
            </w:r>
          </w:p>
        </w:tc>
        <w:tc>
          <w:tcPr>
            <w:tcW w:type="dxa" w:w="1152"/>
            <w:vAlign w:val="center"/>
          </w:tcPr>
          <w:p>
            <w:pPr>
              <w:spacing w:after="0"/>
            </w:pPr>
            <w:r/>
            <w:r>
              <w:rPr>
                <w:rFonts w:ascii="Aptos" w:hAnsi="Aptos"/>
                <w:b w:val="0"/>
                <w:sz w:val="19"/>
              </w:rPr>
              <w:t>1.00</w:t>
            </w:r>
          </w:p>
        </w:tc>
        <w:tc>
          <w:tcPr>
            <w:tcW w:type="dxa" w:w="1152"/>
            <w:vAlign w:val="center"/>
          </w:tcPr>
          <w:p>
            <w:pPr>
              <w:spacing w:after="0"/>
            </w:pPr>
            <w:r/>
            <w:r>
              <w:rPr>
                <w:rFonts w:ascii="Aptos" w:hAnsi="Aptos"/>
                <w:b w:val="0"/>
                <w:sz w:val="19"/>
              </w:rPr>
              <w:t>10.00</w:t>
            </w:r>
          </w:p>
        </w:tc>
        <w:tc>
          <w:tcPr>
            <w:tcW w:type="dxa" w:w="1152"/>
            <w:vAlign w:val="center"/>
          </w:tcPr>
          <w:p>
            <w:pPr>
              <w:spacing w:after="0"/>
            </w:pPr>
            <w:r/>
            <w:r>
              <w:rPr>
                <w:rFonts w:ascii="Aptos" w:hAnsi="Aptos"/>
                <w:b w:val="0"/>
                <w:sz w:val="19"/>
              </w:rPr>
              <w:t>9.00</w:t>
            </w:r>
          </w:p>
        </w:tc>
        <w:tc>
          <w:tcPr>
            <w:tcW w:type="dxa" w:w="1728"/>
            <w:vAlign w:val="center"/>
          </w:tcPr>
          <w:p>
            <w:pPr>
              <w:spacing w:after="0"/>
            </w:pPr>
            <w:r/>
            <w:r>
              <w:rPr>
                <w:rFonts w:ascii="Aptos" w:hAnsi="Aptos"/>
                <w:b w:val="0"/>
                <w:sz w:val="19"/>
              </w:rPr>
              <w:t>23.50</w:t>
            </w:r>
          </w:p>
        </w:tc>
        <w:tc>
          <w:tcPr>
            <w:tcW w:type="dxa" w:w="2304"/>
            <w:vAlign w:val="center"/>
          </w:tcPr>
          <w:p>
            <w:pPr>
              <w:spacing w:after="0"/>
            </w:pPr>
            <w:r/>
            <w:r>
              <w:rPr>
                <w:rFonts w:ascii="Aptos" w:hAnsi="Aptos"/>
                <w:b w:val="0"/>
                <w:sz w:val="19"/>
              </w:rPr>
              <w:t>58,619</w:t>
            </w:r>
          </w:p>
        </w:tc>
      </w:tr>
      <w:tr>
        <w:tc>
          <w:tcPr>
            <w:tcW w:type="dxa" w:w="1584"/>
            <w:vAlign w:val="center"/>
          </w:tcPr>
          <w:p>
            <w:pPr>
              <w:spacing w:after="0"/>
            </w:pPr>
            <w:r/>
            <w:r>
              <w:rPr>
                <w:rFonts w:ascii="Aptos" w:hAnsi="Aptos"/>
                <w:b w:val="0"/>
                <w:sz w:val="19"/>
              </w:rPr>
              <w:t>UnitPrice</w:t>
            </w:r>
          </w:p>
        </w:tc>
        <w:tc>
          <w:tcPr>
            <w:tcW w:type="dxa" w:w="1152"/>
            <w:vAlign w:val="center"/>
          </w:tcPr>
          <w:p>
            <w:pPr>
              <w:spacing w:after="0"/>
            </w:pPr>
            <w:r/>
            <w:r>
              <w:rPr>
                <w:rFonts w:ascii="Aptos" w:hAnsi="Aptos"/>
                <w:b w:val="0"/>
                <w:sz w:val="19"/>
              </w:rPr>
              <w:t>1.25</w:t>
            </w:r>
          </w:p>
        </w:tc>
        <w:tc>
          <w:tcPr>
            <w:tcW w:type="dxa" w:w="1152"/>
            <w:vAlign w:val="center"/>
          </w:tcPr>
          <w:p>
            <w:pPr>
              <w:spacing w:after="0"/>
            </w:pPr>
            <w:r/>
            <w:r>
              <w:rPr>
                <w:rFonts w:ascii="Aptos" w:hAnsi="Aptos"/>
                <w:b w:val="0"/>
                <w:sz w:val="19"/>
              </w:rPr>
              <w:t>4.13</w:t>
            </w:r>
          </w:p>
        </w:tc>
        <w:tc>
          <w:tcPr>
            <w:tcW w:type="dxa" w:w="1152"/>
            <w:vAlign w:val="center"/>
          </w:tcPr>
          <w:p>
            <w:pPr>
              <w:spacing w:after="0"/>
            </w:pPr>
            <w:r/>
            <w:r>
              <w:rPr>
                <w:rFonts w:ascii="Aptos" w:hAnsi="Aptos"/>
                <w:b w:val="0"/>
                <w:sz w:val="19"/>
              </w:rPr>
              <w:t>2.88</w:t>
            </w:r>
          </w:p>
        </w:tc>
        <w:tc>
          <w:tcPr>
            <w:tcW w:type="dxa" w:w="1728"/>
            <w:vAlign w:val="center"/>
          </w:tcPr>
          <w:p>
            <w:pPr>
              <w:spacing w:after="0"/>
            </w:pPr>
            <w:r/>
            <w:r>
              <w:rPr>
                <w:rFonts w:ascii="Aptos" w:hAnsi="Aptos"/>
                <w:b w:val="0"/>
                <w:sz w:val="19"/>
              </w:rPr>
              <w:t>8.45</w:t>
            </w:r>
          </w:p>
        </w:tc>
        <w:tc>
          <w:tcPr>
            <w:tcW w:type="dxa" w:w="2304"/>
            <w:vAlign w:val="center"/>
          </w:tcPr>
          <w:p>
            <w:pPr>
              <w:spacing w:after="0"/>
            </w:pPr>
            <w:r/>
            <w:r>
              <w:rPr>
                <w:rFonts w:ascii="Aptos" w:hAnsi="Aptos"/>
                <w:b w:val="0"/>
                <w:sz w:val="19"/>
              </w:rPr>
              <w:t>39,627</w:t>
            </w:r>
          </w:p>
        </w:tc>
      </w:tr>
    </w:tbl>
    <w:p>
      <w:pPr>
        <w:spacing w:after="40"/>
      </w:pPr>
    </w:p>
    <w:p>
      <w:r>
        <w:t>Inspection showed that some extreme quantities were associated with legitimate bulk transactions, while other extreme records in the original data were cancellations or operational entries. Therefore, business rules were used for cleaning instead of deleting all statistical outliers. This preserves potentially valid high-value transactions while removing clearly unsuitable records.</w:t>
      </w:r>
    </w:p>
    <w:p>
      <w:pPr>
        <w:pStyle w:val="Heading1"/>
      </w:pPr>
      <w:r>
        <w:rPr>
          <w:color w:val="21405F"/>
        </w:rPr>
        <w:t>10. Data Cleaning Methodology</w:t>
      </w:r>
    </w:p>
    <w:p>
      <w:r>
        <w:t>The following cleaning rules were applied sequentially to a copy of the original DataFrame:</w:t>
      </w:r>
    </w:p>
    <w:p>
      <w:pPr>
        <w:pStyle w:val="ListBullet"/>
        <w:spacing w:after="60"/>
      </w:pPr>
      <w:r>
        <w:t>Remove exact duplicate rows.</w:t>
      </w:r>
    </w:p>
    <w:p>
      <w:pPr>
        <w:pStyle w:val="ListBullet"/>
        <w:spacing w:after="60"/>
      </w:pPr>
      <w:r>
        <w:t>Remove records with missing Description.</w:t>
      </w:r>
    </w:p>
    <w:p>
      <w:pPr>
        <w:pStyle w:val="ListBullet"/>
        <w:spacing w:after="60"/>
      </w:pPr>
      <w:r>
        <w:t>Remove records with missing CustomerID for the customer-linked analysis dataset.</w:t>
      </w:r>
    </w:p>
    <w:p>
      <w:pPr>
        <w:pStyle w:val="ListBullet"/>
        <w:spacing w:after="60"/>
      </w:pPr>
      <w:r>
        <w:t>Remove cancelled invoices identified by InvoiceNo beginning with 'C'.</w:t>
      </w:r>
    </w:p>
    <w:p>
      <w:pPr>
        <w:pStyle w:val="ListBullet"/>
        <w:spacing w:after="60"/>
      </w:pPr>
      <w:r>
        <w:t>Retain only Quantity values greater than zero.</w:t>
      </w:r>
    </w:p>
    <w:p>
      <w:pPr>
        <w:pStyle w:val="ListBullet"/>
        <w:spacing w:after="60"/>
      </w:pPr>
      <w:r>
        <w:t>Retain only UnitPrice values greater than zero.</w:t>
      </w:r>
    </w:p>
    <w:p>
      <w:pPr>
        <w:pStyle w:val="CodeBlock"/>
        <w:spacing w:before="80" w:after="120"/>
        <w:ind w:left="216" w:right="216"/>
      </w:pPr>
      <w:r>
        <w:rPr>
          <w:rFonts w:ascii="Consolas" w:hAnsi="Consolas"/>
          <w:sz w:val="16"/>
        </w:rPr>
        <w:t>clean_df = df.copy()</w:t>
        <w:br/>
        <w:br/>
        <w:t>clean_df = clean_df.drop_duplicates()</w:t>
        <w:br/>
        <w:t>clean_df = clean_df.dropna(subset=["Description"])</w:t>
        <w:br/>
        <w:t>clean_df = clean_df.dropna(subset=["CustomerID"])</w:t>
        <w:br/>
        <w:t>clean_df = clean_df[</w:t>
        <w:br/>
        <w:t xml:space="preserve">    ~clean_df["InvoiceNo"].astype(str).str.startswith("C")</w:t>
        <w:br/>
        <w:t>]</w:t>
        <w:br/>
        <w:t>clean_df = clean_df[clean_df["Quantity"] &gt; 0]</w:t>
        <w:br/>
        <w:t>clean_df = clean_df[clean_df["UnitPrice"] &gt; 0]</w:t>
        <w:br/>
        <w:br/>
        <w:t># Final cleaning result:</w:t>
        <w:br/>
        <w:t># Original shape: (541909, 8)</w:t>
        <w:br/>
        <w:t># Cleaned shape:  (392692, 8)</w:t>
        <w:br/>
        <w:t># Rows removed:   149217</w:t>
      </w:r>
    </w:p>
    <w:p>
      <w:pPr>
        <w:jc w:val="center"/>
      </w:pPr>
      <w:r>
        <w:drawing>
          <wp:inline xmlns:a="http://schemas.openxmlformats.org/drawingml/2006/main" xmlns:pic="http://schemas.openxmlformats.org/drawingml/2006/picture">
            <wp:extent cx="5760720" cy="3559242"/>
            <wp:docPr id="2" name="Picture 2"/>
            <wp:cNvGraphicFramePr>
              <a:graphicFrameLocks noChangeAspect="1"/>
            </wp:cNvGraphicFramePr>
            <a:graphic>
              <a:graphicData uri="http://schemas.openxmlformats.org/drawingml/2006/picture">
                <pic:pic>
                  <pic:nvPicPr>
                    <pic:cNvPr id="0" name="8295ece9-7c1d-4311-bff2-25a81a8e9f8e.png"/>
                    <pic:cNvPicPr/>
                  </pic:nvPicPr>
                  <pic:blipFill>
                    <a:blip r:embed="rId12"/>
                    <a:stretch>
                      <a:fillRect/>
                    </a:stretch>
                  </pic:blipFill>
                  <pic:spPr>
                    <a:xfrm>
                      <a:off x="0" y="0"/>
                      <a:ext cx="5760720" cy="3559242"/>
                    </a:xfrm>
                    <a:prstGeom prst="rect"/>
                  </pic:spPr>
                </pic:pic>
              </a:graphicData>
            </a:graphic>
          </wp:inline>
        </w:drawing>
      </w:r>
    </w:p>
    <w:p>
      <w:pPr>
        <w:jc w:val="center"/>
      </w:pPr>
      <w:r>
        <w:rPr>
          <w:b/>
          <w:color w:val="464646"/>
          <w:sz w:val="18"/>
        </w:rPr>
        <w:t>Figure 2: Dataset Size Before and After Cleaning</w:t>
      </w:r>
    </w:p>
    <w:p>
      <w:pPr>
        <w:pStyle w:val="Heading1"/>
      </w:pPr>
      <w:r>
        <w:rPr>
          <w:color w:val="21405F"/>
        </w:rPr>
        <w:t>11. Cleaning Validation</w:t>
      </w:r>
    </w:p>
    <w:p>
      <w:r>
        <w:t>After the cleaning rules were applied, the resulting dataset was validated to ensure that the intended quality conditions had been achieved.</w:t>
      </w:r>
    </w:p>
    <w:tbl>
      <w:tblPr>
        <w:tblStyle w:val="TableGrid"/>
        <w:tblW w:type="auto" w:w="0"/>
        <w:jc w:val="center"/>
        <w:tblLook w:firstColumn="1" w:firstRow="1" w:lastColumn="0" w:lastRow="0" w:noHBand="0" w:noVBand="1" w:val="04A0"/>
      </w:tblPr>
      <w:tblGrid>
        <w:gridCol w:w="4968"/>
        <w:gridCol w:w="4968"/>
      </w:tblGrid>
      <w:tr>
        <w:tc>
          <w:tcPr>
            <w:tcW w:type="dxa" w:w="5760"/>
            <w:vAlign w:val="center"/>
            <w:shd w:fill="263238"/>
          </w:tcPr>
          <w:p>
            <w:pPr>
              <w:spacing w:after="0"/>
            </w:pPr>
            <w:r/>
            <w:r>
              <w:rPr>
                <w:rFonts w:ascii="Aptos" w:hAnsi="Aptos"/>
                <w:b/>
                <w:color w:val="FFFFFF"/>
                <w:sz w:val="19"/>
              </w:rPr>
              <w:t>Validation Check</w:t>
            </w:r>
          </w:p>
        </w:tc>
        <w:tc>
          <w:tcPr>
            <w:tcW w:type="dxa" w:w="3312"/>
            <w:vAlign w:val="center"/>
            <w:shd w:fill="263238"/>
          </w:tcPr>
          <w:p>
            <w:pPr>
              <w:spacing w:after="0"/>
            </w:pPr>
            <w:r/>
            <w:r>
              <w:rPr>
                <w:rFonts w:ascii="Aptos" w:hAnsi="Aptos"/>
                <w:b/>
                <w:color w:val="FFFFFF"/>
                <w:sz w:val="19"/>
              </w:rPr>
              <w:t>Result</w:t>
            </w:r>
          </w:p>
        </w:tc>
      </w:tr>
      <w:tr>
        <w:tc>
          <w:tcPr>
            <w:tcW w:type="dxa" w:w="5760"/>
            <w:vAlign w:val="center"/>
          </w:tcPr>
          <w:p>
            <w:pPr>
              <w:spacing w:after="0"/>
            </w:pPr>
            <w:r/>
            <w:r>
              <w:rPr>
                <w:rFonts w:ascii="Aptos" w:hAnsi="Aptos"/>
                <w:b w:val="0"/>
                <w:sz w:val="19"/>
              </w:rPr>
              <w:t>Final shape after cleaning</w:t>
            </w:r>
          </w:p>
        </w:tc>
        <w:tc>
          <w:tcPr>
            <w:tcW w:type="dxa" w:w="3312"/>
            <w:vAlign w:val="center"/>
          </w:tcPr>
          <w:p>
            <w:pPr>
              <w:spacing w:after="0"/>
            </w:pPr>
            <w:r/>
            <w:r>
              <w:rPr>
                <w:rFonts w:ascii="Aptos" w:hAnsi="Aptos"/>
                <w:b w:val="0"/>
                <w:sz w:val="19"/>
              </w:rPr>
              <w:t>(392,692, 8)</w:t>
            </w:r>
          </w:p>
        </w:tc>
      </w:tr>
      <w:tr>
        <w:tc>
          <w:tcPr>
            <w:tcW w:type="dxa" w:w="5760"/>
            <w:vAlign w:val="center"/>
          </w:tcPr>
          <w:p>
            <w:pPr>
              <w:spacing w:after="0"/>
            </w:pPr>
            <w:r/>
            <w:r>
              <w:rPr>
                <w:rFonts w:ascii="Aptos" w:hAnsi="Aptos"/>
                <w:b w:val="0"/>
                <w:sz w:val="19"/>
              </w:rPr>
              <w:t>Missing values</w:t>
            </w:r>
          </w:p>
        </w:tc>
        <w:tc>
          <w:tcPr>
            <w:tcW w:type="dxa" w:w="3312"/>
            <w:vAlign w:val="center"/>
          </w:tcPr>
          <w:p>
            <w:pPr>
              <w:spacing w:after="0"/>
            </w:pPr>
            <w:r/>
            <w:r>
              <w:rPr>
                <w:rFonts w:ascii="Aptos" w:hAnsi="Aptos"/>
                <w:b w:val="0"/>
                <w:sz w:val="19"/>
              </w:rPr>
              <w:t>0 in every column</w:t>
            </w:r>
          </w:p>
        </w:tc>
      </w:tr>
      <w:tr>
        <w:tc>
          <w:tcPr>
            <w:tcW w:type="dxa" w:w="5760"/>
            <w:vAlign w:val="center"/>
          </w:tcPr>
          <w:p>
            <w:pPr>
              <w:spacing w:after="0"/>
            </w:pPr>
            <w:r/>
            <w:r>
              <w:rPr>
                <w:rFonts w:ascii="Aptos" w:hAnsi="Aptos"/>
                <w:b w:val="0"/>
                <w:sz w:val="19"/>
              </w:rPr>
              <w:t>Duplicate rows</w:t>
            </w:r>
          </w:p>
        </w:tc>
        <w:tc>
          <w:tcPr>
            <w:tcW w:type="dxa" w:w="3312"/>
            <w:vAlign w:val="center"/>
          </w:tcPr>
          <w:p>
            <w:pPr>
              <w:spacing w:after="0"/>
            </w:pPr>
            <w:r/>
            <w:r>
              <w:rPr>
                <w:rFonts w:ascii="Aptos" w:hAnsi="Aptos"/>
                <w:b w:val="0"/>
                <w:sz w:val="19"/>
              </w:rPr>
              <w:t>0</w:t>
            </w:r>
          </w:p>
        </w:tc>
      </w:tr>
      <w:tr>
        <w:tc>
          <w:tcPr>
            <w:tcW w:type="dxa" w:w="5760"/>
            <w:vAlign w:val="center"/>
          </w:tcPr>
          <w:p>
            <w:pPr>
              <w:spacing w:after="0"/>
            </w:pPr>
            <w:r/>
            <w:r>
              <w:rPr>
                <w:rFonts w:ascii="Aptos" w:hAnsi="Aptos"/>
                <w:b w:val="0"/>
                <w:sz w:val="19"/>
              </w:rPr>
              <w:t>Negative quantities</w:t>
            </w:r>
          </w:p>
        </w:tc>
        <w:tc>
          <w:tcPr>
            <w:tcW w:type="dxa" w:w="3312"/>
            <w:vAlign w:val="center"/>
          </w:tcPr>
          <w:p>
            <w:pPr>
              <w:spacing w:after="0"/>
            </w:pPr>
            <w:r/>
            <w:r>
              <w:rPr>
                <w:rFonts w:ascii="Aptos" w:hAnsi="Aptos"/>
                <w:b w:val="0"/>
                <w:sz w:val="19"/>
              </w:rPr>
              <w:t>0</w:t>
            </w:r>
          </w:p>
        </w:tc>
      </w:tr>
      <w:tr>
        <w:tc>
          <w:tcPr>
            <w:tcW w:type="dxa" w:w="5760"/>
            <w:vAlign w:val="center"/>
          </w:tcPr>
          <w:p>
            <w:pPr>
              <w:spacing w:after="0"/>
            </w:pPr>
            <w:r/>
            <w:r>
              <w:rPr>
                <w:rFonts w:ascii="Aptos" w:hAnsi="Aptos"/>
                <w:b w:val="0"/>
                <w:sz w:val="19"/>
              </w:rPr>
              <w:t>Zero quantities</w:t>
            </w:r>
          </w:p>
        </w:tc>
        <w:tc>
          <w:tcPr>
            <w:tcW w:type="dxa" w:w="3312"/>
            <w:vAlign w:val="center"/>
          </w:tcPr>
          <w:p>
            <w:pPr>
              <w:spacing w:after="0"/>
            </w:pPr>
            <w:r/>
            <w:r>
              <w:rPr>
                <w:rFonts w:ascii="Aptos" w:hAnsi="Aptos"/>
                <w:b w:val="0"/>
                <w:sz w:val="19"/>
              </w:rPr>
              <w:t>0</w:t>
            </w:r>
          </w:p>
        </w:tc>
      </w:tr>
      <w:tr>
        <w:tc>
          <w:tcPr>
            <w:tcW w:type="dxa" w:w="5760"/>
            <w:vAlign w:val="center"/>
          </w:tcPr>
          <w:p>
            <w:pPr>
              <w:spacing w:after="0"/>
            </w:pPr>
            <w:r/>
            <w:r>
              <w:rPr>
                <w:rFonts w:ascii="Aptos" w:hAnsi="Aptos"/>
                <w:b w:val="0"/>
                <w:sz w:val="19"/>
              </w:rPr>
              <w:t>Non-positive UnitPrice</w:t>
            </w:r>
          </w:p>
        </w:tc>
        <w:tc>
          <w:tcPr>
            <w:tcW w:type="dxa" w:w="3312"/>
            <w:vAlign w:val="center"/>
          </w:tcPr>
          <w:p>
            <w:pPr>
              <w:spacing w:after="0"/>
            </w:pPr>
            <w:r/>
            <w:r>
              <w:rPr>
                <w:rFonts w:ascii="Aptos" w:hAnsi="Aptos"/>
                <w:b w:val="0"/>
                <w:sz w:val="19"/>
              </w:rPr>
              <w:t>0</w:t>
            </w:r>
          </w:p>
        </w:tc>
      </w:tr>
      <w:tr>
        <w:tc>
          <w:tcPr>
            <w:tcW w:type="dxa" w:w="5760"/>
            <w:vAlign w:val="center"/>
          </w:tcPr>
          <w:p>
            <w:pPr>
              <w:spacing w:after="0"/>
            </w:pPr>
            <w:r/>
            <w:r>
              <w:rPr>
                <w:rFonts w:ascii="Aptos" w:hAnsi="Aptos"/>
                <w:b w:val="0"/>
                <w:sz w:val="19"/>
              </w:rPr>
              <w:t>Cancelled invoices</w:t>
            </w:r>
          </w:p>
        </w:tc>
        <w:tc>
          <w:tcPr>
            <w:tcW w:type="dxa" w:w="3312"/>
            <w:vAlign w:val="center"/>
          </w:tcPr>
          <w:p>
            <w:pPr>
              <w:spacing w:after="0"/>
            </w:pPr>
            <w:r/>
            <w:r>
              <w:rPr>
                <w:rFonts w:ascii="Aptos" w:hAnsi="Aptos"/>
                <w:b w:val="0"/>
                <w:sz w:val="19"/>
              </w:rPr>
              <w:t>0</w:t>
            </w:r>
          </w:p>
        </w:tc>
      </w:tr>
      <w:tr>
        <w:tc>
          <w:tcPr>
            <w:tcW w:type="dxa" w:w="5760"/>
            <w:vAlign w:val="center"/>
          </w:tcPr>
          <w:p>
            <w:pPr>
              <w:spacing w:after="0"/>
            </w:pPr>
            <w:r/>
            <w:r>
              <w:rPr>
                <w:rFonts w:ascii="Aptos" w:hAnsi="Aptos"/>
                <w:b w:val="0"/>
                <w:sz w:val="19"/>
              </w:rPr>
              <w:t>InvoiceDate type</w:t>
            </w:r>
          </w:p>
        </w:tc>
        <w:tc>
          <w:tcPr>
            <w:tcW w:type="dxa" w:w="3312"/>
            <w:vAlign w:val="center"/>
          </w:tcPr>
          <w:p>
            <w:pPr>
              <w:spacing w:after="0"/>
            </w:pPr>
            <w:r/>
            <w:r>
              <w:rPr>
                <w:rFonts w:ascii="Aptos" w:hAnsi="Aptos"/>
                <w:b w:val="0"/>
                <w:sz w:val="19"/>
              </w:rPr>
              <w:t>datetime64[ns]</w:t>
            </w:r>
          </w:p>
        </w:tc>
      </w:tr>
    </w:tbl>
    <w:p>
      <w:pPr>
        <w:spacing w:after="40"/>
      </w:pPr>
    </w:p>
    <w:p>
      <w:pPr>
        <w:pStyle w:val="Heading1"/>
      </w:pPr>
      <w:r>
        <w:rPr>
          <w:color w:val="21405F"/>
        </w:rPr>
        <w:t>12. Preprocessing and Feature Engineering</w:t>
      </w:r>
    </w:p>
    <w:p>
      <w:r>
        <w:t>After cleaning, the data was prepared for further analysis. CustomerID was converted from float64 to int64 because it functions as an identifier and all missing CustomerID values had already been removed.</w:t>
      </w:r>
    </w:p>
    <w:p>
      <w:r>
        <w:t>A new TotalAmount feature was created using Quantity × UnitPrice. InvoiceDate was decomposed into Year, Month, Day, and Hour to enable time-based analysis.</w:t>
      </w:r>
    </w:p>
    <w:p>
      <w:pPr>
        <w:pStyle w:val="CodeBlock"/>
        <w:spacing w:before="80" w:after="120"/>
        <w:ind w:left="216" w:right="216"/>
      </w:pPr>
      <w:r>
        <w:rPr>
          <w:rFonts w:ascii="Consolas" w:hAnsi="Consolas"/>
          <w:sz w:val="16"/>
        </w:rPr>
        <w:t>clean_df["CustomerID"] = clean_df["CustomerID"].astype(int)</w:t>
        <w:br/>
        <w:br/>
        <w:t>clean_df["TotalAmount"] = (</w:t>
        <w:br/>
        <w:t xml:space="preserve">    clean_df["Quantity"] * clean_df["UnitPrice"]</w:t>
        <w:br/>
        <w:t>)</w:t>
        <w:br/>
        <w:br/>
        <w:t>clean_df["Year"] = clean_df["InvoiceDate"].dt.year</w:t>
        <w:br/>
        <w:t>clean_df["Month"] = clean_df["InvoiceDate"].dt.month</w:t>
        <w:br/>
        <w:t>clean_df["Day"] = clean_df["InvoiceDate"].dt.day</w:t>
        <w:br/>
        <w:t>clean_df["Hour"] = clean_df["InvoiceDate"].dt.hour</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263238"/>
          </w:tcPr>
          <w:p>
            <w:pPr>
              <w:spacing w:after="0"/>
            </w:pPr>
            <w:r/>
            <w:r>
              <w:rPr>
                <w:rFonts w:ascii="Aptos" w:hAnsi="Aptos"/>
                <w:b/>
                <w:color w:val="FFFFFF"/>
                <w:sz w:val="19"/>
              </w:rPr>
              <w:t>Feature</w:t>
            </w:r>
          </w:p>
        </w:tc>
        <w:tc>
          <w:tcPr>
            <w:tcW w:type="dxa" w:w="6192"/>
            <w:vAlign w:val="center"/>
            <w:shd w:fill="263238"/>
          </w:tcPr>
          <w:p>
            <w:pPr>
              <w:spacing w:after="0"/>
            </w:pPr>
            <w:r/>
            <w:r>
              <w:rPr>
                <w:rFonts w:ascii="Aptos" w:hAnsi="Aptos"/>
                <w:b/>
                <w:color w:val="FFFFFF"/>
                <w:sz w:val="19"/>
              </w:rPr>
              <w:t>Purpose</w:t>
            </w:r>
          </w:p>
        </w:tc>
      </w:tr>
      <w:tr>
        <w:tc>
          <w:tcPr>
            <w:tcW w:type="dxa" w:w="2880"/>
            <w:vAlign w:val="center"/>
          </w:tcPr>
          <w:p>
            <w:pPr>
              <w:spacing w:after="0"/>
            </w:pPr>
            <w:r/>
            <w:r>
              <w:rPr>
                <w:rFonts w:ascii="Aptos" w:hAnsi="Aptos"/>
                <w:b w:val="0"/>
                <w:sz w:val="19"/>
              </w:rPr>
              <w:t>TotalAmount</w:t>
            </w:r>
          </w:p>
        </w:tc>
        <w:tc>
          <w:tcPr>
            <w:tcW w:type="dxa" w:w="6192"/>
            <w:vAlign w:val="center"/>
          </w:tcPr>
          <w:p>
            <w:pPr>
              <w:spacing w:after="0"/>
            </w:pPr>
            <w:r/>
            <w:r>
              <w:rPr>
                <w:rFonts w:ascii="Aptos" w:hAnsi="Aptos"/>
                <w:b w:val="0"/>
                <w:sz w:val="19"/>
              </w:rPr>
              <w:t>Transaction-level monetary value</w:t>
            </w:r>
          </w:p>
        </w:tc>
      </w:tr>
      <w:tr>
        <w:tc>
          <w:tcPr>
            <w:tcW w:type="dxa" w:w="2880"/>
            <w:vAlign w:val="center"/>
          </w:tcPr>
          <w:p>
            <w:pPr>
              <w:spacing w:after="0"/>
            </w:pPr>
            <w:r/>
            <w:r>
              <w:rPr>
                <w:rFonts w:ascii="Aptos" w:hAnsi="Aptos"/>
                <w:b w:val="0"/>
                <w:sz w:val="19"/>
              </w:rPr>
              <w:t>Year</w:t>
            </w:r>
          </w:p>
        </w:tc>
        <w:tc>
          <w:tcPr>
            <w:tcW w:type="dxa" w:w="6192"/>
            <w:vAlign w:val="center"/>
          </w:tcPr>
          <w:p>
            <w:pPr>
              <w:spacing w:after="0"/>
            </w:pPr>
            <w:r/>
            <w:r>
              <w:rPr>
                <w:rFonts w:ascii="Aptos" w:hAnsi="Aptos"/>
                <w:b w:val="0"/>
                <w:sz w:val="19"/>
              </w:rPr>
              <w:t>Year-based analysis</w:t>
            </w:r>
          </w:p>
        </w:tc>
      </w:tr>
      <w:tr>
        <w:tc>
          <w:tcPr>
            <w:tcW w:type="dxa" w:w="2880"/>
            <w:vAlign w:val="center"/>
          </w:tcPr>
          <w:p>
            <w:pPr>
              <w:spacing w:after="0"/>
            </w:pPr>
            <w:r/>
            <w:r>
              <w:rPr>
                <w:rFonts w:ascii="Aptos" w:hAnsi="Aptos"/>
                <w:b w:val="0"/>
                <w:sz w:val="19"/>
              </w:rPr>
              <w:t>Month</w:t>
            </w:r>
          </w:p>
        </w:tc>
        <w:tc>
          <w:tcPr>
            <w:tcW w:type="dxa" w:w="6192"/>
            <w:vAlign w:val="center"/>
          </w:tcPr>
          <w:p>
            <w:pPr>
              <w:spacing w:after="0"/>
            </w:pPr>
            <w:r/>
            <w:r>
              <w:rPr>
                <w:rFonts w:ascii="Aptos" w:hAnsi="Aptos"/>
                <w:b w:val="0"/>
                <w:sz w:val="19"/>
              </w:rPr>
              <w:t>Monthly trends and seasonality</w:t>
            </w:r>
          </w:p>
        </w:tc>
      </w:tr>
      <w:tr>
        <w:tc>
          <w:tcPr>
            <w:tcW w:type="dxa" w:w="2880"/>
            <w:vAlign w:val="center"/>
          </w:tcPr>
          <w:p>
            <w:pPr>
              <w:spacing w:after="0"/>
            </w:pPr>
            <w:r/>
            <w:r>
              <w:rPr>
                <w:rFonts w:ascii="Aptos" w:hAnsi="Aptos"/>
                <w:b w:val="0"/>
                <w:sz w:val="19"/>
              </w:rPr>
              <w:t>Day</w:t>
            </w:r>
          </w:p>
        </w:tc>
        <w:tc>
          <w:tcPr>
            <w:tcW w:type="dxa" w:w="6192"/>
            <w:vAlign w:val="center"/>
          </w:tcPr>
          <w:p>
            <w:pPr>
              <w:spacing w:after="0"/>
            </w:pPr>
            <w:r/>
            <w:r>
              <w:rPr>
                <w:rFonts w:ascii="Aptos" w:hAnsi="Aptos"/>
                <w:b w:val="0"/>
                <w:sz w:val="19"/>
              </w:rPr>
              <w:t>Day-level transaction analysis</w:t>
            </w:r>
          </w:p>
        </w:tc>
      </w:tr>
      <w:tr>
        <w:tc>
          <w:tcPr>
            <w:tcW w:type="dxa" w:w="2880"/>
            <w:vAlign w:val="center"/>
          </w:tcPr>
          <w:p>
            <w:pPr>
              <w:spacing w:after="0"/>
            </w:pPr>
            <w:r/>
            <w:r>
              <w:rPr>
                <w:rFonts w:ascii="Aptos" w:hAnsi="Aptos"/>
                <w:b w:val="0"/>
                <w:sz w:val="19"/>
              </w:rPr>
              <w:t>Hour</w:t>
            </w:r>
          </w:p>
        </w:tc>
        <w:tc>
          <w:tcPr>
            <w:tcW w:type="dxa" w:w="6192"/>
            <w:vAlign w:val="center"/>
          </w:tcPr>
          <w:p>
            <w:pPr>
              <w:spacing w:after="0"/>
            </w:pPr>
            <w:r/>
            <w:r>
              <w:rPr>
                <w:rFonts w:ascii="Aptos" w:hAnsi="Aptos"/>
                <w:b w:val="0"/>
                <w:sz w:val="19"/>
              </w:rPr>
              <w:t>Time-of-day analysis</w:t>
            </w:r>
          </w:p>
        </w:tc>
      </w:tr>
    </w:tbl>
    <w:p>
      <w:pPr>
        <w:spacing w:after="40"/>
      </w:pPr>
    </w:p>
    <w:p>
      <w:pPr>
        <w:pStyle w:val="Heading1"/>
      </w:pPr>
      <w:r>
        <w:rPr>
          <w:color w:val="21405F"/>
        </w:rPr>
        <w:t>13. Final Preprocessing Validation</w:t>
      </w:r>
    </w:p>
    <w:p>
      <w:r>
        <w:t>The final validation confirmed that preprocessing did not introduce missing values or duplicate rows and that all retained transactions satisfy the positive-quantity and positive-price rules.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263238"/>
          </w:tcPr>
          <w:p>
            <w:pPr>
              <w:spacing w:after="0"/>
            </w:pPr>
            <w:r/>
            <w:r>
              <w:rPr>
                <w:rFonts w:ascii="Aptos" w:hAnsi="Aptos"/>
                <w:b/>
                <w:color w:val="FFFFFF"/>
                <w:sz w:val="19"/>
              </w:rPr>
              <w:t>Final Metric</w:t>
            </w:r>
          </w:p>
        </w:tc>
        <w:tc>
          <w:tcPr>
            <w:tcW w:type="dxa" w:w="4752"/>
            <w:vAlign w:val="center"/>
            <w:shd w:fill="263238"/>
          </w:tcPr>
          <w:p>
            <w:pPr>
              <w:spacing w:after="0"/>
            </w:pPr>
            <w:r/>
            <w:r>
              <w:rPr>
                <w:rFonts w:ascii="Aptos" w:hAnsi="Aptos"/>
                <w:b/>
                <w:color w:val="FFFFFF"/>
                <w:sz w:val="19"/>
              </w:rPr>
              <w:t>Result</w:t>
            </w:r>
          </w:p>
        </w:tc>
      </w:tr>
      <w:tr>
        <w:tc>
          <w:tcPr>
            <w:tcW w:type="dxa" w:w="4320"/>
            <w:vAlign w:val="center"/>
          </w:tcPr>
          <w:p>
            <w:pPr>
              <w:spacing w:after="0"/>
            </w:pPr>
            <w:r/>
            <w:r>
              <w:rPr>
                <w:rFonts w:ascii="Aptos" w:hAnsi="Aptos"/>
                <w:b w:val="0"/>
                <w:sz w:val="19"/>
              </w:rPr>
              <w:t>Rows</w:t>
            </w:r>
          </w:p>
        </w:tc>
        <w:tc>
          <w:tcPr>
            <w:tcW w:type="dxa" w:w="4752"/>
            <w:vAlign w:val="center"/>
          </w:tcPr>
          <w:p>
            <w:pPr>
              <w:spacing w:after="0"/>
            </w:pPr>
            <w:r/>
            <w:r>
              <w:rPr>
                <w:rFonts w:ascii="Aptos" w:hAnsi="Aptos"/>
                <w:b w:val="0"/>
                <w:sz w:val="19"/>
              </w:rPr>
              <w:t>392,692</w:t>
            </w:r>
          </w:p>
        </w:tc>
      </w:tr>
      <w:tr>
        <w:tc>
          <w:tcPr>
            <w:tcW w:type="dxa" w:w="4320"/>
            <w:vAlign w:val="center"/>
          </w:tcPr>
          <w:p>
            <w:pPr>
              <w:spacing w:after="0"/>
            </w:pPr>
            <w:r/>
            <w:r>
              <w:rPr>
                <w:rFonts w:ascii="Aptos" w:hAnsi="Aptos"/>
                <w:b w:val="0"/>
                <w:sz w:val="19"/>
              </w:rPr>
              <w:t>Columns</w:t>
            </w:r>
          </w:p>
        </w:tc>
        <w:tc>
          <w:tcPr>
            <w:tcW w:type="dxa" w:w="4752"/>
            <w:vAlign w:val="center"/>
          </w:tcPr>
          <w:p>
            <w:pPr>
              <w:spacing w:after="0"/>
            </w:pPr>
            <w:r/>
            <w:r>
              <w:rPr>
                <w:rFonts w:ascii="Aptos" w:hAnsi="Aptos"/>
                <w:b w:val="0"/>
                <w:sz w:val="19"/>
              </w:rPr>
              <w:t>13</w:t>
            </w:r>
          </w:p>
        </w:tc>
      </w:tr>
      <w:tr>
        <w:tc>
          <w:tcPr>
            <w:tcW w:type="dxa" w:w="4320"/>
            <w:vAlign w:val="center"/>
          </w:tcPr>
          <w:p>
            <w:pPr>
              <w:spacing w:after="0"/>
            </w:pPr>
            <w:r/>
            <w:r>
              <w:rPr>
                <w:rFonts w:ascii="Aptos" w:hAnsi="Aptos"/>
                <w:b w:val="0"/>
                <w:sz w:val="19"/>
              </w:rPr>
              <w:t>Missing values</w:t>
            </w:r>
          </w:p>
        </w:tc>
        <w:tc>
          <w:tcPr>
            <w:tcW w:type="dxa" w:w="4752"/>
            <w:vAlign w:val="center"/>
          </w:tcPr>
          <w:p>
            <w:pPr>
              <w:spacing w:after="0"/>
            </w:pPr>
            <w:r/>
            <w:r>
              <w:rPr>
                <w:rFonts w:ascii="Aptos" w:hAnsi="Aptos"/>
                <w:b w:val="0"/>
                <w:sz w:val="19"/>
              </w:rPr>
              <w:t>0</w:t>
            </w:r>
          </w:p>
        </w:tc>
      </w:tr>
      <w:tr>
        <w:tc>
          <w:tcPr>
            <w:tcW w:type="dxa" w:w="4320"/>
            <w:vAlign w:val="center"/>
          </w:tcPr>
          <w:p>
            <w:pPr>
              <w:spacing w:after="0"/>
            </w:pPr>
            <w:r/>
            <w:r>
              <w:rPr>
                <w:rFonts w:ascii="Aptos" w:hAnsi="Aptos"/>
                <w:b w:val="0"/>
                <w:sz w:val="19"/>
              </w:rPr>
              <w:t>Duplicate rows</w:t>
            </w:r>
          </w:p>
        </w:tc>
        <w:tc>
          <w:tcPr>
            <w:tcW w:type="dxa" w:w="4752"/>
            <w:vAlign w:val="center"/>
          </w:tcPr>
          <w:p>
            <w:pPr>
              <w:spacing w:after="0"/>
            </w:pPr>
            <w:r/>
            <w:r>
              <w:rPr>
                <w:rFonts w:ascii="Aptos" w:hAnsi="Aptos"/>
                <w:b w:val="0"/>
                <w:sz w:val="19"/>
              </w:rPr>
              <w:t>0</w:t>
            </w:r>
          </w:p>
        </w:tc>
      </w:tr>
      <w:tr>
        <w:tc>
          <w:tcPr>
            <w:tcW w:type="dxa" w:w="4320"/>
            <w:vAlign w:val="center"/>
          </w:tcPr>
          <w:p>
            <w:pPr>
              <w:spacing w:after="0"/>
            </w:pPr>
            <w:r/>
            <w:r>
              <w:rPr>
                <w:rFonts w:ascii="Aptos" w:hAnsi="Aptos"/>
                <w:b w:val="0"/>
                <w:sz w:val="19"/>
              </w:rPr>
              <w:t>Minimum Quantity</w:t>
            </w:r>
          </w:p>
        </w:tc>
        <w:tc>
          <w:tcPr>
            <w:tcW w:type="dxa" w:w="4752"/>
            <w:vAlign w:val="center"/>
          </w:tcPr>
          <w:p>
            <w:pPr>
              <w:spacing w:after="0"/>
            </w:pPr>
            <w:r/>
            <w:r>
              <w:rPr>
                <w:rFonts w:ascii="Aptos" w:hAnsi="Aptos"/>
                <w:b w:val="0"/>
                <w:sz w:val="19"/>
              </w:rPr>
              <w:t>1</w:t>
            </w:r>
          </w:p>
        </w:tc>
      </w:tr>
      <w:tr>
        <w:tc>
          <w:tcPr>
            <w:tcW w:type="dxa" w:w="4320"/>
            <w:vAlign w:val="center"/>
          </w:tcPr>
          <w:p>
            <w:pPr>
              <w:spacing w:after="0"/>
            </w:pPr>
            <w:r/>
            <w:r>
              <w:rPr>
                <w:rFonts w:ascii="Aptos" w:hAnsi="Aptos"/>
                <w:b w:val="0"/>
                <w:sz w:val="19"/>
              </w:rPr>
              <w:t>Maximum Quantity</w:t>
            </w:r>
          </w:p>
        </w:tc>
        <w:tc>
          <w:tcPr>
            <w:tcW w:type="dxa" w:w="4752"/>
            <w:vAlign w:val="center"/>
          </w:tcPr>
          <w:p>
            <w:pPr>
              <w:spacing w:after="0"/>
            </w:pPr>
            <w:r/>
            <w:r>
              <w:rPr>
                <w:rFonts w:ascii="Aptos" w:hAnsi="Aptos"/>
                <w:b w:val="0"/>
                <w:sz w:val="19"/>
              </w:rPr>
              <w:t>80,995</w:t>
            </w:r>
          </w:p>
        </w:tc>
      </w:tr>
      <w:tr>
        <w:tc>
          <w:tcPr>
            <w:tcW w:type="dxa" w:w="4320"/>
            <w:vAlign w:val="center"/>
          </w:tcPr>
          <w:p>
            <w:pPr>
              <w:spacing w:after="0"/>
            </w:pPr>
            <w:r/>
            <w:r>
              <w:rPr>
                <w:rFonts w:ascii="Aptos" w:hAnsi="Aptos"/>
                <w:b w:val="0"/>
                <w:sz w:val="19"/>
              </w:rPr>
              <w:t>Minimum UnitPrice</w:t>
            </w:r>
          </w:p>
        </w:tc>
        <w:tc>
          <w:tcPr>
            <w:tcW w:type="dxa" w:w="4752"/>
            <w:vAlign w:val="center"/>
          </w:tcPr>
          <w:p>
            <w:pPr>
              <w:spacing w:after="0"/>
            </w:pPr>
            <w:r/>
            <w:r>
              <w:rPr>
                <w:rFonts w:ascii="Aptos" w:hAnsi="Aptos"/>
                <w:b w:val="0"/>
                <w:sz w:val="19"/>
              </w:rPr>
              <w:t>0.001</w:t>
            </w:r>
          </w:p>
        </w:tc>
      </w:tr>
      <w:tr>
        <w:tc>
          <w:tcPr>
            <w:tcW w:type="dxa" w:w="4320"/>
            <w:vAlign w:val="center"/>
          </w:tcPr>
          <w:p>
            <w:pPr>
              <w:spacing w:after="0"/>
            </w:pPr>
            <w:r/>
            <w:r>
              <w:rPr>
                <w:rFonts w:ascii="Aptos" w:hAnsi="Aptos"/>
                <w:b w:val="0"/>
                <w:sz w:val="19"/>
              </w:rPr>
              <w:t>Maximum UnitPrice</w:t>
            </w:r>
          </w:p>
        </w:tc>
        <w:tc>
          <w:tcPr>
            <w:tcW w:type="dxa" w:w="4752"/>
            <w:vAlign w:val="center"/>
          </w:tcPr>
          <w:p>
            <w:pPr>
              <w:spacing w:after="0"/>
            </w:pPr>
            <w:r/>
            <w:r>
              <w:rPr>
                <w:rFonts w:ascii="Aptos" w:hAnsi="Aptos"/>
                <w:b w:val="0"/>
                <w:sz w:val="19"/>
              </w:rPr>
              <w:t>8,142.75</w:t>
            </w:r>
          </w:p>
        </w:tc>
      </w:tr>
      <w:tr>
        <w:tc>
          <w:tcPr>
            <w:tcW w:type="dxa" w:w="4320"/>
            <w:vAlign w:val="center"/>
          </w:tcPr>
          <w:p>
            <w:pPr>
              <w:spacing w:after="0"/>
            </w:pPr>
            <w:r/>
            <w:r>
              <w:rPr>
                <w:rFonts w:ascii="Aptos" w:hAnsi="Aptos"/>
                <w:b w:val="0"/>
                <w:sz w:val="19"/>
              </w:rPr>
              <w:t>Minimum TotalAmount</w:t>
            </w:r>
          </w:p>
        </w:tc>
        <w:tc>
          <w:tcPr>
            <w:tcW w:type="dxa" w:w="4752"/>
            <w:vAlign w:val="center"/>
          </w:tcPr>
          <w:p>
            <w:pPr>
              <w:spacing w:after="0"/>
            </w:pPr>
            <w:r/>
            <w:r>
              <w:rPr>
                <w:rFonts w:ascii="Aptos" w:hAnsi="Aptos"/>
                <w:b w:val="0"/>
                <w:sz w:val="19"/>
              </w:rPr>
              <w:t>0.001</w:t>
            </w:r>
          </w:p>
        </w:tc>
      </w:tr>
      <w:tr>
        <w:tc>
          <w:tcPr>
            <w:tcW w:type="dxa" w:w="4320"/>
            <w:vAlign w:val="center"/>
          </w:tcPr>
          <w:p>
            <w:pPr>
              <w:spacing w:after="0"/>
            </w:pPr>
            <w:r/>
            <w:r>
              <w:rPr>
                <w:rFonts w:ascii="Aptos" w:hAnsi="Aptos"/>
                <w:b w:val="0"/>
                <w:sz w:val="19"/>
              </w:rPr>
              <w:t>Maximum TotalAmount</w:t>
            </w:r>
          </w:p>
        </w:tc>
        <w:tc>
          <w:tcPr>
            <w:tcW w:type="dxa" w:w="4752"/>
            <w:vAlign w:val="center"/>
          </w:tcPr>
          <w:p>
            <w:pPr>
              <w:spacing w:after="0"/>
            </w:pPr>
            <w:r/>
            <w:r>
              <w:rPr>
                <w:rFonts w:ascii="Aptos" w:hAnsi="Aptos"/>
                <w:b w:val="0"/>
                <w:sz w:val="19"/>
              </w:rPr>
              <w:t>168,469.60</w:t>
            </w:r>
          </w:p>
        </w:tc>
      </w:tr>
      <w:tr>
        <w:tc>
          <w:tcPr>
            <w:tcW w:type="dxa" w:w="4320"/>
            <w:vAlign w:val="center"/>
          </w:tcPr>
          <w:p>
            <w:pPr>
              <w:spacing w:after="0"/>
            </w:pPr>
            <w:r/>
            <w:r>
              <w:rPr>
                <w:rFonts w:ascii="Aptos" w:hAnsi="Aptos"/>
                <w:b w:val="0"/>
                <w:sz w:val="19"/>
              </w:rPr>
              <w:t>Invoice date range</w:t>
            </w:r>
          </w:p>
        </w:tc>
        <w:tc>
          <w:tcPr>
            <w:tcW w:type="dxa" w:w="4752"/>
            <w:vAlign w:val="center"/>
          </w:tcPr>
          <w:p>
            <w:pPr>
              <w:spacing w:after="0"/>
            </w:pPr>
            <w:r/>
            <w:r>
              <w:rPr>
                <w:rFonts w:ascii="Aptos" w:hAnsi="Aptos"/>
                <w:b w:val="0"/>
                <w:sz w:val="19"/>
              </w:rPr>
              <w:t>2010-12-01 08:26 to 2011-12-09 12:50</w:t>
            </w:r>
          </w:p>
        </w:tc>
      </w:tr>
      <w:tr>
        <w:tc>
          <w:tcPr>
            <w:tcW w:type="dxa" w:w="4320"/>
            <w:vAlign w:val="center"/>
          </w:tcPr>
          <w:p>
            <w:pPr>
              <w:spacing w:after="0"/>
            </w:pPr>
            <w:r/>
            <w:r>
              <w:rPr>
                <w:rFonts w:ascii="Aptos" w:hAnsi="Aptos"/>
                <w:b w:val="0"/>
                <w:sz w:val="19"/>
              </w:rPr>
              <w:t>Unique customers</w:t>
            </w:r>
          </w:p>
        </w:tc>
        <w:tc>
          <w:tcPr>
            <w:tcW w:type="dxa" w:w="4752"/>
            <w:vAlign w:val="center"/>
          </w:tcPr>
          <w:p>
            <w:pPr>
              <w:spacing w:after="0"/>
            </w:pPr>
            <w:r/>
            <w:r>
              <w:rPr>
                <w:rFonts w:ascii="Aptos" w:hAnsi="Aptos"/>
                <w:b w:val="0"/>
                <w:sz w:val="19"/>
              </w:rPr>
              <w:t>4,338</w:t>
            </w:r>
          </w:p>
        </w:tc>
      </w:tr>
      <w:tr>
        <w:tc>
          <w:tcPr>
            <w:tcW w:type="dxa" w:w="4320"/>
            <w:vAlign w:val="center"/>
          </w:tcPr>
          <w:p>
            <w:pPr>
              <w:spacing w:after="0"/>
            </w:pPr>
            <w:r/>
            <w:r>
              <w:rPr>
                <w:rFonts w:ascii="Aptos" w:hAnsi="Aptos"/>
                <w:b w:val="0"/>
                <w:sz w:val="19"/>
              </w:rPr>
              <w:t>Unique invoices</w:t>
            </w:r>
          </w:p>
        </w:tc>
        <w:tc>
          <w:tcPr>
            <w:tcW w:type="dxa" w:w="4752"/>
            <w:vAlign w:val="center"/>
          </w:tcPr>
          <w:p>
            <w:pPr>
              <w:spacing w:after="0"/>
            </w:pPr>
            <w:r/>
            <w:r>
              <w:rPr>
                <w:rFonts w:ascii="Aptos" w:hAnsi="Aptos"/>
                <w:b w:val="0"/>
                <w:sz w:val="19"/>
              </w:rPr>
              <w:t>18,532</w:t>
            </w:r>
          </w:p>
        </w:tc>
      </w:tr>
      <w:tr>
        <w:tc>
          <w:tcPr>
            <w:tcW w:type="dxa" w:w="4320"/>
            <w:vAlign w:val="center"/>
          </w:tcPr>
          <w:p>
            <w:pPr>
              <w:spacing w:after="0"/>
            </w:pPr>
            <w:r/>
            <w:r>
              <w:rPr>
                <w:rFonts w:ascii="Aptos" w:hAnsi="Aptos"/>
                <w:b w:val="0"/>
                <w:sz w:val="19"/>
              </w:rPr>
              <w:t>Unique countries</w:t>
            </w:r>
          </w:p>
        </w:tc>
        <w:tc>
          <w:tcPr>
            <w:tcW w:type="dxa" w:w="4752"/>
            <w:vAlign w:val="center"/>
          </w:tcPr>
          <w:p>
            <w:pPr>
              <w:spacing w:after="0"/>
            </w:pPr>
            <w:r/>
            <w:r>
              <w:rPr>
                <w:rFonts w:ascii="Aptos" w:hAnsi="Aptos"/>
                <w:b w:val="0"/>
                <w:sz w:val="19"/>
              </w:rPr>
              <w:t>37</w:t>
            </w:r>
          </w:p>
        </w:tc>
      </w:tr>
    </w:tbl>
    <w:p>
      <w:pPr>
        <w:spacing w:after="40"/>
      </w:pPr>
    </w:p>
    <w:p>
      <w:pPr>
        <w:pStyle w:val="Heading1"/>
      </w:pPr>
      <w:r>
        <w:rPr>
          <w:color w:val="21405F"/>
        </w:rPr>
        <w:t>14. Data Visualization</w:t>
      </w:r>
    </w:p>
    <w:p>
      <w:r>
        <w:t>Three focused visualizations were created to communicate the most important outcomes of the data preparation process: missing-value concentration, dataset reduction, and transaction-value distribution.</w:t>
      </w:r>
    </w:p>
    <w:p>
      <w:pPr>
        <w:jc w:val="center"/>
      </w:pPr>
      <w:r>
        <w:drawing>
          <wp:inline xmlns:a="http://schemas.openxmlformats.org/drawingml/2006/main" xmlns:pic="http://schemas.openxmlformats.org/drawingml/2006/picture">
            <wp:extent cx="5760720" cy="2784124"/>
            <wp:docPr id="3" name="Picture 3"/>
            <wp:cNvGraphicFramePr>
              <a:graphicFrameLocks noChangeAspect="1"/>
            </wp:cNvGraphicFramePr>
            <a:graphic>
              <a:graphicData uri="http://schemas.openxmlformats.org/drawingml/2006/picture">
                <pic:pic>
                  <pic:nvPicPr>
                    <pic:cNvPr id="0" name="c5f0b9a3-f608-4992-99df-cba9e9c89d56.png"/>
                    <pic:cNvPicPr/>
                  </pic:nvPicPr>
                  <pic:blipFill>
                    <a:blip r:embed="rId13"/>
                    <a:stretch>
                      <a:fillRect/>
                    </a:stretch>
                  </pic:blipFill>
                  <pic:spPr>
                    <a:xfrm>
                      <a:off x="0" y="0"/>
                      <a:ext cx="5760720" cy="2784124"/>
                    </a:xfrm>
                    <a:prstGeom prst="rect"/>
                  </pic:spPr>
                </pic:pic>
              </a:graphicData>
            </a:graphic>
          </wp:inline>
        </w:drawing>
      </w:r>
    </w:p>
    <w:p>
      <w:pPr>
        <w:jc w:val="center"/>
      </w:pPr>
      <w:r>
        <w:rPr>
          <w:b/>
          <w:color w:val="464646"/>
          <w:sz w:val="18"/>
        </w:rPr>
        <w:t>Figure 3: Distribution of Transaction Amounts</w:t>
      </w:r>
    </w:p>
    <w:p>
      <w:r>
        <w:t>The transaction amount distribution is strongly right-skewed. Most transaction values are concentrated in a lower range, while a smaller number of high-value transactions form a long right tail. A logarithmic x-axis was used because transaction amounts vary substantially in magnitude.</w:t>
      </w:r>
    </w:p>
    <w:p>
      <w:pPr>
        <w:pStyle w:val="Heading1"/>
      </w:pPr>
      <w:r>
        <w:rPr>
          <w:color w:val="21405F"/>
        </w:rPr>
        <w:t>15. Before-and-After Summary</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263238"/>
          </w:tcPr>
          <w:p>
            <w:pPr>
              <w:spacing w:after="0"/>
            </w:pPr>
            <w:r/>
            <w:r>
              <w:rPr>
                <w:rFonts w:ascii="Aptos" w:hAnsi="Aptos"/>
                <w:b/>
                <w:color w:val="FFFFFF"/>
                <w:sz w:val="19"/>
              </w:rPr>
              <w:t>Aspect</w:t>
            </w:r>
          </w:p>
        </w:tc>
        <w:tc>
          <w:tcPr>
            <w:tcW w:type="dxa" w:w="3312"/>
            <w:vAlign w:val="center"/>
            <w:shd w:fill="263238"/>
          </w:tcPr>
          <w:p>
            <w:pPr>
              <w:spacing w:after="0"/>
            </w:pPr>
            <w:r/>
            <w:r>
              <w:rPr>
                <w:rFonts w:ascii="Aptos" w:hAnsi="Aptos"/>
                <w:b/>
                <w:color w:val="FFFFFF"/>
                <w:sz w:val="19"/>
              </w:rPr>
              <w:t>Before Cleaning</w:t>
            </w:r>
          </w:p>
        </w:tc>
        <w:tc>
          <w:tcPr>
            <w:tcW w:type="dxa" w:w="4032"/>
            <w:vAlign w:val="center"/>
            <w:shd w:fill="263238"/>
          </w:tcPr>
          <w:p>
            <w:pPr>
              <w:spacing w:after="0"/>
            </w:pPr>
            <w:r/>
            <w:r>
              <w:rPr>
                <w:rFonts w:ascii="Aptos" w:hAnsi="Aptos"/>
                <w:b/>
                <w:color w:val="FFFFFF"/>
                <w:sz w:val="19"/>
              </w:rPr>
              <w:t>After Cleaning &amp; Preprocessing</w:t>
            </w:r>
          </w:p>
        </w:tc>
      </w:tr>
      <w:tr>
        <w:tc>
          <w:tcPr>
            <w:tcW w:type="dxa" w:w="2592"/>
            <w:vAlign w:val="center"/>
          </w:tcPr>
          <w:p>
            <w:pPr>
              <w:spacing w:after="0"/>
            </w:pPr>
            <w:r/>
            <w:r>
              <w:rPr>
                <w:rFonts w:ascii="Aptos" w:hAnsi="Aptos"/>
                <w:b w:val="0"/>
                <w:sz w:val="19"/>
              </w:rPr>
              <w:t>Rows</w:t>
            </w:r>
          </w:p>
        </w:tc>
        <w:tc>
          <w:tcPr>
            <w:tcW w:type="dxa" w:w="3312"/>
            <w:vAlign w:val="center"/>
          </w:tcPr>
          <w:p>
            <w:pPr>
              <w:spacing w:after="0"/>
            </w:pPr>
            <w:r/>
            <w:r>
              <w:rPr>
                <w:rFonts w:ascii="Aptos" w:hAnsi="Aptos"/>
                <w:b w:val="0"/>
                <w:sz w:val="19"/>
              </w:rPr>
              <w:t>541,909</w:t>
            </w:r>
          </w:p>
        </w:tc>
        <w:tc>
          <w:tcPr>
            <w:tcW w:type="dxa" w:w="4032"/>
            <w:vAlign w:val="center"/>
          </w:tcPr>
          <w:p>
            <w:pPr>
              <w:spacing w:after="0"/>
            </w:pPr>
            <w:r/>
            <w:r>
              <w:rPr>
                <w:rFonts w:ascii="Aptos" w:hAnsi="Aptos"/>
                <w:b w:val="0"/>
                <w:sz w:val="19"/>
              </w:rPr>
              <w:t>392,692</w:t>
            </w:r>
          </w:p>
        </w:tc>
      </w:tr>
      <w:tr>
        <w:tc>
          <w:tcPr>
            <w:tcW w:type="dxa" w:w="2592"/>
            <w:vAlign w:val="center"/>
          </w:tcPr>
          <w:p>
            <w:pPr>
              <w:spacing w:after="0"/>
            </w:pPr>
            <w:r/>
            <w:r>
              <w:rPr>
                <w:rFonts w:ascii="Aptos" w:hAnsi="Aptos"/>
                <w:b w:val="0"/>
                <w:sz w:val="19"/>
              </w:rPr>
              <w:t>Columns</w:t>
            </w:r>
          </w:p>
        </w:tc>
        <w:tc>
          <w:tcPr>
            <w:tcW w:type="dxa" w:w="3312"/>
            <w:vAlign w:val="center"/>
          </w:tcPr>
          <w:p>
            <w:pPr>
              <w:spacing w:after="0"/>
            </w:pPr>
            <w:r/>
            <w:r>
              <w:rPr>
                <w:rFonts w:ascii="Aptos" w:hAnsi="Aptos"/>
                <w:b w:val="0"/>
                <w:sz w:val="19"/>
              </w:rPr>
              <w:t>8</w:t>
            </w:r>
          </w:p>
        </w:tc>
        <w:tc>
          <w:tcPr>
            <w:tcW w:type="dxa" w:w="4032"/>
            <w:vAlign w:val="center"/>
          </w:tcPr>
          <w:p>
            <w:pPr>
              <w:spacing w:after="0"/>
            </w:pPr>
            <w:r/>
            <w:r>
              <w:rPr>
                <w:rFonts w:ascii="Aptos" w:hAnsi="Aptos"/>
                <w:b w:val="0"/>
                <w:sz w:val="19"/>
              </w:rPr>
              <w:t>13</w:t>
            </w:r>
          </w:p>
        </w:tc>
      </w:tr>
      <w:tr>
        <w:tc>
          <w:tcPr>
            <w:tcW w:type="dxa" w:w="2592"/>
            <w:vAlign w:val="center"/>
          </w:tcPr>
          <w:p>
            <w:pPr>
              <w:spacing w:after="0"/>
            </w:pPr>
            <w:r/>
            <w:r>
              <w:rPr>
                <w:rFonts w:ascii="Aptos" w:hAnsi="Aptos"/>
                <w:b w:val="0"/>
                <w:sz w:val="19"/>
              </w:rPr>
              <w:t>Missing CustomerID</w:t>
            </w:r>
          </w:p>
        </w:tc>
        <w:tc>
          <w:tcPr>
            <w:tcW w:type="dxa" w:w="3312"/>
            <w:vAlign w:val="center"/>
          </w:tcPr>
          <w:p>
            <w:pPr>
              <w:spacing w:after="0"/>
            </w:pPr>
            <w:r/>
            <w:r>
              <w:rPr>
                <w:rFonts w:ascii="Aptos" w:hAnsi="Aptos"/>
                <w:b w:val="0"/>
                <w:sz w:val="19"/>
              </w:rPr>
              <w:t>135,080</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Missing Description</w:t>
            </w:r>
          </w:p>
        </w:tc>
        <w:tc>
          <w:tcPr>
            <w:tcW w:type="dxa" w:w="3312"/>
            <w:vAlign w:val="center"/>
          </w:tcPr>
          <w:p>
            <w:pPr>
              <w:spacing w:after="0"/>
            </w:pPr>
            <w:r/>
            <w:r>
              <w:rPr>
                <w:rFonts w:ascii="Aptos" w:hAnsi="Aptos"/>
                <w:b w:val="0"/>
                <w:sz w:val="19"/>
              </w:rPr>
              <w:t>1,454</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Duplicate rows</w:t>
            </w:r>
          </w:p>
        </w:tc>
        <w:tc>
          <w:tcPr>
            <w:tcW w:type="dxa" w:w="3312"/>
            <w:vAlign w:val="center"/>
          </w:tcPr>
          <w:p>
            <w:pPr>
              <w:spacing w:after="0"/>
            </w:pPr>
            <w:r/>
            <w:r>
              <w:rPr>
                <w:rFonts w:ascii="Aptos" w:hAnsi="Aptos"/>
                <w:b w:val="0"/>
                <w:sz w:val="19"/>
              </w:rPr>
              <w:t>10,147 identified</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Cancelled invoices</w:t>
            </w:r>
          </w:p>
        </w:tc>
        <w:tc>
          <w:tcPr>
            <w:tcW w:type="dxa" w:w="3312"/>
            <w:vAlign w:val="center"/>
          </w:tcPr>
          <w:p>
            <w:pPr>
              <w:spacing w:after="0"/>
            </w:pPr>
            <w:r/>
            <w:r>
              <w:rPr>
                <w:rFonts w:ascii="Aptos" w:hAnsi="Aptos"/>
                <w:b w:val="0"/>
                <w:sz w:val="19"/>
              </w:rPr>
              <w:t>9,288 identified</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Negative quantities</w:t>
            </w:r>
          </w:p>
        </w:tc>
        <w:tc>
          <w:tcPr>
            <w:tcW w:type="dxa" w:w="3312"/>
            <w:vAlign w:val="center"/>
          </w:tcPr>
          <w:p>
            <w:pPr>
              <w:spacing w:after="0"/>
            </w:pPr>
            <w:r/>
            <w:r>
              <w:rPr>
                <w:rFonts w:ascii="Aptos" w:hAnsi="Aptos"/>
                <w:b w:val="0"/>
                <w:sz w:val="19"/>
              </w:rPr>
              <w:t>10,624</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Non-positive UnitPrice</w:t>
            </w:r>
          </w:p>
        </w:tc>
        <w:tc>
          <w:tcPr>
            <w:tcW w:type="dxa" w:w="3312"/>
            <w:vAlign w:val="center"/>
          </w:tcPr>
          <w:p>
            <w:pPr>
              <w:spacing w:after="0"/>
            </w:pPr>
            <w:r/>
            <w:r>
              <w:rPr>
                <w:rFonts w:ascii="Aptos" w:hAnsi="Aptos"/>
                <w:b w:val="0"/>
                <w:sz w:val="19"/>
              </w:rPr>
              <w:t>2,517</w:t>
            </w:r>
          </w:p>
        </w:tc>
        <w:tc>
          <w:tcPr>
            <w:tcW w:type="dxa" w:w="4032"/>
            <w:vAlign w:val="center"/>
          </w:tcPr>
          <w:p>
            <w:pPr>
              <w:spacing w:after="0"/>
            </w:pPr>
            <w:r/>
            <w:r>
              <w:rPr>
                <w:rFonts w:ascii="Aptos" w:hAnsi="Aptos"/>
                <w:b w:val="0"/>
                <w:sz w:val="19"/>
              </w:rPr>
              <w:t>0</w:t>
            </w:r>
          </w:p>
        </w:tc>
      </w:tr>
      <w:tr>
        <w:tc>
          <w:tcPr>
            <w:tcW w:type="dxa" w:w="2592"/>
            <w:vAlign w:val="center"/>
          </w:tcPr>
          <w:p>
            <w:pPr>
              <w:spacing w:after="0"/>
            </w:pPr>
            <w:r/>
            <w:r>
              <w:rPr>
                <w:rFonts w:ascii="Aptos" w:hAnsi="Aptos"/>
                <w:b w:val="0"/>
                <w:sz w:val="19"/>
              </w:rPr>
              <w:t>TotalAmount feature</w:t>
            </w:r>
          </w:p>
        </w:tc>
        <w:tc>
          <w:tcPr>
            <w:tcW w:type="dxa" w:w="3312"/>
            <w:vAlign w:val="center"/>
          </w:tcPr>
          <w:p>
            <w:pPr>
              <w:spacing w:after="0"/>
            </w:pPr>
            <w:r/>
            <w:r>
              <w:rPr>
                <w:rFonts w:ascii="Aptos" w:hAnsi="Aptos"/>
                <w:b w:val="0"/>
                <w:sz w:val="19"/>
              </w:rPr>
              <w:t>Not available</w:t>
            </w:r>
          </w:p>
        </w:tc>
        <w:tc>
          <w:tcPr>
            <w:tcW w:type="dxa" w:w="4032"/>
            <w:vAlign w:val="center"/>
          </w:tcPr>
          <w:p>
            <w:pPr>
              <w:spacing w:after="0"/>
            </w:pPr>
            <w:r/>
            <w:r>
              <w:rPr>
                <w:rFonts w:ascii="Aptos" w:hAnsi="Aptos"/>
                <w:b w:val="0"/>
                <w:sz w:val="19"/>
              </w:rPr>
              <w:t>Created</w:t>
            </w:r>
          </w:p>
        </w:tc>
      </w:tr>
      <w:tr>
        <w:tc>
          <w:tcPr>
            <w:tcW w:type="dxa" w:w="2592"/>
            <w:vAlign w:val="center"/>
          </w:tcPr>
          <w:p>
            <w:pPr>
              <w:spacing w:after="0"/>
            </w:pPr>
            <w:r/>
            <w:r>
              <w:rPr>
                <w:rFonts w:ascii="Aptos" w:hAnsi="Aptos"/>
                <w:b w:val="0"/>
                <w:sz w:val="19"/>
              </w:rPr>
              <w:t>Date-time features</w:t>
            </w:r>
          </w:p>
        </w:tc>
        <w:tc>
          <w:tcPr>
            <w:tcW w:type="dxa" w:w="3312"/>
            <w:vAlign w:val="center"/>
          </w:tcPr>
          <w:p>
            <w:pPr>
              <w:spacing w:after="0"/>
            </w:pPr>
            <w:r/>
            <w:r>
              <w:rPr>
                <w:rFonts w:ascii="Aptos" w:hAnsi="Aptos"/>
                <w:b w:val="0"/>
                <w:sz w:val="19"/>
              </w:rPr>
              <w:t>InvoiceDate only</w:t>
            </w:r>
          </w:p>
        </w:tc>
        <w:tc>
          <w:tcPr>
            <w:tcW w:type="dxa" w:w="4032"/>
            <w:vAlign w:val="center"/>
          </w:tcPr>
          <w:p>
            <w:pPr>
              <w:spacing w:after="0"/>
            </w:pPr>
            <w:r/>
            <w:r>
              <w:rPr>
                <w:rFonts w:ascii="Aptos" w:hAnsi="Aptos"/>
                <w:b w:val="0"/>
                <w:sz w:val="19"/>
              </w:rPr>
              <w:t>Year, Month, Day, Hour</w:t>
            </w:r>
          </w:p>
        </w:tc>
      </w:tr>
    </w:tbl>
    <w:p>
      <w:pPr>
        <w:spacing w:after="40"/>
      </w:pPr>
    </w:p>
    <w:p>
      <w:pPr>
        <w:pStyle w:val="Heading1"/>
      </w:pPr>
      <w:r>
        <w:rPr>
          <w:color w:val="21405F"/>
        </w:rPr>
        <w:t>16. Data-Handling Decisions and Limitations</w:t>
      </w:r>
    </w:p>
    <w:p>
      <w:pPr>
        <w:pStyle w:val="ListBullet"/>
        <w:spacing w:after="60"/>
      </w:pPr>
      <w:r>
        <w:t>Missing CustomerID values were excluded because the intended cleaned dataset requires reliable customer-level linkage. This reduces coverage and should be considered if the dataset is later used for transaction-only analysis.</w:t>
      </w:r>
    </w:p>
    <w:p>
      <w:pPr>
        <w:pStyle w:val="ListBullet"/>
        <w:spacing w:after="60"/>
      </w:pPr>
      <w:r>
        <w:t>Cancelled transactions were excluded to create a positive-sales analysis dataset. Cancellation/refund behavior can instead be studied separately when the business question requires it.</w:t>
      </w:r>
    </w:p>
    <w:p>
      <w:pPr>
        <w:pStyle w:val="ListBullet"/>
        <w:spacing w:after="60"/>
      </w:pPr>
      <w:r>
        <w:t>Negative quantities that were not marked as cancellation invoices were also excluded because the final dataset is intended to represent positive sales transactions.</w:t>
      </w:r>
    </w:p>
    <w:p>
      <w:pPr>
        <w:pStyle w:val="ListBullet"/>
        <w:spacing w:after="60"/>
      </w:pPr>
      <w:r>
        <w:t>Statistical IQR outliers were investigated rather than automatically deleted. Extreme values can represent legitimate bulk orders or other valid business events.</w:t>
      </w:r>
    </w:p>
    <w:p>
      <w:pPr>
        <w:pStyle w:val="ListBullet"/>
        <w:spacing w:after="60"/>
      </w:pPr>
      <w:r>
        <w:t>The cleaned dataset is therefore an analysis-specific dataset rather than a claim that every excluded row is globally erroneous.</w:t>
      </w:r>
    </w:p>
    <w:p>
      <w:pPr>
        <w:pStyle w:val="Heading1"/>
      </w:pPr>
      <w:r>
        <w:rPr>
          <w:color w:val="21405F"/>
        </w:rPr>
        <w:t>17. Challenges Encountered</w:t>
      </w:r>
    </w:p>
    <w:p>
      <w:pPr>
        <w:pStyle w:val="ListBullet"/>
        <w:spacing w:after="60"/>
      </w:pPr>
      <w:r>
        <w:t>A substantial proportion of rows had missing CustomerID values, requiring a clear analytical decision.</w:t>
      </w:r>
    </w:p>
    <w:p>
      <w:pPr>
        <w:pStyle w:val="ListBullet"/>
        <w:spacing w:after="60"/>
      </w:pPr>
      <w:r>
        <w:t>The raw dataset contained cancellation and operational records mixed with regular sales transactions.</w:t>
      </w:r>
    </w:p>
    <w:p>
      <w:pPr>
        <w:pStyle w:val="ListBullet"/>
        <w:spacing w:after="60"/>
      </w:pPr>
      <w:r>
        <w:t>Quantity and UnitPrice contained extreme values, making simple outlier deletion inappropriate.</w:t>
      </w:r>
    </w:p>
    <w:p>
      <w:pPr>
        <w:pStyle w:val="ListBullet"/>
        <w:spacing w:after="60"/>
      </w:pPr>
      <w:r>
        <w:t>Transaction amounts were highly skewed, requiring logarithmic visualization for clearer interpretation.</w:t>
      </w:r>
    </w:p>
    <w:p>
      <w:pPr>
        <w:pStyle w:val="ListBullet"/>
        <w:spacing w:after="60"/>
      </w:pPr>
      <w:r>
        <w:t>InvoiceDate required conversion from object format to datetime before time-based feature extraction.</w:t>
      </w:r>
    </w:p>
    <w:p>
      <w:pPr>
        <w:pStyle w:val="Heading1"/>
      </w:pPr>
      <w:r>
        <w:rPr>
          <w:color w:val="21405F"/>
        </w:rPr>
        <w:t>18. Conclusion</w:t>
      </w:r>
    </w:p>
    <w:p>
      <w:r>
        <w:t>The data cleaning and preprocessing task successfully transformed the raw Online Retail dataset into a structured analysis-ready dataset. The workflow systematically identified missing data, duplicates, cancelled transactions, invalid numeric values, and extreme observations before applying transparent business rules.</w:t>
      </w:r>
    </w:p>
    <w:p>
      <w:r>
        <w:t>The final dataset contains 392,692 rows and 13 columns, with zero missing values and zero duplicate rows. Additional analytical features including TotalAmount, Year, Month, Day, and Hour were created. The final validation confirmed that the resulting dataset satisfies the defined quality checks and is suitable for downstream exploratory analysis, customer analysis, visualization, and future machine-learning workflows.</w:t>
      </w:r>
    </w:p>
    <w:p>
      <w:pPr>
        <w:pStyle w:val="Heading1"/>
      </w:pPr>
      <w:r>
        <w:rPr>
          <w:color w:val="21405F"/>
        </w:rPr>
        <w:t>19. Appendix – Final Dataset Columns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263238"/>
          </w:tcPr>
          <w:p>
            <w:pPr>
              <w:spacing w:after="0"/>
            </w:pPr>
            <w:r/>
            <w:r>
              <w:rPr>
                <w:rFonts w:ascii="Aptos" w:hAnsi="Aptos"/>
                <w:b/>
                <w:color w:val="FFFFFF"/>
                <w:sz w:val="19"/>
              </w:rPr>
              <w:t>Column</w:t>
            </w:r>
          </w:p>
        </w:tc>
        <w:tc>
          <w:tcPr>
            <w:tcW w:type="dxa" w:w="4752"/>
            <w:vAlign w:val="center"/>
            <w:shd w:fill="263238"/>
          </w:tcPr>
          <w:p>
            <w:pPr>
              <w:spacing w:after="0"/>
            </w:pPr>
            <w:r/>
            <w:r>
              <w:rPr>
                <w:rFonts w:ascii="Aptos" w:hAnsi="Aptos"/>
                <w:b/>
                <w:color w:val="FFFFFF"/>
                <w:sz w:val="19"/>
              </w:rPr>
              <w:t>Final Data Type</w:t>
            </w:r>
          </w:p>
        </w:tc>
      </w:tr>
      <w:tr>
        <w:tc>
          <w:tcPr>
            <w:tcW w:type="dxa" w:w="4320"/>
            <w:vAlign w:val="center"/>
          </w:tcPr>
          <w:p>
            <w:pPr>
              <w:spacing w:after="0"/>
            </w:pPr>
            <w:r/>
            <w:r>
              <w:rPr>
                <w:rFonts w:ascii="Aptos" w:hAnsi="Aptos"/>
                <w:b w:val="0"/>
                <w:sz w:val="19"/>
              </w:rPr>
              <w:t>InvoiceNo</w:t>
            </w:r>
          </w:p>
        </w:tc>
        <w:tc>
          <w:tcPr>
            <w:tcW w:type="dxa" w:w="4752"/>
            <w:vAlign w:val="center"/>
          </w:tcPr>
          <w:p>
            <w:pPr>
              <w:spacing w:after="0"/>
            </w:pPr>
            <w:r/>
            <w:r>
              <w:rPr>
                <w:rFonts w:ascii="Aptos" w:hAnsi="Aptos"/>
                <w:b w:val="0"/>
                <w:sz w:val="19"/>
              </w:rPr>
              <w:t>object</w:t>
            </w:r>
          </w:p>
        </w:tc>
      </w:tr>
      <w:tr>
        <w:tc>
          <w:tcPr>
            <w:tcW w:type="dxa" w:w="4320"/>
            <w:vAlign w:val="center"/>
          </w:tcPr>
          <w:p>
            <w:pPr>
              <w:spacing w:after="0"/>
            </w:pPr>
            <w:r/>
            <w:r>
              <w:rPr>
                <w:rFonts w:ascii="Aptos" w:hAnsi="Aptos"/>
                <w:b w:val="0"/>
                <w:sz w:val="19"/>
              </w:rPr>
              <w:t>StockCode</w:t>
            </w:r>
          </w:p>
        </w:tc>
        <w:tc>
          <w:tcPr>
            <w:tcW w:type="dxa" w:w="4752"/>
            <w:vAlign w:val="center"/>
          </w:tcPr>
          <w:p>
            <w:pPr>
              <w:spacing w:after="0"/>
            </w:pPr>
            <w:r/>
            <w:r>
              <w:rPr>
                <w:rFonts w:ascii="Aptos" w:hAnsi="Aptos"/>
                <w:b w:val="0"/>
                <w:sz w:val="19"/>
              </w:rPr>
              <w:t>object</w:t>
            </w:r>
          </w:p>
        </w:tc>
      </w:tr>
      <w:tr>
        <w:tc>
          <w:tcPr>
            <w:tcW w:type="dxa" w:w="4320"/>
            <w:vAlign w:val="center"/>
          </w:tcPr>
          <w:p>
            <w:pPr>
              <w:spacing w:after="0"/>
            </w:pPr>
            <w:r/>
            <w:r>
              <w:rPr>
                <w:rFonts w:ascii="Aptos" w:hAnsi="Aptos"/>
                <w:b w:val="0"/>
                <w:sz w:val="19"/>
              </w:rPr>
              <w:t>Description</w:t>
            </w:r>
          </w:p>
        </w:tc>
        <w:tc>
          <w:tcPr>
            <w:tcW w:type="dxa" w:w="4752"/>
            <w:vAlign w:val="center"/>
          </w:tcPr>
          <w:p>
            <w:pPr>
              <w:spacing w:after="0"/>
            </w:pPr>
            <w:r/>
            <w:r>
              <w:rPr>
                <w:rFonts w:ascii="Aptos" w:hAnsi="Aptos"/>
                <w:b w:val="0"/>
                <w:sz w:val="19"/>
              </w:rPr>
              <w:t>object</w:t>
            </w:r>
          </w:p>
        </w:tc>
      </w:tr>
      <w:tr>
        <w:tc>
          <w:tcPr>
            <w:tcW w:type="dxa" w:w="4320"/>
            <w:vAlign w:val="center"/>
          </w:tcPr>
          <w:p>
            <w:pPr>
              <w:spacing w:after="0"/>
            </w:pPr>
            <w:r/>
            <w:r>
              <w:rPr>
                <w:rFonts w:ascii="Aptos" w:hAnsi="Aptos"/>
                <w:b w:val="0"/>
                <w:sz w:val="19"/>
              </w:rPr>
              <w:t>Quantity</w:t>
            </w:r>
          </w:p>
        </w:tc>
        <w:tc>
          <w:tcPr>
            <w:tcW w:type="dxa" w:w="4752"/>
            <w:vAlign w:val="center"/>
          </w:tcPr>
          <w:p>
            <w:pPr>
              <w:spacing w:after="0"/>
            </w:pPr>
            <w:r/>
            <w:r>
              <w:rPr>
                <w:rFonts w:ascii="Aptos" w:hAnsi="Aptos"/>
                <w:b w:val="0"/>
                <w:sz w:val="19"/>
              </w:rPr>
              <w:t>int64</w:t>
            </w:r>
          </w:p>
        </w:tc>
      </w:tr>
      <w:tr>
        <w:tc>
          <w:tcPr>
            <w:tcW w:type="dxa" w:w="4320"/>
            <w:vAlign w:val="center"/>
          </w:tcPr>
          <w:p>
            <w:pPr>
              <w:spacing w:after="0"/>
            </w:pPr>
            <w:r/>
            <w:r>
              <w:rPr>
                <w:rFonts w:ascii="Aptos" w:hAnsi="Aptos"/>
                <w:b w:val="0"/>
                <w:sz w:val="19"/>
              </w:rPr>
              <w:t>InvoiceDate</w:t>
            </w:r>
          </w:p>
        </w:tc>
        <w:tc>
          <w:tcPr>
            <w:tcW w:type="dxa" w:w="4752"/>
            <w:vAlign w:val="center"/>
          </w:tcPr>
          <w:p>
            <w:pPr>
              <w:spacing w:after="0"/>
            </w:pPr>
            <w:r/>
            <w:r>
              <w:rPr>
                <w:rFonts w:ascii="Aptos" w:hAnsi="Aptos"/>
                <w:b w:val="0"/>
                <w:sz w:val="19"/>
              </w:rPr>
              <w:t>datetime64[ns]</w:t>
            </w:r>
          </w:p>
        </w:tc>
      </w:tr>
      <w:tr>
        <w:tc>
          <w:tcPr>
            <w:tcW w:type="dxa" w:w="4320"/>
            <w:vAlign w:val="center"/>
          </w:tcPr>
          <w:p>
            <w:pPr>
              <w:spacing w:after="0"/>
            </w:pPr>
            <w:r/>
            <w:r>
              <w:rPr>
                <w:rFonts w:ascii="Aptos" w:hAnsi="Aptos"/>
                <w:b w:val="0"/>
                <w:sz w:val="19"/>
              </w:rPr>
              <w:t>UnitPrice</w:t>
            </w:r>
          </w:p>
        </w:tc>
        <w:tc>
          <w:tcPr>
            <w:tcW w:type="dxa" w:w="4752"/>
            <w:vAlign w:val="center"/>
          </w:tcPr>
          <w:p>
            <w:pPr>
              <w:spacing w:after="0"/>
            </w:pPr>
            <w:r/>
            <w:r>
              <w:rPr>
                <w:rFonts w:ascii="Aptos" w:hAnsi="Aptos"/>
                <w:b w:val="0"/>
                <w:sz w:val="19"/>
              </w:rPr>
              <w:t>float64</w:t>
            </w:r>
          </w:p>
        </w:tc>
      </w:tr>
      <w:tr>
        <w:tc>
          <w:tcPr>
            <w:tcW w:type="dxa" w:w="4320"/>
            <w:vAlign w:val="center"/>
          </w:tcPr>
          <w:p>
            <w:pPr>
              <w:spacing w:after="0"/>
            </w:pPr>
            <w:r/>
            <w:r>
              <w:rPr>
                <w:rFonts w:ascii="Aptos" w:hAnsi="Aptos"/>
                <w:b w:val="0"/>
                <w:sz w:val="19"/>
              </w:rPr>
              <w:t>CustomerID</w:t>
            </w:r>
          </w:p>
        </w:tc>
        <w:tc>
          <w:tcPr>
            <w:tcW w:type="dxa" w:w="4752"/>
            <w:vAlign w:val="center"/>
          </w:tcPr>
          <w:p>
            <w:pPr>
              <w:spacing w:after="0"/>
            </w:pPr>
            <w:r/>
            <w:r>
              <w:rPr>
                <w:rFonts w:ascii="Aptos" w:hAnsi="Aptos"/>
                <w:b w:val="0"/>
                <w:sz w:val="19"/>
              </w:rPr>
              <w:t>int64</w:t>
            </w:r>
          </w:p>
        </w:tc>
      </w:tr>
      <w:tr>
        <w:tc>
          <w:tcPr>
            <w:tcW w:type="dxa" w:w="4320"/>
            <w:vAlign w:val="center"/>
          </w:tcPr>
          <w:p>
            <w:pPr>
              <w:spacing w:after="0"/>
            </w:pPr>
            <w:r/>
            <w:r>
              <w:rPr>
                <w:rFonts w:ascii="Aptos" w:hAnsi="Aptos"/>
                <w:b w:val="0"/>
                <w:sz w:val="19"/>
              </w:rPr>
              <w:t>Country</w:t>
            </w:r>
          </w:p>
        </w:tc>
        <w:tc>
          <w:tcPr>
            <w:tcW w:type="dxa" w:w="4752"/>
            <w:vAlign w:val="center"/>
          </w:tcPr>
          <w:p>
            <w:pPr>
              <w:spacing w:after="0"/>
            </w:pPr>
            <w:r/>
            <w:r>
              <w:rPr>
                <w:rFonts w:ascii="Aptos" w:hAnsi="Aptos"/>
                <w:b w:val="0"/>
                <w:sz w:val="19"/>
              </w:rPr>
              <w:t>object</w:t>
            </w:r>
          </w:p>
        </w:tc>
      </w:tr>
      <w:tr>
        <w:tc>
          <w:tcPr>
            <w:tcW w:type="dxa" w:w="4320"/>
            <w:vAlign w:val="center"/>
          </w:tcPr>
          <w:p>
            <w:pPr>
              <w:spacing w:after="0"/>
            </w:pPr>
            <w:r/>
            <w:r>
              <w:rPr>
                <w:rFonts w:ascii="Aptos" w:hAnsi="Aptos"/>
                <w:b w:val="0"/>
                <w:sz w:val="19"/>
              </w:rPr>
              <w:t>TotalAmount</w:t>
            </w:r>
          </w:p>
        </w:tc>
        <w:tc>
          <w:tcPr>
            <w:tcW w:type="dxa" w:w="4752"/>
            <w:vAlign w:val="center"/>
          </w:tcPr>
          <w:p>
            <w:pPr>
              <w:spacing w:after="0"/>
            </w:pPr>
            <w:r/>
            <w:r>
              <w:rPr>
                <w:rFonts w:ascii="Aptos" w:hAnsi="Aptos"/>
                <w:b w:val="0"/>
                <w:sz w:val="19"/>
              </w:rPr>
              <w:t>float64</w:t>
            </w:r>
          </w:p>
        </w:tc>
      </w:tr>
      <w:tr>
        <w:tc>
          <w:tcPr>
            <w:tcW w:type="dxa" w:w="4320"/>
            <w:vAlign w:val="center"/>
          </w:tcPr>
          <w:p>
            <w:pPr>
              <w:spacing w:after="0"/>
            </w:pPr>
            <w:r/>
            <w:r>
              <w:rPr>
                <w:rFonts w:ascii="Aptos" w:hAnsi="Aptos"/>
                <w:b w:val="0"/>
                <w:sz w:val="19"/>
              </w:rPr>
              <w:t>Year</w:t>
            </w:r>
          </w:p>
        </w:tc>
        <w:tc>
          <w:tcPr>
            <w:tcW w:type="dxa" w:w="4752"/>
            <w:vAlign w:val="center"/>
          </w:tcPr>
          <w:p>
            <w:pPr>
              <w:spacing w:after="0"/>
            </w:pPr>
            <w:r/>
            <w:r>
              <w:rPr>
                <w:rFonts w:ascii="Aptos" w:hAnsi="Aptos"/>
                <w:b w:val="0"/>
                <w:sz w:val="19"/>
              </w:rPr>
              <w:t>int32</w:t>
            </w:r>
          </w:p>
        </w:tc>
      </w:tr>
      <w:tr>
        <w:tc>
          <w:tcPr>
            <w:tcW w:type="dxa" w:w="4320"/>
            <w:vAlign w:val="center"/>
          </w:tcPr>
          <w:p>
            <w:pPr>
              <w:spacing w:after="0"/>
            </w:pPr>
            <w:r/>
            <w:r>
              <w:rPr>
                <w:rFonts w:ascii="Aptos" w:hAnsi="Aptos"/>
                <w:b w:val="0"/>
                <w:sz w:val="19"/>
              </w:rPr>
              <w:t>Month</w:t>
            </w:r>
          </w:p>
        </w:tc>
        <w:tc>
          <w:tcPr>
            <w:tcW w:type="dxa" w:w="4752"/>
            <w:vAlign w:val="center"/>
          </w:tcPr>
          <w:p>
            <w:pPr>
              <w:spacing w:after="0"/>
            </w:pPr>
            <w:r/>
            <w:r>
              <w:rPr>
                <w:rFonts w:ascii="Aptos" w:hAnsi="Aptos"/>
                <w:b w:val="0"/>
                <w:sz w:val="19"/>
              </w:rPr>
              <w:t>int32</w:t>
            </w:r>
          </w:p>
        </w:tc>
      </w:tr>
      <w:tr>
        <w:tc>
          <w:tcPr>
            <w:tcW w:type="dxa" w:w="4320"/>
            <w:vAlign w:val="center"/>
          </w:tcPr>
          <w:p>
            <w:pPr>
              <w:spacing w:after="0"/>
            </w:pPr>
            <w:r/>
            <w:r>
              <w:rPr>
                <w:rFonts w:ascii="Aptos" w:hAnsi="Aptos"/>
                <w:b w:val="0"/>
                <w:sz w:val="19"/>
              </w:rPr>
              <w:t>Day</w:t>
            </w:r>
          </w:p>
        </w:tc>
        <w:tc>
          <w:tcPr>
            <w:tcW w:type="dxa" w:w="4752"/>
            <w:vAlign w:val="center"/>
          </w:tcPr>
          <w:p>
            <w:pPr>
              <w:spacing w:after="0"/>
            </w:pPr>
            <w:r/>
            <w:r>
              <w:rPr>
                <w:rFonts w:ascii="Aptos" w:hAnsi="Aptos"/>
                <w:b w:val="0"/>
                <w:sz w:val="19"/>
              </w:rPr>
              <w:t>int32</w:t>
            </w:r>
          </w:p>
        </w:tc>
      </w:tr>
      <w:tr>
        <w:tc>
          <w:tcPr>
            <w:tcW w:type="dxa" w:w="4320"/>
            <w:vAlign w:val="center"/>
          </w:tcPr>
          <w:p>
            <w:pPr>
              <w:spacing w:after="0"/>
            </w:pPr>
            <w:r/>
            <w:r>
              <w:rPr>
                <w:rFonts w:ascii="Aptos" w:hAnsi="Aptos"/>
                <w:b w:val="0"/>
                <w:sz w:val="19"/>
              </w:rPr>
              <w:t>Hour</w:t>
            </w:r>
          </w:p>
        </w:tc>
        <w:tc>
          <w:tcPr>
            <w:tcW w:type="dxa" w:w="4752"/>
            <w:vAlign w:val="center"/>
          </w:tcPr>
          <w:p>
            <w:pPr>
              <w:spacing w:after="0"/>
            </w:pPr>
            <w:r/>
            <w:r>
              <w:rPr>
                <w:rFonts w:ascii="Aptos" w:hAnsi="Aptos"/>
                <w:b w:val="0"/>
                <w:sz w:val="19"/>
              </w:rPr>
              <w:t>int32</w:t>
            </w:r>
          </w:p>
        </w:tc>
      </w:tr>
    </w:tbl>
    <w:p>
      <w:pPr>
        <w:spacing w:after="40"/>
      </w:pPr>
    </w:p>
    <w:p/>
    <w:p>
      <w:pPr>
        <w:jc w:val="center"/>
      </w:pPr>
      <w:r>
        <w:rPr>
          <w:b/>
          <w:color w:val="21405F"/>
        </w:rPr>
        <w:t>— End of Report —</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Suryansh Nigam  •  Data Cleaning &amp; Preprocessing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Internship Task 1 | Data Cleaning and Preprocessing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b/>
      <w:color w:val="37474F"/>
      <w:sz w:val="28"/>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