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960120" cy="973429"/>
            <wp:docPr id="1" name="Picture 1" descr="trySearch logo, an orange rounded square with a white letter t and sparkles"/>
            <wp:cNvGraphicFramePr>
              <a:graphicFrameLocks noChangeAspect="1"/>
            </wp:cNvGraphicFramePr>
            <a:graphic>
              <a:graphicData uri="http://schemas.openxmlformats.org/drawingml/2006/picture">
                <pic:pic>
                  <pic:nvPicPr>
                    <pic:cNvPr id="0" name="trysearch_logo_cropped.png"/>
                    <pic:cNvPicPr/>
                  </pic:nvPicPr>
                  <pic:blipFill>
                    <a:blip r:embed="rId12"/>
                    <a:stretch>
                      <a:fillRect/>
                    </a:stretch>
                  </pic:blipFill>
                  <pic:spPr>
                    <a:xfrm>
                      <a:off x="0" y="0"/>
                      <a:ext cx="960120" cy="973429"/>
                    </a:xfrm>
                    <a:prstGeom prst="rect"/>
                  </pic:spPr>
                </pic:pic>
              </a:graphicData>
            </a:graphic>
          </wp:inline>
        </w:drawing>
      </w:r>
    </w:p>
    <w:p>
      <w:pPr>
        <w:pStyle w:val="Title"/>
        <w:spacing w:after="120"/>
        <w:jc w:val="center"/>
      </w:pPr>
      <w:r>
        <w:t>trySearch</w:t>
        <w:br/>
        <w:t>Technical Requirements Document</w:t>
      </w:r>
    </w:p>
    <w:p>
      <w:pPr>
        <w:pStyle w:val="Subtitle"/>
        <w:jc w:val="center"/>
        <w:pBdr>
          <w:bottom w:val="single" w:sz="18" w:space="10" w:color="FF7F11"/>
        </w:pBdr>
      </w:pPr>
      <w:r>
        <w:t>Complete website and evidence-backed AEO/GEO analytics platform</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4680"/>
        <w:gridCol w:w="4680"/>
      </w:tblGrid>
      <w:tr>
        <w:tc>
          <w:tcPr>
            <w:tcW w:type="dxa" w:w="2300"/>
            <w:tcMar>
              <w:top w:w="90" w:type="dxa"/>
              <w:start w:w="130" w:type="dxa"/>
              <w:bottom w:w="90" w:type="dxa"/>
              <w:end w:w="130" w:type="dxa"/>
            </w:tcMar>
            <w:shd w:fill="F5F6F7"/>
          </w:tcPr>
          <w:p>
            <w:pPr>
              <w:spacing w:after="0"/>
            </w:pPr>
            <w:r>
              <w:rPr>
                <w:b/>
                <w:sz w:val="18"/>
              </w:rPr>
              <w:t>Document ID</w:t>
            </w:r>
          </w:p>
        </w:tc>
        <w:tc>
          <w:tcPr>
            <w:tcW w:type="dxa" w:w="7060"/>
            <w:tcMar>
              <w:top w:w="90" w:type="dxa"/>
              <w:start w:w="130" w:type="dxa"/>
              <w:bottom w:w="90" w:type="dxa"/>
              <w:end w:w="130" w:type="dxa"/>
            </w:tcMar>
          </w:tcPr>
          <w:p>
            <w:pPr>
              <w:spacing w:after="0"/>
            </w:pPr>
            <w:r>
              <w:rPr>
                <w:sz w:val="18"/>
              </w:rPr>
              <w:t>TRD-TRYSEARCH-001</w:t>
            </w:r>
          </w:p>
        </w:tc>
      </w:tr>
      <w:tr>
        <w:tc>
          <w:tcPr>
            <w:tcW w:type="dxa" w:w="2300"/>
            <w:tcMar>
              <w:top w:w="90" w:type="dxa"/>
              <w:start w:w="130" w:type="dxa"/>
              <w:bottom w:w="90" w:type="dxa"/>
              <w:end w:w="130" w:type="dxa"/>
            </w:tcMar>
            <w:shd w:fill="F5F6F7"/>
          </w:tcPr>
          <w:p>
            <w:pPr>
              <w:spacing w:after="0"/>
            </w:pPr>
            <w:r>
              <w:rPr>
                <w:b/>
                <w:sz w:val="18"/>
              </w:rPr>
              <w:t>Version</w:t>
            </w:r>
          </w:p>
        </w:tc>
        <w:tc>
          <w:tcPr>
            <w:tcW w:type="dxa" w:w="7060"/>
            <w:tcMar>
              <w:top w:w="90" w:type="dxa"/>
              <w:start w:w="130" w:type="dxa"/>
              <w:bottom w:w="90" w:type="dxa"/>
              <w:end w:w="130" w:type="dxa"/>
            </w:tcMar>
          </w:tcPr>
          <w:p>
            <w:pPr>
              <w:spacing w:after="0"/>
            </w:pPr>
            <w:r>
              <w:rPr>
                <w:sz w:val="18"/>
              </w:rPr>
              <w:t>1.0</w:t>
            </w:r>
          </w:p>
        </w:tc>
      </w:tr>
      <w:tr>
        <w:tc>
          <w:tcPr>
            <w:tcW w:type="dxa" w:w="2300"/>
            <w:tcMar>
              <w:top w:w="90" w:type="dxa"/>
              <w:start w:w="130" w:type="dxa"/>
              <w:bottom w:w="90" w:type="dxa"/>
              <w:end w:w="130" w:type="dxa"/>
            </w:tcMar>
            <w:shd w:fill="F5F6F7"/>
          </w:tcPr>
          <w:p>
            <w:pPr>
              <w:spacing w:after="0"/>
            </w:pPr>
            <w:r>
              <w:rPr>
                <w:b/>
                <w:sz w:val="18"/>
              </w:rPr>
              <w:t>Status</w:t>
            </w:r>
          </w:p>
        </w:tc>
        <w:tc>
          <w:tcPr>
            <w:tcW w:type="dxa" w:w="7060"/>
            <w:tcMar>
              <w:top w:w="90" w:type="dxa"/>
              <w:start w:w="130" w:type="dxa"/>
              <w:bottom w:w="90" w:type="dxa"/>
              <w:end w:w="130" w:type="dxa"/>
            </w:tcMar>
          </w:tcPr>
          <w:p>
            <w:pPr>
              <w:spacing w:after="0"/>
            </w:pPr>
            <w:r>
              <w:rPr>
                <w:sz w:val="18"/>
              </w:rPr>
              <w:t>Engineering baseline and production specification</w:t>
            </w:r>
          </w:p>
        </w:tc>
      </w:tr>
      <w:tr>
        <w:tc>
          <w:tcPr>
            <w:tcW w:type="dxa" w:w="2300"/>
            <w:tcMar>
              <w:top w:w="90" w:type="dxa"/>
              <w:start w:w="130" w:type="dxa"/>
              <w:bottom w:w="90" w:type="dxa"/>
              <w:end w:w="130" w:type="dxa"/>
            </w:tcMar>
            <w:shd w:fill="F5F6F7"/>
          </w:tcPr>
          <w:p>
            <w:pPr>
              <w:spacing w:after="0"/>
            </w:pPr>
            <w:r>
              <w:rPr>
                <w:b/>
                <w:sz w:val="18"/>
              </w:rPr>
              <w:t>Date</w:t>
            </w:r>
          </w:p>
        </w:tc>
        <w:tc>
          <w:tcPr>
            <w:tcW w:type="dxa" w:w="7060"/>
            <w:tcMar>
              <w:top w:w="90" w:type="dxa"/>
              <w:start w:w="130" w:type="dxa"/>
              <w:bottom w:w="90" w:type="dxa"/>
              <w:end w:w="130" w:type="dxa"/>
            </w:tcMar>
          </w:tcPr>
          <w:p>
            <w:pPr>
              <w:spacing w:after="0"/>
            </w:pPr>
            <w:r>
              <w:rPr>
                <w:sz w:val="18"/>
              </w:rPr>
              <w:t>13 August 2026</w:t>
            </w:r>
          </w:p>
        </w:tc>
      </w:tr>
      <w:tr>
        <w:tc>
          <w:tcPr>
            <w:tcW w:type="dxa" w:w="2300"/>
            <w:tcMar>
              <w:top w:w="90" w:type="dxa"/>
              <w:start w:w="130" w:type="dxa"/>
              <w:bottom w:w="90" w:type="dxa"/>
              <w:end w:w="130" w:type="dxa"/>
            </w:tcMar>
            <w:shd w:fill="F5F6F7"/>
          </w:tcPr>
          <w:p>
            <w:pPr>
              <w:spacing w:after="0"/>
            </w:pPr>
            <w:r>
              <w:rPr>
                <w:b/>
                <w:sz w:val="18"/>
              </w:rPr>
              <w:t>Owner</w:t>
            </w:r>
          </w:p>
        </w:tc>
        <w:tc>
          <w:tcPr>
            <w:tcW w:type="dxa" w:w="7060"/>
            <w:tcMar>
              <w:top w:w="90" w:type="dxa"/>
              <w:start w:w="130" w:type="dxa"/>
              <w:bottom w:w="90" w:type="dxa"/>
              <w:end w:w="130" w:type="dxa"/>
            </w:tcMar>
          </w:tcPr>
          <w:p>
            <w:pPr>
              <w:spacing w:after="0"/>
            </w:pPr>
            <w:r>
              <w:rPr>
                <w:sz w:val="18"/>
              </w:rPr>
              <w:t>trySearch Engineering</w:t>
            </w:r>
          </w:p>
        </w:tc>
      </w:tr>
      <w:tr>
        <w:tc>
          <w:tcPr>
            <w:tcW w:type="dxa" w:w="2300"/>
            <w:tcMar>
              <w:top w:w="90" w:type="dxa"/>
              <w:start w:w="130" w:type="dxa"/>
              <w:bottom w:w="90" w:type="dxa"/>
              <w:end w:w="130" w:type="dxa"/>
            </w:tcMar>
            <w:shd w:fill="F5F6F7"/>
          </w:tcPr>
          <w:p>
            <w:pPr>
              <w:spacing w:after="0"/>
            </w:pPr>
            <w:r>
              <w:rPr>
                <w:b/>
                <w:sz w:val="18"/>
              </w:rPr>
              <w:t>Scope</w:t>
            </w:r>
          </w:p>
        </w:tc>
        <w:tc>
          <w:tcPr>
            <w:tcW w:type="dxa" w:w="7060"/>
            <w:tcMar>
              <w:top w:w="90" w:type="dxa"/>
              <w:start w:w="130" w:type="dxa"/>
              <w:bottom w:w="90" w:type="dxa"/>
              <w:end w:w="130" w:type="dxa"/>
            </w:tcMar>
          </w:tcPr>
          <w:p>
            <w:pPr>
              <w:spacing w:after="0"/>
            </w:pPr>
            <w:r>
              <w:rPr>
                <w:sz w:val="18"/>
              </w:rPr>
              <w:t>Public website, authenticated product, APIs, data, integrations, PWA, operations</w:t>
            </w:r>
          </w:p>
        </w:tc>
      </w:tr>
      <w:tr>
        <w:tc>
          <w:tcPr>
            <w:tcW w:type="dxa" w:w="2300"/>
            <w:tcMar>
              <w:top w:w="90" w:type="dxa"/>
              <w:start w:w="130" w:type="dxa"/>
              <w:bottom w:w="90" w:type="dxa"/>
              <w:end w:w="130" w:type="dxa"/>
            </w:tcMar>
            <w:shd w:fill="F5F6F7"/>
          </w:tcPr>
          <w:p>
            <w:pPr>
              <w:spacing w:after="0"/>
            </w:pPr>
            <w:r>
              <w:rPr>
                <w:b/>
                <w:sz w:val="18"/>
              </w:rPr>
              <w:t>Source basis</w:t>
            </w:r>
          </w:p>
        </w:tc>
        <w:tc>
          <w:tcPr>
            <w:tcW w:type="dxa" w:w="7060"/>
            <w:tcMar>
              <w:top w:w="90" w:type="dxa"/>
              <w:start w:w="130" w:type="dxa"/>
              <w:bottom w:w="90" w:type="dxa"/>
              <w:end w:w="130" w:type="dxa"/>
            </w:tcMar>
          </w:tcPr>
          <w:p>
            <w:pPr>
              <w:spacing w:after="0"/>
            </w:pPr>
            <w:r>
              <w:rPr>
                <w:sz w:val="18"/>
              </w:rPr>
              <w:t>Repository audit of the current trySearch workspace</w:t>
            </w:r>
          </w:p>
        </w:tc>
      </w:tr>
    </w:tbl>
    <w:p/>
    <w:tbl>
      <w:tblPr>
        <w:tblW w:type="dxa" w:w="9360"/>
        <w:jc w:val="center"/>
        <w:tblLayout w:type="fixed"/>
        <w:tblLook w:firstColumn="1" w:firstRow="1" w:lastColumn="0" w:lastRow="0" w:noHBand="0" w:noVBand="1" w:val="04A0"/>
        <w:tblBorders>
          <w:top w:val="single" w:sz="8" w:color="FF7F11"/>
          <w:start w:val="single" w:sz="8" w:color="FF7F11"/>
          <w:bottom w:val="single" w:sz="8" w:color="FF7F11"/>
          <w:end w:val="single" w:sz="8" w:color="FF7F11"/>
          <w:insideH w:val="single" w:sz="8" w:color="FF7F11"/>
          <w:insideV w:val="single" w:sz="8" w:color="FF7F11"/>
        </w:tblBorders>
      </w:tblPr>
      <w:tblGrid>
        <w:gridCol w:w="9360"/>
      </w:tblGrid>
      <w:tr>
        <w:tc>
          <w:tcPr>
            <w:tcW w:type="dxa" w:w="9360"/>
            <w:shd w:fill="FFF2E8"/>
            <w:tcMar>
              <w:top w:w="180" w:type="dxa"/>
              <w:start w:w="220" w:type="dxa"/>
              <w:bottom w:w="180" w:type="dxa"/>
              <w:end w:w="220" w:type="dxa"/>
            </w:tcMar>
          </w:tcPr>
          <w:p>
            <w:pPr>
              <w:spacing w:after="80"/>
            </w:pPr>
            <w:r>
              <w:rPr>
                <w:b/>
                <w:color w:val="C84B00"/>
              </w:rPr>
              <w:t>Purpose</w:t>
            </w:r>
          </w:p>
          <w:p>
            <w:pPr>
              <w:keepLines/>
              <w:spacing w:after="0"/>
            </w:pPr>
            <w:r>
              <w:t>This document defines the complete target behavior, architecture, quality attributes, controls, and release criteria for trySearch. It also records the current implementation baseline so engineering work can be prioritized without presenting demo-only or synthetic outputs as measured customer data.</w:t>
            </w:r>
          </w:p>
        </w:tc>
      </w:tr>
    </w:tbl>
    <w:p>
      <w:pPr>
        <w:pStyle w:val="SmallNote"/>
        <w:spacing w:before="440"/>
        <w:jc w:val="center"/>
      </w:pPr>
      <w:r>
        <w:t>Classification: Internal engineering and product planning</w:t>
      </w:r>
    </w:p>
    <w:p>
      <w:r>
        <w:br w:type="page"/>
      </w:r>
    </w:p>
    <w:p>
      <w:bookmarkStart w:id="1" w:name="document_control"/>
      <w:pPr>
        <w:pStyle w:val="Heading1"/>
      </w:pPr>
      <w:r>
        <w:t>1. Document control</w:t>
      </w:r>
      <w:bookmarkEnd w:id="1"/>
    </w:p>
    <w:p>
      <w:r>
        <w:t>This TRD is the authoritative engineering baseline for the complete trySearch website. Requirements use normative language: shall indicates a release obligation; should indicates a strong recommendation; may indicates an optional capability.</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50"/>
            <w:shd w:fill="F5F6F7"/>
            <w:tcMar>
              <w:top w:w="80" w:type="dxa"/>
              <w:start w:w="120" w:type="dxa"/>
              <w:bottom w:w="80" w:type="dxa"/>
              <w:end w:w="120" w:type="dxa"/>
            </w:tcMar>
          </w:tcPr>
          <w:p>
            <w:pPr>
              <w:spacing w:after="0"/>
            </w:pPr>
            <w:r>
              <w:rPr>
                <w:b/>
                <w:color w:val="171717"/>
                <w:sz w:val="17"/>
              </w:rPr>
              <w:t>Version</w:t>
            </w:r>
          </w:p>
        </w:tc>
        <w:tc>
          <w:tcPr>
            <w:tcW w:type="dxa" w:w="1500"/>
            <w:shd w:fill="F5F6F7"/>
            <w:tcMar>
              <w:top w:w="80" w:type="dxa"/>
              <w:start w:w="120" w:type="dxa"/>
              <w:bottom w:w="80" w:type="dxa"/>
              <w:end w:w="120" w:type="dxa"/>
            </w:tcMar>
          </w:tcPr>
          <w:p>
            <w:pPr>
              <w:spacing w:after="0"/>
            </w:pPr>
            <w:r>
              <w:rPr>
                <w:b/>
                <w:color w:val="171717"/>
                <w:sz w:val="17"/>
              </w:rPr>
              <w:t>Date</w:t>
            </w:r>
          </w:p>
        </w:tc>
        <w:tc>
          <w:tcPr>
            <w:tcW w:type="dxa" w:w="2500"/>
            <w:shd w:fill="F5F6F7"/>
            <w:tcMar>
              <w:top w:w="80" w:type="dxa"/>
              <w:start w:w="120" w:type="dxa"/>
              <w:bottom w:w="80" w:type="dxa"/>
              <w:end w:w="120" w:type="dxa"/>
            </w:tcMar>
          </w:tcPr>
          <w:p>
            <w:pPr>
              <w:spacing w:after="0"/>
            </w:pPr>
            <w:r>
              <w:rPr>
                <w:b/>
                <w:color w:val="171717"/>
                <w:sz w:val="17"/>
              </w:rPr>
              <w:t>Author / owner</w:t>
            </w:r>
          </w:p>
        </w:tc>
        <w:tc>
          <w:tcPr>
            <w:tcW w:type="dxa" w:w="4410"/>
            <w:shd w:fill="F5F6F7"/>
            <w:tcMar>
              <w:top w:w="80" w:type="dxa"/>
              <w:start w:w="120" w:type="dxa"/>
              <w:bottom w:w="80" w:type="dxa"/>
              <w:end w:w="120" w:type="dxa"/>
            </w:tcMar>
          </w:tcPr>
          <w:p>
            <w:pPr>
              <w:spacing w:after="0"/>
            </w:pPr>
            <w:r>
              <w:rPr>
                <w:b/>
                <w:color w:val="171717"/>
                <w:sz w:val="17"/>
              </w:rPr>
              <w:t>Change</w:t>
            </w:r>
          </w:p>
        </w:tc>
      </w:tr>
      <w:tr>
        <w:trPr>
          <w:cantSplit/>
        </w:trPr>
        <w:tc>
          <w:tcPr>
            <w:tcW w:type="dxa" w:w="2340"/>
            <w:tcMar>
              <w:top w:w="80" w:type="dxa"/>
              <w:start w:w="120" w:type="dxa"/>
              <w:bottom w:w="80" w:type="dxa"/>
              <w:end w:w="120" w:type="dxa"/>
            </w:tcMar>
          </w:tcPr>
          <w:p>
            <w:pPr>
              <w:spacing w:after="0" w:line="240" w:lineRule="auto"/>
            </w:pPr>
            <w:r>
              <w:rPr>
                <w:sz w:val="17"/>
              </w:rPr>
              <w:t>1.0</w:t>
            </w:r>
          </w:p>
        </w:tc>
        <w:tc>
          <w:tcPr>
            <w:tcW w:type="dxa" w:w="2340"/>
            <w:tcMar>
              <w:top w:w="80" w:type="dxa"/>
              <w:start w:w="120" w:type="dxa"/>
              <w:bottom w:w="80" w:type="dxa"/>
              <w:end w:w="120" w:type="dxa"/>
            </w:tcMar>
          </w:tcPr>
          <w:p>
            <w:pPr>
              <w:spacing w:after="0" w:line="240" w:lineRule="auto"/>
            </w:pPr>
            <w:r>
              <w:rPr>
                <w:sz w:val="17"/>
              </w:rPr>
              <w:t>13 Aug 2026</w:t>
            </w:r>
          </w:p>
        </w:tc>
        <w:tc>
          <w:tcPr>
            <w:tcW w:type="dxa" w:w="2340"/>
            <w:tcMar>
              <w:top w:w="80" w:type="dxa"/>
              <w:start w:w="120" w:type="dxa"/>
              <w:bottom w:w="80" w:type="dxa"/>
              <w:end w:w="120" w:type="dxa"/>
            </w:tcMar>
          </w:tcPr>
          <w:p>
            <w:pPr>
              <w:spacing w:after="0" w:line="240" w:lineRule="auto"/>
            </w:pPr>
            <w:r>
              <w:rPr>
                <w:sz w:val="17"/>
              </w:rPr>
              <w:t>trySearch Engineering</w:t>
            </w:r>
          </w:p>
        </w:tc>
        <w:tc>
          <w:tcPr>
            <w:tcW w:type="dxa" w:w="2340"/>
            <w:tcMar>
              <w:top w:w="80" w:type="dxa"/>
              <w:start w:w="120" w:type="dxa"/>
              <w:bottom w:w="80" w:type="dxa"/>
              <w:end w:w="120" w:type="dxa"/>
            </w:tcMar>
          </w:tcPr>
          <w:p>
            <w:pPr>
              <w:spacing w:after="0" w:line="240" w:lineRule="auto"/>
            </w:pPr>
            <w:r>
              <w:rPr>
                <w:sz w:val="17"/>
              </w:rPr>
              <w:t>Initial complete-website baseline and production specification</w:t>
            </w:r>
          </w:p>
        </w:tc>
      </w:tr>
    </w:tbl>
    <w:p>
      <w:pPr>
        <w:spacing w:after="0"/>
      </w:pPr>
    </w:p>
    <w:p>
      <w:pPr>
        <w:pStyle w:val="Heading2"/>
      </w:pPr>
      <w:r>
        <w:t>1.1 Status vocabulary</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4680"/>
        <w:gridCol w:w="4680"/>
      </w:tblGrid>
      <w:tr>
        <w:trPr>
          <w:tblHeader w:val="true"/>
        </w:trPr>
        <w:tc>
          <w:tcPr>
            <w:tcW w:type="dxa" w:w="1500"/>
            <w:shd w:fill="F5F6F7"/>
            <w:tcMar>
              <w:top w:w="80" w:type="dxa"/>
              <w:start w:w="120" w:type="dxa"/>
              <w:bottom w:w="80" w:type="dxa"/>
              <w:end w:w="120" w:type="dxa"/>
            </w:tcMar>
          </w:tcPr>
          <w:p>
            <w:pPr>
              <w:spacing w:after="0"/>
            </w:pPr>
            <w:r>
              <w:rPr>
                <w:b/>
                <w:color w:val="171717"/>
                <w:sz w:val="17"/>
              </w:rPr>
              <w:t>Status</w:t>
            </w:r>
          </w:p>
        </w:tc>
        <w:tc>
          <w:tcPr>
            <w:tcW w:type="dxa" w:w="7860"/>
            <w:shd w:fill="F5F6F7"/>
            <w:tcMar>
              <w:top w:w="80" w:type="dxa"/>
              <w:start w:w="120" w:type="dxa"/>
              <w:bottom w:w="80" w:type="dxa"/>
              <w:end w:w="120" w:type="dxa"/>
            </w:tcMar>
          </w:tcPr>
          <w:p>
            <w:pPr>
              <w:spacing w:after="0"/>
            </w:pPr>
            <w:r>
              <w:rPr>
                <w:b/>
                <w:color w:val="171717"/>
                <w:sz w:val="17"/>
              </w:rPr>
              <w:t>Meaning</w:t>
            </w:r>
          </w:p>
        </w:tc>
      </w:tr>
      <w:tr>
        <w:trPr>
          <w:cantSplit/>
        </w:trPr>
        <w:tc>
          <w:tcPr>
            <w:tcW w:type="dxa" w:w="4680"/>
            <w:tcMar>
              <w:top w:w="80" w:type="dxa"/>
              <w:start w:w="120" w:type="dxa"/>
              <w:bottom w:w="80" w:type="dxa"/>
              <w:end w:w="120" w:type="dxa"/>
            </w:tcMar>
          </w:tcPr>
          <w:p>
            <w:pPr>
              <w:spacing w:after="0" w:line="240" w:lineRule="auto"/>
            </w:pPr>
            <w:r>
              <w:rPr>
                <w:sz w:val="17"/>
              </w:rPr>
              <w:t>Implemented</w:t>
            </w:r>
          </w:p>
        </w:tc>
        <w:tc>
          <w:tcPr>
            <w:tcW w:type="dxa" w:w="4680"/>
            <w:tcMar>
              <w:top w:w="80" w:type="dxa"/>
              <w:start w:w="120" w:type="dxa"/>
              <w:bottom w:w="80" w:type="dxa"/>
              <w:end w:w="120" w:type="dxa"/>
            </w:tcMar>
          </w:tcPr>
          <w:p>
            <w:pPr>
              <w:spacing w:after="0" w:line="240" w:lineRule="auto"/>
            </w:pPr>
            <w:r>
              <w:rPr>
                <w:sz w:val="17"/>
              </w:rPr>
              <w:t>A working code path is present in the audited repository.</w:t>
            </w:r>
          </w:p>
        </w:tc>
      </w:tr>
      <w:tr>
        <w:trPr>
          <w:cantSplit/>
        </w:trPr>
        <w:tc>
          <w:tcPr>
            <w:tcW w:type="dxa" w:w="4680"/>
            <w:tcMar>
              <w:top w:w="80" w:type="dxa"/>
              <w:start w:w="120" w:type="dxa"/>
              <w:bottom w:w="80" w:type="dxa"/>
              <w:end w:w="120" w:type="dxa"/>
            </w:tcMar>
          </w:tcPr>
          <w:p>
            <w:pPr>
              <w:spacing w:after="0" w:line="240" w:lineRule="auto"/>
            </w:pPr>
            <w:r>
              <w:rPr>
                <w:sz w:val="17"/>
              </w:rPr>
              <w:t>Partial</w:t>
            </w:r>
          </w:p>
        </w:tc>
        <w:tc>
          <w:tcPr>
            <w:tcW w:type="dxa" w:w="4680"/>
            <w:tcMar>
              <w:top w:w="80" w:type="dxa"/>
              <w:start w:w="120" w:type="dxa"/>
              <w:bottom w:w="80" w:type="dxa"/>
              <w:end w:w="120" w:type="dxa"/>
            </w:tcMar>
          </w:tcPr>
          <w:p>
            <w:pPr>
              <w:spacing w:after="0" w:line="240" w:lineRule="auto"/>
            </w:pPr>
            <w:r>
              <w:rPr>
                <w:sz w:val="17"/>
              </w:rPr>
              <w:t>A code path exists, but production hardening, completeness, or evidence semantics are unfinished.</w:t>
            </w:r>
          </w:p>
        </w:tc>
      </w:tr>
      <w:tr>
        <w:trPr>
          <w:cantSplit/>
        </w:trPr>
        <w:tc>
          <w:tcPr>
            <w:tcW w:type="dxa" w:w="4680"/>
            <w:tcMar>
              <w:top w:w="80" w:type="dxa"/>
              <w:start w:w="120" w:type="dxa"/>
              <w:bottom w:w="80" w:type="dxa"/>
              <w:end w:w="120" w:type="dxa"/>
            </w:tcMar>
          </w:tcPr>
          <w:p>
            <w:pPr>
              <w:spacing w:after="0" w:line="240" w:lineRule="auto"/>
            </w:pPr>
            <w:r>
              <w:rPr>
                <w:sz w:val="17"/>
              </w:rPr>
              <w:t>Demo-only</w:t>
            </w:r>
          </w:p>
        </w:tc>
        <w:tc>
          <w:tcPr>
            <w:tcW w:type="dxa" w:w="4680"/>
            <w:tcMar>
              <w:top w:w="80" w:type="dxa"/>
              <w:start w:w="120" w:type="dxa"/>
              <w:bottom w:w="80" w:type="dxa"/>
              <w:end w:w="120" w:type="dxa"/>
            </w:tcMar>
          </w:tcPr>
          <w:p>
            <w:pPr>
              <w:spacing w:after="0" w:line="240" w:lineRule="auto"/>
            </w:pPr>
            <w:r>
              <w:rPr>
                <w:sz w:val="17"/>
              </w:rPr>
              <w:t>The flow works, but values are deterministic/modelled and are not original provider measurements.</w:t>
            </w:r>
          </w:p>
        </w:tc>
      </w:tr>
      <w:tr>
        <w:trPr>
          <w:cantSplit/>
        </w:trPr>
        <w:tc>
          <w:tcPr>
            <w:tcW w:type="dxa" w:w="4680"/>
            <w:tcMar>
              <w:top w:w="80" w:type="dxa"/>
              <w:start w:w="120" w:type="dxa"/>
              <w:bottom w:w="80" w:type="dxa"/>
              <w:end w:w="120" w:type="dxa"/>
            </w:tcMar>
          </w:tcPr>
          <w:p>
            <w:pPr>
              <w:spacing w:after="0" w:line="240" w:lineRule="auto"/>
            </w:pPr>
            <w:r>
              <w:rPr>
                <w:sz w:val="17"/>
              </w:rPr>
              <w:t>Required</w:t>
            </w:r>
          </w:p>
        </w:tc>
        <w:tc>
          <w:tcPr>
            <w:tcW w:type="dxa" w:w="4680"/>
            <w:tcMar>
              <w:top w:w="80" w:type="dxa"/>
              <w:start w:w="120" w:type="dxa"/>
              <w:bottom w:w="80" w:type="dxa"/>
              <w:end w:w="120" w:type="dxa"/>
            </w:tcMar>
          </w:tcPr>
          <w:p>
            <w:pPr>
              <w:spacing w:after="0" w:line="240" w:lineRule="auto"/>
            </w:pPr>
            <w:r>
              <w:rPr>
                <w:sz w:val="17"/>
              </w:rPr>
              <w:t>No dependable production implementation is present; delivery is required by this TRD.</w:t>
            </w:r>
          </w:p>
        </w:tc>
      </w:tr>
    </w:tbl>
    <w:p>
      <w:pPr>
        <w:spacing w:after="0"/>
      </w:pPr>
    </w:p>
    <w:p>
      <w:pPr>
        <w:pStyle w:val="Heading2"/>
      </w:pPr>
      <w:r>
        <w:t>1.2 Priority vocabulary</w:t>
      </w:r>
    </w:p>
    <w:p>
      <w:pPr>
        <w:pStyle w:val="ListBullet"/>
      </w:pPr>
      <w:r>
        <w:t>P0 — production blocker: security, privacy, data-truth, or deployment failure that must be closed before public launch.</w:t>
      </w:r>
    </w:p>
    <w:p>
      <w:pPr>
        <w:pStyle w:val="ListBullet"/>
      </w:pPr>
      <w:r>
        <w:t>P1 — general availability requirement: required for a reliable customer release.</w:t>
      </w:r>
    </w:p>
    <w:p>
      <w:pPr>
        <w:pStyle w:val="ListBullet"/>
      </w:pPr>
      <w:r>
        <w:t>P2 — important post-GA enhancement: improves scale, usability, or competitive depth.</w:t>
      </w:r>
    </w:p>
    <w:p>
      <w:pPr>
        <w:pStyle w:val="ListBullet"/>
      </w:pPr>
      <w:r>
        <w:t>P3 — optional optimization: beneficial but not release-gating.</w:t>
      </w:r>
    </w:p>
    <w:tbl>
      <w:tblPr>
        <w:tblW w:type="dxa" w:w="9360"/>
        <w:jc w:val="center"/>
        <w:tblLayout w:type="fixed"/>
        <w:tblLook w:firstColumn="1" w:firstRow="1" w:lastColumn="0" w:lastRow="0" w:noHBand="0" w:noVBand="1" w:val="04A0"/>
        <w:tblBorders>
          <w:top w:val="single" w:sz="8" w:color="D9DCE1"/>
          <w:start w:val="single" w:sz="8" w:color="D9DCE1"/>
          <w:bottom w:val="single" w:sz="8" w:color="D9DCE1"/>
          <w:end w:val="single" w:sz="8" w:color="D9DCE1"/>
          <w:insideH w:val="single" w:sz="8" w:color="D9DCE1"/>
          <w:insideV w:val="single" w:sz="8" w:color="D9DCE1"/>
        </w:tblBorders>
      </w:tblPr>
      <w:tblGrid>
        <w:gridCol w:w="9360"/>
      </w:tblGrid>
      <w:tr>
        <w:trPr>
          <w:cantSplit/>
        </w:trPr>
        <w:tc>
          <w:tcPr>
            <w:tcW w:type="dxa" w:w="9360"/>
            <w:shd w:fill="F5F6F7"/>
            <w:tcMar>
              <w:top w:w="140" w:type="dxa"/>
              <w:start w:w="180" w:type="dxa"/>
              <w:bottom w:w="140" w:type="dxa"/>
              <w:end w:w="180" w:type="dxa"/>
            </w:tcMar>
          </w:tcPr>
          <w:p>
            <w:pPr>
              <w:spacing w:after="80"/>
            </w:pPr>
            <w:r>
              <w:rPr>
                <w:b/>
                <w:color w:val="333333"/>
              </w:rPr>
              <w:t>Audit boundary</w:t>
            </w:r>
          </w:p>
          <w:p>
            <w:pPr>
              <w:spacing w:after="0"/>
            </w:pPr>
            <w:r>
              <w:t>The baseline is derived from the current repository, not from marketing assumptions. Current code remains the source of truth for implemented behavior; this TRD defines the target where code and production requirements diverge.</w:t>
            </w:r>
          </w:p>
        </w:tc>
      </w:tr>
    </w:tbl>
    <w:p>
      <w:bookmarkStart w:id="2" w:name="document_map"/>
      <w:pPr>
        <w:pStyle w:val="Heading1"/>
      </w:pPr>
      <w:r>
        <w:t>2. Document map</w:t>
      </w:r>
      <w:bookmarkEnd w:id="2"/>
    </w:p>
    <w:p>
      <w:pPr>
        <w:pStyle w:val="ListBullet"/>
      </w:pPr>
      <w:r>
        <w:rPr>
          <w:b/>
        </w:rPr>
        <w:t xml:space="preserve">3 — </w:t>
      </w:r>
      <w:r>
        <w:t>Executive summary</w:t>
      </w:r>
    </w:p>
    <w:p>
      <w:pPr>
        <w:pStyle w:val="ListBullet"/>
      </w:pPr>
      <w:r>
        <w:rPr>
          <w:b/>
        </w:rPr>
        <w:t xml:space="preserve">4 — </w:t>
      </w:r>
      <w:r>
        <w:t>Product definition and scope</w:t>
      </w:r>
    </w:p>
    <w:p>
      <w:pPr>
        <w:pStyle w:val="ListBullet"/>
      </w:pPr>
      <w:r>
        <w:rPr>
          <w:b/>
        </w:rPr>
        <w:t xml:space="preserve">5 — </w:t>
      </w:r>
      <w:r>
        <w:t>Personas and core journeys</w:t>
      </w:r>
    </w:p>
    <w:p>
      <w:pPr>
        <w:pStyle w:val="ListBullet"/>
      </w:pPr>
      <w:r>
        <w:rPr>
          <w:b/>
        </w:rPr>
        <w:t xml:space="preserve">6 — </w:t>
      </w:r>
      <w:r>
        <w:t>Current implementation baseline</w:t>
      </w:r>
    </w:p>
    <w:p>
      <w:pPr>
        <w:pStyle w:val="ListBullet"/>
      </w:pPr>
      <w:r>
        <w:rPr>
          <w:b/>
        </w:rPr>
        <w:t xml:space="preserve">7 — </w:t>
      </w:r>
      <w:r>
        <w:t>Target architecture</w:t>
      </w:r>
    </w:p>
    <w:p>
      <w:pPr>
        <w:pStyle w:val="ListBullet"/>
      </w:pPr>
      <w:r>
        <w:rPr>
          <w:b/>
        </w:rPr>
        <w:t xml:space="preserve">8 — </w:t>
      </w:r>
      <w:r>
        <w:t>Data-source and metric contract</w:t>
      </w:r>
    </w:p>
    <w:p>
      <w:pPr>
        <w:pStyle w:val="ListBullet"/>
      </w:pPr>
      <w:r>
        <w:rPr>
          <w:b/>
        </w:rPr>
        <w:t xml:space="preserve">9 — </w:t>
      </w:r>
      <w:r>
        <w:t>Functional requirements</w:t>
      </w:r>
    </w:p>
    <w:p>
      <w:pPr>
        <w:pStyle w:val="ListBullet"/>
      </w:pPr>
      <w:r>
        <w:rPr>
          <w:b/>
        </w:rPr>
        <w:t xml:space="preserve">10 — </w:t>
      </w:r>
      <w:r>
        <w:t>API and integration requirements</w:t>
      </w:r>
    </w:p>
    <w:p>
      <w:pPr>
        <w:pStyle w:val="ListBullet"/>
      </w:pPr>
      <w:r>
        <w:rPr>
          <w:b/>
        </w:rPr>
        <w:t xml:space="preserve">11 — </w:t>
      </w:r>
      <w:r>
        <w:t>Data requirements</w:t>
      </w:r>
    </w:p>
    <w:p>
      <w:pPr>
        <w:pStyle w:val="ListBullet"/>
      </w:pPr>
      <w:r>
        <w:rPr>
          <w:b/>
        </w:rPr>
        <w:t xml:space="preserve">12 — </w:t>
      </w:r>
      <w:r>
        <w:t>Security and privacy requirements</w:t>
      </w:r>
    </w:p>
    <w:p>
      <w:pPr>
        <w:pStyle w:val="ListBullet"/>
      </w:pPr>
      <w:r>
        <w:rPr>
          <w:b/>
        </w:rPr>
        <w:t xml:space="preserve">13 — </w:t>
      </w:r>
      <w:r>
        <w:t>Non-functional requirements</w:t>
      </w:r>
    </w:p>
    <w:p>
      <w:pPr>
        <w:pStyle w:val="ListBullet"/>
      </w:pPr>
      <w:r>
        <w:rPr>
          <w:b/>
        </w:rPr>
        <w:t xml:space="preserve">14 — </w:t>
      </w:r>
      <w:r>
        <w:t>Deployment and operations</w:t>
      </w:r>
    </w:p>
    <w:p>
      <w:pPr>
        <w:pStyle w:val="ListBullet"/>
      </w:pPr>
      <w:r>
        <w:rPr>
          <w:b/>
        </w:rPr>
        <w:t xml:space="preserve">15 — </w:t>
      </w:r>
      <w:r>
        <w:t>Quality and test strategy</w:t>
      </w:r>
    </w:p>
    <w:p>
      <w:pPr>
        <w:pStyle w:val="ListBullet"/>
      </w:pPr>
      <w:r>
        <w:rPr>
          <w:b/>
        </w:rPr>
        <w:t xml:space="preserve">16 — </w:t>
      </w:r>
      <w:r>
        <w:t>Release plan</w:t>
      </w:r>
    </w:p>
    <w:p>
      <w:pPr>
        <w:pStyle w:val="ListBullet"/>
      </w:pPr>
      <w:r>
        <w:rPr>
          <w:b/>
        </w:rPr>
        <w:t xml:space="preserve">17 — </w:t>
      </w:r>
      <w:r>
        <w:t>Risk register and open decisions</w:t>
      </w:r>
    </w:p>
    <w:p>
      <w:pPr>
        <w:pStyle w:val="ListBullet"/>
      </w:pPr>
      <w:r>
        <w:rPr>
          <w:b/>
        </w:rPr>
        <w:t xml:space="preserve">18 — </w:t>
      </w:r>
      <w:r>
        <w:t>Production acceptance checklist</w:t>
      </w:r>
    </w:p>
    <w:p>
      <w:pPr>
        <w:pStyle w:val="ListBullet"/>
      </w:pPr>
      <w:r>
        <w:rPr>
          <w:b/>
        </w:rPr>
        <w:t xml:space="preserve">Appendix A — </w:t>
      </w:r>
      <w:r>
        <w:t>API inventory</w:t>
      </w:r>
    </w:p>
    <w:p>
      <w:pPr>
        <w:pStyle w:val="ListBullet"/>
      </w:pPr>
      <w:r>
        <w:rPr>
          <w:b/>
        </w:rPr>
        <w:t xml:space="preserve">Appendix B — </w:t>
      </w:r>
      <w:r>
        <w:t>Logical data model</w:t>
      </w:r>
    </w:p>
    <w:p>
      <w:pPr>
        <w:pStyle w:val="ListBullet"/>
      </w:pPr>
      <w:r>
        <w:rPr>
          <w:b/>
        </w:rPr>
        <w:t xml:space="preserve">Appendix C — </w:t>
      </w:r>
      <w:r>
        <w:t>Environment variables</w:t>
      </w:r>
    </w:p>
    <w:p>
      <w:pPr>
        <w:pStyle w:val="ListBullet"/>
      </w:pPr>
      <w:r>
        <w:rPr>
          <w:b/>
        </w:rPr>
        <w:t xml:space="preserve">Appendix D — </w:t>
      </w:r>
      <w:r>
        <w:t>Glossary and source basis</w:t>
      </w:r>
    </w:p>
    <w:p>
      <w:bookmarkStart w:id="3" w:name="executive_summary"/>
      <w:pPr>
        <w:pStyle w:val="Heading1"/>
      </w:pPr>
      <w:r>
        <w:t>3. Executive summary</w:t>
      </w:r>
      <w:bookmarkEnd w:id="3"/>
    </w:p>
    <w:p>
      <w:r>
        <w:t>trySearch is a multi-surface AEO/GEO platform for measuring how a brand is exposed to AI-assisted discovery, identifying evidence gaps, and turning those gaps into content actions. The current codebase already provides a strong evidence-backed AI Search Analytics foundation: multi-page website crawling, Google Search Console reporting, Perplexity search/answer evidence, scheduled scan configuration, durable database jobs, and evidence-grounded opportunities.</w:t>
      </w:r>
    </w:p>
    <w:p>
      <w:r>
        <w:t>The remaining website is not yet production-complete. Prompt Intelligence and Visibility Tracking still generate deterministic SHA-256-derived modelled values; Content Studio generates a local template; the master workspace seeds and aggregates those legacy results. Those paths may support demonstrations only and shall not be presented as original analytics.</w:t>
      </w:r>
    </w:p>
    <w:tbl>
      <w:tblPr>
        <w:tblW w:type="dxa" w:w="9360"/>
        <w:jc w:val="center"/>
        <w:tblLayout w:type="fixed"/>
        <w:tblLook w:firstColumn="1" w:firstRow="1" w:lastColumn="0" w:lastRow="0" w:noHBand="0" w:noVBand="1" w:val="04A0"/>
        <w:tblBorders>
          <w:top w:val="single" w:sz="8" w:color="FF7F11"/>
          <w:start w:val="single" w:sz="8" w:color="FF7F11"/>
          <w:bottom w:val="single" w:sz="8" w:color="FF7F11"/>
          <w:end w:val="single" w:sz="8" w:color="FF7F11"/>
          <w:insideH w:val="single" w:sz="8" w:color="FF7F11"/>
          <w:insideV w:val="single" w:sz="8" w:color="FF7F11"/>
        </w:tblBorders>
      </w:tblPr>
      <w:tblGrid>
        <w:gridCol w:w="9360"/>
      </w:tblGrid>
      <w:tr>
        <w:trPr>
          <w:cantSplit/>
        </w:trPr>
        <w:tc>
          <w:tcPr>
            <w:tcW w:type="dxa" w:w="9360"/>
            <w:shd w:fill="FFF2E8"/>
            <w:tcMar>
              <w:top w:w="140" w:type="dxa"/>
              <w:start w:w="180" w:type="dxa"/>
              <w:bottom w:w="140" w:type="dxa"/>
              <w:end w:w="180" w:type="dxa"/>
            </w:tcMar>
          </w:tcPr>
          <w:p>
            <w:pPr>
              <w:spacing w:after="80"/>
            </w:pPr>
            <w:r>
              <w:rPr>
                <w:b/>
                <w:color w:val="C84B00"/>
              </w:rPr>
              <w:t>Non-negotiable product rule</w:t>
            </w:r>
          </w:p>
          <w:p>
            <w:pPr>
              <w:spacing w:after="0"/>
            </w:pPr>
            <w:r>
              <w:t>trySearch shall never present a fabricated, deterministic, inferred, or unavailable value as a measured AI-search result. Every customer metric must identify its source, scope, timestamp, denominator, and evidence status.</w:t>
            </w:r>
          </w:p>
        </w:tc>
      </w:tr>
    </w:tbl>
    <w:p>
      <w:pPr>
        <w:pStyle w:val="Heading2"/>
      </w:pPr>
      <w:r>
        <w:t>3.1 Production launch posture</w:t>
      </w:r>
    </w:p>
    <w:p>
      <w:r>
        <w:t>The audited build is suitable for continued development and controlled demonstrations. It is not suitable for unrestricted production deployment until the following P0 issues are closed.</w:t>
      </w:r>
    </w:p>
    <w:p>
      <w:r>
        <w:br w:type="page"/>
      </w:r>
    </w:p>
    <w:p>
      <w:pPr>
        <w:spacing w:after="640"/>
      </w:pPr>
      <w:r>
        <w:rPr>
          <w:sz w:val="2"/>
        </w:rPr>
        <w:t xml:space="preserve"> </w:t>
      </w:r>
    </w:p>
    <w:p>
      <w:pPr>
        <w:pStyle w:val="Heading3"/>
      </w:pPr>
      <w:r>
        <w:t>3.1 Production launch posture (continued)</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3120"/>
        <w:gridCol w:w="3120"/>
        <w:gridCol w:w="3120"/>
      </w:tblGrid>
      <w:tr>
        <w:trPr>
          <w:tblHeader w:val="true"/>
        </w:trPr>
        <w:tc>
          <w:tcPr>
            <w:tcW w:type="dxa" w:w="850"/>
            <w:shd w:fill="F5F6F7"/>
            <w:tcMar>
              <w:top w:w="80" w:type="dxa"/>
              <w:start w:w="120" w:type="dxa"/>
              <w:bottom w:w="80" w:type="dxa"/>
              <w:end w:w="120" w:type="dxa"/>
            </w:tcMar>
          </w:tcPr>
          <w:p>
            <w:pPr>
              <w:spacing w:after="0"/>
            </w:pPr>
            <w:r>
              <w:rPr>
                <w:b/>
                <w:color w:val="171717"/>
                <w:sz w:val="17"/>
              </w:rPr>
              <w:t>Gate</w:t>
            </w:r>
          </w:p>
        </w:tc>
        <w:tc>
          <w:tcPr>
            <w:tcW w:type="dxa" w:w="1900"/>
            <w:shd w:fill="F5F6F7"/>
            <w:tcMar>
              <w:top w:w="80" w:type="dxa"/>
              <w:start w:w="120" w:type="dxa"/>
              <w:bottom w:w="80" w:type="dxa"/>
              <w:end w:w="120" w:type="dxa"/>
            </w:tcMar>
          </w:tcPr>
          <w:p>
            <w:pPr>
              <w:spacing w:after="0"/>
            </w:pPr>
            <w:r>
              <w:rPr>
                <w:b/>
                <w:color w:val="171717"/>
                <w:sz w:val="17"/>
              </w:rPr>
              <w:t>Area</w:t>
            </w:r>
          </w:p>
        </w:tc>
        <w:tc>
          <w:tcPr>
            <w:tcW w:type="dxa" w:w="6610"/>
            <w:shd w:fill="F5F6F7"/>
            <w:tcMar>
              <w:top w:w="80" w:type="dxa"/>
              <w:start w:w="120" w:type="dxa"/>
              <w:bottom w:w="80" w:type="dxa"/>
              <w:end w:w="120" w:type="dxa"/>
            </w:tcMar>
          </w:tcPr>
          <w:p>
            <w:pPr>
              <w:spacing w:after="0"/>
            </w:pPr>
            <w:r>
              <w:rPr>
                <w:b/>
                <w:color w:val="171717"/>
                <w:sz w:val="17"/>
              </w:rPr>
              <w:t>Required outcome</w:t>
            </w:r>
          </w:p>
        </w:tc>
      </w:tr>
      <w:tr>
        <w:trPr>
          <w:cantSplit/>
        </w:trPr>
        <w:tc>
          <w:tcPr>
            <w:tcW w:type="dxa" w:w="3120"/>
            <w:tcMar>
              <w:top w:w="80" w:type="dxa"/>
              <w:start w:w="120" w:type="dxa"/>
              <w:bottom w:w="80" w:type="dxa"/>
              <w:end w:w="120" w:type="dxa"/>
            </w:tcMar>
          </w:tcPr>
          <w:p>
            <w:pPr>
              <w:spacing w:after="0" w:line="240" w:lineRule="auto"/>
            </w:pPr>
            <w:r>
              <w:rPr>
                <w:sz w:val="17"/>
              </w:rPr>
              <w:t>P0-1</w:t>
            </w:r>
          </w:p>
        </w:tc>
        <w:tc>
          <w:tcPr>
            <w:tcW w:type="dxa" w:w="3120"/>
            <w:tcMar>
              <w:top w:w="80" w:type="dxa"/>
              <w:start w:w="120" w:type="dxa"/>
              <w:bottom w:w="80" w:type="dxa"/>
              <w:end w:w="120" w:type="dxa"/>
            </w:tcMar>
          </w:tcPr>
          <w:p>
            <w:pPr>
              <w:spacing w:after="0" w:line="240" w:lineRule="auto"/>
            </w:pPr>
            <w:r>
              <w:rPr>
                <w:sz w:val="17"/>
              </w:rPr>
              <w:t>Static file exposure</w:t>
            </w:r>
          </w:p>
        </w:tc>
        <w:tc>
          <w:tcPr>
            <w:tcW w:type="dxa" w:w="3120"/>
            <w:tcMar>
              <w:top w:w="80" w:type="dxa"/>
              <w:start w:w="120" w:type="dxa"/>
              <w:bottom w:w="80" w:type="dxa"/>
              <w:end w:w="120" w:type="dxa"/>
            </w:tcMar>
          </w:tcPr>
          <w:p>
            <w:pPr>
              <w:spacing w:after="0" w:line="240" w:lineRule="auto"/>
            </w:pPr>
            <w:r>
              <w:rPr>
                <w:sz w:val="17"/>
              </w:rPr>
              <w:t>The repository-root catch-all can serve Python source, the SQLite database, hidden files, and deployment configuration.</w:t>
            </w:r>
          </w:p>
        </w:tc>
      </w:tr>
      <w:tr>
        <w:trPr>
          <w:cantSplit/>
        </w:trPr>
        <w:tc>
          <w:tcPr>
            <w:tcW w:type="dxa" w:w="3120"/>
            <w:tcMar>
              <w:top w:w="80" w:type="dxa"/>
              <w:start w:w="120" w:type="dxa"/>
              <w:bottom w:w="80" w:type="dxa"/>
              <w:end w:w="120" w:type="dxa"/>
            </w:tcMar>
          </w:tcPr>
          <w:p>
            <w:pPr>
              <w:spacing w:after="0" w:line="240" w:lineRule="auto"/>
            </w:pPr>
            <w:r>
              <w:rPr>
                <w:sz w:val="17"/>
              </w:rPr>
              <w:t>P0-2</w:t>
            </w:r>
          </w:p>
        </w:tc>
        <w:tc>
          <w:tcPr>
            <w:tcW w:type="dxa" w:w="3120"/>
            <w:tcMar>
              <w:top w:w="80" w:type="dxa"/>
              <w:start w:w="120" w:type="dxa"/>
              <w:bottom w:w="80" w:type="dxa"/>
              <w:end w:w="120" w:type="dxa"/>
            </w:tcMar>
          </w:tcPr>
          <w:p>
            <w:pPr>
              <w:spacing w:after="0" w:line="240" w:lineRule="auto"/>
            </w:pPr>
            <w:r>
              <w:rPr>
                <w:sz w:val="17"/>
              </w:rPr>
              <w:t>Contact PII exposure</w:t>
            </w:r>
          </w:p>
        </w:tc>
        <w:tc>
          <w:tcPr>
            <w:tcW w:type="dxa" w:w="3120"/>
            <w:tcMar>
              <w:top w:w="80" w:type="dxa"/>
              <w:start w:w="120" w:type="dxa"/>
              <w:bottom w:w="80" w:type="dxa"/>
              <w:end w:w="120" w:type="dxa"/>
            </w:tcMar>
          </w:tcPr>
          <w:p>
            <w:pPr>
              <w:spacing w:after="0" w:line="240" w:lineRule="auto"/>
            </w:pPr>
            <w:r>
              <w:rPr>
                <w:sz w:val="17"/>
              </w:rPr>
              <w:t>GET /api/contacts is currently public and returns names, emails, messages, and timestamps.</w:t>
            </w:r>
          </w:p>
        </w:tc>
      </w:tr>
      <w:tr>
        <w:trPr>
          <w:cantSplit/>
        </w:trPr>
        <w:tc>
          <w:tcPr>
            <w:tcW w:type="dxa" w:w="3120"/>
            <w:tcMar>
              <w:top w:w="80" w:type="dxa"/>
              <w:start w:w="120" w:type="dxa"/>
              <w:bottom w:w="80" w:type="dxa"/>
              <w:end w:w="120" w:type="dxa"/>
            </w:tcMar>
          </w:tcPr>
          <w:p>
            <w:pPr>
              <w:spacing w:after="0" w:line="240" w:lineRule="auto"/>
            </w:pPr>
            <w:r>
              <w:rPr>
                <w:sz w:val="17"/>
              </w:rPr>
              <w:t>P0-3</w:t>
            </w:r>
          </w:p>
        </w:tc>
        <w:tc>
          <w:tcPr>
            <w:tcW w:type="dxa" w:w="3120"/>
            <w:tcMar>
              <w:top w:w="80" w:type="dxa"/>
              <w:start w:w="120" w:type="dxa"/>
              <w:bottom w:w="80" w:type="dxa"/>
              <w:end w:w="120" w:type="dxa"/>
            </w:tcMar>
          </w:tcPr>
          <w:p>
            <w:pPr>
              <w:spacing w:after="0" w:line="240" w:lineRule="auto"/>
            </w:pPr>
            <w:r>
              <w:rPr>
                <w:sz w:val="17"/>
              </w:rPr>
              <w:t>Admin stored XSS / authorization</w:t>
            </w:r>
          </w:p>
        </w:tc>
        <w:tc>
          <w:tcPr>
            <w:tcW w:type="dxa" w:w="3120"/>
            <w:tcMar>
              <w:top w:w="80" w:type="dxa"/>
              <w:start w:w="120" w:type="dxa"/>
              <w:bottom w:w="80" w:type="dxa"/>
              <w:end w:w="120" w:type="dxa"/>
            </w:tcMar>
          </w:tcPr>
          <w:p>
            <w:pPr>
              <w:spacing w:after="0" w:line="240" w:lineRule="auto"/>
            </w:pPr>
            <w:r>
              <w:rPr>
                <w:sz w:val="17"/>
              </w:rPr>
              <w:t>Any signed-in user can access contact administration, and unescaped stored content is interpolated into HTML.</w:t>
            </w:r>
          </w:p>
        </w:tc>
      </w:tr>
      <w:tr>
        <w:trPr>
          <w:cantSplit/>
        </w:trPr>
        <w:tc>
          <w:tcPr>
            <w:tcW w:type="dxa" w:w="3120"/>
            <w:tcMar>
              <w:top w:w="80" w:type="dxa"/>
              <w:start w:w="120" w:type="dxa"/>
              <w:bottom w:w="80" w:type="dxa"/>
              <w:end w:w="120" w:type="dxa"/>
            </w:tcMar>
          </w:tcPr>
          <w:p>
            <w:pPr>
              <w:spacing w:after="0" w:line="240" w:lineRule="auto"/>
            </w:pPr>
            <w:r>
              <w:rPr>
                <w:sz w:val="17"/>
              </w:rPr>
              <w:t>P0-4</w:t>
            </w:r>
          </w:p>
        </w:tc>
        <w:tc>
          <w:tcPr>
            <w:tcW w:type="dxa" w:w="3120"/>
            <w:tcMar>
              <w:top w:w="80" w:type="dxa"/>
              <w:start w:w="120" w:type="dxa"/>
              <w:bottom w:w="80" w:type="dxa"/>
              <w:end w:w="120" w:type="dxa"/>
            </w:tcMar>
          </w:tcPr>
          <w:p>
            <w:pPr>
              <w:spacing w:after="0" w:line="240" w:lineRule="auto"/>
            </w:pPr>
            <w:r>
              <w:rPr>
                <w:sz w:val="17"/>
              </w:rPr>
              <w:t>Tracked runtime database</w:t>
            </w:r>
          </w:p>
        </w:tc>
        <w:tc>
          <w:tcPr>
            <w:tcW w:type="dxa" w:w="3120"/>
            <w:tcMar>
              <w:top w:w="80" w:type="dxa"/>
              <w:start w:w="120" w:type="dxa"/>
              <w:bottom w:w="80" w:type="dxa"/>
              <w:end w:w="120" w:type="dxa"/>
            </w:tcMar>
          </w:tcPr>
          <w:p>
            <w:pPr>
              <w:spacing w:after="0" w:line="240" w:lineRule="auto"/>
            </w:pPr>
            <w:r>
              <w:rPr>
                <w:sz w:val="17"/>
              </w:rPr>
              <w:t>searchable.db is tracked by Git and currently modified; ignore rules alone do not remove it from history.</w:t>
            </w:r>
          </w:p>
        </w:tc>
      </w:tr>
      <w:tr>
        <w:trPr>
          <w:cantSplit/>
        </w:trPr>
        <w:tc>
          <w:tcPr>
            <w:tcW w:type="dxa" w:w="3120"/>
            <w:tcMar>
              <w:top w:w="80" w:type="dxa"/>
              <w:start w:w="120" w:type="dxa"/>
              <w:bottom w:w="80" w:type="dxa"/>
              <w:end w:w="120" w:type="dxa"/>
            </w:tcMar>
          </w:tcPr>
          <w:p>
            <w:pPr>
              <w:spacing w:after="0" w:line="240" w:lineRule="auto"/>
            </w:pPr>
            <w:r>
              <w:rPr>
                <w:sz w:val="17"/>
              </w:rPr>
              <w:t>P0-5</w:t>
            </w:r>
          </w:p>
        </w:tc>
        <w:tc>
          <w:tcPr>
            <w:tcW w:type="dxa" w:w="3120"/>
            <w:tcMar>
              <w:top w:w="80" w:type="dxa"/>
              <w:start w:w="120" w:type="dxa"/>
              <w:bottom w:w="80" w:type="dxa"/>
              <w:end w:w="120" w:type="dxa"/>
            </w:tcMar>
          </w:tcPr>
          <w:p>
            <w:pPr>
              <w:spacing w:after="0" w:line="240" w:lineRule="auto"/>
            </w:pPr>
            <w:r>
              <w:rPr>
                <w:sz w:val="17"/>
              </w:rPr>
              <w:t>Incomplete production topology</w:t>
            </w:r>
          </w:p>
        </w:tc>
        <w:tc>
          <w:tcPr>
            <w:tcW w:type="dxa" w:w="3120"/>
            <w:tcMar>
              <w:top w:w="80" w:type="dxa"/>
              <w:start w:w="120" w:type="dxa"/>
              <w:bottom w:w="80" w:type="dxa"/>
              <w:end w:w="120" w:type="dxa"/>
            </w:tcMar>
          </w:tcPr>
          <w:p>
            <w:pPr>
              <w:spacing w:after="0" w:line="240" w:lineRule="auto"/>
            </w:pPr>
            <w:r>
              <w:rPr>
                <w:sz w:val="17"/>
              </w:rPr>
              <w:t>Render defines only the web service; PostgreSQL binding and a durable worker/scheduler are not provisioned.</w:t>
            </w:r>
          </w:p>
        </w:tc>
      </w:tr>
      <w:tr>
        <w:trPr>
          <w:cantSplit/>
        </w:trPr>
        <w:tc>
          <w:tcPr>
            <w:tcW w:type="dxa" w:w="3120"/>
            <w:tcMar>
              <w:top w:w="80" w:type="dxa"/>
              <w:start w:w="120" w:type="dxa"/>
              <w:bottom w:w="80" w:type="dxa"/>
              <w:end w:w="120" w:type="dxa"/>
            </w:tcMar>
          </w:tcPr>
          <w:p>
            <w:pPr>
              <w:spacing w:after="0" w:line="240" w:lineRule="auto"/>
            </w:pPr>
            <w:r>
              <w:rPr>
                <w:sz w:val="17"/>
              </w:rPr>
              <w:t>P0-6</w:t>
            </w:r>
          </w:p>
        </w:tc>
        <w:tc>
          <w:tcPr>
            <w:tcW w:type="dxa" w:w="3120"/>
            <w:tcMar>
              <w:top w:w="80" w:type="dxa"/>
              <w:start w:w="120" w:type="dxa"/>
              <w:bottom w:w="80" w:type="dxa"/>
              <w:end w:w="120" w:type="dxa"/>
            </w:tcMar>
          </w:tcPr>
          <w:p>
            <w:pPr>
              <w:spacing w:after="0" w:line="240" w:lineRule="auto"/>
            </w:pPr>
            <w:r>
              <w:rPr>
                <w:sz w:val="17"/>
              </w:rPr>
              <w:t>Synthetic analytics</w:t>
            </w:r>
          </w:p>
        </w:tc>
        <w:tc>
          <w:tcPr>
            <w:tcW w:type="dxa" w:w="3120"/>
            <w:tcMar>
              <w:top w:w="80" w:type="dxa"/>
              <w:start w:w="120" w:type="dxa"/>
              <w:bottom w:w="80" w:type="dxa"/>
              <w:end w:w="120" w:type="dxa"/>
            </w:tcMar>
          </w:tcPr>
          <w:p>
            <w:pPr>
              <w:spacing w:after="0" w:line="240" w:lineRule="auto"/>
            </w:pPr>
            <w:r>
              <w:rPr>
                <w:sz w:val="17"/>
              </w:rPr>
              <w:t>Prompt Intelligence, Visibility Tracking, and master-workspace aggregates can expose modelled data as if it were observed.</w:t>
            </w:r>
          </w:p>
        </w:tc>
      </w:tr>
    </w:tbl>
    <w:p>
      <w:pPr>
        <w:spacing w:after="0"/>
      </w:pPr>
    </w:p>
    <w:p>
      <w:bookmarkStart w:id="4" w:name="scope"/>
      <w:pPr>
        <w:pStyle w:val="Heading1"/>
      </w:pPr>
      <w:r>
        <w:t>4. Product definition and scope</w:t>
      </w:r>
      <w:bookmarkEnd w:id="4"/>
    </w:p>
    <w:p>
      <w:pPr>
        <w:pStyle w:val="Heading2"/>
      </w:pPr>
      <w:r>
        <w:t>4.1 Product goals</w:t>
      </w:r>
    </w:p>
    <w:p>
      <w:pPr>
        <w:pStyle w:val="ListBullet"/>
      </w:pPr>
      <w:r>
        <w:t>Measure website readiness and real search/provider evidence without conflating unlike data sources.</w:t>
      </w:r>
    </w:p>
    <w:p>
      <w:pPr>
        <w:pStyle w:val="ListBullet"/>
      </w:pPr>
      <w:r>
        <w:t>Enable a customer to configure one brand workspace, repeat a stable prompt cohort, and compare evidence over time.</w:t>
      </w:r>
    </w:p>
    <w:p>
      <w:pPr>
        <w:pStyle w:val="ListBullet"/>
      </w:pPr>
      <w:r>
        <w:t>Connect verified first-party Google Search Console data to prompt and content decisions.</w:t>
      </w:r>
    </w:p>
    <w:p>
      <w:pPr>
        <w:pStyle w:val="ListBullet"/>
      </w:pPr>
      <w:r>
        <w:t>Preserve original provider answers, ranked sources, request metadata, partial failures, and run configuration for verification.</w:t>
      </w:r>
    </w:p>
    <w:p>
      <w:pPr>
        <w:pStyle w:val="ListBullet"/>
      </w:pPr>
      <w:r>
        <w:t>Turn evidence-backed gaps into prioritized, editable content work while keeping a human review step.</w:t>
      </w:r>
    </w:p>
    <w:p>
      <w:pPr>
        <w:pStyle w:val="ListBullet"/>
      </w:pPr>
      <w:r>
        <w:t>Deliver a professional, responsive, accessible, installable web application across desktop and mobile platforms.</w:t>
      </w:r>
    </w:p>
    <w:p>
      <w:pPr>
        <w:pStyle w:val="Heading2"/>
      </w:pPr>
      <w:r>
        <w:t>4.2 In scope</w:t>
      </w:r>
    </w:p>
    <w:p>
      <w:pPr>
        <w:pStyle w:val="ListBullet"/>
      </w:pPr>
      <w:r>
        <w:t>Public marketing site, navigation, contact capture, authentication, profile, and account lifecycle.</w:t>
      </w:r>
    </w:p>
    <w:p>
      <w:pPr>
        <w:pStyle w:val="ListBullet"/>
      </w:pPr>
      <w:r>
        <w:t>One-time master workspace onboarding and the linked workspace summary.</w:t>
      </w:r>
    </w:p>
    <w:p>
      <w:pPr>
        <w:pStyle w:val="ListBullet"/>
      </w:pPr>
      <w:r>
        <w:t>AI Search Analytics: projects, crawl audit, GSC, prompt configuration, provider evidence, opportunities, scheduling, and export.</w:t>
      </w:r>
    </w:p>
    <w:p>
      <w:pPr>
        <w:pStyle w:val="ListBullet"/>
      </w:pPr>
      <w:r>
        <w:t>Prompt Intelligence, AI Visibility Tracking, and Content Studio, migrated onto the shared evidence contract.</w:t>
      </w:r>
    </w:p>
    <w:p>
      <w:pPr>
        <w:pStyle w:val="ListBullet"/>
      </w:pPr>
      <w:r>
        <w:t>Flask APIs, PostgreSQL data model, background jobs, external integrations, PWA/offline behavior, observability, deployment, and quality controls.</w:t>
      </w:r>
    </w:p>
    <w:p>
      <w:pPr>
        <w:pStyle w:val="Heading2"/>
      </w:pPr>
      <w:r>
        <w:t>4.3 Out of scope for v1.0 GA</w:t>
      </w:r>
    </w:p>
    <w:p>
      <w:pPr>
        <w:pStyle w:val="ListBullet"/>
      </w:pPr>
      <w:r>
        <w:t>Unapproved scraping of closed AI products or representation of provider web applications as official APIs.</w:t>
      </w:r>
    </w:p>
    <w:p>
      <w:pPr>
        <w:pStyle w:val="ListBullet"/>
      </w:pPr>
      <w:r>
        <w:t>Guaranteed ranking in any AI system, search engine, or recommendation surface.</w:t>
      </w:r>
    </w:p>
    <w:p>
      <w:pPr>
        <w:pStyle w:val="ListBullet"/>
      </w:pPr>
      <w:r>
        <w:t>Automatic external publication without an explicit CMS connector or recorded manual confirmation.</w:t>
      </w:r>
    </w:p>
    <w:p>
      <w:pPr>
        <w:pStyle w:val="ListBullet"/>
      </w:pPr>
      <w:r>
        <w:t>Enterprise billing, advanced agency white-labelling, and custom data residency unless separately approved.</w:t>
      </w:r>
    </w:p>
    <w:p>
      <w:pPr>
        <w:pStyle w:val="ListBullet"/>
      </w:pPr>
      <w:r>
        <w:t>Replacing source evidence with generic LLM opinions or synthetic benchmark scores.</w:t>
      </w:r>
    </w:p>
    <w:p>
      <w:pPr>
        <w:pStyle w:val="Heading2"/>
      </w:pPr>
      <w:r>
        <w:t>4.4 Key assumptions and dependencies</w:t>
      </w:r>
    </w:p>
    <w:p>
      <w:pPr>
        <w:pStyle w:val="ListBullet"/>
      </w:pPr>
      <w:r>
        <w:t>The production system uses PostgreSQL; SQLite remains a local development convenience only.</w:t>
      </w:r>
    </w:p>
    <w:p>
      <w:pPr>
        <w:pStyle w:val="ListBullet"/>
      </w:pPr>
      <w:r>
        <w:t>Google Search Console provides standard first-party search performance; ordinary web rows shall not be relabelled as isolated AI Overview traffic.</w:t>
      </w:r>
    </w:p>
    <w:p>
      <w:pPr>
        <w:pStyle w:val="ListBullet"/>
      </w:pPr>
      <w:r>
        <w:t>Perplexity is the currently implemented live provider for prompt evidence; unsupported providers must show not connected or planned.</w:t>
      </w:r>
    </w:p>
    <w:p>
      <w:pPr>
        <w:pStyle w:val="ListBullet"/>
      </w:pPr>
      <w:r>
        <w:t>Provider APIs, pricing, quotas, regions, terms, and response shapes are external dependencies and require adapter-level monitoring.</w:t>
      </w:r>
    </w:p>
    <w:p>
      <w:pPr>
        <w:pStyle w:val="ListBullet"/>
      </w:pPr>
      <w:r>
        <w:t>The target organization/RBAC model extends the current user-owned tenancy without weakening ownership checks.</w:t>
      </w:r>
    </w:p>
    <w:p>
      <w:bookmarkStart w:id="5" w:name="personas"/>
      <w:pPr>
        <w:pStyle w:val="Heading1"/>
      </w:pPr>
      <w:r>
        <w:t>5. Personas and core journeys</w:t>
      </w:r>
      <w:bookmarkEnd w:id="5"/>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3120"/>
        <w:gridCol w:w="3120"/>
        <w:gridCol w:w="3120"/>
      </w:tblGrid>
      <w:tr>
        <w:trPr>
          <w:tblHeader w:val="true"/>
        </w:trPr>
        <w:tc>
          <w:tcPr>
            <w:tcW w:type="dxa" w:w="1800"/>
            <w:shd w:fill="F5F6F7"/>
            <w:tcMar>
              <w:top w:w="80" w:type="dxa"/>
              <w:start w:w="120" w:type="dxa"/>
              <w:bottom w:w="80" w:type="dxa"/>
              <w:end w:w="120" w:type="dxa"/>
            </w:tcMar>
          </w:tcPr>
          <w:p>
            <w:pPr>
              <w:spacing w:after="0"/>
            </w:pPr>
            <w:r>
              <w:rPr>
                <w:b/>
                <w:color w:val="171717"/>
                <w:sz w:val="17"/>
              </w:rPr>
              <w:t>Persona</w:t>
            </w:r>
          </w:p>
        </w:tc>
        <w:tc>
          <w:tcPr>
            <w:tcW w:type="dxa" w:w="4160"/>
            <w:shd w:fill="F5F6F7"/>
            <w:tcMar>
              <w:top w:w="80" w:type="dxa"/>
              <w:start w:w="120" w:type="dxa"/>
              <w:bottom w:w="80" w:type="dxa"/>
              <w:end w:w="120" w:type="dxa"/>
            </w:tcMar>
          </w:tcPr>
          <w:p>
            <w:pPr>
              <w:spacing w:after="0"/>
            </w:pPr>
            <w:r>
              <w:rPr>
                <w:b/>
                <w:color w:val="171717"/>
                <w:sz w:val="17"/>
              </w:rPr>
              <w:t>Primary needs</w:t>
            </w:r>
          </w:p>
        </w:tc>
        <w:tc>
          <w:tcPr>
            <w:tcW w:type="dxa" w:w="3400"/>
            <w:shd w:fill="F5F6F7"/>
            <w:tcMar>
              <w:top w:w="80" w:type="dxa"/>
              <w:start w:w="120" w:type="dxa"/>
              <w:bottom w:w="80" w:type="dxa"/>
              <w:end w:w="120" w:type="dxa"/>
            </w:tcMar>
          </w:tcPr>
          <w:p>
            <w:pPr>
              <w:spacing w:after="0"/>
            </w:pPr>
            <w:r>
              <w:rPr>
                <w:b/>
                <w:color w:val="171717"/>
                <w:sz w:val="17"/>
              </w:rPr>
              <w:t>Success signal</w:t>
            </w:r>
          </w:p>
        </w:tc>
      </w:tr>
      <w:tr>
        <w:trPr>
          <w:cantSplit/>
        </w:trPr>
        <w:tc>
          <w:tcPr>
            <w:tcW w:type="dxa" w:w="3120"/>
            <w:tcMar>
              <w:top w:w="80" w:type="dxa"/>
              <w:start w:w="120" w:type="dxa"/>
              <w:bottom w:w="80" w:type="dxa"/>
              <w:end w:w="120" w:type="dxa"/>
            </w:tcMar>
          </w:tcPr>
          <w:p>
            <w:pPr>
              <w:spacing w:after="0" w:line="240" w:lineRule="auto"/>
            </w:pPr>
            <w:r>
              <w:rPr>
                <w:sz w:val="17"/>
              </w:rPr>
              <w:t>Brand / growth lead</w:t>
            </w:r>
          </w:p>
        </w:tc>
        <w:tc>
          <w:tcPr>
            <w:tcW w:type="dxa" w:w="3120"/>
            <w:tcMar>
              <w:top w:w="80" w:type="dxa"/>
              <w:start w:w="120" w:type="dxa"/>
              <w:bottom w:w="80" w:type="dxa"/>
              <w:end w:w="120" w:type="dxa"/>
            </w:tcMar>
          </w:tcPr>
          <w:p>
            <w:pPr>
              <w:spacing w:after="0" w:line="240" w:lineRule="auto"/>
            </w:pPr>
            <w:r>
              <w:rPr>
                <w:sz w:val="17"/>
              </w:rPr>
              <w:t>Understand where the brand appears, why it is absent, and what to do next.</w:t>
            </w:r>
          </w:p>
        </w:tc>
        <w:tc>
          <w:tcPr>
            <w:tcW w:type="dxa" w:w="3120"/>
            <w:tcMar>
              <w:top w:w="80" w:type="dxa"/>
              <w:start w:w="120" w:type="dxa"/>
              <w:bottom w:w="80" w:type="dxa"/>
              <w:end w:w="120" w:type="dxa"/>
            </w:tcMar>
          </w:tcPr>
          <w:p>
            <w:pPr>
              <w:spacing w:after="0" w:line="240" w:lineRule="auto"/>
            </w:pPr>
            <w:r>
              <w:rPr>
                <w:sz w:val="17"/>
              </w:rPr>
              <w:t>Can verify every metric and export a prioritized action plan.</w:t>
            </w:r>
          </w:p>
        </w:tc>
      </w:tr>
      <w:tr>
        <w:trPr>
          <w:cantSplit/>
        </w:trPr>
        <w:tc>
          <w:tcPr>
            <w:tcW w:type="dxa" w:w="3120"/>
            <w:tcMar>
              <w:top w:w="80" w:type="dxa"/>
              <w:start w:w="120" w:type="dxa"/>
              <w:bottom w:w="80" w:type="dxa"/>
              <w:end w:w="120" w:type="dxa"/>
            </w:tcMar>
          </w:tcPr>
          <w:p>
            <w:pPr>
              <w:spacing w:after="0" w:line="240" w:lineRule="auto"/>
            </w:pPr>
            <w:r>
              <w:rPr>
                <w:sz w:val="17"/>
              </w:rPr>
              <w:t>SEO / AEO specialist</w:t>
            </w:r>
          </w:p>
        </w:tc>
        <w:tc>
          <w:tcPr>
            <w:tcW w:type="dxa" w:w="3120"/>
            <w:tcMar>
              <w:top w:w="80" w:type="dxa"/>
              <w:start w:w="120" w:type="dxa"/>
              <w:bottom w:w="80" w:type="dxa"/>
              <w:end w:w="120" w:type="dxa"/>
            </w:tcMar>
          </w:tcPr>
          <w:p>
            <w:pPr>
              <w:spacing w:after="0" w:line="240" w:lineRule="auto"/>
            </w:pPr>
            <w:r>
              <w:rPr>
                <w:sz w:val="17"/>
              </w:rPr>
              <w:t>Audit pages, manage prompt cohorts, compare competitors, and inspect source evidence.</w:t>
            </w:r>
          </w:p>
        </w:tc>
        <w:tc>
          <w:tcPr>
            <w:tcW w:type="dxa" w:w="3120"/>
            <w:tcMar>
              <w:top w:w="80" w:type="dxa"/>
              <w:start w:w="120" w:type="dxa"/>
              <w:bottom w:w="80" w:type="dxa"/>
              <w:end w:w="120" w:type="dxa"/>
            </w:tcMar>
          </w:tcPr>
          <w:p>
            <w:pPr>
              <w:spacing w:after="0" w:line="240" w:lineRule="auto"/>
            </w:pPr>
            <w:r>
              <w:rPr>
                <w:sz w:val="17"/>
              </w:rPr>
              <w:t>Can reproduce metrics from saved evidence and compare like-for-like runs.</w:t>
            </w:r>
          </w:p>
        </w:tc>
      </w:tr>
      <w:tr>
        <w:trPr>
          <w:cantSplit/>
        </w:trPr>
        <w:tc>
          <w:tcPr>
            <w:tcW w:type="dxa" w:w="3120"/>
            <w:tcMar>
              <w:top w:w="80" w:type="dxa"/>
              <w:start w:w="120" w:type="dxa"/>
              <w:bottom w:w="80" w:type="dxa"/>
              <w:end w:w="120" w:type="dxa"/>
            </w:tcMar>
          </w:tcPr>
          <w:p>
            <w:pPr>
              <w:spacing w:after="0" w:line="240" w:lineRule="auto"/>
            </w:pPr>
            <w:r>
              <w:rPr>
                <w:sz w:val="17"/>
              </w:rPr>
              <w:t>Content strategist</w:t>
            </w:r>
          </w:p>
        </w:tc>
        <w:tc>
          <w:tcPr>
            <w:tcW w:type="dxa" w:w="3120"/>
            <w:tcMar>
              <w:top w:w="80" w:type="dxa"/>
              <w:start w:w="120" w:type="dxa"/>
              <w:bottom w:w="80" w:type="dxa"/>
              <w:end w:w="120" w:type="dxa"/>
            </w:tcMar>
          </w:tcPr>
          <w:p>
            <w:pPr>
              <w:spacing w:after="0" w:line="240" w:lineRule="auto"/>
            </w:pPr>
            <w:r>
              <w:rPr>
                <w:sz w:val="17"/>
              </w:rPr>
              <w:t>Convert evidence gaps into briefs, drafts, proof requirements, and review steps.</w:t>
            </w:r>
          </w:p>
        </w:tc>
        <w:tc>
          <w:tcPr>
            <w:tcW w:type="dxa" w:w="3120"/>
            <w:tcMar>
              <w:top w:w="80" w:type="dxa"/>
              <w:start w:w="120" w:type="dxa"/>
              <w:bottom w:w="80" w:type="dxa"/>
              <w:end w:w="120" w:type="dxa"/>
            </w:tcMar>
          </w:tcPr>
          <w:p>
            <w:pPr>
              <w:spacing w:after="0" w:line="240" w:lineRule="auto"/>
            </w:pPr>
            <w:r>
              <w:rPr>
                <w:sz w:val="17"/>
              </w:rPr>
              <w:t>Every draft links to the prompt or source gap that justified it.</w:t>
            </w:r>
          </w:p>
        </w:tc>
      </w:tr>
      <w:tr>
        <w:trPr>
          <w:cantSplit/>
        </w:trPr>
        <w:tc>
          <w:tcPr>
            <w:tcW w:type="dxa" w:w="3120"/>
            <w:tcMar>
              <w:top w:w="80" w:type="dxa"/>
              <w:start w:w="120" w:type="dxa"/>
              <w:bottom w:w="80" w:type="dxa"/>
              <w:end w:w="120" w:type="dxa"/>
            </w:tcMar>
          </w:tcPr>
          <w:p>
            <w:pPr>
              <w:spacing w:after="0" w:line="240" w:lineRule="auto"/>
            </w:pPr>
            <w:r>
              <w:rPr>
                <w:sz w:val="17"/>
              </w:rPr>
              <w:t>Agency operator</w:t>
            </w:r>
          </w:p>
        </w:tc>
        <w:tc>
          <w:tcPr>
            <w:tcW w:type="dxa" w:w="3120"/>
            <w:tcMar>
              <w:top w:w="80" w:type="dxa"/>
              <w:start w:w="120" w:type="dxa"/>
              <w:bottom w:w="80" w:type="dxa"/>
              <w:end w:w="120" w:type="dxa"/>
            </w:tcMar>
          </w:tcPr>
          <w:p>
            <w:pPr>
              <w:spacing w:after="0" w:line="240" w:lineRule="auto"/>
            </w:pPr>
            <w:r>
              <w:rPr>
                <w:sz w:val="17"/>
              </w:rPr>
              <w:t>Manage multiple client domains without cross-tenant leakage.</w:t>
            </w:r>
          </w:p>
        </w:tc>
        <w:tc>
          <w:tcPr>
            <w:tcW w:type="dxa" w:w="3120"/>
            <w:tcMar>
              <w:top w:w="80" w:type="dxa"/>
              <w:start w:w="120" w:type="dxa"/>
              <w:bottom w:w="80" w:type="dxa"/>
              <w:end w:w="120" w:type="dxa"/>
            </w:tcMar>
          </w:tcPr>
          <w:p>
            <w:pPr>
              <w:spacing w:after="0" w:line="240" w:lineRule="auto"/>
            </w:pPr>
            <w:r>
              <w:rPr>
                <w:sz w:val="17"/>
              </w:rPr>
              <w:t>Projects and evidence remain isolated, searchable, and auditable.</w:t>
            </w:r>
          </w:p>
        </w:tc>
      </w:tr>
      <w:tr>
        <w:trPr>
          <w:cantSplit/>
        </w:trPr>
        <w:tc>
          <w:tcPr>
            <w:tcW w:type="dxa" w:w="3120"/>
            <w:tcMar>
              <w:top w:w="80" w:type="dxa"/>
              <w:start w:w="120" w:type="dxa"/>
              <w:bottom w:w="80" w:type="dxa"/>
              <w:end w:w="120" w:type="dxa"/>
            </w:tcMar>
          </w:tcPr>
          <w:p>
            <w:pPr>
              <w:spacing w:after="0" w:line="240" w:lineRule="auto"/>
            </w:pPr>
            <w:r>
              <w:rPr>
                <w:sz w:val="17"/>
              </w:rPr>
              <w:t>Administrator / operator</w:t>
            </w:r>
          </w:p>
        </w:tc>
        <w:tc>
          <w:tcPr>
            <w:tcW w:type="dxa" w:w="3120"/>
            <w:tcMar>
              <w:top w:w="80" w:type="dxa"/>
              <w:start w:w="120" w:type="dxa"/>
              <w:bottom w:w="80" w:type="dxa"/>
              <w:end w:w="120" w:type="dxa"/>
            </w:tcMar>
          </w:tcPr>
          <w:p>
            <w:pPr>
              <w:spacing w:after="0" w:line="240" w:lineRule="auto"/>
            </w:pPr>
            <w:r>
              <w:rPr>
                <w:sz w:val="17"/>
              </w:rPr>
              <w:t>Control users, contacts, provider budgets, jobs, incidents, and data requests.</w:t>
            </w:r>
          </w:p>
        </w:tc>
        <w:tc>
          <w:tcPr>
            <w:tcW w:type="dxa" w:w="3120"/>
            <w:tcMar>
              <w:top w:w="80" w:type="dxa"/>
              <w:start w:w="120" w:type="dxa"/>
              <w:bottom w:w="80" w:type="dxa"/>
              <w:end w:w="120" w:type="dxa"/>
            </w:tcMar>
          </w:tcPr>
          <w:p>
            <w:pPr>
              <w:spacing w:after="0" w:line="240" w:lineRule="auto"/>
            </w:pPr>
            <w:r>
              <w:rPr>
                <w:sz w:val="17"/>
              </w:rPr>
              <w:t>Role-protected operations and complete audit trails.</w:t>
            </w:r>
          </w:p>
        </w:tc>
      </w:tr>
    </w:tbl>
    <w:p>
      <w:pPr>
        <w:spacing w:after="0"/>
      </w:pPr>
    </w:p>
    <w:p>
      <w:pPr>
        <w:pStyle w:val="Heading2"/>
      </w:pPr>
      <w:r>
        <w:t>5.1 Core end-to-end journey</w:t>
      </w:r>
    </w:p>
    <w:p>
      <w:pPr>
        <w:spacing w:after="80"/>
        <w:ind w:left="605" w:hanging="346"/>
      </w:pPr>
      <w:r>
        <w:t xml:space="preserve">1. </w:t>
      </w:r>
      <w:r>
        <w:t>The user creates an account or signs in and is returned to the originally requested safe same-origin destination.</w:t>
      </w:r>
    </w:p>
    <w:p>
      <w:pPr>
        <w:spacing w:after="80"/>
        <w:ind w:left="605" w:hanging="346"/>
      </w:pPr>
      <w:r>
        <w:t xml:space="preserve">2. </w:t>
      </w:r>
      <w:r>
        <w:t>The user creates a brand workspace once, supplying website, industry, topic, goal, and competitor context.</w:t>
      </w:r>
    </w:p>
    <w:p>
      <w:pPr>
        <w:spacing w:after="80"/>
        <w:ind w:left="605" w:hanging="346"/>
      </w:pPr>
      <w:r>
        <w:t xml:space="preserve">3. </w:t>
      </w:r>
      <w:r>
        <w:t>trySearch creates linked product configuration without inventing initial measurements.</w:t>
      </w:r>
    </w:p>
    <w:p>
      <w:pPr>
        <w:spacing w:after="80"/>
        <w:ind w:left="605" w:hanging="346"/>
      </w:pPr>
      <w:r>
        <w:t xml:space="preserve">4. </w:t>
      </w:r>
      <w:r>
        <w:t>The user runs a bounded technical crawl and reviews page-level evidence and findings.</w:t>
      </w:r>
    </w:p>
    <w:p>
      <w:pPr>
        <w:spacing w:after="80"/>
        <w:ind w:left="605" w:hanging="346"/>
      </w:pPr>
      <w:r>
        <w:t xml:space="preserve">5. </w:t>
      </w:r>
      <w:r>
        <w:t>The user connects a verified Search Console property and synchronizes a documented date range.</w:t>
      </w:r>
    </w:p>
    <w:p>
      <w:pPr>
        <w:spacing w:after="80"/>
        <w:ind w:left="605" w:hanging="346"/>
      </w:pPr>
      <w:r>
        <w:t xml:space="preserve">6. </w:t>
      </w:r>
      <w:r>
        <w:t>The user creates topics, competitors, and active prompts, then runs a provider scan.</w:t>
      </w:r>
    </w:p>
    <w:p>
      <w:pPr>
        <w:spacing w:after="80"/>
        <w:ind w:left="605" w:hanging="346"/>
      </w:pPr>
      <w:r>
        <w:t xml:space="preserve">7. </w:t>
      </w:r>
      <w:r>
        <w:t>trySearch stores exact answers and sources, computes documented metrics, and displays partial/error states honestly.</w:t>
      </w:r>
    </w:p>
    <w:p>
      <w:pPr>
        <w:spacing w:after="80"/>
        <w:ind w:left="605" w:hanging="346"/>
      </w:pPr>
      <w:r>
        <w:t xml:space="preserve">8. </w:t>
      </w:r>
      <w:r>
        <w:t>The user turns evidence-backed opportunities into a content brief, edits the output, and records review/publication status.</w:t>
      </w:r>
    </w:p>
    <w:p>
      <w:pPr>
        <w:spacing w:after="80"/>
        <w:ind w:left="605" w:hanging="346"/>
      </w:pPr>
      <w:r>
        <w:t xml:space="preserve">9. </w:t>
      </w:r>
      <w:r>
        <w:t>Scheduled scans repeat the same cohort; comparable changes are shown and cohort changes are flagged.</w:t>
      </w:r>
    </w:p>
    <w:p>
      <w:bookmarkStart w:id="6" w:name="baseline"/>
      <w:pPr>
        <w:pStyle w:val="Heading1"/>
        <w:pageBreakBefore/>
        <w:spacing w:before="840"/>
      </w:pPr>
      <w:r>
        <w:t>6. Current implementation baseline</w:t>
      </w:r>
      <w:bookmarkEnd w:id="6"/>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3120"/>
        <w:gridCol w:w="3120"/>
        <w:gridCol w:w="3120"/>
      </w:tblGrid>
      <w:tr>
        <w:trPr>
          <w:tblHeader w:val="true"/>
        </w:trPr>
        <w:tc>
          <w:tcPr>
            <w:tcW w:type="dxa" w:w="1850"/>
            <w:shd w:fill="F5F6F7"/>
            <w:tcMar>
              <w:top w:w="80" w:type="dxa"/>
              <w:start w:w="120" w:type="dxa"/>
              <w:bottom w:w="80" w:type="dxa"/>
              <w:end w:w="120" w:type="dxa"/>
            </w:tcMar>
          </w:tcPr>
          <w:p>
            <w:pPr>
              <w:spacing w:after="0"/>
            </w:pPr>
            <w:r>
              <w:rPr>
                <w:b/>
                <w:color w:val="171717"/>
                <w:sz w:val="16"/>
              </w:rPr>
              <w:t>Surface</w:t>
            </w:r>
          </w:p>
        </w:tc>
        <w:tc>
          <w:tcPr>
            <w:tcW w:type="dxa" w:w="1450"/>
            <w:shd w:fill="F5F6F7"/>
            <w:tcMar>
              <w:top w:w="80" w:type="dxa"/>
              <w:start w:w="120" w:type="dxa"/>
              <w:bottom w:w="80" w:type="dxa"/>
              <w:end w:w="120" w:type="dxa"/>
            </w:tcMar>
          </w:tcPr>
          <w:p>
            <w:pPr>
              <w:spacing w:after="0"/>
            </w:pPr>
            <w:r>
              <w:rPr>
                <w:b/>
                <w:color w:val="171717"/>
                <w:sz w:val="16"/>
              </w:rPr>
              <w:t>Baseline</w:t>
            </w:r>
          </w:p>
        </w:tc>
        <w:tc>
          <w:tcPr>
            <w:tcW w:type="dxa" w:w="6060"/>
            <w:shd w:fill="F5F6F7"/>
            <w:tcMar>
              <w:top w:w="80" w:type="dxa"/>
              <w:start w:w="120" w:type="dxa"/>
              <w:bottom w:w="80" w:type="dxa"/>
              <w:end w:w="120" w:type="dxa"/>
            </w:tcMar>
          </w:tcPr>
          <w:p>
            <w:pPr>
              <w:spacing w:after="0"/>
            </w:pPr>
            <w:r>
              <w:rPr>
                <w:b/>
                <w:color w:val="171717"/>
                <w:sz w:val="16"/>
              </w:rPr>
              <w:t>Current capability / limitation</w:t>
            </w:r>
          </w:p>
        </w:tc>
      </w:tr>
      <w:tr>
        <w:trPr>
          <w:cantSplit/>
        </w:trPr>
        <w:tc>
          <w:tcPr>
            <w:tcW w:type="dxa" w:w="3120"/>
            <w:tcMar>
              <w:top w:w="80" w:type="dxa"/>
              <w:start w:w="120" w:type="dxa"/>
              <w:bottom w:w="80" w:type="dxa"/>
              <w:end w:w="120" w:type="dxa"/>
            </w:tcMar>
          </w:tcPr>
          <w:p>
            <w:pPr>
              <w:spacing w:after="0" w:line="240" w:lineRule="auto"/>
            </w:pPr>
            <w:r>
              <w:rPr>
                <w:sz w:val="16"/>
              </w:rPr>
              <w:t>Public homepage</w:t>
            </w:r>
          </w:p>
        </w:tc>
        <w:tc>
          <w:tcPr>
            <w:tcW w:type="dxa" w:w="3120"/>
            <w:tcMar>
              <w:top w:w="80" w:type="dxa"/>
              <w:start w:w="120" w:type="dxa"/>
              <w:bottom w:w="80" w:type="dxa"/>
              <w:end w:w="120" w:type="dxa"/>
            </w:tcMar>
          </w:tcPr>
          <w:p>
            <w:pPr>
              <w:spacing w:after="0" w:line="240" w:lineRule="auto"/>
            </w:pPr>
            <w:r>
              <w:rPr>
                <w:sz w:val="16"/>
              </w:rPr>
              <w:t>Partial</w:t>
            </w:r>
          </w:p>
        </w:tc>
        <w:tc>
          <w:tcPr>
            <w:tcW w:type="dxa" w:w="3120"/>
            <w:tcMar>
              <w:top w:w="80" w:type="dxa"/>
              <w:start w:w="120" w:type="dxa"/>
              <w:bottom w:w="80" w:type="dxa"/>
              <w:end w:w="120" w:type="dxa"/>
            </w:tcMar>
          </w:tcPr>
          <w:p>
            <w:pPr>
              <w:spacing w:after="0" w:line="240" w:lineRule="auto"/>
            </w:pPr>
            <w:r>
              <w:rPr>
                <w:sz w:val="16"/>
              </w:rPr>
              <w:t>Responsive marketing UI, auth-aware links, animated example chart, feature cards, contact form, master setup, footer. Several provider claims and values remain illustrative.</w:t>
            </w:r>
          </w:p>
        </w:tc>
      </w:tr>
      <w:tr>
        <w:trPr>
          <w:cantSplit/>
        </w:trPr>
        <w:tc>
          <w:tcPr>
            <w:tcW w:type="dxa" w:w="3120"/>
            <w:tcMar>
              <w:top w:w="80" w:type="dxa"/>
              <w:start w:w="120" w:type="dxa"/>
              <w:bottom w:w="80" w:type="dxa"/>
              <w:end w:w="120" w:type="dxa"/>
            </w:tcMar>
          </w:tcPr>
          <w:p>
            <w:pPr>
              <w:spacing w:after="0" w:line="240" w:lineRule="auto"/>
            </w:pPr>
            <w:r>
              <w:rPr>
                <w:sz w:val="16"/>
              </w:rPr>
              <w:t>Authentication / profile</w:t>
            </w:r>
          </w:p>
        </w:tc>
        <w:tc>
          <w:tcPr>
            <w:tcW w:type="dxa" w:w="3120"/>
            <w:tcMar>
              <w:top w:w="80" w:type="dxa"/>
              <w:start w:w="120" w:type="dxa"/>
              <w:bottom w:w="80" w:type="dxa"/>
              <w:end w:w="120" w:type="dxa"/>
            </w:tcMar>
          </w:tcPr>
          <w:p>
            <w:pPr>
              <w:spacing w:after="0" w:line="240" w:lineRule="auto"/>
            </w:pPr>
            <w:r>
              <w:rPr>
                <w:sz w:val="16"/>
              </w:rPr>
              <w:t>Partial</w:t>
            </w:r>
          </w:p>
        </w:tc>
        <w:tc>
          <w:tcPr>
            <w:tcW w:type="dxa" w:w="3120"/>
            <w:tcMar>
              <w:top w:w="80" w:type="dxa"/>
              <w:start w:w="120" w:type="dxa"/>
              <w:bottom w:w="80" w:type="dxa"/>
              <w:end w:w="120" w:type="dxa"/>
            </w:tcMar>
          </w:tcPr>
          <w:p>
            <w:pPr>
              <w:spacing w:after="0" w:line="240" w:lineRule="auto"/>
            </w:pPr>
            <w:r>
              <w:rPr>
                <w:sz w:val="16"/>
              </w:rPr>
              <w:t>Registration, login, logout, remembered cookie session, protected pages, read-only profile. No verified email, recovery, MFA, return path, roles, or full account lifecycle.</w:t>
            </w:r>
          </w:p>
        </w:tc>
      </w:tr>
      <w:tr>
        <w:trPr>
          <w:cantSplit/>
        </w:trPr>
        <w:tc>
          <w:tcPr>
            <w:tcW w:type="dxa" w:w="3120"/>
            <w:tcMar>
              <w:top w:w="80" w:type="dxa"/>
              <w:start w:w="120" w:type="dxa"/>
              <w:bottom w:w="80" w:type="dxa"/>
              <w:end w:w="120" w:type="dxa"/>
            </w:tcMar>
          </w:tcPr>
          <w:p>
            <w:pPr>
              <w:spacing w:after="0" w:line="240" w:lineRule="auto"/>
            </w:pPr>
            <w:r>
              <w:rPr>
                <w:sz w:val="16"/>
              </w:rPr>
              <w:t>Master workspace</w:t>
            </w:r>
          </w:p>
        </w:tc>
        <w:tc>
          <w:tcPr>
            <w:tcW w:type="dxa" w:w="3120"/>
            <w:tcMar>
              <w:top w:w="80" w:type="dxa"/>
              <w:start w:w="120" w:type="dxa"/>
              <w:bottom w:w="80" w:type="dxa"/>
              <w:end w:w="120" w:type="dxa"/>
            </w:tcMar>
          </w:tcPr>
          <w:p>
            <w:pPr>
              <w:spacing w:after="0" w:line="240" w:lineRule="auto"/>
            </w:pPr>
            <w:r>
              <w:rPr>
                <w:sz w:val="16"/>
              </w:rPr>
              <w:t>Partial</w:t>
            </w:r>
          </w:p>
        </w:tc>
        <w:tc>
          <w:tcPr>
            <w:tcW w:type="dxa" w:w="3120"/>
            <w:tcMar>
              <w:top w:w="80" w:type="dxa"/>
              <w:start w:w="120" w:type="dxa"/>
              <w:bottom w:w="80" w:type="dxa"/>
              <w:end w:w="120" w:type="dxa"/>
            </w:tcMar>
          </w:tcPr>
          <w:p>
            <w:pPr>
              <w:spacing w:after="0" w:line="240" w:lineRule="auto"/>
            </w:pPr>
            <w:r>
              <w:rPr>
                <w:sz w:val="16"/>
              </w:rPr>
              <w:t>Atomic creation of linked modules and summary page. Existing submissions are silently reused; seeded prompt/visibility results are synthetic.</w:t>
            </w:r>
          </w:p>
        </w:tc>
      </w:tr>
      <w:tr>
        <w:trPr>
          <w:cantSplit/>
        </w:trPr>
        <w:tc>
          <w:tcPr>
            <w:tcW w:type="dxa" w:w="3120"/>
            <w:tcMar>
              <w:top w:w="80" w:type="dxa"/>
              <w:start w:w="120" w:type="dxa"/>
              <w:bottom w:w="80" w:type="dxa"/>
              <w:end w:w="120" w:type="dxa"/>
            </w:tcMar>
          </w:tcPr>
          <w:p>
            <w:pPr>
              <w:spacing w:after="0" w:line="240" w:lineRule="auto"/>
            </w:pPr>
            <w:r>
              <w:rPr>
                <w:sz w:val="16"/>
              </w:rPr>
              <w:t>AI Search Analytics</w:t>
            </w:r>
          </w:p>
        </w:tc>
        <w:tc>
          <w:tcPr>
            <w:tcW w:type="dxa" w:w="3120"/>
            <w:tcMar>
              <w:top w:w="80" w:type="dxa"/>
              <w:start w:w="120" w:type="dxa"/>
              <w:bottom w:w="80" w:type="dxa"/>
              <w:end w:w="120" w:type="dxa"/>
            </w:tcMar>
          </w:tcPr>
          <w:p>
            <w:pPr>
              <w:spacing w:after="0" w:line="240" w:lineRule="auto"/>
            </w:pPr>
            <w:r>
              <w:rPr>
                <w:sz w:val="16"/>
              </w:rPr>
              <w:t>Implemented / partial</w:t>
            </w:r>
          </w:p>
        </w:tc>
        <w:tc>
          <w:tcPr>
            <w:tcW w:type="dxa" w:w="3120"/>
            <w:tcMar>
              <w:top w:w="80" w:type="dxa"/>
              <w:start w:w="120" w:type="dxa"/>
              <w:bottom w:w="80" w:type="dxa"/>
              <w:end w:w="120" w:type="dxa"/>
            </w:tcMar>
          </w:tcPr>
          <w:p>
            <w:pPr>
              <w:spacing w:after="0" w:line="240" w:lineRule="auto"/>
            </w:pPr>
            <w:r>
              <w:rPr>
                <w:sz w:val="16"/>
              </w:rPr>
              <w:t>Evidence-first workspace with multi-page crawl, GSC OAuth/sync, topics, competitors, prompts, schedules, Perplexity evidence, grounded opportunities, export, and job progress. Worker and production controls need hardening.</w:t>
            </w:r>
          </w:p>
        </w:tc>
      </w:tr>
      <w:tr>
        <w:trPr>
          <w:cantSplit/>
        </w:trPr>
        <w:tc>
          <w:tcPr>
            <w:tcW w:type="dxa" w:w="3120"/>
            <w:tcMar>
              <w:top w:w="80" w:type="dxa"/>
              <w:start w:w="120" w:type="dxa"/>
              <w:bottom w:w="80" w:type="dxa"/>
              <w:end w:w="120" w:type="dxa"/>
            </w:tcMar>
          </w:tcPr>
          <w:p>
            <w:pPr>
              <w:spacing w:after="0" w:line="240" w:lineRule="auto"/>
            </w:pPr>
            <w:r>
              <w:rPr>
                <w:sz w:val="16"/>
              </w:rPr>
              <w:t>Prompt Intelligence</w:t>
            </w:r>
          </w:p>
        </w:tc>
        <w:tc>
          <w:tcPr>
            <w:tcW w:type="dxa" w:w="3120"/>
            <w:tcMar>
              <w:top w:w="80" w:type="dxa"/>
              <w:start w:w="120" w:type="dxa"/>
              <w:bottom w:w="80" w:type="dxa"/>
              <w:end w:w="120" w:type="dxa"/>
            </w:tcMar>
          </w:tcPr>
          <w:p>
            <w:pPr>
              <w:spacing w:after="0" w:line="240" w:lineRule="auto"/>
            </w:pPr>
            <w:r>
              <w:rPr>
                <w:sz w:val="16"/>
              </w:rPr>
              <w:t>Demo-only</w:t>
            </w:r>
          </w:p>
        </w:tc>
        <w:tc>
          <w:tcPr>
            <w:tcW w:type="dxa" w:w="3120"/>
            <w:tcMar>
              <w:top w:w="80" w:type="dxa"/>
              <w:start w:w="120" w:type="dxa"/>
              <w:bottom w:w="80" w:type="dxa"/>
              <w:end w:w="120" w:type="dxa"/>
            </w:tcMar>
          </w:tcPr>
          <w:p>
            <w:pPr>
              <w:spacing w:after="0" w:line="240" w:lineRule="auto"/>
            </w:pPr>
            <w:r>
              <w:rPr>
                <w:sz w:val="16"/>
              </w:rPr>
              <w:t>Complete collection/prompt workflow and history; scores and answers are deterministic SHA-derived results.</w:t>
            </w:r>
          </w:p>
        </w:tc>
      </w:tr>
      <w:tr>
        <w:trPr>
          <w:cantSplit/>
        </w:trPr>
        <w:tc>
          <w:tcPr>
            <w:tcW w:type="dxa" w:w="3120"/>
            <w:tcMar>
              <w:top w:w="80" w:type="dxa"/>
              <w:start w:w="120" w:type="dxa"/>
              <w:bottom w:w="80" w:type="dxa"/>
              <w:end w:w="120" w:type="dxa"/>
            </w:tcMar>
          </w:tcPr>
          <w:p>
            <w:pPr>
              <w:spacing w:after="0" w:line="240" w:lineRule="auto"/>
            </w:pPr>
            <w:r>
              <w:rPr>
                <w:sz w:val="16"/>
              </w:rPr>
              <w:t>Visibility Tracking</w:t>
            </w:r>
          </w:p>
        </w:tc>
        <w:tc>
          <w:tcPr>
            <w:tcW w:type="dxa" w:w="3120"/>
            <w:tcMar>
              <w:top w:w="80" w:type="dxa"/>
              <w:start w:w="120" w:type="dxa"/>
              <w:bottom w:w="80" w:type="dxa"/>
              <w:end w:w="120" w:type="dxa"/>
            </w:tcMar>
          </w:tcPr>
          <w:p>
            <w:pPr>
              <w:spacing w:after="0" w:line="240" w:lineRule="auto"/>
            </w:pPr>
            <w:r>
              <w:rPr>
                <w:sz w:val="16"/>
              </w:rPr>
              <w:t>Demo-only</w:t>
            </w:r>
          </w:p>
        </w:tc>
        <w:tc>
          <w:tcPr>
            <w:tcW w:type="dxa" w:w="3120"/>
            <w:tcMar>
              <w:top w:w="80" w:type="dxa"/>
              <w:start w:w="120" w:type="dxa"/>
              <w:bottom w:w="80" w:type="dxa"/>
              <w:end w:w="120" w:type="dxa"/>
            </w:tcMar>
          </w:tcPr>
          <w:p>
            <w:pPr>
              <w:spacing w:after="0" w:line="240" w:lineRule="auto"/>
            </w:pPr>
            <w:r>
              <w:rPr>
                <w:sz w:val="16"/>
              </w:rPr>
              <w:t>Complete watchlist/scan/history UI; engine scores and appearances are deterministic SHA-derived baselines.</w:t>
            </w:r>
          </w:p>
        </w:tc>
      </w:tr>
      <w:tr>
        <w:trPr>
          <w:cantSplit/>
        </w:trPr>
        <w:tc>
          <w:tcPr>
            <w:tcW w:type="dxa" w:w="3120"/>
            <w:tcMar>
              <w:top w:w="80" w:type="dxa"/>
              <w:start w:w="120" w:type="dxa"/>
              <w:bottom w:w="80" w:type="dxa"/>
              <w:end w:w="120" w:type="dxa"/>
            </w:tcMar>
          </w:tcPr>
          <w:p>
            <w:pPr>
              <w:spacing w:after="0" w:line="240" w:lineRule="auto"/>
            </w:pPr>
            <w:r>
              <w:rPr>
                <w:sz w:val="16"/>
              </w:rPr>
              <w:t>Content Studio</w:t>
            </w:r>
          </w:p>
        </w:tc>
        <w:tc>
          <w:tcPr>
            <w:tcW w:type="dxa" w:w="3120"/>
            <w:tcMar>
              <w:top w:w="80" w:type="dxa"/>
              <w:start w:w="120" w:type="dxa"/>
              <w:bottom w:w="80" w:type="dxa"/>
              <w:end w:w="120" w:type="dxa"/>
            </w:tcMar>
          </w:tcPr>
          <w:p>
            <w:pPr>
              <w:spacing w:after="0" w:line="240" w:lineRule="auto"/>
            </w:pPr>
            <w:r>
              <w:rPr>
                <w:sz w:val="16"/>
              </w:rPr>
              <w:t>Partial</w:t>
            </w:r>
          </w:p>
        </w:tc>
        <w:tc>
          <w:tcPr>
            <w:tcW w:type="dxa" w:w="3120"/>
            <w:tcMar>
              <w:top w:w="80" w:type="dxa"/>
              <w:start w:w="120" w:type="dxa"/>
              <w:bottom w:w="80" w:type="dxa"/>
              <w:end w:w="120" w:type="dxa"/>
            </w:tcMar>
          </w:tcPr>
          <w:p>
            <w:pPr>
              <w:spacing w:after="0" w:line="240" w:lineRule="auto"/>
            </w:pPr>
            <w:r>
              <w:rPr>
                <w:sz w:val="16"/>
              </w:rPr>
              <w:t>Persisted briefs, editable drafts, SEO fields, version/status, and local template generation; no evidence-carrying generation contract or CMS publication connector.</w:t>
            </w:r>
          </w:p>
        </w:tc>
      </w:tr>
      <w:tr>
        <w:trPr>
          <w:cantSplit/>
        </w:trPr>
        <w:tc>
          <w:tcPr>
            <w:tcW w:type="dxa" w:w="3120"/>
            <w:tcMar>
              <w:top w:w="80" w:type="dxa"/>
              <w:start w:w="120" w:type="dxa"/>
              <w:bottom w:w="80" w:type="dxa"/>
              <w:end w:w="120" w:type="dxa"/>
            </w:tcMar>
          </w:tcPr>
          <w:p>
            <w:pPr>
              <w:spacing w:after="0" w:line="240" w:lineRule="auto"/>
            </w:pPr>
            <w:r>
              <w:rPr>
                <w:sz w:val="16"/>
              </w:rPr>
              <w:t>PWA / mobile</w:t>
            </w:r>
          </w:p>
        </w:tc>
        <w:tc>
          <w:tcPr>
            <w:tcW w:type="dxa" w:w="3120"/>
            <w:tcMar>
              <w:top w:w="80" w:type="dxa"/>
              <w:start w:w="120" w:type="dxa"/>
              <w:bottom w:w="80" w:type="dxa"/>
              <w:end w:w="120" w:type="dxa"/>
            </w:tcMar>
          </w:tcPr>
          <w:p>
            <w:pPr>
              <w:spacing w:after="0" w:line="240" w:lineRule="auto"/>
            </w:pPr>
            <w:r>
              <w:rPr>
                <w:sz w:val="16"/>
              </w:rPr>
              <w:t>Partial</w:t>
            </w:r>
          </w:p>
        </w:tc>
        <w:tc>
          <w:tcPr>
            <w:tcW w:type="dxa" w:w="3120"/>
            <w:tcMar>
              <w:top w:w="80" w:type="dxa"/>
              <w:start w:w="120" w:type="dxa"/>
              <w:bottom w:w="80" w:type="dxa"/>
              <w:end w:w="120" w:type="dxa"/>
            </w:tcMar>
          </w:tcPr>
          <w:p>
            <w:pPr>
              <w:spacing w:after="0" w:line="240" w:lineRule="auto"/>
            </w:pPr>
            <w:r>
              <w:rPr>
                <w:sz w:val="16"/>
              </w:rPr>
              <w:t>Standalone manifest, offline fallback, responsive layouts, reduced motion, and service worker. Icon set, update UX, cache resilience, and mobile accessibility need completion.</w:t>
            </w:r>
          </w:p>
        </w:tc>
      </w:tr>
      <w:tr>
        <w:trPr>
          <w:cantSplit/>
        </w:trPr>
        <w:tc>
          <w:tcPr>
            <w:tcW w:type="dxa" w:w="3120"/>
            <w:tcMar>
              <w:top w:w="80" w:type="dxa"/>
              <w:start w:w="120" w:type="dxa"/>
              <w:bottom w:w="80" w:type="dxa"/>
              <w:end w:w="120" w:type="dxa"/>
            </w:tcMar>
          </w:tcPr>
          <w:p>
            <w:pPr>
              <w:spacing w:after="0" w:line="240" w:lineRule="auto"/>
            </w:pPr>
            <w:r>
              <w:rPr>
                <w:sz w:val="16"/>
              </w:rPr>
              <w:t>Operations / admin</w:t>
            </w:r>
          </w:p>
        </w:tc>
        <w:tc>
          <w:tcPr>
            <w:tcW w:type="dxa" w:w="3120"/>
            <w:tcMar>
              <w:top w:w="80" w:type="dxa"/>
              <w:start w:w="120" w:type="dxa"/>
              <w:bottom w:w="80" w:type="dxa"/>
              <w:end w:w="120" w:type="dxa"/>
            </w:tcMar>
          </w:tcPr>
          <w:p>
            <w:pPr>
              <w:spacing w:after="0" w:line="240" w:lineRule="auto"/>
            </w:pPr>
            <w:r>
              <w:rPr>
                <w:sz w:val="16"/>
              </w:rPr>
              <w:t>Required</w:t>
            </w:r>
          </w:p>
        </w:tc>
        <w:tc>
          <w:tcPr>
            <w:tcW w:type="dxa" w:w="3120"/>
            <w:tcMar>
              <w:top w:w="80" w:type="dxa"/>
              <w:start w:w="120" w:type="dxa"/>
              <w:bottom w:w="80" w:type="dxa"/>
              <w:end w:w="120" w:type="dxa"/>
            </w:tcMar>
          </w:tcPr>
          <w:p>
            <w:pPr>
              <w:spacing w:after="0" w:line="240" w:lineRule="auto"/>
            </w:pPr>
            <w:r>
              <w:rPr>
                <w:sz w:val="16"/>
              </w:rPr>
              <w:t>Health endpoint and basic Render/Gunicorn configuration exist. RBAC, secure contact admin, CI/CD, monitoring, backups, worker service, and production IaC are missing.</w:t>
            </w:r>
          </w:p>
        </w:tc>
      </w:tr>
    </w:tbl>
    <w:p>
      <w:pPr>
        <w:spacing w:after="0"/>
      </w:pPr>
    </w:p>
    <w:p>
      <w:pPr>
        <w:pStyle w:val="Heading2"/>
      </w:pPr>
      <w:r>
        <w:t>6.1 Implemented technology baseline</w:t>
      </w:r>
    </w:p>
    <w:p>
      <w:pPr>
        <w:pStyle w:val="ListBullet"/>
      </w:pPr>
      <w:r>
        <w:t>Backend: Flask 3.1+, Gunicorn, SQLAlchemy Core 2.0+, Werkzeug password hashing.</w:t>
      </w:r>
    </w:p>
    <w:p>
      <w:pPr>
        <w:pStyle w:val="ListBullet"/>
      </w:pPr>
      <w:r>
        <w:t>Data: PostgreSQL in production, SQLite fallback in development; 33 logical SQL tables in the current monolith.</w:t>
      </w:r>
    </w:p>
    <w:p>
      <w:pPr>
        <w:pStyle w:val="ListBullet"/>
      </w:pPr>
      <w:r>
        <w:t>Frontend: server-served HTML, CSS, and vanilla JavaScript; native dialogs; SVG/DOM charts; responsive application shell.</w:t>
      </w:r>
    </w:p>
    <w:p>
      <w:pPr>
        <w:pStyle w:val="ListBullet"/>
      </w:pPr>
      <w:r>
        <w:t>Integrations: public website HTTP crawl, Google OAuth/Search Console, Perplexity Search and Agent APIs, optional Hugging Face Inference Providers or Ollama-compatible chat completions for grounded actions.</w:t>
      </w:r>
    </w:p>
    <w:p>
      <w:pPr>
        <w:pStyle w:val="ListBullet"/>
      </w:pPr>
      <w:r>
        <w:t>Hosting baseline: Render blueprint, Dockerfile, Procfile, health endpoint, and environment-variable configuration.</w:t>
      </w:r>
    </w:p>
    <w:p>
      <w:pPr>
        <w:pStyle w:val="ListBullet"/>
      </w:pPr>
      <w:r>
        <w:t>Current automated coverage: five passing helper-level tests for crawl safety, URL canonicalization, unavailable values, Perplexity parsing, and evidence-reference validation.</w:t>
      </w:r>
    </w:p>
    <w:tbl>
      <w:tblPr>
        <w:tblW w:type="dxa" w:w="9360"/>
        <w:jc w:val="center"/>
        <w:tblLayout w:type="fixed"/>
        <w:tblLook w:firstColumn="1" w:firstRow="1" w:lastColumn="0" w:lastRow="0" w:noHBand="0" w:noVBand="1" w:val="04A0"/>
        <w:tblBorders>
          <w:top w:val="single" w:sz="8" w:color="D9DCE1"/>
          <w:start w:val="single" w:sz="8" w:color="D9DCE1"/>
          <w:bottom w:val="single" w:sz="8" w:color="D9DCE1"/>
          <w:end w:val="single" w:sz="8" w:color="D9DCE1"/>
          <w:insideH w:val="single" w:sz="8" w:color="D9DCE1"/>
          <w:insideV w:val="single" w:sz="8" w:color="D9DCE1"/>
        </w:tblBorders>
      </w:tblPr>
      <w:tblGrid>
        <w:gridCol w:w="9360"/>
      </w:tblGrid>
      <w:tr>
        <w:trPr>
          <w:cantSplit/>
        </w:trPr>
        <w:tc>
          <w:tcPr>
            <w:tcW w:type="dxa" w:w="9360"/>
            <w:shd w:fill="F5F6F7"/>
            <w:tcMar>
              <w:top w:w="140" w:type="dxa"/>
              <w:start w:w="180" w:type="dxa"/>
              <w:bottom w:w="140" w:type="dxa"/>
              <w:end w:w="180" w:type="dxa"/>
            </w:tcMar>
          </w:tcPr>
          <w:p>
            <w:pPr>
              <w:spacing w:after="80"/>
            </w:pPr>
            <w:r>
              <w:rPr>
                <w:b/>
                <w:color w:val="333333"/>
              </w:rPr>
              <w:t>Legacy boundary</w:t>
            </w:r>
          </w:p>
          <w:p>
            <w:pPr>
              <w:spacing w:after="0"/>
            </w:pPr>
            <w:r>
              <w:t>server.py and server_mongo.py are legacy account/contact alternatives. They do not implement the complete analytics product and shall not be supported production entrypoints.</w:t>
            </w:r>
          </w:p>
        </w:tc>
      </w:tr>
    </w:tbl>
    <w:p>
      <w:bookmarkStart w:id="7" w:name="architecture"/>
      <w:pPr>
        <w:pStyle w:val="Heading1"/>
      </w:pPr>
      <w:r>
        <w:t>7. Target architecture</w:t>
      </w:r>
      <w:bookmarkEnd w:id="7"/>
    </w:p>
    <w:p>
      <w:pPr>
        <w:keepLines/>
        <w:jc w:val="center"/>
      </w:pPr>
      <w:r>
        <w:drawing>
          <wp:inline xmlns:a="http://schemas.openxmlformats.org/drawingml/2006/main" xmlns:pic="http://schemas.openxmlformats.org/drawingml/2006/picture">
            <wp:extent cx="5897880" cy="3133249"/>
            <wp:docPr id="2" name="Picture 2" descr="Architecture diagram showing the browser and PWA calling a Flask application, which uses PostgreSQL and a durable worker tier connected to public websites, Google Search Console, Perplexity, and optional Hugging Face or Ollama models."/>
            <wp:cNvGraphicFramePr>
              <a:graphicFrameLocks noChangeAspect="1"/>
            </wp:cNvGraphicFramePr>
            <a:graphic>
              <a:graphicData uri="http://schemas.openxmlformats.org/drawingml/2006/picture">
                <pic:pic>
                  <pic:nvPicPr>
                    <pic:cNvPr id="0" name="target_architecture.png"/>
                    <pic:cNvPicPr/>
                  </pic:nvPicPr>
                  <pic:blipFill>
                    <a:blip r:embed="rId13"/>
                    <a:stretch>
                      <a:fillRect/>
                    </a:stretch>
                  </pic:blipFill>
                  <pic:spPr>
                    <a:xfrm>
                      <a:off x="0" y="0"/>
                      <a:ext cx="5897880" cy="3133249"/>
                    </a:xfrm>
                    <a:prstGeom prst="rect"/>
                  </pic:spPr>
                </pic:pic>
              </a:graphicData>
            </a:graphic>
          </wp:inline>
        </w:drawing>
      </w:r>
    </w:p>
    <w:p>
      <w:pPr>
        <w:keepNext w:val="0"/>
        <w:spacing w:after="160"/>
        <w:jc w:val="center"/>
      </w:pPr>
      <w:r>
        <w:rPr>
          <w:i/>
          <w:color w:val="666666"/>
          <w:sz w:val="17"/>
        </w:rPr>
        <w:t>Figure 1 — Target production architecture. The current monolith is refactored behind the same product contract.</w:t>
      </w:r>
    </w:p>
    <w:p>
      <w:pPr>
        <w:pStyle w:val="Heading2"/>
        <w:pageBreakBefore/>
        <w:spacing w:before="840"/>
      </w:pPr>
      <w:r>
        <w:t>7.1 Component responsibilities</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4680"/>
        <w:gridCol w:w="4680"/>
      </w:tblGrid>
      <w:tr>
        <w:trPr>
          <w:tblHeader w:val="true"/>
        </w:trPr>
        <w:tc>
          <w:tcPr>
            <w:tcW w:type="dxa" w:w="2000"/>
            <w:shd w:fill="F5F6F7"/>
            <w:tcMar>
              <w:top w:w="80" w:type="dxa"/>
              <w:start w:w="120" w:type="dxa"/>
              <w:bottom w:w="80" w:type="dxa"/>
              <w:end w:w="120" w:type="dxa"/>
            </w:tcMar>
          </w:tcPr>
          <w:p>
            <w:pPr>
              <w:spacing w:after="0"/>
            </w:pPr>
            <w:r>
              <w:rPr>
                <w:b/>
                <w:color w:val="171717"/>
                <w:sz w:val="17"/>
              </w:rPr>
              <w:t>Component</w:t>
            </w:r>
          </w:p>
        </w:tc>
        <w:tc>
          <w:tcPr>
            <w:tcW w:type="dxa" w:w="7360"/>
            <w:shd w:fill="F5F6F7"/>
            <w:tcMar>
              <w:top w:w="80" w:type="dxa"/>
              <w:start w:w="120" w:type="dxa"/>
              <w:bottom w:w="80" w:type="dxa"/>
              <w:end w:w="120" w:type="dxa"/>
            </w:tcMar>
          </w:tcPr>
          <w:p>
            <w:pPr>
              <w:spacing w:after="0"/>
            </w:pPr>
            <w:r>
              <w:rPr>
                <w:b/>
                <w:color w:val="171717"/>
                <w:sz w:val="17"/>
              </w:rPr>
              <w:t>Responsibilities</w:t>
            </w:r>
          </w:p>
        </w:tc>
      </w:tr>
      <w:tr>
        <w:trPr>
          <w:cantSplit/>
        </w:trPr>
        <w:tc>
          <w:tcPr>
            <w:tcW w:type="dxa" w:w="4680"/>
            <w:tcMar>
              <w:top w:w="80" w:type="dxa"/>
              <w:start w:w="120" w:type="dxa"/>
              <w:bottom w:w="80" w:type="dxa"/>
              <w:end w:w="120" w:type="dxa"/>
            </w:tcMar>
          </w:tcPr>
          <w:p>
            <w:pPr>
              <w:spacing w:after="0" w:line="240" w:lineRule="auto"/>
            </w:pPr>
            <w:r>
              <w:rPr>
                <w:sz w:val="17"/>
              </w:rPr>
              <w:t>Web client / PWA</w:t>
            </w:r>
          </w:p>
        </w:tc>
        <w:tc>
          <w:tcPr>
            <w:tcW w:type="dxa" w:w="4680"/>
            <w:tcMar>
              <w:top w:w="80" w:type="dxa"/>
              <w:start w:w="120" w:type="dxa"/>
              <w:bottom w:w="80" w:type="dxa"/>
              <w:end w:w="120" w:type="dxa"/>
            </w:tcMar>
          </w:tcPr>
          <w:p>
            <w:pPr>
              <w:spacing w:after="0" w:line="240" w:lineRule="auto"/>
            </w:pPr>
            <w:r>
              <w:rPr>
                <w:sz w:val="17"/>
              </w:rPr>
              <w:t>Render public and authenticated surfaces; accessible navigation; source-specific states; job progress; evidence inspection; export; offline shell without caching private API data.</w:t>
            </w:r>
          </w:p>
        </w:tc>
      </w:tr>
      <w:tr>
        <w:trPr>
          <w:cantSplit/>
        </w:trPr>
        <w:tc>
          <w:tcPr>
            <w:tcW w:type="dxa" w:w="4680"/>
            <w:tcMar>
              <w:top w:w="80" w:type="dxa"/>
              <w:start w:w="120" w:type="dxa"/>
              <w:bottom w:w="80" w:type="dxa"/>
              <w:end w:w="120" w:type="dxa"/>
            </w:tcMar>
          </w:tcPr>
          <w:p>
            <w:pPr>
              <w:spacing w:after="0" w:line="240" w:lineRule="auto"/>
            </w:pPr>
            <w:r>
              <w:rPr>
                <w:sz w:val="17"/>
              </w:rPr>
              <w:t>Flask web service</w:t>
            </w:r>
          </w:p>
        </w:tc>
        <w:tc>
          <w:tcPr>
            <w:tcW w:type="dxa" w:w="4680"/>
            <w:tcMar>
              <w:top w:w="80" w:type="dxa"/>
              <w:start w:w="120" w:type="dxa"/>
              <w:bottom w:w="80" w:type="dxa"/>
              <w:end w:w="120" w:type="dxa"/>
            </w:tcMar>
          </w:tcPr>
          <w:p>
            <w:pPr>
              <w:spacing w:after="0" w:line="240" w:lineRule="auto"/>
            </w:pPr>
            <w:r>
              <w:rPr>
                <w:sz w:val="17"/>
              </w:rPr>
              <w:t>Authentication, RBAC, validation, versioned JSON API, project ownership, OAuth initiation/callback, job enqueue, read models, security headers, and audit events.</w:t>
            </w:r>
          </w:p>
        </w:tc>
      </w:tr>
      <w:tr>
        <w:trPr>
          <w:cantSplit/>
        </w:trPr>
        <w:tc>
          <w:tcPr>
            <w:tcW w:type="dxa" w:w="4680"/>
            <w:tcMar>
              <w:top w:w="80" w:type="dxa"/>
              <w:start w:w="120" w:type="dxa"/>
              <w:bottom w:w="80" w:type="dxa"/>
              <w:end w:w="120" w:type="dxa"/>
            </w:tcMar>
          </w:tcPr>
          <w:p>
            <w:pPr>
              <w:spacing w:after="0" w:line="240" w:lineRule="auto"/>
            </w:pPr>
            <w:r>
              <w:rPr>
                <w:sz w:val="17"/>
              </w:rPr>
              <w:t>Domain services</w:t>
            </w:r>
          </w:p>
        </w:tc>
        <w:tc>
          <w:tcPr>
            <w:tcW w:type="dxa" w:w="4680"/>
            <w:tcMar>
              <w:top w:w="80" w:type="dxa"/>
              <w:start w:w="120" w:type="dxa"/>
              <w:bottom w:w="80" w:type="dxa"/>
              <w:end w:w="120" w:type="dxa"/>
            </w:tcMar>
          </w:tcPr>
          <w:p>
            <w:pPr>
              <w:spacing w:after="0" w:line="240" w:lineRule="auto"/>
            </w:pPr>
            <w:r>
              <w:rPr>
                <w:sz w:val="17"/>
              </w:rPr>
              <w:t>Crawl, GSC, prompt configuration, evidence normalization, metric calculation, content opportunities, retention, and deletion contracts.</w:t>
            </w:r>
          </w:p>
        </w:tc>
      </w:tr>
      <w:tr>
        <w:trPr>
          <w:cantSplit/>
        </w:trPr>
        <w:tc>
          <w:tcPr>
            <w:tcW w:type="dxa" w:w="4680"/>
            <w:tcMar>
              <w:top w:w="80" w:type="dxa"/>
              <w:start w:w="120" w:type="dxa"/>
              <w:bottom w:w="80" w:type="dxa"/>
              <w:end w:w="120" w:type="dxa"/>
            </w:tcMar>
          </w:tcPr>
          <w:p>
            <w:pPr>
              <w:spacing w:after="0" w:line="240" w:lineRule="auto"/>
            </w:pPr>
            <w:r>
              <w:rPr>
                <w:sz w:val="17"/>
              </w:rPr>
              <w:t>Durable workers</w:t>
            </w:r>
          </w:p>
        </w:tc>
        <w:tc>
          <w:tcPr>
            <w:tcW w:type="dxa" w:w="4680"/>
            <w:tcMar>
              <w:top w:w="80" w:type="dxa"/>
              <w:start w:w="120" w:type="dxa"/>
              <w:bottom w:w="80" w:type="dxa"/>
              <w:end w:w="120" w:type="dxa"/>
            </w:tcMar>
          </w:tcPr>
          <w:p>
            <w:pPr>
              <w:spacing w:after="0" w:line="240" w:lineRule="auto"/>
            </w:pPr>
            <w:r>
              <w:rPr>
                <w:sz w:val="17"/>
              </w:rPr>
              <w:t>Execute crawl/GSC/provider jobs outside Gunicorn; claim leases; retry with backoff; enforce idempotency, quotas, concurrency, cancellation, and telemetry.</w:t>
            </w:r>
          </w:p>
        </w:tc>
      </w:tr>
      <w:tr>
        <w:trPr>
          <w:cantSplit/>
        </w:trPr>
        <w:tc>
          <w:tcPr>
            <w:tcW w:type="dxa" w:w="4680"/>
            <w:tcMar>
              <w:top w:w="80" w:type="dxa"/>
              <w:start w:w="120" w:type="dxa"/>
              <w:bottom w:w="80" w:type="dxa"/>
              <w:end w:w="120" w:type="dxa"/>
            </w:tcMar>
          </w:tcPr>
          <w:p>
            <w:pPr>
              <w:spacing w:after="0" w:line="240" w:lineRule="auto"/>
            </w:pPr>
            <w:r>
              <w:rPr>
                <w:sz w:val="17"/>
              </w:rPr>
              <w:t>Scheduler</w:t>
            </w:r>
          </w:p>
        </w:tc>
        <w:tc>
          <w:tcPr>
            <w:tcW w:type="dxa" w:w="4680"/>
            <w:tcMar>
              <w:top w:w="80" w:type="dxa"/>
              <w:start w:w="120" w:type="dxa"/>
              <w:bottom w:w="80" w:type="dxa"/>
              <w:end w:w="120" w:type="dxa"/>
            </w:tcMar>
          </w:tcPr>
          <w:p>
            <w:pPr>
              <w:spacing w:after="0" w:line="240" w:lineRule="auto"/>
            </w:pPr>
            <w:r>
              <w:rPr>
                <w:sz w:val="17"/>
              </w:rPr>
              <w:t>Create one due run per project/window with calendar-aware timezone behavior and distributed locking.</w:t>
            </w:r>
          </w:p>
        </w:tc>
      </w:tr>
      <w:tr>
        <w:trPr>
          <w:cantSplit/>
        </w:trPr>
        <w:tc>
          <w:tcPr>
            <w:tcW w:type="dxa" w:w="4680"/>
            <w:tcMar>
              <w:top w:w="80" w:type="dxa"/>
              <w:start w:w="120" w:type="dxa"/>
              <w:bottom w:w="80" w:type="dxa"/>
              <w:end w:w="120" w:type="dxa"/>
            </w:tcMar>
          </w:tcPr>
          <w:p>
            <w:pPr>
              <w:spacing w:after="0" w:line="240" w:lineRule="auto"/>
            </w:pPr>
            <w:r>
              <w:rPr>
                <w:sz w:val="17"/>
              </w:rPr>
              <w:t>PostgreSQL</w:t>
            </w:r>
          </w:p>
        </w:tc>
        <w:tc>
          <w:tcPr>
            <w:tcW w:type="dxa" w:w="4680"/>
            <w:tcMar>
              <w:top w:w="80" w:type="dxa"/>
              <w:start w:w="120" w:type="dxa"/>
              <w:bottom w:w="80" w:type="dxa"/>
              <w:end w:w="120" w:type="dxa"/>
            </w:tcMar>
          </w:tcPr>
          <w:p>
            <w:pPr>
              <w:spacing w:after="0" w:line="240" w:lineRule="auto"/>
            </w:pPr>
            <w:r>
              <w:rPr>
                <w:sz w:val="17"/>
              </w:rPr>
              <w:t>Tenant/account data, configuration, source evidence, immutable run snapshots, jobs, audit history, retention metadata, and referential integrity.</w:t>
            </w:r>
          </w:p>
        </w:tc>
      </w:tr>
      <w:tr>
        <w:trPr>
          <w:cantSplit/>
        </w:trPr>
        <w:tc>
          <w:tcPr>
            <w:tcW w:type="dxa" w:w="4680"/>
            <w:tcMar>
              <w:top w:w="80" w:type="dxa"/>
              <w:start w:w="120" w:type="dxa"/>
              <w:bottom w:w="80" w:type="dxa"/>
              <w:end w:w="120" w:type="dxa"/>
            </w:tcMar>
          </w:tcPr>
          <w:p>
            <w:pPr>
              <w:spacing w:after="0" w:line="240" w:lineRule="auto"/>
            </w:pPr>
            <w:r>
              <w:rPr>
                <w:sz w:val="17"/>
              </w:rPr>
              <w:t>Provider adapters</w:t>
            </w:r>
          </w:p>
        </w:tc>
        <w:tc>
          <w:tcPr>
            <w:tcW w:type="dxa" w:w="4680"/>
            <w:tcMar>
              <w:top w:w="80" w:type="dxa"/>
              <w:start w:w="120" w:type="dxa"/>
              <w:bottom w:w="80" w:type="dxa"/>
              <w:end w:w="120" w:type="dxa"/>
            </w:tcMar>
          </w:tcPr>
          <w:p>
            <w:pPr>
              <w:spacing w:after="0" w:line="240" w:lineRule="auto"/>
            </w:pPr>
            <w:r>
              <w:rPr>
                <w:sz w:val="17"/>
              </w:rPr>
              <w:t>Isolate Google, Perplexity, Hugging Face, Ollama, and future supported providers; normalize errors and preserve provider identifiers without cross-source relabelling.</w:t>
            </w:r>
          </w:p>
        </w:tc>
      </w:tr>
      <w:tr>
        <w:trPr>
          <w:cantSplit/>
        </w:trPr>
        <w:tc>
          <w:tcPr>
            <w:tcW w:type="dxa" w:w="4680"/>
            <w:tcMar>
              <w:top w:w="80" w:type="dxa"/>
              <w:start w:w="120" w:type="dxa"/>
              <w:bottom w:w="80" w:type="dxa"/>
              <w:end w:w="120" w:type="dxa"/>
            </w:tcMar>
          </w:tcPr>
          <w:p>
            <w:pPr>
              <w:spacing w:after="0" w:line="240" w:lineRule="auto"/>
            </w:pPr>
            <w:r>
              <w:rPr>
                <w:sz w:val="17"/>
              </w:rPr>
              <w:t>Observability</w:t>
            </w:r>
          </w:p>
        </w:tc>
        <w:tc>
          <w:tcPr>
            <w:tcW w:type="dxa" w:w="4680"/>
            <w:tcMar>
              <w:top w:w="80" w:type="dxa"/>
              <w:start w:w="120" w:type="dxa"/>
              <w:bottom w:w="80" w:type="dxa"/>
              <w:end w:w="120" w:type="dxa"/>
            </w:tcMar>
          </w:tcPr>
          <w:p>
            <w:pPr>
              <w:spacing w:after="0" w:line="240" w:lineRule="auto"/>
            </w:pPr>
            <w:r>
              <w:rPr>
                <w:sz w:val="17"/>
              </w:rPr>
              <w:t>Structured logs, request/job correlation, metrics, traces, alerts, provider-cost telemetry, backup verification, and incident evidence.</w:t>
            </w:r>
          </w:p>
        </w:tc>
      </w:tr>
    </w:tbl>
    <w:p>
      <w:pPr>
        <w:spacing w:after="0"/>
      </w:pPr>
    </w:p>
    <w:p>
      <w:pPr>
        <w:pStyle w:val="Heading2"/>
      </w:pPr>
      <w:r>
        <w:t>7.2 Architectural constraints</w:t>
      </w:r>
    </w:p>
    <w:p>
      <w:pPr>
        <w:pStyle w:val="ListBullet"/>
      </w:pPr>
      <w:r>
        <w:t>One supported production application entrypoint and one versioned API contract.</w:t>
      </w:r>
    </w:p>
    <w:p>
      <w:pPr>
        <w:pStyle w:val="ListBullet"/>
      </w:pPr>
      <w:r>
        <w:t>No network work, schema alteration, or long-running scan during module import or web request startup.</w:t>
      </w:r>
    </w:p>
    <w:p>
      <w:pPr>
        <w:pStyle w:val="ListBullet"/>
      </w:pPr>
      <w:r>
        <w:t>All external credentials remain server-side and are supplied through environment-specific secret management.</w:t>
      </w:r>
    </w:p>
    <w:p>
      <w:pPr>
        <w:pStyle w:val="ListBullet"/>
      </w:pPr>
      <w:r>
        <w:t>Background tasks are at-least-once and therefore idempotent; a job key may create at most one persisted scan result.</w:t>
      </w:r>
    </w:p>
    <w:p>
      <w:pPr>
        <w:pStyle w:val="ListBullet"/>
      </w:pPr>
      <w:r>
        <w:t>Source evidence is immutable after completion; derived summaries may be recalculated with versioned algorithms.</w:t>
      </w:r>
    </w:p>
    <w:p>
      <w:pPr>
        <w:pStyle w:val="ListBullet"/>
      </w:pPr>
      <w:r>
        <w:t>The UI may degrade when an external provider fails, but core account and stored-data access remains available.</w:t>
      </w:r>
    </w:p>
    <w:p>
      <w:bookmarkStart w:id="8" w:name="provenance"/>
      <w:pPr>
        <w:pStyle w:val="Heading1"/>
      </w:pPr>
      <w:r>
        <w:t>8. Data-source and metric contract</w:t>
      </w:r>
      <w:bookmarkEnd w:id="8"/>
    </w:p>
    <w:p>
      <w:pPr>
        <w:keepLines/>
        <w:jc w:val="center"/>
      </w:pPr>
      <w:r>
        <w:drawing>
          <wp:inline xmlns:a="http://schemas.openxmlformats.org/drawingml/2006/main" xmlns:pic="http://schemas.openxmlformats.org/drawingml/2006/picture">
            <wp:extent cx="5897880" cy="2580322"/>
            <wp:docPr id="3" name="Picture 3" descr="Diagram separating website crawl metrics, Google Search Console performance, and Perplexity provider evidence, followed by presentation rules requiring source, timestamp, denominator, status, and evidence links."/>
            <wp:cNvGraphicFramePr>
              <a:graphicFrameLocks noChangeAspect="1"/>
            </wp:cNvGraphicFramePr>
            <a:graphic>
              <a:graphicData uri="http://schemas.openxmlformats.org/drawingml/2006/picture">
                <pic:pic>
                  <pic:nvPicPr>
                    <pic:cNvPr id="0" name="provenance_contract.png"/>
                    <pic:cNvPicPr/>
                  </pic:nvPicPr>
                  <pic:blipFill>
                    <a:blip r:embed="rId14"/>
                    <a:stretch>
                      <a:fillRect/>
                    </a:stretch>
                  </pic:blipFill>
                  <pic:spPr>
                    <a:xfrm>
                      <a:off x="0" y="0"/>
                      <a:ext cx="5897880" cy="2580322"/>
                    </a:xfrm>
                    <a:prstGeom prst="rect"/>
                  </pic:spPr>
                </pic:pic>
              </a:graphicData>
            </a:graphic>
          </wp:inline>
        </w:drawing>
      </w:r>
    </w:p>
    <w:p>
      <w:pPr>
        <w:keepNext w:val="0"/>
        <w:spacing w:after="160"/>
        <w:jc w:val="center"/>
      </w:pPr>
      <w:r>
        <w:rPr>
          <w:i/>
          <w:color w:val="666666"/>
          <w:sz w:val="17"/>
        </w:rPr>
        <w:t>Figure 2 — Source-specific metric boundaries and presentation rules.</w:t>
      </w:r>
    </w:p>
    <w:p>
      <w:pPr>
        <w:pStyle w:val="Heading2"/>
        <w:pageBreakBefore/>
        <w:spacing w:before="840"/>
      </w:pPr>
      <w:r>
        <w:t>8.1 Required metric definitions</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1450"/>
            <w:shd w:fill="F5F6F7"/>
            <w:tcMar>
              <w:top w:w="80" w:type="dxa"/>
              <w:start w:w="120" w:type="dxa"/>
              <w:bottom w:w="80" w:type="dxa"/>
              <w:end w:w="120" w:type="dxa"/>
            </w:tcMar>
          </w:tcPr>
          <w:p>
            <w:pPr>
              <w:spacing w:after="0"/>
            </w:pPr>
            <w:r>
              <w:rPr>
                <w:b/>
                <w:color w:val="171717"/>
                <w:sz w:val="15"/>
              </w:rPr>
              <w:t>Metric</w:t>
            </w:r>
          </w:p>
        </w:tc>
        <w:tc>
          <w:tcPr>
            <w:tcW w:type="dxa" w:w="1450"/>
            <w:shd w:fill="F5F6F7"/>
            <w:tcMar>
              <w:top w:w="80" w:type="dxa"/>
              <w:start w:w="120" w:type="dxa"/>
              <w:bottom w:w="80" w:type="dxa"/>
              <w:end w:w="120" w:type="dxa"/>
            </w:tcMar>
          </w:tcPr>
          <w:p>
            <w:pPr>
              <w:spacing w:after="0"/>
            </w:pPr>
            <w:r>
              <w:rPr>
                <w:b/>
                <w:color w:val="171717"/>
                <w:sz w:val="15"/>
              </w:rPr>
              <w:t>Source</w:t>
            </w:r>
          </w:p>
        </w:tc>
        <w:tc>
          <w:tcPr>
            <w:tcW w:type="dxa" w:w="3850"/>
            <w:shd w:fill="F5F6F7"/>
            <w:tcMar>
              <w:top w:w="80" w:type="dxa"/>
              <w:start w:w="120" w:type="dxa"/>
              <w:bottom w:w="80" w:type="dxa"/>
              <w:end w:w="120" w:type="dxa"/>
            </w:tcMar>
          </w:tcPr>
          <w:p>
            <w:pPr>
              <w:spacing w:after="0"/>
            </w:pPr>
            <w:r>
              <w:rPr>
                <w:b/>
                <w:color w:val="171717"/>
                <w:sz w:val="15"/>
              </w:rPr>
              <w:t>Definition</w:t>
            </w:r>
          </w:p>
        </w:tc>
        <w:tc>
          <w:tcPr>
            <w:tcW w:type="dxa" w:w="2610"/>
            <w:shd w:fill="F5F6F7"/>
            <w:tcMar>
              <w:top w:w="80" w:type="dxa"/>
              <w:start w:w="120" w:type="dxa"/>
              <w:bottom w:w="80" w:type="dxa"/>
              <w:end w:w="120" w:type="dxa"/>
            </w:tcMar>
          </w:tcPr>
          <w:p>
            <w:pPr>
              <w:spacing w:after="0"/>
            </w:pPr>
            <w:r>
              <w:rPr>
                <w:b/>
                <w:color w:val="171717"/>
                <w:sz w:val="15"/>
              </w:rPr>
              <w:t>Display rule</w:t>
            </w:r>
          </w:p>
        </w:tc>
      </w:tr>
      <w:tr>
        <w:trPr>
          <w:cantSplit/>
        </w:trPr>
        <w:tc>
          <w:tcPr>
            <w:tcW w:type="dxa" w:w="2340"/>
            <w:tcMar>
              <w:top w:w="80" w:type="dxa"/>
              <w:start w:w="120" w:type="dxa"/>
              <w:bottom w:w="80" w:type="dxa"/>
              <w:end w:w="120" w:type="dxa"/>
            </w:tcMar>
          </w:tcPr>
          <w:p>
            <w:pPr>
              <w:spacing w:after="0" w:line="240" w:lineRule="auto"/>
            </w:pPr>
            <w:r>
              <w:rPr>
                <w:sz w:val="15"/>
              </w:rPr>
              <w:t>Website readiness</w:t>
            </w:r>
          </w:p>
        </w:tc>
        <w:tc>
          <w:tcPr>
            <w:tcW w:type="dxa" w:w="2340"/>
            <w:tcMar>
              <w:top w:w="80" w:type="dxa"/>
              <w:start w:w="120" w:type="dxa"/>
              <w:bottom w:w="80" w:type="dxa"/>
              <w:end w:w="120" w:type="dxa"/>
            </w:tcMar>
          </w:tcPr>
          <w:p>
            <w:pPr>
              <w:spacing w:after="0" w:line="240" w:lineRule="auto"/>
            </w:pPr>
            <w:r>
              <w:rPr>
                <w:sz w:val="15"/>
              </w:rPr>
              <w:t>Website crawl</w:t>
            </w:r>
          </w:p>
        </w:tc>
        <w:tc>
          <w:tcPr>
            <w:tcW w:type="dxa" w:w="2340"/>
            <w:tcMar>
              <w:top w:w="80" w:type="dxa"/>
              <w:start w:w="120" w:type="dxa"/>
              <w:bottom w:w="80" w:type="dxa"/>
              <w:end w:w="120" w:type="dxa"/>
            </w:tcMar>
          </w:tcPr>
          <w:p>
            <w:pPr>
              <w:spacing w:after="0" w:line="240" w:lineRule="auto"/>
            </w:pPr>
            <w:r>
              <w:rPr>
                <w:sz w:val="15"/>
              </w:rPr>
              <w:t>Documented aggregate of fetched-page metadata, content, crawlability, and structured-data checks.</w:t>
            </w:r>
          </w:p>
        </w:tc>
        <w:tc>
          <w:tcPr>
            <w:tcW w:type="dxa" w:w="2340"/>
            <w:tcMar>
              <w:top w:w="80" w:type="dxa"/>
              <w:start w:w="120" w:type="dxa"/>
              <w:bottom w:w="80" w:type="dxa"/>
              <w:end w:w="120" w:type="dxa"/>
            </w:tcMar>
          </w:tcPr>
          <w:p>
            <w:pPr>
              <w:spacing w:after="0" w:line="240" w:lineRule="auto"/>
            </w:pPr>
            <w:r>
              <w:rPr>
                <w:sz w:val="15"/>
              </w:rPr>
              <w:t>Exclude unavailable pages; never label as provider visibility.</w:t>
            </w:r>
          </w:p>
        </w:tc>
      </w:tr>
      <w:tr>
        <w:trPr>
          <w:cantSplit/>
        </w:trPr>
        <w:tc>
          <w:tcPr>
            <w:tcW w:type="dxa" w:w="2340"/>
            <w:tcMar>
              <w:top w:w="80" w:type="dxa"/>
              <w:start w:w="120" w:type="dxa"/>
              <w:bottom w:w="80" w:type="dxa"/>
              <w:end w:w="120" w:type="dxa"/>
            </w:tcMar>
          </w:tcPr>
          <w:p>
            <w:pPr>
              <w:spacing w:after="0" w:line="240" w:lineRule="auto"/>
            </w:pPr>
            <w:r>
              <w:rPr>
                <w:sz w:val="15"/>
              </w:rPr>
              <w:t>Answer visibility</w:t>
            </w:r>
          </w:p>
        </w:tc>
        <w:tc>
          <w:tcPr>
            <w:tcW w:type="dxa" w:w="2340"/>
            <w:tcMar>
              <w:top w:w="80" w:type="dxa"/>
              <w:start w:w="120" w:type="dxa"/>
              <w:bottom w:w="80" w:type="dxa"/>
              <w:end w:w="120" w:type="dxa"/>
            </w:tcMar>
          </w:tcPr>
          <w:p>
            <w:pPr>
              <w:spacing w:after="0" w:line="240" w:lineRule="auto"/>
            </w:pPr>
            <w:r>
              <w:rPr>
                <w:sz w:val="15"/>
              </w:rPr>
              <w:t>Provider answers</w:t>
            </w:r>
          </w:p>
        </w:tc>
        <w:tc>
          <w:tcPr>
            <w:tcW w:type="dxa" w:w="2340"/>
            <w:tcMar>
              <w:top w:w="80" w:type="dxa"/>
              <w:start w:w="120" w:type="dxa"/>
              <w:bottom w:w="80" w:type="dxa"/>
              <w:end w:w="120" w:type="dxa"/>
            </w:tcMar>
          </w:tcPr>
          <w:p>
            <w:pPr>
              <w:spacing w:after="0" w:line="240" w:lineRule="auto"/>
            </w:pPr>
            <w:r>
              <w:rPr>
                <w:sz w:val="15"/>
              </w:rPr>
              <w:t>Completed answers with brand_mentioned=true ÷ completed answers with answer text × 100.</w:t>
            </w:r>
          </w:p>
        </w:tc>
        <w:tc>
          <w:tcPr>
            <w:tcW w:type="dxa" w:w="2340"/>
            <w:tcMar>
              <w:top w:w="80" w:type="dxa"/>
              <w:start w:w="120" w:type="dxa"/>
              <w:bottom w:w="80" w:type="dxa"/>
              <w:end w:w="120" w:type="dxa"/>
            </w:tcMar>
          </w:tcPr>
          <w:p>
            <w:pPr>
              <w:spacing w:after="0" w:line="240" w:lineRule="auto"/>
            </w:pPr>
            <w:r>
              <w:rPr>
                <w:sz w:val="15"/>
              </w:rPr>
              <w:t>Failed/empty answers excluded; display completed/prompt counts.</w:t>
            </w:r>
          </w:p>
        </w:tc>
      </w:tr>
      <w:tr>
        <w:trPr>
          <w:cantSplit/>
        </w:trPr>
        <w:tc>
          <w:tcPr>
            <w:tcW w:type="dxa" w:w="2340"/>
            <w:tcMar>
              <w:top w:w="80" w:type="dxa"/>
              <w:start w:w="120" w:type="dxa"/>
              <w:bottom w:w="80" w:type="dxa"/>
              <w:end w:w="120" w:type="dxa"/>
            </w:tcMar>
          </w:tcPr>
          <w:p>
            <w:pPr>
              <w:spacing w:after="0" w:line="240" w:lineRule="auto"/>
            </w:pPr>
            <w:r>
              <w:rPr>
                <w:sz w:val="15"/>
              </w:rPr>
              <w:t>Citation rate</w:t>
            </w:r>
          </w:p>
        </w:tc>
        <w:tc>
          <w:tcPr>
            <w:tcW w:type="dxa" w:w="2340"/>
            <w:tcMar>
              <w:top w:w="80" w:type="dxa"/>
              <w:start w:w="120" w:type="dxa"/>
              <w:bottom w:w="80" w:type="dxa"/>
              <w:end w:w="120" w:type="dxa"/>
            </w:tcMar>
          </w:tcPr>
          <w:p>
            <w:pPr>
              <w:spacing w:after="0" w:line="240" w:lineRule="auto"/>
            </w:pPr>
            <w:r>
              <w:rPr>
                <w:sz w:val="15"/>
              </w:rPr>
              <w:t>Provider answers</w:t>
            </w:r>
          </w:p>
        </w:tc>
        <w:tc>
          <w:tcPr>
            <w:tcW w:type="dxa" w:w="2340"/>
            <w:tcMar>
              <w:top w:w="80" w:type="dxa"/>
              <w:start w:w="120" w:type="dxa"/>
              <w:bottom w:w="80" w:type="dxa"/>
              <w:end w:w="120" w:type="dxa"/>
            </w:tcMar>
          </w:tcPr>
          <w:p>
            <w:pPr>
              <w:spacing w:after="0" w:line="240" w:lineRule="auto"/>
            </w:pPr>
            <w:r>
              <w:rPr>
                <w:sz w:val="15"/>
              </w:rPr>
              <w:t>Completed answers whose citation annotations link to the tracked domain ÷ completed answers with answer text × 100.</w:t>
            </w:r>
          </w:p>
        </w:tc>
        <w:tc>
          <w:tcPr>
            <w:tcW w:type="dxa" w:w="2340"/>
            <w:tcMar>
              <w:top w:w="80" w:type="dxa"/>
              <w:start w:w="120" w:type="dxa"/>
              <w:bottom w:w="80" w:type="dxa"/>
              <w:end w:w="120" w:type="dxa"/>
            </w:tcMar>
          </w:tcPr>
          <w:p>
            <w:pPr>
              <w:spacing w:after="0" w:line="240" w:lineRule="auto"/>
            </w:pPr>
            <w:r>
              <w:rPr>
                <w:sz w:val="15"/>
              </w:rPr>
              <w:t>No answer evidence means unavailable, not 0%.</w:t>
            </w:r>
          </w:p>
        </w:tc>
      </w:tr>
      <w:tr>
        <w:trPr>
          <w:cantSplit/>
        </w:trPr>
        <w:tc>
          <w:tcPr>
            <w:tcW w:type="dxa" w:w="2340"/>
            <w:tcMar>
              <w:top w:w="80" w:type="dxa"/>
              <w:start w:w="120" w:type="dxa"/>
              <w:bottom w:w="80" w:type="dxa"/>
              <w:end w:w="120" w:type="dxa"/>
            </w:tcMar>
          </w:tcPr>
          <w:p>
            <w:pPr>
              <w:spacing w:after="0" w:line="240" w:lineRule="auto"/>
            </w:pPr>
            <w:r>
              <w:rPr>
                <w:sz w:val="15"/>
              </w:rPr>
              <w:t>Source presence</w:t>
            </w:r>
          </w:p>
        </w:tc>
        <w:tc>
          <w:tcPr>
            <w:tcW w:type="dxa" w:w="2340"/>
            <w:tcMar>
              <w:top w:w="80" w:type="dxa"/>
              <w:start w:w="120" w:type="dxa"/>
              <w:bottom w:w="80" w:type="dxa"/>
              <w:end w:w="120" w:type="dxa"/>
            </w:tcMar>
          </w:tcPr>
          <w:p>
            <w:pPr>
              <w:spacing w:after="0" w:line="240" w:lineRule="auto"/>
            </w:pPr>
            <w:r>
              <w:rPr>
                <w:sz w:val="15"/>
              </w:rPr>
              <w:t>Provider search</w:t>
            </w:r>
          </w:p>
        </w:tc>
        <w:tc>
          <w:tcPr>
            <w:tcW w:type="dxa" w:w="2340"/>
            <w:tcMar>
              <w:top w:w="80" w:type="dxa"/>
              <w:start w:w="120" w:type="dxa"/>
              <w:bottom w:w="80" w:type="dxa"/>
              <w:end w:w="120" w:type="dxa"/>
            </w:tcMar>
          </w:tcPr>
          <w:p>
            <w:pPr>
              <w:spacing w:after="0" w:line="240" w:lineRule="auto"/>
            </w:pPr>
            <w:r>
              <w:rPr>
                <w:sz w:val="15"/>
              </w:rPr>
              <w:t>Measured prompt searches containing the tracked domain in ranked results ÷ measured prompt searches × 100.</w:t>
            </w:r>
          </w:p>
        </w:tc>
        <w:tc>
          <w:tcPr>
            <w:tcW w:type="dxa" w:w="2340"/>
            <w:tcMar>
              <w:top w:w="80" w:type="dxa"/>
              <w:start w:w="120" w:type="dxa"/>
              <w:bottom w:w="80" w:type="dxa"/>
              <w:end w:w="120" w:type="dxa"/>
            </w:tcMar>
          </w:tcPr>
          <w:p>
            <w:pPr>
              <w:spacing w:after="0" w:line="240" w:lineRule="auto"/>
            </w:pPr>
            <w:r>
              <w:rPr>
                <w:sz w:val="15"/>
              </w:rPr>
              <w:t>Provider and region must be displayed.</w:t>
            </w:r>
          </w:p>
        </w:tc>
      </w:tr>
      <w:tr>
        <w:trPr>
          <w:cantSplit/>
        </w:trPr>
        <w:tc>
          <w:tcPr>
            <w:tcW w:type="dxa" w:w="2340"/>
            <w:tcMar>
              <w:top w:w="80" w:type="dxa"/>
              <w:start w:w="120" w:type="dxa"/>
              <w:bottom w:w="80" w:type="dxa"/>
              <w:end w:w="120" w:type="dxa"/>
            </w:tcMar>
          </w:tcPr>
          <w:p>
            <w:pPr>
              <w:spacing w:after="0" w:line="240" w:lineRule="auto"/>
            </w:pPr>
            <w:r>
              <w:rPr>
                <w:sz w:val="15"/>
              </w:rPr>
              <w:t>Average source position</w:t>
            </w:r>
          </w:p>
        </w:tc>
        <w:tc>
          <w:tcPr>
            <w:tcW w:type="dxa" w:w="2340"/>
            <w:tcMar>
              <w:top w:w="80" w:type="dxa"/>
              <w:start w:w="120" w:type="dxa"/>
              <w:bottom w:w="80" w:type="dxa"/>
              <w:end w:w="120" w:type="dxa"/>
            </w:tcMar>
          </w:tcPr>
          <w:p>
            <w:pPr>
              <w:spacing w:after="0" w:line="240" w:lineRule="auto"/>
            </w:pPr>
            <w:r>
              <w:rPr>
                <w:sz w:val="15"/>
              </w:rPr>
              <w:t>Provider search</w:t>
            </w:r>
          </w:p>
        </w:tc>
        <w:tc>
          <w:tcPr>
            <w:tcW w:type="dxa" w:w="2340"/>
            <w:tcMar>
              <w:top w:w="80" w:type="dxa"/>
              <w:start w:w="120" w:type="dxa"/>
              <w:bottom w:w="80" w:type="dxa"/>
              <w:end w:w="120" w:type="dxa"/>
            </w:tcMar>
          </w:tcPr>
          <w:p>
            <w:pPr>
              <w:spacing w:after="0" w:line="240" w:lineRule="auto"/>
            </w:pPr>
            <w:r>
              <w:rPr>
                <w:sz w:val="15"/>
              </w:rPr>
              <w:t>Arithmetic mean of best_source_rank across appearances only.</w:t>
            </w:r>
          </w:p>
        </w:tc>
        <w:tc>
          <w:tcPr>
            <w:tcW w:type="dxa" w:w="2340"/>
            <w:tcMar>
              <w:top w:w="80" w:type="dxa"/>
              <w:start w:w="120" w:type="dxa"/>
              <w:bottom w:w="80" w:type="dxa"/>
              <w:end w:w="120" w:type="dxa"/>
            </w:tcMar>
          </w:tcPr>
          <w:p>
            <w:pPr>
              <w:spacing w:after="0" w:line="240" w:lineRule="auto"/>
            </w:pPr>
            <w:r>
              <w:rPr>
                <w:sz w:val="15"/>
              </w:rPr>
              <w:t>Absent prompts excluded and shown separately; no rank K+1 substitution.</w:t>
            </w:r>
          </w:p>
        </w:tc>
      </w:tr>
      <w:tr>
        <w:trPr>
          <w:cantSplit/>
        </w:trPr>
        <w:tc>
          <w:tcPr>
            <w:tcW w:type="dxa" w:w="2340"/>
            <w:tcMar>
              <w:top w:w="80" w:type="dxa"/>
              <w:start w:w="120" w:type="dxa"/>
              <w:bottom w:w="80" w:type="dxa"/>
              <w:end w:w="120" w:type="dxa"/>
            </w:tcMar>
          </w:tcPr>
          <w:p>
            <w:pPr>
              <w:spacing w:after="0" w:line="240" w:lineRule="auto"/>
            </w:pPr>
            <w:r>
              <w:rPr>
                <w:sz w:val="15"/>
              </w:rPr>
              <w:t>Share of voice</w:t>
            </w:r>
          </w:p>
        </w:tc>
        <w:tc>
          <w:tcPr>
            <w:tcW w:type="dxa" w:w="2340"/>
            <w:tcMar>
              <w:top w:w="80" w:type="dxa"/>
              <w:start w:w="120" w:type="dxa"/>
              <w:bottom w:w="80" w:type="dxa"/>
              <w:end w:w="120" w:type="dxa"/>
            </w:tcMar>
          </w:tcPr>
          <w:p>
            <w:pPr>
              <w:spacing w:after="0" w:line="240" w:lineRule="auto"/>
            </w:pPr>
            <w:r>
              <w:rPr>
                <w:sz w:val="15"/>
              </w:rPr>
              <w:t>Provider answers</w:t>
            </w:r>
          </w:p>
        </w:tc>
        <w:tc>
          <w:tcPr>
            <w:tcW w:type="dxa" w:w="2340"/>
            <w:tcMar>
              <w:top w:w="80" w:type="dxa"/>
              <w:start w:w="120" w:type="dxa"/>
              <w:bottom w:w="80" w:type="dxa"/>
              <w:end w:w="120" w:type="dxa"/>
            </w:tcMar>
          </w:tcPr>
          <w:p>
            <w:pPr>
              <w:spacing w:after="0" w:line="240" w:lineRule="auto"/>
            </w:pPr>
            <w:r>
              <w:rPr>
                <w:sz w:val="15"/>
              </w:rPr>
              <w:t>Client brand presence ÷ client plus configured competitor presence for the saved competitor snapshot.</w:t>
            </w:r>
          </w:p>
        </w:tc>
        <w:tc>
          <w:tcPr>
            <w:tcW w:type="dxa" w:w="2340"/>
            <w:tcMar>
              <w:top w:w="80" w:type="dxa"/>
              <w:start w:w="120" w:type="dxa"/>
              <w:bottom w:w="80" w:type="dxa"/>
              <w:end w:w="120" w:type="dxa"/>
            </w:tcMar>
          </w:tcPr>
          <w:p>
            <w:pPr>
              <w:spacing w:after="0" w:line="240" w:lineRule="auto"/>
            </w:pPr>
            <w:r>
              <w:rPr>
                <w:sz w:val="15"/>
              </w:rPr>
              <w:t>Unavailable when no competitors or denominator is zero.</w:t>
            </w:r>
          </w:p>
        </w:tc>
      </w:tr>
      <w:tr>
        <w:trPr>
          <w:cantSplit/>
        </w:trPr>
        <w:tc>
          <w:tcPr>
            <w:tcW w:type="dxa" w:w="2340"/>
            <w:tcMar>
              <w:top w:w="80" w:type="dxa"/>
              <w:start w:w="120" w:type="dxa"/>
              <w:bottom w:w="80" w:type="dxa"/>
              <w:end w:w="120" w:type="dxa"/>
            </w:tcMar>
          </w:tcPr>
          <w:p>
            <w:pPr>
              <w:spacing w:after="0" w:line="240" w:lineRule="auto"/>
            </w:pPr>
            <w:r>
              <w:rPr>
                <w:sz w:val="15"/>
              </w:rPr>
              <w:t>GSC CTR</w:t>
            </w:r>
          </w:p>
        </w:tc>
        <w:tc>
          <w:tcPr>
            <w:tcW w:type="dxa" w:w="2340"/>
            <w:tcMar>
              <w:top w:w="80" w:type="dxa"/>
              <w:start w:w="120" w:type="dxa"/>
              <w:bottom w:w="80" w:type="dxa"/>
              <w:end w:w="120" w:type="dxa"/>
            </w:tcMar>
          </w:tcPr>
          <w:p>
            <w:pPr>
              <w:spacing w:after="0" w:line="240" w:lineRule="auto"/>
            </w:pPr>
            <w:r>
              <w:rPr>
                <w:sz w:val="15"/>
              </w:rPr>
              <w:t>Google Search Console</w:t>
            </w:r>
          </w:p>
        </w:tc>
        <w:tc>
          <w:tcPr>
            <w:tcW w:type="dxa" w:w="2340"/>
            <w:tcMar>
              <w:top w:w="80" w:type="dxa"/>
              <w:start w:w="120" w:type="dxa"/>
              <w:bottom w:w="80" w:type="dxa"/>
              <w:end w:w="120" w:type="dxa"/>
            </w:tcMar>
          </w:tcPr>
          <w:p>
            <w:pPr>
              <w:spacing w:after="0" w:line="240" w:lineRule="auto"/>
            </w:pPr>
            <w:r>
              <w:rPr>
                <w:sz w:val="15"/>
              </w:rPr>
              <w:t>Clicks ÷ impressions × 100 for the selected property/date range and saved rows.</w:t>
            </w:r>
          </w:p>
        </w:tc>
        <w:tc>
          <w:tcPr>
            <w:tcW w:type="dxa" w:w="2340"/>
            <w:tcMar>
              <w:top w:w="80" w:type="dxa"/>
              <w:start w:w="120" w:type="dxa"/>
              <w:bottom w:w="80" w:type="dxa"/>
              <w:end w:w="120" w:type="dxa"/>
            </w:tcMar>
          </w:tcPr>
          <w:p>
            <w:pPr>
              <w:spacing w:after="0" w:line="240" w:lineRule="auto"/>
            </w:pPr>
            <w:r>
              <w:rPr>
                <w:sz w:val="15"/>
              </w:rPr>
              <w:t>Label row limit/truncation and do not call AI Overview CTR.</w:t>
            </w:r>
          </w:p>
        </w:tc>
      </w:tr>
      <w:tr>
        <w:trPr>
          <w:cantSplit/>
        </w:trPr>
        <w:tc>
          <w:tcPr>
            <w:tcW w:type="dxa" w:w="2340"/>
            <w:tcMar>
              <w:top w:w="80" w:type="dxa"/>
              <w:start w:w="120" w:type="dxa"/>
              <w:bottom w:w="80" w:type="dxa"/>
              <w:end w:w="120" w:type="dxa"/>
            </w:tcMar>
          </w:tcPr>
          <w:p>
            <w:pPr>
              <w:spacing w:after="0" w:line="240" w:lineRule="auto"/>
            </w:pPr>
            <w:r>
              <w:rPr>
                <w:sz w:val="15"/>
              </w:rPr>
              <w:t>GSC average position</w:t>
            </w:r>
          </w:p>
        </w:tc>
        <w:tc>
          <w:tcPr>
            <w:tcW w:type="dxa" w:w="2340"/>
            <w:tcMar>
              <w:top w:w="80" w:type="dxa"/>
              <w:start w:w="120" w:type="dxa"/>
              <w:bottom w:w="80" w:type="dxa"/>
              <w:end w:w="120" w:type="dxa"/>
            </w:tcMar>
          </w:tcPr>
          <w:p>
            <w:pPr>
              <w:spacing w:after="0" w:line="240" w:lineRule="auto"/>
            </w:pPr>
            <w:r>
              <w:rPr>
                <w:sz w:val="15"/>
              </w:rPr>
              <w:t>Google Search Console</w:t>
            </w:r>
          </w:p>
        </w:tc>
        <w:tc>
          <w:tcPr>
            <w:tcW w:type="dxa" w:w="2340"/>
            <w:tcMar>
              <w:top w:w="80" w:type="dxa"/>
              <w:start w:w="120" w:type="dxa"/>
              <w:bottom w:w="80" w:type="dxa"/>
              <w:end w:w="120" w:type="dxa"/>
            </w:tcMar>
          </w:tcPr>
          <w:p>
            <w:pPr>
              <w:spacing w:after="0" w:line="240" w:lineRule="auto"/>
            </w:pPr>
            <w:r>
              <w:rPr>
                <w:sz w:val="15"/>
              </w:rPr>
              <w:t>Impression-weighted Google Search position for the selected property/date range.</w:t>
            </w:r>
          </w:p>
        </w:tc>
        <w:tc>
          <w:tcPr>
            <w:tcW w:type="dxa" w:w="2340"/>
            <w:tcMar>
              <w:top w:w="80" w:type="dxa"/>
              <w:start w:w="120" w:type="dxa"/>
              <w:bottom w:w="80" w:type="dxa"/>
              <w:end w:w="120" w:type="dxa"/>
            </w:tcMar>
          </w:tcPr>
          <w:p>
            <w:pPr>
              <w:spacing w:after="0" w:line="240" w:lineRule="auto"/>
            </w:pPr>
            <w:r>
              <w:rPr>
                <w:sz w:val="15"/>
              </w:rPr>
              <w:t>Keep separate from provider source rank.</w:t>
            </w:r>
          </w:p>
        </w:tc>
      </w:tr>
    </w:tbl>
    <w:p>
      <w:pPr>
        <w:spacing w:after="0"/>
      </w:pPr>
    </w:p>
    <w:p>
      <w:pPr>
        <w:pStyle w:val="Heading2"/>
      </w:pPr>
      <w:r>
        <w:t>8.2 Provenance fields</w:t>
      </w:r>
    </w:p>
    <w:p>
      <w:pPr>
        <w:pStyle w:val="ListBullet"/>
      </w:pPr>
      <w:r>
        <w:t>Source type; provider and returned model where applicable; region/locale; exact timestamp; run/job identifier.</w:t>
      </w:r>
    </w:p>
    <w:p>
      <w:pPr>
        <w:pStyle w:val="ListBullet"/>
      </w:pPr>
      <w:r>
        <w:t>Project, property, page set, prompt cohort, active prompt count, competitor snapshot, and date range.</w:t>
      </w:r>
    </w:p>
    <w:p>
      <w:pPr>
        <w:pStyle w:val="ListBullet"/>
      </w:pPr>
      <w:r>
        <w:t>Completed, partial, failed, unavailable, and stale status with the failure class and last successful timestamp.</w:t>
      </w:r>
    </w:p>
    <w:p>
      <w:pPr>
        <w:pStyle w:val="ListBullet"/>
      </w:pPr>
      <w:r>
        <w:t>Numerator and denominator or appearance count; metric algorithm version; evidence/detail link.</w:t>
      </w:r>
    </w:p>
    <w:p>
      <w:pPr>
        <w:pStyle w:val="ListBullet"/>
      </w:pPr>
      <w:r>
        <w:t>Provider request IDs, latency, normalized sources, raw response retention state, and export generation time.</w:t>
      </w:r>
    </w:p>
    <w:p>
      <w:pPr>
        <w:pStyle w:val="Heading2"/>
      </w:pPr>
      <w:r>
        <w:t>8.3 Comparability rules</w:t>
      </w:r>
    </w:p>
    <w:p>
      <w:pPr>
        <w:pStyle w:val="ListBullet"/>
      </w:pPr>
      <w:r>
        <w:t>Trend deltas shall compare the same source, provider/model, region, prompt cohort, competitor snapshot, and metric algorithm version.</w:t>
      </w:r>
    </w:p>
    <w:p>
      <w:pPr>
        <w:pStyle w:val="ListBullet"/>
      </w:pPr>
      <w:r>
        <w:t>When any comparison dimension changes, the UI shall start a new baseline or label the delta non-comparable.</w:t>
      </w:r>
    </w:p>
    <w:p>
      <w:pPr>
        <w:pStyle w:val="ListBullet"/>
      </w:pPr>
      <w:r>
        <w:t>Provider outage and missing evidence shall not lower a metric; the run is partial or unavailable.</w:t>
      </w:r>
    </w:p>
    <w:p>
      <w:pPr>
        <w:pStyle w:val="ListBullet"/>
      </w:pPr>
      <w:r>
        <w:t>Marketing examples shall be labelled illustrative and shall never display Live unless backed by a recent source sync.</w:t>
      </w:r>
    </w:p>
    <w:p>
      <w:bookmarkStart w:id="9" w:name="functional_requirements"/>
      <w:pPr>
        <w:pStyle w:val="Heading1"/>
      </w:pPr>
      <w:r>
        <w:t>9. Functional requirements</w:t>
      </w:r>
      <w:bookmarkEnd w:id="9"/>
    </w:p>
    <w:p>
      <w:pPr>
        <w:pStyle w:val="Heading2"/>
      </w:pPr>
      <w:r>
        <w:t>9.1 Platform, navigation, and account</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FR-NAV-001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The system shall provide one branded navigation model across public and authenticated pages, with visible and programmatic active state.</w:t>
            </w:r>
          </w:p>
        </w:tc>
        <w:tc>
          <w:tcPr>
            <w:tcW w:type="dxa" w:w="2340"/>
            <w:tcMar>
              <w:top w:w="90" w:type="dxa"/>
              <w:start w:w="105" w:type="dxa"/>
              <w:bottom w:w="90" w:type="dxa"/>
              <w:end w:w="105" w:type="dxa"/>
            </w:tcMar>
            <w:vAlign w:val="top"/>
          </w:tcPr>
          <w:p>
            <w:pPr>
              <w:pStyle w:val="RequirementText"/>
              <w:spacing w:after="0"/>
            </w:pPr>
            <w:r>
              <w:t>All destinations are reachable at 320 px; active links expose aria-current; no unintended page-level horizontal scroll.</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FR-NAV-002</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Authenticated pages shall use a responsive application shell with an accessible drawer or rail, keyboard focus management, and safe-area support.</w:t>
            </w:r>
          </w:p>
        </w:tc>
        <w:tc>
          <w:tcPr>
            <w:tcW w:type="dxa" w:w="2340"/>
            <w:tcMar>
              <w:top w:w="90" w:type="dxa"/>
              <w:start w:w="105" w:type="dxa"/>
              <w:bottom w:w="90" w:type="dxa"/>
              <w:end w:w="105" w:type="dxa"/>
            </w:tcMar>
            <w:vAlign w:val="top"/>
          </w:tcPr>
          <w:p>
            <w:pPr>
              <w:pStyle w:val="RequirementText"/>
              <w:spacing w:after="0"/>
            </w:pPr>
            <w:r>
              <w:t>Drawer traps focus, closes on Escape/scrim, restores focus, marks background inert, and preserves 44 × 44 px controls.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FR-AUTH-001</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Protected destinations shall preserve and validate a same-origin return path through login.</w:t>
            </w:r>
          </w:p>
        </w:tc>
        <w:tc>
          <w:tcPr>
            <w:tcW w:type="dxa" w:w="2340"/>
            <w:tcMar>
              <w:top w:w="90" w:type="dxa"/>
              <w:start w:w="105" w:type="dxa"/>
              <w:bottom w:w="90" w:type="dxa"/>
              <w:end w:w="105" w:type="dxa"/>
            </w:tcMar>
            <w:vAlign w:val="top"/>
          </w:tcPr>
          <w:p>
            <w:pPr>
              <w:pStyle w:val="RequirementText"/>
              <w:spacing w:after="0"/>
            </w:pPr>
            <w:r>
              <w:t>Requesting /analytics while signed out returns to /analytics after login; external or malformed next values are rejected.</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FR-AUTH-002</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Registration and login shall enforce normalized identity, password policy, rate limiting, anti-enumeration, session rotation, and accessible validation.</w:t>
            </w:r>
          </w:p>
        </w:tc>
        <w:tc>
          <w:tcPr>
            <w:tcW w:type="dxa" w:w="2340"/>
            <w:tcMar>
              <w:top w:w="90" w:type="dxa"/>
              <w:start w:w="105" w:type="dxa"/>
              <w:bottom w:w="90" w:type="dxa"/>
              <w:end w:w="105" w:type="dxa"/>
            </w:tcMar>
            <w:vAlign w:val="top"/>
          </w:tcPr>
          <w:p>
            <w:pPr>
              <w:pStyle w:val="RequirementText"/>
              <w:spacing w:after="0"/>
            </w:pPr>
            <w:r>
              <w:t>Security/API tests cover duplicate identity, brute force, fixation, generic errors, labels, live validation, and lock/backoff behavior.</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FR-AUTH-003</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The account lifecycle shall include email verification, password reset, active-session revocation, account export, and verified deletion.</w:t>
            </w:r>
          </w:p>
        </w:tc>
        <w:tc>
          <w:tcPr>
            <w:tcW w:type="dxa" w:w="2340"/>
            <w:tcMar>
              <w:top w:w="90" w:type="dxa"/>
              <w:start w:w="105" w:type="dxa"/>
              <w:bottom w:w="90" w:type="dxa"/>
              <w:end w:w="105" w:type="dxa"/>
            </w:tcMar>
            <w:vAlign w:val="top"/>
          </w:tcPr>
          <w:p>
            <w:pPr>
              <w:pStyle w:val="RequirementText"/>
              <w:spacing w:after="0"/>
            </w:pPr>
            <w:r>
              <w:t>End-to-end tests complete each flow; deletion finishes within the privacy SLA and cascades owned data.</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FR-AUTH-004</w:t>
            </w:r>
          </w:p>
        </w:tc>
        <w:tc>
          <w:tcPr>
            <w:tcW w:type="dxa" w:w="2340"/>
            <w:tcMar>
              <w:top w:w="90" w:type="dxa"/>
              <w:start w:w="105" w:type="dxa"/>
              <w:bottom w:w="90" w:type="dxa"/>
              <w:end w:w="105" w:type="dxa"/>
            </w:tcMar>
            <w:vAlign w:val="top"/>
            <w:shd w:fill="EAF2F8"/>
          </w:tcPr>
          <w:p>
            <w:pPr>
              <w:pStyle w:val="RequirementText"/>
              <w:spacing w:after="0"/>
            </w:pPr>
            <w:r>
              <w:rPr>
                <w:b/>
              </w:rPr>
              <w:t>P2</w:t>
            </w:r>
          </w:p>
        </w:tc>
        <w:tc>
          <w:tcPr>
            <w:tcW w:type="dxa" w:w="2340"/>
            <w:tcMar>
              <w:top w:w="90" w:type="dxa"/>
              <w:start w:w="105" w:type="dxa"/>
              <w:bottom w:w="90" w:type="dxa"/>
              <w:end w:w="105" w:type="dxa"/>
            </w:tcMar>
            <w:vAlign w:val="top"/>
          </w:tcPr>
          <w:p>
            <w:pPr>
              <w:pStyle w:val="RequirementText"/>
              <w:spacing w:after="0"/>
            </w:pPr>
            <w:r>
              <w:t>The platform should support optional MFA and organization membership with owner, admin, analyst, editor, and viewer roles.</w:t>
            </w:r>
          </w:p>
        </w:tc>
        <w:tc>
          <w:tcPr>
            <w:tcW w:type="dxa" w:w="2340"/>
            <w:tcMar>
              <w:top w:w="90" w:type="dxa"/>
              <w:start w:w="105" w:type="dxa"/>
              <w:bottom w:w="90" w:type="dxa"/>
              <w:end w:w="105" w:type="dxa"/>
            </w:tcMar>
            <w:vAlign w:val="top"/>
          </w:tcPr>
          <w:p>
            <w:pPr>
              <w:pStyle w:val="RequirementText"/>
              <w:spacing w:after="0"/>
            </w:pPr>
            <w:r>
              <w:t>Role matrix tests prove least privilege and prevent cross-tenant IDOR.</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FR-PROF-001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Profile shall show account data, workspace membership, integration status, data export/deletion controls, and logout.</w:t>
            </w:r>
          </w:p>
        </w:tc>
        <w:tc>
          <w:tcPr>
            <w:tcW w:type="dxa" w:w="2340"/>
            <w:tcMar>
              <w:top w:w="90" w:type="dxa"/>
              <w:start w:w="105" w:type="dxa"/>
              <w:bottom w:w="90" w:type="dxa"/>
              <w:end w:w="105" w:type="dxa"/>
            </w:tcMar>
            <w:vAlign w:val="top"/>
          </w:tcPr>
          <w:p>
            <w:pPr>
              <w:pStyle w:val="RequirementText"/>
              <w:spacing w:after="0"/>
            </w:pPr>
            <w:r>
              <w:t>User can review and action each item without exposing secrets or another tenant’s data.</w:t>
            </w:r>
          </w:p>
        </w:tc>
      </w:tr>
    </w:tbl>
    <w:p>
      <w:pPr>
        <w:spacing w:after="0"/>
      </w:pPr>
    </w:p>
    <w:p>
      <w:pPr>
        <w:pStyle w:val="Heading2"/>
        <w:pageBreakBefore/>
        <w:spacing w:before="840"/>
      </w:pPr>
      <w:r>
        <w:t>9.2 Public website, contact, and administration</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FR-HOME-001</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Public feature claims and provider labels shall reflect configured production integrations.</w:t>
            </w:r>
          </w:p>
        </w:tc>
        <w:tc>
          <w:tcPr>
            <w:tcW w:type="dxa" w:w="2340"/>
            <w:tcMar>
              <w:top w:w="90" w:type="dxa"/>
              <w:start w:w="105" w:type="dxa"/>
              <w:bottom w:w="90" w:type="dxa"/>
              <w:end w:w="105" w:type="dxa"/>
            </w:tcMar>
            <w:vAlign w:val="top"/>
          </w:tcPr>
          <w:p>
            <w:pPr>
              <w:pStyle w:val="RequirementText"/>
              <w:spacing w:after="0"/>
            </w:pPr>
            <w:r>
              <w:t>Unsupported providers are omitted or marked planned; no measured claim appears without stored evidence.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FR-HOME-002</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Illustrative homepage metrics and animations shall be explicitly labelled as example data.</w:t>
            </w:r>
          </w:p>
        </w:tc>
        <w:tc>
          <w:tcPr>
            <w:tcW w:type="dxa" w:w="2340"/>
            <w:tcMar>
              <w:top w:w="90" w:type="dxa"/>
              <w:start w:w="105" w:type="dxa"/>
              <w:bottom w:w="90" w:type="dxa"/>
              <w:end w:w="105" w:type="dxa"/>
            </w:tcMar>
            <w:vAlign w:val="top"/>
          </w:tcPr>
          <w:p>
            <w:pPr>
              <w:pStyle w:val="RequirementText"/>
              <w:spacing w:after="0"/>
            </w:pPr>
            <w:r>
              <w:t>Hero chart/provider cards say Example dashboard; Live appears only for current evidence-backed data.</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FR-HOME-003</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The homepage shall include complete discoverability metadata and machine-readable product identity.</w:t>
            </w:r>
          </w:p>
        </w:tc>
        <w:tc>
          <w:tcPr>
            <w:tcW w:type="dxa" w:w="2340"/>
            <w:tcMar>
              <w:top w:w="90" w:type="dxa"/>
              <w:start w:w="105" w:type="dxa"/>
              <w:bottom w:w="90" w:type="dxa"/>
              <w:end w:w="105" w:type="dxa"/>
            </w:tcMar>
            <w:vAlign w:val="top"/>
          </w:tcPr>
          <w:p>
            <w:pPr>
              <w:pStyle w:val="RequirementText"/>
              <w:spacing w:after="0"/>
            </w:pPr>
            <w:r>
              <w:t>Unique description, canonical, Open Graph/Twitter, Organization/WebSite/Product JSON-LD, sitemap inclusion, and valid robots directives pass validation.</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FR-HOME-004</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Desktop and mobile authentication CTAs shall behave consistently.</w:t>
            </w:r>
          </w:p>
        </w:tc>
        <w:tc>
          <w:tcPr>
            <w:tcW w:type="dxa" w:w="2340"/>
            <w:tcMar>
              <w:top w:w="90" w:type="dxa"/>
              <w:start w:w="105" w:type="dxa"/>
              <w:bottom w:w="90" w:type="dxa"/>
              <w:end w:w="105" w:type="dxa"/>
            </w:tcMar>
            <w:vAlign w:val="top"/>
          </w:tcPr>
          <w:p>
            <w:pPr>
              <w:pStyle w:val="RequirementText"/>
              <w:spacing w:after="0"/>
            </w:pPr>
            <w:r>
              <w:t>Signed-out CTA opens login; signed-in CTA opens the approved default workspace destination on both navigation variants.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FR-CONTACT-001</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Public contact submission shall accept POST only, validate lengths/email, record consent context, rate-limit abuse, and announce success/error accessibly.</w:t>
            </w:r>
          </w:p>
        </w:tc>
        <w:tc>
          <w:tcPr>
            <w:tcW w:type="dxa" w:w="2340"/>
            <w:tcMar>
              <w:top w:w="90" w:type="dxa"/>
              <w:start w:w="105" w:type="dxa"/>
              <w:bottom w:w="90" w:type="dxa"/>
              <w:end w:w="105" w:type="dxa"/>
            </w:tcMar>
            <w:vAlign w:val="top"/>
          </w:tcPr>
          <w:p>
            <w:pPr>
              <w:pStyle w:val="RequirementText"/>
              <w:spacing w:after="0"/>
            </w:pPr>
            <w:r>
              <w:t>Invalid/oversized/spam requests are rejected; valid records store minimum required data and a documented retention date.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FR-CONTACT-002</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Contact listing/export shall be restricted to authorized administrators and render stored values as escaped text.</w:t>
            </w:r>
          </w:p>
        </w:tc>
        <w:tc>
          <w:tcPr>
            <w:tcW w:type="dxa" w:w="2340"/>
            <w:tcMar>
              <w:top w:w="90" w:type="dxa"/>
              <w:start w:w="105" w:type="dxa"/>
              <w:bottom w:w="90" w:type="dxa"/>
              <w:end w:w="105" w:type="dxa"/>
            </w:tcMar>
            <w:vAlign w:val="top"/>
          </w:tcPr>
          <w:p>
            <w:pPr>
              <w:pStyle w:val="RequirementText"/>
              <w:spacing w:after="0"/>
            </w:pPr>
            <w:r>
              <w:t>Anonymous/non-admin requests return 401/403; XSS payloads do not execute; CSV matches visible authorized rows.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FR-ADMIN-001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Administrative actions shall be role-gated, audited, and separated from customer-facing APIs.</w:t>
            </w:r>
          </w:p>
        </w:tc>
        <w:tc>
          <w:tcPr>
            <w:tcW w:type="dxa" w:w="2340"/>
            <w:tcMar>
              <w:top w:w="90" w:type="dxa"/>
              <w:start w:w="105" w:type="dxa"/>
              <w:bottom w:w="90" w:type="dxa"/>
              <w:end w:w="105" w:type="dxa"/>
            </w:tcMar>
            <w:vAlign w:val="top"/>
          </w:tcPr>
          <w:p>
            <w:pPr>
              <w:pStyle w:val="RequirementText"/>
              <w:spacing w:after="0"/>
            </w:pPr>
            <w:r>
              <w:t>Every privileged read/write records actor, action, target, outcome, timestamp, and request ID.</w:t>
            </w:r>
          </w:p>
        </w:tc>
      </w:tr>
    </w:tbl>
    <w:p>
      <w:pPr>
        <w:spacing w:after="0"/>
      </w:pPr>
    </w:p>
    <w:p>
      <w:pPr>
        <w:pStyle w:val="Heading2"/>
        <w:pageBreakBefore/>
        <w:spacing w:before="840"/>
      </w:pPr>
      <w:r>
        <w:t>9.3 Master workspace</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FR-MASTER-001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One submitted brand brief shall atomically create linked Analytics, Visibility, Prompt, and Content starting points.</w:t>
            </w:r>
          </w:p>
        </w:tc>
        <w:tc>
          <w:tcPr>
            <w:tcW w:type="dxa" w:w="2340"/>
            <w:tcMar>
              <w:top w:w="90" w:type="dxa"/>
              <w:start w:w="105" w:type="dxa"/>
              <w:bottom w:w="90" w:type="dxa"/>
              <w:end w:w="105" w:type="dxa"/>
            </w:tcMar>
            <w:vAlign w:val="top"/>
          </w:tcPr>
          <w:p>
            <w:pPr>
              <w:pStyle w:val="RequirementText"/>
              <w:spacing w:after="0"/>
            </w:pPr>
            <w:r>
              <w:t>All records commit together or none commit; no orphan remains after an injected stage failure.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FR-MASTER-002</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Existing-workspace behavior shall be explicit: open, update, or intentionally replace.</w:t>
            </w:r>
          </w:p>
        </w:tc>
        <w:tc>
          <w:tcPr>
            <w:tcW w:type="dxa" w:w="2340"/>
            <w:tcMar>
              <w:top w:w="90" w:type="dxa"/>
              <w:start w:w="105" w:type="dxa"/>
              <w:bottom w:w="90" w:type="dxa"/>
              <w:end w:w="105" w:type="dxa"/>
            </w:tcMar>
            <w:vAlign w:val="top"/>
          </w:tcPr>
          <w:p>
            <w:pPr>
              <w:pStyle w:val="RequirementText"/>
              <w:spacing w:after="0"/>
            </w:pPr>
            <w:r>
              <w:t>New form values are never silently ignored; replacement requires confirmation and applies a documented data policy.</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FR-MASTER-003</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Workspace creation shall not fabricate initial visibility, citation, rank, sentiment, or competitor measurements.</w:t>
            </w:r>
          </w:p>
        </w:tc>
        <w:tc>
          <w:tcPr>
            <w:tcW w:type="dxa" w:w="2340"/>
            <w:tcMar>
              <w:top w:w="90" w:type="dxa"/>
              <w:start w:w="105" w:type="dxa"/>
              <w:bottom w:w="90" w:type="dxa"/>
              <w:end w:w="105" w:type="dxa"/>
            </w:tcMar>
            <w:vAlign w:val="top"/>
          </w:tcPr>
          <w:p>
            <w:pPr>
              <w:pStyle w:val="RequirementText"/>
              <w:spacing w:after="0"/>
            </w:pPr>
            <w:r>
              <w:t>New summary metrics are unavailable until an approved source completes; synthetic generators are disabled in production.</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FR-MASTER-004</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Aggregate cards shall display source, provider/model where applicable, freshness, cohort/date range, and status.</w:t>
            </w:r>
          </w:p>
        </w:tc>
        <w:tc>
          <w:tcPr>
            <w:tcW w:type="dxa" w:w="2340"/>
            <w:tcMar>
              <w:top w:w="90" w:type="dxa"/>
              <w:start w:w="105" w:type="dxa"/>
              <w:bottom w:w="90" w:type="dxa"/>
              <w:end w:w="105" w:type="dxa"/>
            </w:tcMar>
            <w:vAlign w:val="top"/>
          </w:tcPr>
          <w:p>
            <w:pPr>
              <w:pStyle w:val="RequirementText"/>
              <w:spacing w:after="0"/>
            </w:pPr>
            <w:r>
              <w:t>Every non-null metric links to its source report and shows a last-success timestamp.</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FR-MASTER-005</w:t>
            </w:r>
          </w:p>
        </w:tc>
        <w:tc>
          <w:tcPr>
            <w:tcW w:type="dxa" w:w="2340"/>
            <w:tcMar>
              <w:top w:w="90" w:type="dxa"/>
              <w:start w:w="105" w:type="dxa"/>
              <w:bottom w:w="90" w:type="dxa"/>
              <w:end w:w="105" w:type="dxa"/>
            </w:tcMar>
            <w:vAlign w:val="top"/>
            <w:shd w:fill="EAF2F8"/>
          </w:tcPr>
          <w:p>
            <w:pPr>
              <w:pStyle w:val="RequirementText"/>
              <w:spacing w:after="0"/>
            </w:pPr>
            <w:r>
              <w:rPr>
                <w:b/>
              </w:rPr>
              <w:t>P2</w:t>
            </w:r>
          </w:p>
        </w:tc>
        <w:tc>
          <w:tcPr>
            <w:tcW w:type="dxa" w:w="2340"/>
            <w:tcMar>
              <w:top w:w="90" w:type="dxa"/>
              <w:start w:w="105" w:type="dxa"/>
              <w:bottom w:w="90" w:type="dxa"/>
              <w:end w:w="105" w:type="dxa"/>
            </w:tcMar>
            <w:vAlign w:val="top"/>
          </w:tcPr>
          <w:p>
            <w:pPr>
              <w:pStyle w:val="RequirementText"/>
              <w:spacing w:after="0"/>
            </w:pPr>
            <w:r>
              <w:t>The user should be able to update brand aliases, domain, industry, topic, goals, and default region without losing history.</w:t>
            </w:r>
          </w:p>
        </w:tc>
        <w:tc>
          <w:tcPr>
            <w:tcW w:type="dxa" w:w="2340"/>
            <w:tcMar>
              <w:top w:w="90" w:type="dxa"/>
              <w:start w:w="105" w:type="dxa"/>
              <w:bottom w:w="90" w:type="dxa"/>
              <w:end w:w="105" w:type="dxa"/>
            </w:tcMar>
            <w:vAlign w:val="top"/>
          </w:tcPr>
          <w:p>
            <w:pPr>
              <w:pStyle w:val="RequirementText"/>
              <w:spacing w:after="0"/>
            </w:pPr>
            <w:r>
              <w:t>Configuration is versioned; affected future scans use the new version; prior runs retain snapshots.</w:t>
            </w:r>
          </w:p>
        </w:tc>
      </w:tr>
    </w:tbl>
    <w:p>
      <w:pPr>
        <w:spacing w:after="0"/>
      </w:pPr>
    </w:p>
    <w:p>
      <w:pPr>
        <w:pStyle w:val="Heading2"/>
        <w:pageBreakBefore/>
        <w:spacing w:before="840"/>
      </w:pPr>
      <w:r>
        <w:t>9.4 AI Search Analytics</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Users shall create, select, update, and remove owned website projects using an exact HTTP(S) seed URL and normalized domain.</w:t>
            </w:r>
          </w:p>
        </w:tc>
        <w:tc>
          <w:tcPr>
            <w:tcW w:type="dxa" w:w="2340"/>
            <w:tcMar>
              <w:top w:w="90" w:type="dxa"/>
              <w:start w:w="105" w:type="dxa"/>
              <w:bottom w:w="90" w:type="dxa"/>
              <w:end w:w="105" w:type="dxa"/>
            </w:tcMar>
            <w:vAlign w:val="top"/>
          </w:tcPr>
          <w:p>
            <w:pPr>
              <w:pStyle w:val="RequirementText"/>
              <w:spacing w:after="0"/>
            </w:pPr>
            <w:r>
              <w:t>Validation preserves safe public paths; deletion confirms scope and cascades only the owner’s linked data.</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FR-ANA-002</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A full audit shall crawl a bounded same-site set discovered from robots, sitemap indexes/sitemaps, and internal links.</w:t>
            </w:r>
          </w:p>
        </w:tc>
        <w:tc>
          <w:tcPr>
            <w:tcW w:type="dxa" w:w="2340"/>
            <w:tcMar>
              <w:top w:w="90" w:type="dxa"/>
              <w:start w:w="105" w:type="dxa"/>
              <w:bottom w:w="90" w:type="dxa"/>
              <w:end w:w="105" w:type="dxa"/>
            </w:tcMar>
            <w:vAlign w:val="top"/>
          </w:tcPr>
          <w:p>
            <w:pPr>
              <w:pStyle w:val="RequirementText"/>
              <w:spacing w:after="0"/>
            </w:pPr>
            <w:r>
              <w:t>Async job reports discovered/selected/fetched/failed counts, progress, per-page status, and sitemap provenance.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FR-ANA-003</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Crawl-derived readiness shall remain separate from provider visibility and shall use nullable unavailable semantics.</w:t>
            </w:r>
          </w:p>
        </w:tc>
        <w:tc>
          <w:tcPr>
            <w:tcW w:type="dxa" w:w="2340"/>
            <w:tcMar>
              <w:top w:w="90" w:type="dxa"/>
              <w:start w:w="105" w:type="dxa"/>
              <w:bottom w:w="90" w:type="dxa"/>
              <w:end w:w="105" w:type="dxa"/>
            </w:tcMar>
            <w:vAlign w:val="top"/>
          </w:tcPr>
          <w:p>
            <w:pPr>
              <w:pStyle w:val="RequirementText"/>
              <w:spacing w:after="0"/>
            </w:pPr>
            <w:r>
              <w:t>No crawl value is labelled AI visibility/citation/SOV; failed fetches are unavailable rather than measured zero.</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FR-ANA-004</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The crawl shall capture status, final URL, title, description, headings, visible words, language, canonical, noindex, internal/external links, and validated structured data.</w:t>
            </w:r>
          </w:p>
        </w:tc>
        <w:tc>
          <w:tcPr>
            <w:tcW w:type="dxa" w:w="2340"/>
            <w:tcMar>
              <w:top w:w="90" w:type="dxa"/>
              <w:start w:w="105" w:type="dxa"/>
              <w:bottom w:w="90" w:type="dxa"/>
              <w:end w:w="105" w:type="dxa"/>
            </w:tcMar>
            <w:vAlign w:val="top"/>
          </w:tcPr>
          <w:p>
            <w:pPr>
              <w:pStyle w:val="RequirementText"/>
              <w:spacing w:after="0"/>
            </w:pPr>
            <w:r>
              <w:t>Saved page record and findings reproduce the displayed audit; invalid JSON-LD and canonical targets are reported.</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FR-ANA-005</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Users shall connect, select, synchronize, and disconnect a read-only Google Search Console property.</w:t>
            </w:r>
          </w:p>
        </w:tc>
        <w:tc>
          <w:tcPr>
            <w:tcW w:type="dxa" w:w="2340"/>
            <w:tcMar>
              <w:top w:w="90" w:type="dxa"/>
              <w:start w:w="105" w:type="dxa"/>
              <w:bottom w:w="90" w:type="dxa"/>
              <w:end w:w="105" w:type="dxa"/>
            </w:tcMar>
            <w:vAlign w:val="top"/>
          </w:tcPr>
          <w:p>
            <w:pPr>
              <w:pStyle w:val="RequirementText"/>
              <w:spacing w:after="0"/>
            </w:pPr>
            <w:r>
              <w:t>OAuth, token refresh/revoke, property permissions, date range, freshness, partial/error, and row-cap states pass contract tests.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FR-ANA-006</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Search Console shall report clicks, impressions, CTR, Google average position, query, page, property, and date range without AI Overview relabelling.</w:t>
            </w:r>
          </w:p>
        </w:tc>
        <w:tc>
          <w:tcPr>
            <w:tcW w:type="dxa" w:w="2340"/>
            <w:tcMar>
              <w:top w:w="90" w:type="dxa"/>
              <w:start w:w="105" w:type="dxa"/>
              <w:bottom w:w="90" w:type="dxa"/>
              <w:end w:w="105" w:type="dxa"/>
            </w:tcMar>
            <w:vAlign w:val="top"/>
          </w:tcPr>
          <w:p>
            <w:pPr>
              <w:pStyle w:val="RequirementText"/>
              <w:spacing w:after="0"/>
            </w:pPr>
            <w:r>
              <w:t>Metrics reconcile with saved rows; truncation is disclosed; source badge states Google Search Console.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FR-ANA-007</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Users shall manage topics, competitors, prompts, prompt intent, active state, region, and daily/weekly/monthly schedule.</w:t>
            </w:r>
          </w:p>
        </w:tc>
        <w:tc>
          <w:tcPr>
            <w:tcW w:type="dxa" w:w="2340"/>
            <w:tcMar>
              <w:top w:w="90" w:type="dxa"/>
              <w:start w:w="105" w:type="dxa"/>
              <w:bottom w:w="90" w:type="dxa"/>
              <w:end w:w="105" w:type="dxa"/>
            </w:tcMar>
            <w:vAlign w:val="top"/>
          </w:tcPr>
          <w:p>
            <w:pPr>
              <w:pStyle w:val="RequirementText"/>
              <w:spacing w:after="0"/>
            </w:pPr>
            <w:r>
              <w:t>Each run stores exact prompt and competitor snapshots; limits and costs are shown before enqueue.</w:t>
            </w:r>
          </w:p>
        </w:tc>
      </w:tr>
    </w:tbl>
    <w:p>
      <w:r>
        <w:br w:type="page"/>
      </w:r>
    </w:p>
    <w:p>
      <w:pPr>
        <w:spacing w:after="640"/>
      </w:pPr>
      <w:r>
        <w:rPr>
          <w:sz w:val="2"/>
        </w:rPr>
        <w:t xml:space="preserve"> </w:t>
      </w:r>
    </w:p>
    <w:p>
      <w:pPr>
        <w:pStyle w:val="Heading2"/>
      </w:pPr>
      <w:r>
        <w:t>9.4 AI Search Analytics (continued)</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FR-ANA-008</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Provider scans shall save original evidence for every attempted prompt.</w:t>
            </w:r>
          </w:p>
        </w:tc>
        <w:tc>
          <w:tcPr>
            <w:tcW w:type="dxa" w:w="2340"/>
            <w:tcMar>
              <w:top w:w="90" w:type="dxa"/>
              <w:start w:w="105" w:type="dxa"/>
              <w:bottom w:w="90" w:type="dxa"/>
              <w:end w:w="105" w:type="dxa"/>
            </w:tcMar>
            <w:vAlign w:val="top"/>
          </w:tcPr>
          <w:p>
            <w:pPr>
              <w:pStyle w:val="RequirementText"/>
              <w:spacing w:after="0"/>
            </w:pPr>
            <w:r>
              <w:t>Record includes exact prompt, provider/model, request IDs, answer, normalized sources/ranks, timestamps, latency, status, error, and raw-response retention state.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FR-ANA-009</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Provider metrics shall be reproducible from stored evidence and documented denominators.</w:t>
            </w:r>
          </w:p>
        </w:tc>
        <w:tc>
          <w:tcPr>
            <w:tcW w:type="dxa" w:w="2340"/>
            <w:tcMar>
              <w:top w:w="90" w:type="dxa"/>
              <w:start w:w="105" w:type="dxa"/>
              <w:bottom w:w="90" w:type="dxa"/>
              <w:end w:w="105" w:type="dxa"/>
            </w:tcMar>
            <w:vAlign w:val="top"/>
          </w:tcPr>
          <w:p>
            <w:pPr>
              <w:pStyle w:val="RequirementText"/>
              <w:spacing w:after="0"/>
            </w:pPr>
            <w:r>
              <w:t>Independent test recomputes mention, citation, source presence, average rank, and SOV within rounding tolerance.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FR-ANA-010</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The evidence UI shall support provider/topic/status/run filtering and safe source navigation.</w:t>
            </w:r>
          </w:p>
        </w:tc>
        <w:tc>
          <w:tcPr>
            <w:tcW w:type="dxa" w:w="2340"/>
            <w:tcMar>
              <w:top w:w="90" w:type="dxa"/>
              <w:start w:w="105" w:type="dxa"/>
              <w:bottom w:w="90" w:type="dxa"/>
              <w:end w:w="105" w:type="dxa"/>
            </w:tcMar>
            <w:vAlign w:val="top"/>
          </w:tcPr>
          <w:p>
            <w:pPr>
              <w:pStyle w:val="RequirementText"/>
              <w:spacing w:after="0"/>
            </w:pPr>
            <w:r>
              <w:t>Links are validated HTTP(S), open with noopener/noreferrer, and detail view exposes provenance plus preserved answer/source text.</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FR-ANA-011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Evidence-grounded opportunities shall cite valid stored evidence references and shall not alter measured metrics.</w:t>
            </w:r>
          </w:p>
        </w:tc>
        <w:tc>
          <w:tcPr>
            <w:tcW w:type="dxa" w:w="2340"/>
            <w:tcMar>
              <w:top w:w="90" w:type="dxa"/>
              <w:start w:w="105" w:type="dxa"/>
              <w:bottom w:w="90" w:type="dxa"/>
              <w:end w:w="105" w:type="dxa"/>
            </w:tcMar>
            <w:vAlign w:val="top"/>
          </w:tcPr>
          <w:p>
            <w:pPr>
              <w:pStyle w:val="RequirementText"/>
              <w:spacing w:after="0"/>
            </w:pPr>
            <w:r>
              <w:t>Unsupported model output is rejected; deterministic grounded fallback is available; each action opens its evidence.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FR-ANA-012</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Scans shall expose queued, running, succeeded, partial, failed, cancelled, and stale/retry states.</w:t>
            </w:r>
          </w:p>
        </w:tc>
        <w:tc>
          <w:tcPr>
            <w:tcW w:type="dxa" w:w="2340"/>
            <w:tcMar>
              <w:top w:w="90" w:type="dxa"/>
              <w:start w:w="105" w:type="dxa"/>
              <w:bottom w:w="90" w:type="dxa"/>
              <w:end w:w="105" w:type="dxa"/>
            </w:tcMar>
            <w:vAlign w:val="top"/>
          </w:tcPr>
          <w:p>
            <w:pPr>
              <w:pStyle w:val="RequirementText"/>
              <w:spacing w:after="0"/>
            </w:pPr>
            <w:r>
              <w:t>Progress is announced accessibly; repeat clicks are idempotent; the last successful report remains available during failure.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FR-ANA-013</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Export shall preserve source definitions, configurations, evidence, failures, run identifiers, provider/model, and generation timestamp.</w:t>
            </w:r>
          </w:p>
        </w:tc>
        <w:tc>
          <w:tcPr>
            <w:tcW w:type="dxa" w:w="2340"/>
            <w:tcMar>
              <w:top w:w="90" w:type="dxa"/>
              <w:start w:w="105" w:type="dxa"/>
              <w:bottom w:w="90" w:type="dxa"/>
              <w:end w:w="105" w:type="dxa"/>
            </w:tcMar>
            <w:vAlign w:val="top"/>
          </w:tcPr>
          <w:p>
            <w:pPr>
              <w:pStyle w:val="RequirementText"/>
              <w:spacing w:after="0"/>
            </w:pPr>
            <w:r>
              <w:t>JSON export round-trips required fields; UTF-8 CSV/ZIP export is added for tabular evidence and pages.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FR-ANA-014</w:t>
            </w:r>
          </w:p>
        </w:tc>
        <w:tc>
          <w:tcPr>
            <w:tcW w:type="dxa" w:w="2340"/>
            <w:tcMar>
              <w:top w:w="90" w:type="dxa"/>
              <w:start w:w="105" w:type="dxa"/>
              <w:bottom w:w="90" w:type="dxa"/>
              <w:end w:w="105" w:type="dxa"/>
            </w:tcMar>
            <w:vAlign w:val="top"/>
            <w:shd w:fill="EAF2F8"/>
          </w:tcPr>
          <w:p>
            <w:pPr>
              <w:pStyle w:val="RequirementText"/>
              <w:spacing w:after="0"/>
            </w:pPr>
            <w:r>
              <w:rPr>
                <w:b/>
              </w:rPr>
              <w:t>P2</w:t>
            </w:r>
          </w:p>
        </w:tc>
        <w:tc>
          <w:tcPr>
            <w:tcW w:type="dxa" w:w="2340"/>
            <w:tcMar>
              <w:top w:w="90" w:type="dxa"/>
              <w:start w:w="105" w:type="dxa"/>
              <w:bottom w:w="90" w:type="dxa"/>
              <w:end w:w="105" w:type="dxa"/>
            </w:tcMar>
            <w:vAlign w:val="top"/>
          </w:tcPr>
          <w:p>
            <w:pPr>
              <w:pStyle w:val="RequirementText"/>
              <w:spacing w:after="0"/>
            </w:pPr>
            <w:r>
              <w:t>Trend comparisons should enforce cohort compatibility and explain non-comparable changes.</w:t>
            </w:r>
          </w:p>
        </w:tc>
        <w:tc>
          <w:tcPr>
            <w:tcW w:type="dxa" w:w="2340"/>
            <w:tcMar>
              <w:top w:w="90" w:type="dxa"/>
              <w:start w:w="105" w:type="dxa"/>
              <w:bottom w:w="90" w:type="dxa"/>
              <w:end w:w="105" w:type="dxa"/>
            </w:tcMar>
            <w:vAlign w:val="top"/>
          </w:tcPr>
          <w:p>
            <w:pPr>
              <w:pStyle w:val="RequirementText"/>
              <w:spacing w:after="0"/>
            </w:pPr>
            <w:r>
              <w:t>Provider/model/region/prompts/competitors/algorithm mismatch starts a new baseline or displays a clear warning.</w:t>
            </w:r>
          </w:p>
        </w:tc>
      </w:tr>
    </w:tbl>
    <w:p>
      <w:pPr>
        <w:spacing w:after="0"/>
      </w:pPr>
    </w:p>
    <w:p>
      <w:pPr>
        <w:pStyle w:val="Heading2"/>
        <w:pageBreakBefore/>
        <w:spacing w:before="840"/>
      </w:pPr>
      <w:r>
        <w:t>9.5 Prompt Intelligence</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FR-PRM-001</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Prompt Intelligence shall replace deterministic SHA-derived measurements with the shared provider-evidence pipeline.</w:t>
            </w:r>
          </w:p>
        </w:tc>
        <w:tc>
          <w:tcPr>
            <w:tcW w:type="dxa" w:w="2340"/>
            <w:tcMar>
              <w:top w:w="90" w:type="dxa"/>
              <w:start w:w="105" w:type="dxa"/>
              <w:bottom w:w="90" w:type="dxa"/>
              <w:end w:w="105" w:type="dxa"/>
            </w:tcMar>
            <w:vAlign w:val="top"/>
          </w:tcPr>
          <w:p>
            <w:pPr>
              <w:pStyle w:val="RequirementText"/>
              <w:spacing w:after="0"/>
            </w:pPr>
            <w:r>
              <w:t>Production code returns no generated score without stored provider evidence; demo mode is isolated and labelled.</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FR-PRM-002</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Users shall CRUD collections and prompts and filter by topic, provider, intent, active state, and evidence state.</w:t>
            </w:r>
          </w:p>
        </w:tc>
        <w:tc>
          <w:tcPr>
            <w:tcW w:type="dxa" w:w="2340"/>
            <w:tcMar>
              <w:top w:w="90" w:type="dxa"/>
              <w:start w:w="105" w:type="dxa"/>
              <w:bottom w:w="90" w:type="dxa"/>
              <w:end w:w="105" w:type="dxa"/>
            </w:tcMar>
            <w:vAlign w:val="top"/>
          </w:tcPr>
          <w:p>
            <w:pPr>
              <w:pStyle w:val="RequirementText"/>
              <w:spacing w:after="0"/>
            </w:pPr>
            <w:r>
              <w:t>Ownership tests pass; filtering is keyboard accessible; deleted configuration does not erase immutable historical snapshots.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FR-PRM-003</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Prompt research shall propose prompts with a recorded generation source and require user approval before measurement.</w:t>
            </w:r>
          </w:p>
        </w:tc>
        <w:tc>
          <w:tcPr>
            <w:tcW w:type="dxa" w:w="2340"/>
            <w:tcMar>
              <w:top w:w="90" w:type="dxa"/>
              <w:start w:w="105" w:type="dxa"/>
              <w:bottom w:w="90" w:type="dxa"/>
              <w:end w:w="105" w:type="dxa"/>
            </w:tcMar>
            <w:vAlign w:val="top"/>
          </w:tcPr>
          <w:p>
            <w:pPr>
              <w:pStyle w:val="RequirementText"/>
              <w:spacing w:after="0"/>
            </w:pPr>
            <w:r>
              <w:t>Proposed prompts remain distinct from active prompts; provider/model or ruleset is displayed.</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FR-PRM-004</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Repeated prompt scans shall retain comparable history, provider evidence, and configuration snapshots.</w:t>
            </w:r>
          </w:p>
        </w:tc>
        <w:tc>
          <w:tcPr>
            <w:tcW w:type="dxa" w:w="2340"/>
            <w:tcMar>
              <w:top w:w="90" w:type="dxa"/>
              <w:start w:w="105" w:type="dxa"/>
              <w:bottom w:w="90" w:type="dxa"/>
              <w:end w:w="105" w:type="dxa"/>
            </w:tcMar>
            <w:vAlign w:val="top"/>
          </w:tcPr>
          <w:p>
            <w:pPr>
              <w:pStyle w:val="RequirementText"/>
              <w:spacing w:after="0"/>
            </w:pPr>
            <w:r>
              <w:t>No scan overwrites prior evidence; history displays baseline breaks when configuration changes.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FR-PRM-005</w:t>
            </w:r>
          </w:p>
        </w:tc>
        <w:tc>
          <w:tcPr>
            <w:tcW w:type="dxa" w:w="2340"/>
            <w:tcMar>
              <w:top w:w="90" w:type="dxa"/>
              <w:start w:w="105" w:type="dxa"/>
              <w:bottom w:w="90" w:type="dxa"/>
              <w:end w:w="105" w:type="dxa"/>
            </w:tcMar>
            <w:vAlign w:val="top"/>
            <w:shd w:fill="EAF2F8"/>
          </w:tcPr>
          <w:p>
            <w:pPr>
              <w:pStyle w:val="RequirementText"/>
              <w:spacing w:after="0"/>
            </w:pPr>
            <w:r>
              <w:rPr>
                <w:b/>
              </w:rPr>
              <w:t>P2</w:t>
            </w:r>
          </w:p>
        </w:tc>
        <w:tc>
          <w:tcPr>
            <w:tcW w:type="dxa" w:w="2340"/>
            <w:tcMar>
              <w:top w:w="90" w:type="dxa"/>
              <w:start w:w="105" w:type="dxa"/>
              <w:bottom w:w="90" w:type="dxa"/>
              <w:end w:w="105" w:type="dxa"/>
            </w:tcMar>
            <w:vAlign w:val="top"/>
          </w:tcPr>
          <w:p>
            <w:pPr>
              <w:pStyle w:val="RequirementText"/>
              <w:spacing w:after="0"/>
            </w:pPr>
            <w:r>
              <w:t>Bulk import/export and duplicate detection should support agency-scale prompt operations.</w:t>
            </w:r>
          </w:p>
        </w:tc>
        <w:tc>
          <w:tcPr>
            <w:tcW w:type="dxa" w:w="2340"/>
            <w:tcMar>
              <w:top w:w="90" w:type="dxa"/>
              <w:start w:w="105" w:type="dxa"/>
              <w:bottom w:w="90" w:type="dxa"/>
              <w:end w:w="105" w:type="dxa"/>
            </w:tcMar>
            <w:vAlign w:val="top"/>
          </w:tcPr>
          <w:p>
            <w:pPr>
              <w:pStyle w:val="RequirementText"/>
              <w:spacing w:after="0"/>
            </w:pPr>
            <w:r>
              <w:t>Validated CSV import reports row errors without partial silent loss; canonical duplicates are flagged before activation.</w:t>
            </w:r>
          </w:p>
        </w:tc>
      </w:tr>
    </w:tbl>
    <w:p>
      <w:pPr>
        <w:spacing w:after="0"/>
      </w:pPr>
    </w:p>
    <w:p>
      <w:pPr>
        <w:pStyle w:val="Heading2"/>
        <w:pageBreakBefore/>
        <w:spacing w:before="840"/>
      </w:pPr>
      <w:r>
        <w:t>9.6 AI Visibility Tracking</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FR-VIS-001</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Visibility Tracking shall use the shared evidence store rather than deterministic SHA-derived watchlist scores.</w:t>
            </w:r>
          </w:p>
        </w:tc>
        <w:tc>
          <w:tcPr>
            <w:tcW w:type="dxa" w:w="2340"/>
            <w:tcMar>
              <w:top w:w="90" w:type="dxa"/>
              <w:start w:w="105" w:type="dxa"/>
              <w:bottom w:w="90" w:type="dxa"/>
              <w:end w:w="105" w:type="dxa"/>
            </w:tcMar>
            <w:vAlign w:val="top"/>
          </w:tcPr>
          <w:p>
            <w:pPr>
              <w:pStyle w:val="RequirementText"/>
              <w:spacing w:after="0"/>
            </w:pPr>
            <w:r>
              <w:t>Every appearance traces to a provider answer/source and exposes provider/model, prompt, brand/competitor match, locale, and time.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FR-VIS-002</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Users shall CRUD watchlists with brand aliases, topic, competitor set, provider set, region, and cadence.</w:t>
            </w:r>
          </w:p>
        </w:tc>
        <w:tc>
          <w:tcPr>
            <w:tcW w:type="dxa" w:w="2340"/>
            <w:tcMar>
              <w:top w:w="90" w:type="dxa"/>
              <w:start w:w="105" w:type="dxa"/>
              <w:bottom w:w="90" w:type="dxa"/>
              <w:end w:w="105" w:type="dxa"/>
            </w:tcMar>
            <w:vAlign w:val="top"/>
          </w:tcPr>
          <w:p>
            <w:pPr>
              <w:pStyle w:val="RequirementText"/>
              <w:spacing w:after="0"/>
            </w:pPr>
            <w:r>
              <w:t>Configuration is validated, versioned, tenant-bound, and snapshotted into each run.</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FR-VIS-003</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Tracking shall report answer visibility, citation, source presence/rank, SOV, and evidence-linked appearances using section 8 definitions.</w:t>
            </w:r>
          </w:p>
        </w:tc>
        <w:tc>
          <w:tcPr>
            <w:tcW w:type="dxa" w:w="2340"/>
            <w:tcMar>
              <w:top w:w="90" w:type="dxa"/>
              <w:start w:w="105" w:type="dxa"/>
              <w:bottom w:w="90" w:type="dxa"/>
              <w:end w:w="105" w:type="dxa"/>
            </w:tcMar>
            <w:vAlign w:val="top"/>
          </w:tcPr>
          <w:p>
            <w:pPr>
              <w:pStyle w:val="RequirementText"/>
              <w:spacing w:after="0"/>
            </w:pPr>
            <w:r>
              <w:t>Metrics reconcile to evidence and unavailable values remain null.</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FR-VIS-004</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Trend comparisons shall use identical cohorts or be labelled non-comparable.</w:t>
            </w:r>
          </w:p>
        </w:tc>
        <w:tc>
          <w:tcPr>
            <w:tcW w:type="dxa" w:w="2340"/>
            <w:tcMar>
              <w:top w:w="90" w:type="dxa"/>
              <w:start w:w="105" w:type="dxa"/>
              <w:bottom w:w="90" w:type="dxa"/>
              <w:end w:w="105" w:type="dxa"/>
            </w:tcMar>
            <w:vAlign w:val="top"/>
          </w:tcPr>
          <w:p>
            <w:pPr>
              <w:pStyle w:val="RequirementText"/>
              <w:spacing w:after="0"/>
            </w:pPr>
            <w:r>
              <w:t>Automated tests cover provider, model, prompt, competitor, region, and algorithm changes.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FR-VIS-005</w:t>
            </w:r>
          </w:p>
        </w:tc>
        <w:tc>
          <w:tcPr>
            <w:tcW w:type="dxa" w:w="2340"/>
            <w:tcMar>
              <w:top w:w="90" w:type="dxa"/>
              <w:start w:w="105" w:type="dxa"/>
              <w:bottom w:w="90" w:type="dxa"/>
              <w:end w:w="105" w:type="dxa"/>
            </w:tcMar>
            <w:vAlign w:val="top"/>
            <w:shd w:fill="EAF2F8"/>
          </w:tcPr>
          <w:p>
            <w:pPr>
              <w:pStyle w:val="RequirementText"/>
              <w:spacing w:after="0"/>
            </w:pPr>
            <w:r>
              <w:rPr>
                <w:b/>
              </w:rPr>
              <w:t>P2</w:t>
            </w:r>
          </w:p>
        </w:tc>
        <w:tc>
          <w:tcPr>
            <w:tcW w:type="dxa" w:w="2340"/>
            <w:tcMar>
              <w:top w:w="90" w:type="dxa"/>
              <w:start w:w="105" w:type="dxa"/>
              <w:bottom w:w="90" w:type="dxa"/>
              <w:end w:w="105" w:type="dxa"/>
            </w:tcMar>
            <w:vAlign w:val="top"/>
          </w:tcPr>
          <w:p>
            <w:pPr>
              <w:pStyle w:val="RequirementText"/>
              <w:spacing w:after="0"/>
            </w:pPr>
            <w:r>
              <w:t>Alerts should notify users of material evidence-backed changes without overstating provider certainty.</w:t>
            </w:r>
          </w:p>
        </w:tc>
        <w:tc>
          <w:tcPr>
            <w:tcW w:type="dxa" w:w="2340"/>
            <w:tcMar>
              <w:top w:w="90" w:type="dxa"/>
              <w:start w:w="105" w:type="dxa"/>
              <w:bottom w:w="90" w:type="dxa"/>
              <w:end w:w="105" w:type="dxa"/>
            </w:tcMar>
            <w:vAlign w:val="top"/>
          </w:tcPr>
          <w:p>
            <w:pPr>
              <w:pStyle w:val="RequirementText"/>
              <w:spacing w:after="0"/>
            </w:pPr>
            <w:r>
              <w:t>Threshold, cooldown, channel, source, comparison cohort, and opt-out are stored and displayed.</w:t>
            </w:r>
          </w:p>
        </w:tc>
      </w:tr>
    </w:tbl>
    <w:p>
      <w:pPr>
        <w:spacing w:after="0"/>
      </w:pPr>
    </w:p>
    <w:p>
      <w:pPr>
        <w:pStyle w:val="Heading2"/>
        <w:pageBreakBefore/>
        <w:spacing w:before="840"/>
      </w:pPr>
      <w:r>
        <w:t>9.7 Content Studio</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FR-CONT-001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Users shall create, edit, save, status, version, and delete owned content documents.</w:t>
            </w:r>
          </w:p>
        </w:tc>
        <w:tc>
          <w:tcPr>
            <w:tcW w:type="dxa" w:w="2340"/>
            <w:tcMar>
              <w:top w:w="90" w:type="dxa"/>
              <w:start w:w="105" w:type="dxa"/>
              <w:bottom w:w="90" w:type="dxa"/>
              <w:end w:w="105" w:type="dxa"/>
            </w:tcMar>
            <w:vAlign w:val="top"/>
          </w:tcPr>
          <w:p>
            <w:pPr>
              <w:pStyle w:val="RequirementText"/>
              <w:spacing w:after="0"/>
            </w:pPr>
            <w:r>
              <w:t>Unsaved changes are protected on document switch, generation, navigation, and refresh; ownership tests pass.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FR-CONT-002</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Generated drafts shall identify local template versus configured model, provider/model, generation time, and brief version.</w:t>
            </w:r>
          </w:p>
        </w:tc>
        <w:tc>
          <w:tcPr>
            <w:tcW w:type="dxa" w:w="2340"/>
            <w:tcMar>
              <w:top w:w="90" w:type="dxa"/>
              <w:start w:w="105" w:type="dxa"/>
              <w:bottom w:w="90" w:type="dxa"/>
              <w:end w:w="105" w:type="dxa"/>
            </w:tcMar>
            <w:vAlign w:val="top"/>
          </w:tcPr>
          <w:p>
            <w:pPr>
              <w:pStyle w:val="RequirementText"/>
              <w:spacing w:after="0"/>
            </w:pPr>
            <w:r>
              <w:t>Generation metadata is visible; failures preserve prior edits; no generated factual claim is marked verified automatically.</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FR-CONT-003</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Analytics opportunities shall carry prompt/source evidence, topics, competitor gaps, and proof requirements into a content brief.</w:t>
            </w:r>
          </w:p>
        </w:tc>
        <w:tc>
          <w:tcPr>
            <w:tcW w:type="dxa" w:w="2340"/>
            <w:tcMar>
              <w:top w:w="90" w:type="dxa"/>
              <w:start w:w="105" w:type="dxa"/>
              <w:bottom w:w="90" w:type="dxa"/>
              <w:end w:w="105" w:type="dxa"/>
            </w:tcMar>
            <w:vAlign w:val="top"/>
          </w:tcPr>
          <w:p>
            <w:pPr>
              <w:pStyle w:val="RequirementText"/>
              <w:spacing w:after="0"/>
            </w:pPr>
            <w:r>
              <w:t>Each evidence-backed section links to the originating stored evidence and includes a human-review checklist.</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FR-CONT-004</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SEO title, meta description, outline, document content, recommendations, and status shall be independently editable and versioned.</w:t>
            </w:r>
          </w:p>
        </w:tc>
        <w:tc>
          <w:tcPr>
            <w:tcW w:type="dxa" w:w="2340"/>
            <w:tcMar>
              <w:top w:w="90" w:type="dxa"/>
              <w:start w:w="105" w:type="dxa"/>
              <w:bottom w:w="90" w:type="dxa"/>
              <w:end w:w="105" w:type="dxa"/>
            </w:tcMar>
            <w:vAlign w:val="top"/>
          </w:tcPr>
          <w:p>
            <w:pPr>
              <w:pStyle w:val="RequirementText"/>
              <w:spacing w:after="0"/>
            </w:pPr>
            <w:r>
              <w:t>Concurrent update policy prevents silent overwrite; version history can restore a prior draft.</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FR-CONT-005</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Published status shall require a recorded URL/manual confirmation or successful connected CMS action.</w:t>
            </w:r>
          </w:p>
        </w:tc>
        <w:tc>
          <w:tcPr>
            <w:tcW w:type="dxa" w:w="2340"/>
            <w:tcMar>
              <w:top w:w="90" w:type="dxa"/>
              <w:start w:w="105" w:type="dxa"/>
              <w:bottom w:w="90" w:type="dxa"/>
              <w:end w:w="105" w:type="dxa"/>
            </w:tcMar>
            <w:vAlign w:val="top"/>
          </w:tcPr>
          <w:p>
            <w:pPr>
              <w:pStyle w:val="RequirementText"/>
              <w:spacing w:after="0"/>
            </w:pPr>
            <w:r>
              <w:t>Status cannot imply external publication without evidence; connector errors remain visible.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FR-CONT-006</w:t>
            </w:r>
          </w:p>
        </w:tc>
        <w:tc>
          <w:tcPr>
            <w:tcW w:type="dxa" w:w="2340"/>
            <w:tcMar>
              <w:top w:w="90" w:type="dxa"/>
              <w:start w:w="105" w:type="dxa"/>
              <w:bottom w:w="90" w:type="dxa"/>
              <w:end w:w="105" w:type="dxa"/>
            </w:tcMar>
            <w:vAlign w:val="top"/>
            <w:shd w:fill="EAF2F8"/>
          </w:tcPr>
          <w:p>
            <w:pPr>
              <w:pStyle w:val="RequirementText"/>
              <w:spacing w:after="0"/>
            </w:pPr>
            <w:r>
              <w:rPr>
                <w:b/>
              </w:rPr>
              <w:t>P2</w:t>
            </w:r>
          </w:p>
        </w:tc>
        <w:tc>
          <w:tcPr>
            <w:tcW w:type="dxa" w:w="2340"/>
            <w:tcMar>
              <w:top w:w="90" w:type="dxa"/>
              <w:start w:w="105" w:type="dxa"/>
              <w:bottom w:w="90" w:type="dxa"/>
              <w:end w:w="105" w:type="dxa"/>
            </w:tcMar>
            <w:vAlign w:val="top"/>
          </w:tcPr>
          <w:p>
            <w:pPr>
              <w:pStyle w:val="RequirementText"/>
              <w:spacing w:after="0"/>
            </w:pPr>
            <w:r>
              <w:t>The studio should support collaboration comments, assignments, approval state, and export to common formats.</w:t>
            </w:r>
          </w:p>
        </w:tc>
        <w:tc>
          <w:tcPr>
            <w:tcW w:type="dxa" w:w="2340"/>
            <w:tcMar>
              <w:top w:w="90" w:type="dxa"/>
              <w:start w:w="105" w:type="dxa"/>
              <w:bottom w:w="90" w:type="dxa"/>
              <w:end w:w="105" w:type="dxa"/>
            </w:tcMar>
            <w:vAlign w:val="top"/>
          </w:tcPr>
          <w:p>
            <w:pPr>
              <w:pStyle w:val="RequirementText"/>
              <w:spacing w:after="0"/>
            </w:pPr>
            <w:r>
              <w:t>Role permissions and attribution are preserved in document history and exports.</w:t>
            </w:r>
          </w:p>
        </w:tc>
      </w:tr>
    </w:tbl>
    <w:p>
      <w:pPr>
        <w:spacing w:after="0"/>
      </w:pPr>
    </w:p>
    <w:p>
      <w:pPr>
        <w:pStyle w:val="Heading2"/>
        <w:pageBreakBefore/>
        <w:spacing w:before="840"/>
      </w:pPr>
      <w:r>
        <w:t>9.8 Responsive web and PWA</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FR-PWA-001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The web application shall be installable with valid 192 × 192 and 512 × 512 regular and maskable icons.</w:t>
            </w:r>
          </w:p>
        </w:tc>
        <w:tc>
          <w:tcPr>
            <w:tcW w:type="dxa" w:w="2340"/>
            <w:tcMar>
              <w:top w:w="90" w:type="dxa"/>
              <w:start w:w="105" w:type="dxa"/>
              <w:bottom w:w="90" w:type="dxa"/>
              <w:end w:w="105" w:type="dxa"/>
            </w:tcMar>
            <w:vAlign w:val="top"/>
          </w:tcPr>
          <w:p>
            <w:pPr>
              <w:pStyle w:val="RequirementText"/>
              <w:spacing w:after="0"/>
            </w:pPr>
            <w:r>
              <w:t>Chrome/Edge/Safari installability checks pass and installed branding uses approved trySearch assets.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FR-PWA-002</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The service worker shall cache only an allowlisted public shell and provide an explicit update lifecycle.</w:t>
            </w:r>
          </w:p>
        </w:tc>
        <w:tc>
          <w:tcPr>
            <w:tcW w:type="dxa" w:w="2340"/>
            <w:tcMar>
              <w:top w:w="90" w:type="dxa"/>
              <w:start w:w="105" w:type="dxa"/>
              <w:bottom w:w="90" w:type="dxa"/>
              <w:end w:w="105" w:type="dxa"/>
            </w:tcMar>
            <w:vAlign w:val="top"/>
          </w:tcPr>
          <w:p>
            <w:pPr>
              <w:pStyle w:val="RequirementText"/>
              <w:spacing w:after="0"/>
            </w:pPr>
            <w:r>
              <w:t>Missing optional asset does not abort installation; new versions activate predictably; private/API responses are never cached.</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FR-PWA-003</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Offline navigation shall show a branded fallback and explain which live features require reconnection.</w:t>
            </w:r>
          </w:p>
        </w:tc>
        <w:tc>
          <w:tcPr>
            <w:tcW w:type="dxa" w:w="2340"/>
            <w:tcMar>
              <w:top w:w="90" w:type="dxa"/>
              <w:start w:w="105" w:type="dxa"/>
              <w:bottom w:w="90" w:type="dxa"/>
              <w:end w:w="105" w:type="dxa"/>
            </w:tcMar>
            <w:vAlign w:val="top"/>
          </w:tcPr>
          <w:p>
            <w:pPr>
              <w:pStyle w:val="RequirementText"/>
              <w:spacing w:after="0"/>
            </w:pPr>
            <w:r>
              <w:t>Offline E2E test reaches fallback; cached shell loads; mutations and stale analytics are not misrepresented as current.</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FR-MOB-001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All core customer flows shall operate at 320, 360, 390, 430, 768, 1024, 1280, 1440, and 1920 CSS pixels.</w:t>
            </w:r>
          </w:p>
        </w:tc>
        <w:tc>
          <w:tcPr>
            <w:tcW w:type="dxa" w:w="2340"/>
            <w:tcMar>
              <w:top w:w="90" w:type="dxa"/>
              <w:start w:w="105" w:type="dxa"/>
              <w:bottom w:w="90" w:type="dxa"/>
              <w:end w:w="105" w:type="dxa"/>
            </w:tcMar>
            <w:vAlign w:val="top"/>
          </w:tcPr>
          <w:p>
            <w:pPr>
              <w:pStyle w:val="RequirementText"/>
              <w:spacing w:after="0"/>
            </w:pPr>
            <w:r>
              <w:t>No unintended horizontal page scroll; controls remain readable/operable; wide data has an accessible scroller or compact alternative.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FR-MOTION-001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Decorative motion and WebGL shall respect reduced motion, Save-Data, device capability, visibility, and mobile composition.</w:t>
            </w:r>
          </w:p>
        </w:tc>
        <w:tc>
          <w:tcPr>
            <w:tcW w:type="dxa" w:w="2340"/>
            <w:tcMar>
              <w:top w:w="90" w:type="dxa"/>
              <w:start w:w="105" w:type="dxa"/>
              <w:bottom w:w="90" w:type="dxa"/>
              <w:end w:w="105" w:type="dxa"/>
            </w:tcMar>
            <w:vAlign w:val="top"/>
          </w:tcPr>
          <w:p>
            <w:pPr>
              <w:pStyle w:val="RequirementText"/>
              <w:spacing w:after="0"/>
            </w:pPr>
            <w:r>
              <w:t>No unnecessary WebGL startup under constrained conditions; CDN failure never blocks content or actions.</w:t>
            </w:r>
          </w:p>
        </w:tc>
      </w:tr>
    </w:tbl>
    <w:p>
      <w:pPr>
        <w:spacing w:after="0"/>
      </w:pPr>
    </w:p>
    <w:p>
      <w:bookmarkStart w:id="10" w:name="api_requirements"/>
      <w:pPr>
        <w:pStyle w:val="Heading1"/>
        <w:pageBreakBefore/>
        <w:spacing w:before="840"/>
      </w:pPr>
      <w:r>
        <w:t>10. API and integration requirements</w:t>
      </w:r>
      <w:bookmarkEnd w:id="10"/>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API-001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All supported product APIs shall be versioned under /api/v1 and described by a validated OpenAPI specification.</w:t>
            </w:r>
          </w:p>
        </w:tc>
        <w:tc>
          <w:tcPr>
            <w:tcW w:type="dxa" w:w="2340"/>
            <w:tcMar>
              <w:top w:w="90" w:type="dxa"/>
              <w:start w:w="105" w:type="dxa"/>
              <w:bottom w:w="90" w:type="dxa"/>
              <w:end w:w="105" w:type="dxa"/>
            </w:tcMar>
            <w:vAlign w:val="top"/>
          </w:tcPr>
          <w:p>
            <w:pPr>
              <w:pStyle w:val="RequirementText"/>
              <w:spacing w:after="0"/>
            </w:pPr>
            <w:r>
              <w:t>CI validates paths, schemas, auth, errors, nullable semantics, pagination, examples, and deprecation metadata.</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API-002</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API errors shall use one machine-readable envelope with code, message, request_id, retryable flag, and field errors where applicable.</w:t>
            </w:r>
          </w:p>
        </w:tc>
        <w:tc>
          <w:tcPr>
            <w:tcW w:type="dxa" w:w="2340"/>
            <w:tcMar>
              <w:top w:w="90" w:type="dxa"/>
              <w:start w:w="105" w:type="dxa"/>
              <w:bottom w:w="90" w:type="dxa"/>
              <w:end w:w="105" w:type="dxa"/>
            </w:tcMar>
            <w:vAlign w:val="top"/>
          </w:tcPr>
          <w:p>
            <w:pPr>
              <w:pStyle w:val="RequirementText"/>
              <w:spacing w:after="0"/>
            </w:pPr>
            <w:r>
              <w:t>Contract tests cover 400, 401, 403, 404, 409, 422, 429, 502, and 503 responses.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API-003</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Create/enqueue operations shall support idempotency keys and safe retry behavior.</w:t>
            </w:r>
          </w:p>
        </w:tc>
        <w:tc>
          <w:tcPr>
            <w:tcW w:type="dxa" w:w="2340"/>
            <w:tcMar>
              <w:top w:w="90" w:type="dxa"/>
              <w:start w:w="105" w:type="dxa"/>
              <w:bottom w:w="90" w:type="dxa"/>
              <w:end w:w="105" w:type="dxa"/>
            </w:tcMar>
            <w:vAlign w:val="top"/>
          </w:tcPr>
          <w:p>
            <w:pPr>
              <w:pStyle w:val="RequirementText"/>
              <w:spacing w:after="0"/>
            </w:pPr>
            <w:r>
              <w:t>Replaying the same key and payload returns the original result; mismatched payload returns conflict.</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API-004</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Unbounded list responses shall use cursor pagination, deterministic ordering, filter validation, and a documented maximum page size.</w:t>
            </w:r>
          </w:p>
        </w:tc>
        <w:tc>
          <w:tcPr>
            <w:tcW w:type="dxa" w:w="2340"/>
            <w:tcMar>
              <w:top w:w="90" w:type="dxa"/>
              <w:start w:w="105" w:type="dxa"/>
              <w:bottom w:w="90" w:type="dxa"/>
              <w:end w:w="105" w:type="dxa"/>
            </w:tcMar>
            <w:vAlign w:val="top"/>
          </w:tcPr>
          <w:p>
            <w:pPr>
              <w:pStyle w:val="RequirementText"/>
              <w:spacing w:after="0"/>
            </w:pPr>
            <w:r>
              <w:t>Pages/evidence/queries remain responsive on large datasets and return next_cursor.</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API-005</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All resource operations shall authorize tenant and object ownership server-side rather than trusting client identifiers.</w:t>
            </w:r>
          </w:p>
        </w:tc>
        <w:tc>
          <w:tcPr>
            <w:tcW w:type="dxa" w:w="2340"/>
            <w:tcMar>
              <w:top w:w="90" w:type="dxa"/>
              <w:start w:w="105" w:type="dxa"/>
              <w:bottom w:w="90" w:type="dxa"/>
              <w:end w:w="105" w:type="dxa"/>
            </w:tcMar>
            <w:vAlign w:val="top"/>
          </w:tcPr>
          <w:p>
            <w:pPr>
              <w:pStyle w:val="RequirementText"/>
              <w:spacing w:after="0"/>
            </w:pPr>
            <w:r>
              <w:t>Cross-tenant IDOR tests return 404/403 for every resource family.</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API-006</w:t>
            </w:r>
          </w:p>
        </w:tc>
        <w:tc>
          <w:tcPr>
            <w:tcW w:type="dxa" w:w="2340"/>
            <w:tcMar>
              <w:top w:w="90" w:type="dxa"/>
              <w:start w:w="105" w:type="dxa"/>
              <w:bottom w:w="90" w:type="dxa"/>
              <w:end w:w="105" w:type="dxa"/>
            </w:tcMar>
            <w:vAlign w:val="top"/>
            <w:shd w:fill="EAF2F8"/>
          </w:tcPr>
          <w:p>
            <w:pPr>
              <w:pStyle w:val="RequirementText"/>
              <w:spacing w:after="0"/>
            </w:pPr>
            <w:r>
              <w:rPr>
                <w:b/>
              </w:rPr>
              <w:t>P2</w:t>
            </w:r>
          </w:p>
        </w:tc>
        <w:tc>
          <w:tcPr>
            <w:tcW w:type="dxa" w:w="2340"/>
            <w:tcMar>
              <w:top w:w="90" w:type="dxa"/>
              <w:start w:w="105" w:type="dxa"/>
              <w:bottom w:w="90" w:type="dxa"/>
              <w:end w:w="105" w:type="dxa"/>
            </w:tcMar>
            <w:vAlign w:val="top"/>
          </w:tcPr>
          <w:p>
            <w:pPr>
              <w:pStyle w:val="RequirementText"/>
              <w:spacing w:after="0"/>
            </w:pPr>
            <w:r>
              <w:t>Breaking API changes shall follow a deprecation window and migration note.</w:t>
            </w:r>
          </w:p>
        </w:tc>
        <w:tc>
          <w:tcPr>
            <w:tcW w:type="dxa" w:w="2340"/>
            <w:tcMar>
              <w:top w:w="90" w:type="dxa"/>
              <w:start w:w="105" w:type="dxa"/>
              <w:bottom w:w="90" w:type="dxa"/>
              <w:end w:w="105" w:type="dxa"/>
            </w:tcMar>
            <w:vAlign w:val="top"/>
          </w:tcPr>
          <w:p>
            <w:pPr>
              <w:pStyle w:val="RequirementText"/>
              <w:spacing w:after="0"/>
            </w:pPr>
            <w:r>
              <w:t>Clients receive documented sunset metadata and compatibility tests remain green until removal.</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INT-GSC-001</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Google OAuth shall remain server-side, read-only, state-validated, tenant-bound, and encrypted at rest.</w:t>
            </w:r>
          </w:p>
        </w:tc>
        <w:tc>
          <w:tcPr>
            <w:tcW w:type="dxa" w:w="2340"/>
            <w:tcMar>
              <w:top w:w="90" w:type="dxa"/>
              <w:start w:w="105" w:type="dxa"/>
              <w:bottom w:w="90" w:type="dxa"/>
              <w:end w:w="105" w:type="dxa"/>
            </w:tcMar>
            <w:vAlign w:val="top"/>
          </w:tcPr>
          <w:p>
            <w:pPr>
              <w:pStyle w:val="RequirementText"/>
              <w:spacing w:after="0"/>
            </w:pPr>
            <w:r>
              <w:t>State/PKCE, refresh, revoke, denied consent, expired token, reconnect, and property-ownership tests pass.</w:t>
            </w:r>
          </w:p>
        </w:tc>
      </w:tr>
    </w:tbl>
    <w:p>
      <w:r>
        <w:br w:type="page"/>
      </w:r>
    </w:p>
    <w:p>
      <w:pPr>
        <w:spacing w:after="640"/>
      </w:pPr>
      <w:r>
        <w:rPr>
          <w:sz w:val="2"/>
        </w:rPr>
        <w:t xml:space="preserve"> </w:t>
      </w:r>
    </w:p>
    <w:p>
      <w:pPr>
        <w:pStyle w:val="Heading2"/>
      </w:pPr>
      <w:r>
        <w:t>10. API and integration requirements (continued)</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INT-GSC-002</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GSC synchronization shall run as a durable paginated/incremental job rather than a long HTTP request.</w:t>
            </w:r>
          </w:p>
        </w:tc>
        <w:tc>
          <w:tcPr>
            <w:tcW w:type="dxa" w:w="2340"/>
            <w:tcMar>
              <w:top w:w="90" w:type="dxa"/>
              <w:start w:w="105" w:type="dxa"/>
              <w:bottom w:w="90" w:type="dxa"/>
              <w:end w:w="105" w:type="dxa"/>
            </w:tcMar>
            <w:vAlign w:val="top"/>
          </w:tcPr>
          <w:p>
            <w:pPr>
              <w:pStyle w:val="RequirementText"/>
              <w:spacing w:after="0"/>
            </w:pPr>
            <w:r>
              <w:t>Enqueue responds within 2 seconds; retries avoid duplicate rows; progress and row cap are visible.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INT-PPLX-001</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Perplexity Search and Agent credentials shall remain server-side and responses shall be normalized without losing raw provenance.</w:t>
            </w:r>
          </w:p>
        </w:tc>
        <w:tc>
          <w:tcPr>
            <w:tcW w:type="dxa" w:w="2340"/>
            <w:tcMar>
              <w:top w:w="90" w:type="dxa"/>
              <w:start w:w="105" w:type="dxa"/>
              <w:bottom w:w="90" w:type="dxa"/>
              <w:end w:w="105" w:type="dxa"/>
            </w:tcMar>
            <w:vAlign w:val="top"/>
          </w:tcPr>
          <w:p>
            <w:pPr>
              <w:pStyle w:val="RequirementText"/>
              <w:spacing w:after="0"/>
            </w:pPr>
            <w:r>
              <w:t>No secret appears in HTML/JS/logs; adapter contract tests cover success, partial, malformed, timeout, 429, and provider 5xx.</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INT-LLM-001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Hugging Face/Ollama assistance shall be limited to evidence-grounded categorization and actions, not visibility measurement.</w:t>
            </w:r>
          </w:p>
        </w:tc>
        <w:tc>
          <w:tcPr>
            <w:tcW w:type="dxa" w:w="2340"/>
            <w:tcMar>
              <w:top w:w="90" w:type="dxa"/>
              <w:start w:w="105" w:type="dxa"/>
              <w:bottom w:w="90" w:type="dxa"/>
              <w:end w:w="105" w:type="dxa"/>
            </w:tcMar>
            <w:vAlign w:val="top"/>
          </w:tcPr>
          <w:p>
            <w:pPr>
              <w:pStyle w:val="RequirementText"/>
              <w:spacing w:after="0"/>
            </w:pPr>
            <w:r>
              <w:t>Every accepted action cites supplied evidence IDs; unsupported output is rejected and logged without altering metrics.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INT-EXT-001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Every provider adapter shall implement timeout, bounded retry/backoff, circuit breaking, quota/cost recording, and normalized failure classes.</w:t>
            </w:r>
          </w:p>
        </w:tc>
        <w:tc>
          <w:tcPr>
            <w:tcW w:type="dxa" w:w="2340"/>
            <w:tcMar>
              <w:top w:w="90" w:type="dxa"/>
              <w:start w:w="105" w:type="dxa"/>
              <w:bottom w:w="90" w:type="dxa"/>
              <w:end w:w="105" w:type="dxa"/>
            </w:tcMar>
            <w:vAlign w:val="top"/>
          </w:tcPr>
          <w:p>
            <w:pPr>
              <w:pStyle w:val="RequirementText"/>
              <w:spacing w:after="0"/>
            </w:pPr>
            <w:r>
              <w:t>Fault-injection tests prove first-party UI remains usable during provider failure.</w:t>
            </w:r>
          </w:p>
        </w:tc>
      </w:tr>
    </w:tbl>
    <w:p>
      <w:pPr>
        <w:spacing w:after="0"/>
      </w:pPr>
    </w:p>
    <w:p>
      <w:bookmarkStart w:id="11" w:name="data_requirements"/>
      <w:pPr>
        <w:pStyle w:val="Heading1"/>
        <w:pageBreakBefore/>
        <w:spacing w:before="840"/>
      </w:pPr>
      <w:r>
        <w:t>11. Data requirements</w:t>
      </w:r>
      <w:bookmarkEnd w:id="11"/>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DATA-001</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The schema shall use versioned Alembic migrations; application import shall not mutate production schema.</w:t>
            </w:r>
          </w:p>
        </w:tc>
        <w:tc>
          <w:tcPr>
            <w:tcW w:type="dxa" w:w="2340"/>
            <w:tcMar>
              <w:top w:w="90" w:type="dxa"/>
              <w:start w:w="105" w:type="dxa"/>
              <w:bottom w:w="90" w:type="dxa"/>
              <w:end w:w="105" w:type="dxa"/>
            </w:tcMar>
            <w:vAlign w:val="top"/>
          </w:tcPr>
          <w:p>
            <w:pPr>
              <w:pStyle w:val="RequirementText"/>
              <w:spacing w:after="0"/>
            </w:pPr>
            <w:r>
              <w:t>Clean install and upgrade from the audited schema reach head; rollback/runbook and migration tests preserve records.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DATA-002</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Logical relationships shall use foreign keys, uniqueness constraints, indexes, and explicit deletion rules.</w:t>
            </w:r>
          </w:p>
        </w:tc>
        <w:tc>
          <w:tcPr>
            <w:tcW w:type="dxa" w:w="2340"/>
            <w:tcMar>
              <w:top w:w="90" w:type="dxa"/>
              <w:start w:w="105" w:type="dxa"/>
              <w:bottom w:w="90" w:type="dxa"/>
              <w:end w:w="105" w:type="dxa"/>
            </w:tcMar>
            <w:vAlign w:val="top"/>
          </w:tcPr>
          <w:p>
            <w:pPr>
              <w:pStyle w:val="RequirementText"/>
              <w:spacing w:after="0"/>
            </w:pPr>
            <w:r>
              <w:t>Orphan audit returns zero; cascade/restrict behavior matches privacy and immutable-evidence policy.</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DATA-003</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All timestamps shall be timezone-aware UTC at rest and rendered in the user’s locale/timezone.</w:t>
            </w:r>
          </w:p>
        </w:tc>
        <w:tc>
          <w:tcPr>
            <w:tcW w:type="dxa" w:w="2340"/>
            <w:tcMar>
              <w:top w:w="90" w:type="dxa"/>
              <w:start w:w="105" w:type="dxa"/>
              <w:bottom w:w="90" w:type="dxa"/>
              <w:end w:w="105" w:type="dxa"/>
            </w:tcMar>
            <w:vAlign w:val="top"/>
          </w:tcPr>
          <w:p>
            <w:pPr>
              <w:pStyle w:val="RequirementText"/>
              <w:spacing w:after="0"/>
            </w:pPr>
            <w:r>
              <w:t>Serialization includes offset/Z; schedule and DST tests pass.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DATA-004</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Synthetic or legacy compatibility rows shall be isolated from production-visible measured reports.</w:t>
            </w:r>
          </w:p>
        </w:tc>
        <w:tc>
          <w:tcPr>
            <w:tcW w:type="dxa" w:w="2340"/>
            <w:tcMar>
              <w:top w:w="90" w:type="dxa"/>
              <w:start w:w="105" w:type="dxa"/>
              <w:bottom w:w="90" w:type="dxa"/>
              <w:end w:w="105" w:type="dxa"/>
            </w:tcMar>
            <w:vAlign w:val="top"/>
          </w:tcPr>
          <w:p>
            <w:pPr>
              <w:pStyle w:val="RequirementText"/>
              <w:spacing w:after="0"/>
            </w:pPr>
            <w:r>
              <w:t>Static/API tests prove no SHA/random/template score is returned as measured; unavailable data remains null.</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DATA-005</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Source evidence shall retain immutable prompt/configuration snapshots and a versioned metric algorithm identifier.</w:t>
            </w:r>
          </w:p>
        </w:tc>
        <w:tc>
          <w:tcPr>
            <w:tcW w:type="dxa" w:w="2340"/>
            <w:tcMar>
              <w:top w:w="90" w:type="dxa"/>
              <w:start w:w="105" w:type="dxa"/>
              <w:bottom w:w="90" w:type="dxa"/>
              <w:end w:w="105" w:type="dxa"/>
            </w:tcMar>
            <w:vAlign w:val="top"/>
          </w:tcPr>
          <w:p>
            <w:pPr>
              <w:pStyle w:val="RequirementText"/>
              <w:spacing w:after="0"/>
            </w:pPr>
            <w:r>
              <w:t>Recalculation can reproduce both original and current derived metrics without mutating raw evidence.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DATA-006</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Raw provider payload, normalized source, analytics history, GSC, contact, token, and log retention shall be configurable and documented.</w:t>
            </w:r>
          </w:p>
        </w:tc>
        <w:tc>
          <w:tcPr>
            <w:tcW w:type="dxa" w:w="2340"/>
            <w:tcMar>
              <w:top w:w="90" w:type="dxa"/>
              <w:start w:w="105" w:type="dxa"/>
              <w:bottom w:w="90" w:type="dxa"/>
              <w:end w:w="105" w:type="dxa"/>
            </w:tcMar>
            <w:vAlign w:val="top"/>
          </w:tcPr>
          <w:p>
            <w:pPr>
              <w:pStyle w:val="RequirementText"/>
              <w:spacing w:after="0"/>
            </w:pPr>
            <w:r>
              <w:t>Scheduled retention job deletes/aggregates expired data and records deletion outcomes.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DATA-007</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User/project export and deletion shall cover all owned tables and external token revocation.</w:t>
            </w:r>
          </w:p>
        </w:tc>
        <w:tc>
          <w:tcPr>
            <w:tcW w:type="dxa" w:w="2340"/>
            <w:tcMar>
              <w:top w:w="90" w:type="dxa"/>
              <w:start w:w="105" w:type="dxa"/>
              <w:bottom w:w="90" w:type="dxa"/>
              <w:end w:w="105" w:type="dxa"/>
            </w:tcMar>
            <w:vAlign w:val="top"/>
          </w:tcPr>
          <w:p>
            <w:pPr>
              <w:pStyle w:val="RequirementText"/>
              <w:spacing w:after="0"/>
            </w:pPr>
            <w:r>
              <w:t>Completeness reconciliation confirms exported/deleted counts across every related entity.</w:t>
            </w:r>
          </w:p>
        </w:tc>
      </w:tr>
    </w:tbl>
    <w:p>
      <w:r>
        <w:br w:type="page"/>
      </w:r>
    </w:p>
    <w:p>
      <w:pPr>
        <w:spacing w:after="640"/>
      </w:pPr>
      <w:r>
        <w:rPr>
          <w:sz w:val="2"/>
        </w:rPr>
        <w:t xml:space="preserve"> </w:t>
      </w:r>
    </w:p>
    <w:p>
      <w:pPr>
        <w:pStyle w:val="Heading2"/>
      </w:pPr>
      <w:r>
        <w:t>11. Data requirements (continued)</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DATA-008</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Sensitive values shall be encrypted in transit and at rest with documented rotation procedures.</w:t>
            </w:r>
          </w:p>
        </w:tc>
        <w:tc>
          <w:tcPr>
            <w:tcW w:type="dxa" w:w="2340"/>
            <w:tcMar>
              <w:top w:w="90" w:type="dxa"/>
              <w:start w:w="105" w:type="dxa"/>
              <w:bottom w:w="90" w:type="dxa"/>
              <w:end w:w="105" w:type="dxa"/>
            </w:tcMar>
            <w:vAlign w:val="top"/>
          </w:tcPr>
          <w:p>
            <w:pPr>
              <w:pStyle w:val="RequirementText"/>
              <w:spacing w:after="0"/>
            </w:pPr>
            <w:r>
              <w:t>TLS is enforced; OAuth tokens use stable managed keys; rotation rehearsal succeeds without plaintext exposure.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DATA-009</w:t>
            </w:r>
          </w:p>
        </w:tc>
        <w:tc>
          <w:tcPr>
            <w:tcW w:type="dxa" w:w="2340"/>
            <w:tcMar>
              <w:top w:w="90" w:type="dxa"/>
              <w:start w:w="105" w:type="dxa"/>
              <w:bottom w:w="90" w:type="dxa"/>
              <w:end w:w="105" w:type="dxa"/>
            </w:tcMar>
            <w:vAlign w:val="top"/>
            <w:shd w:fill="EAF2F8"/>
          </w:tcPr>
          <w:p>
            <w:pPr>
              <w:pStyle w:val="RequirementText"/>
              <w:spacing w:after="0"/>
            </w:pPr>
            <w:r>
              <w:rPr>
                <w:b/>
              </w:rPr>
              <w:t>P2</w:t>
            </w:r>
          </w:p>
        </w:tc>
        <w:tc>
          <w:tcPr>
            <w:tcW w:type="dxa" w:w="2340"/>
            <w:tcMar>
              <w:top w:w="90" w:type="dxa"/>
              <w:start w:w="105" w:type="dxa"/>
              <w:bottom w:w="90" w:type="dxa"/>
              <w:end w:w="105" w:type="dxa"/>
            </w:tcMar>
            <w:vAlign w:val="top"/>
          </w:tcPr>
          <w:p>
            <w:pPr>
              <w:pStyle w:val="RequirementText"/>
              <w:spacing w:after="0"/>
            </w:pPr>
            <w:r>
              <w:t>Large evidence and raw-response data should use compression or object storage with integrity metadata.</w:t>
            </w:r>
          </w:p>
        </w:tc>
        <w:tc>
          <w:tcPr>
            <w:tcW w:type="dxa" w:w="2340"/>
            <w:tcMar>
              <w:top w:w="90" w:type="dxa"/>
              <w:start w:w="105" w:type="dxa"/>
              <w:bottom w:w="90" w:type="dxa"/>
              <w:end w:w="105" w:type="dxa"/>
            </w:tcMar>
            <w:vAlign w:val="top"/>
          </w:tcPr>
          <w:p>
            <w:pPr>
              <w:pStyle w:val="RequirementText"/>
              <w:spacing w:after="0"/>
            </w:pPr>
            <w:r>
              <w:t>Database size and query performance stay within thresholds; object checksums and access controls are verified.</w:t>
            </w:r>
          </w:p>
        </w:tc>
      </w:tr>
    </w:tbl>
    <w:p>
      <w:pPr>
        <w:spacing w:after="0"/>
      </w:pPr>
    </w:p>
    <w:p>
      <w:pPr>
        <w:pStyle w:val="Heading2"/>
        <w:pageBreakBefore/>
        <w:spacing w:before="840"/>
      </w:pPr>
      <w:r>
        <w:t>11.1 Suggested retention baseline</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3120"/>
        <w:gridCol w:w="3120"/>
        <w:gridCol w:w="3120"/>
      </w:tblGrid>
      <w:tr>
        <w:trPr>
          <w:tblHeader w:val="true"/>
        </w:trPr>
        <w:tc>
          <w:tcPr>
            <w:tcW w:type="dxa" w:w="2450"/>
            <w:shd w:fill="F5F6F7"/>
            <w:tcMar>
              <w:top w:w="80" w:type="dxa"/>
              <w:start w:w="120" w:type="dxa"/>
              <w:bottom w:w="80" w:type="dxa"/>
              <w:end w:w="120" w:type="dxa"/>
            </w:tcMar>
          </w:tcPr>
          <w:p>
            <w:pPr>
              <w:spacing w:after="0"/>
            </w:pPr>
            <w:r>
              <w:rPr>
                <w:b/>
                <w:color w:val="171717"/>
                <w:sz w:val="17"/>
              </w:rPr>
              <w:t>Data class</w:t>
            </w:r>
          </w:p>
        </w:tc>
        <w:tc>
          <w:tcPr>
            <w:tcW w:type="dxa" w:w="1500"/>
            <w:shd w:fill="F5F6F7"/>
            <w:tcMar>
              <w:top w:w="80" w:type="dxa"/>
              <w:start w:w="120" w:type="dxa"/>
              <w:bottom w:w="80" w:type="dxa"/>
              <w:end w:w="120" w:type="dxa"/>
            </w:tcMar>
          </w:tcPr>
          <w:p>
            <w:pPr>
              <w:spacing w:after="0"/>
            </w:pPr>
            <w:r>
              <w:rPr>
                <w:b/>
                <w:color w:val="171717"/>
                <w:sz w:val="17"/>
              </w:rPr>
              <w:t>Default</w:t>
            </w:r>
          </w:p>
        </w:tc>
        <w:tc>
          <w:tcPr>
            <w:tcW w:type="dxa" w:w="5410"/>
            <w:shd w:fill="F5F6F7"/>
            <w:tcMar>
              <w:top w:w="80" w:type="dxa"/>
              <w:start w:w="120" w:type="dxa"/>
              <w:bottom w:w="80" w:type="dxa"/>
              <w:end w:w="120" w:type="dxa"/>
            </w:tcMar>
          </w:tcPr>
          <w:p>
            <w:pPr>
              <w:spacing w:after="0"/>
            </w:pPr>
            <w:r>
              <w:rPr>
                <w:b/>
                <w:color w:val="171717"/>
                <w:sz w:val="17"/>
              </w:rPr>
              <w:t>Notes</w:t>
            </w:r>
          </w:p>
        </w:tc>
      </w:tr>
      <w:tr>
        <w:trPr>
          <w:cantSplit/>
        </w:trPr>
        <w:tc>
          <w:tcPr>
            <w:tcW w:type="dxa" w:w="3120"/>
            <w:tcMar>
              <w:top w:w="80" w:type="dxa"/>
              <w:start w:w="120" w:type="dxa"/>
              <w:bottom w:w="80" w:type="dxa"/>
              <w:end w:w="120" w:type="dxa"/>
            </w:tcMar>
          </w:tcPr>
          <w:p>
            <w:pPr>
              <w:spacing w:after="0" w:line="240" w:lineRule="auto"/>
            </w:pPr>
            <w:r>
              <w:rPr>
                <w:sz w:val="17"/>
              </w:rPr>
              <w:t>Raw provider payloads</w:t>
            </w:r>
          </w:p>
        </w:tc>
        <w:tc>
          <w:tcPr>
            <w:tcW w:type="dxa" w:w="3120"/>
            <w:tcMar>
              <w:top w:w="80" w:type="dxa"/>
              <w:start w:w="120" w:type="dxa"/>
              <w:bottom w:w="80" w:type="dxa"/>
              <w:end w:w="120" w:type="dxa"/>
            </w:tcMar>
          </w:tcPr>
          <w:p>
            <w:pPr>
              <w:spacing w:after="0" w:line="240" w:lineRule="auto"/>
            </w:pPr>
            <w:r>
              <w:rPr>
                <w:sz w:val="17"/>
              </w:rPr>
              <w:t>90 days</w:t>
            </w:r>
          </w:p>
        </w:tc>
        <w:tc>
          <w:tcPr>
            <w:tcW w:type="dxa" w:w="3120"/>
            <w:tcMar>
              <w:top w:w="80" w:type="dxa"/>
              <w:start w:w="120" w:type="dxa"/>
              <w:bottom w:w="80" w:type="dxa"/>
              <w:end w:w="120" w:type="dxa"/>
            </w:tcMar>
          </w:tcPr>
          <w:p>
            <w:pPr>
              <w:spacing w:after="0" w:line="240" w:lineRule="auto"/>
            </w:pPr>
            <w:r>
              <w:rPr>
                <w:sz w:val="17"/>
              </w:rPr>
              <w:t>Shorter by customer policy; normalized evidence may outlive raw payload.</w:t>
            </w:r>
          </w:p>
        </w:tc>
      </w:tr>
      <w:tr>
        <w:trPr>
          <w:cantSplit/>
        </w:trPr>
        <w:tc>
          <w:tcPr>
            <w:tcW w:type="dxa" w:w="3120"/>
            <w:tcMar>
              <w:top w:w="80" w:type="dxa"/>
              <w:start w:w="120" w:type="dxa"/>
              <w:bottom w:w="80" w:type="dxa"/>
              <w:end w:w="120" w:type="dxa"/>
            </w:tcMar>
          </w:tcPr>
          <w:p>
            <w:pPr>
              <w:spacing w:after="0" w:line="240" w:lineRule="auto"/>
            </w:pPr>
            <w:r>
              <w:rPr>
                <w:sz w:val="17"/>
              </w:rPr>
              <w:t>Normalized analytics/history</w:t>
            </w:r>
          </w:p>
        </w:tc>
        <w:tc>
          <w:tcPr>
            <w:tcW w:type="dxa" w:w="3120"/>
            <w:tcMar>
              <w:top w:w="80" w:type="dxa"/>
              <w:start w:w="120" w:type="dxa"/>
              <w:bottom w:w="80" w:type="dxa"/>
              <w:end w:w="120" w:type="dxa"/>
            </w:tcMar>
          </w:tcPr>
          <w:p>
            <w:pPr>
              <w:spacing w:after="0" w:line="240" w:lineRule="auto"/>
            </w:pPr>
            <w:r>
              <w:rPr>
                <w:sz w:val="17"/>
              </w:rPr>
              <w:t>13 months</w:t>
            </w:r>
          </w:p>
        </w:tc>
        <w:tc>
          <w:tcPr>
            <w:tcW w:type="dxa" w:w="3120"/>
            <w:tcMar>
              <w:top w:w="80" w:type="dxa"/>
              <w:start w:w="120" w:type="dxa"/>
              <w:bottom w:w="80" w:type="dxa"/>
              <w:end w:w="120" w:type="dxa"/>
            </w:tcMar>
          </w:tcPr>
          <w:p>
            <w:pPr>
              <w:spacing w:after="0" w:line="240" w:lineRule="auto"/>
            </w:pPr>
            <w:r>
              <w:rPr>
                <w:sz w:val="17"/>
              </w:rPr>
              <w:t>Supports annual comparison; tenant contract may override.</w:t>
            </w:r>
          </w:p>
        </w:tc>
      </w:tr>
      <w:tr>
        <w:trPr>
          <w:cantSplit/>
        </w:trPr>
        <w:tc>
          <w:tcPr>
            <w:tcW w:type="dxa" w:w="3120"/>
            <w:tcMar>
              <w:top w:w="80" w:type="dxa"/>
              <w:start w:w="120" w:type="dxa"/>
              <w:bottom w:w="80" w:type="dxa"/>
              <w:end w:w="120" w:type="dxa"/>
            </w:tcMar>
          </w:tcPr>
          <w:p>
            <w:pPr>
              <w:spacing w:after="0" w:line="240" w:lineRule="auto"/>
            </w:pPr>
            <w:r>
              <w:rPr>
                <w:sz w:val="17"/>
              </w:rPr>
              <w:t>GSC query rows</w:t>
            </w:r>
          </w:p>
        </w:tc>
        <w:tc>
          <w:tcPr>
            <w:tcW w:type="dxa" w:w="3120"/>
            <w:tcMar>
              <w:top w:w="80" w:type="dxa"/>
              <w:start w:w="120" w:type="dxa"/>
              <w:bottom w:w="80" w:type="dxa"/>
              <w:end w:w="120" w:type="dxa"/>
            </w:tcMar>
          </w:tcPr>
          <w:p>
            <w:pPr>
              <w:spacing w:after="0" w:line="240" w:lineRule="auto"/>
            </w:pPr>
            <w:r>
              <w:rPr>
                <w:sz w:val="17"/>
              </w:rPr>
              <w:t>16 months maximum</w:t>
            </w:r>
          </w:p>
        </w:tc>
        <w:tc>
          <w:tcPr>
            <w:tcW w:type="dxa" w:w="3120"/>
            <w:tcMar>
              <w:top w:w="80" w:type="dxa"/>
              <w:start w:w="120" w:type="dxa"/>
              <w:bottom w:w="80" w:type="dxa"/>
              <w:end w:w="120" w:type="dxa"/>
            </w:tcMar>
          </w:tcPr>
          <w:p>
            <w:pPr>
              <w:spacing w:after="0" w:line="240" w:lineRule="auto"/>
            </w:pPr>
            <w:r>
              <w:rPr>
                <w:sz w:val="17"/>
              </w:rPr>
              <w:t>Align with available reporting needs and Google/user policy.</w:t>
            </w:r>
          </w:p>
        </w:tc>
      </w:tr>
      <w:tr>
        <w:trPr>
          <w:cantSplit/>
        </w:trPr>
        <w:tc>
          <w:tcPr>
            <w:tcW w:type="dxa" w:w="3120"/>
            <w:tcMar>
              <w:top w:w="80" w:type="dxa"/>
              <w:start w:w="120" w:type="dxa"/>
              <w:bottom w:w="80" w:type="dxa"/>
              <w:end w:w="120" w:type="dxa"/>
            </w:tcMar>
          </w:tcPr>
          <w:p>
            <w:pPr>
              <w:spacing w:after="0" w:line="240" w:lineRule="auto"/>
            </w:pPr>
            <w:r>
              <w:rPr>
                <w:sz w:val="17"/>
              </w:rPr>
              <w:t>Operational logs</w:t>
            </w:r>
          </w:p>
        </w:tc>
        <w:tc>
          <w:tcPr>
            <w:tcW w:type="dxa" w:w="3120"/>
            <w:tcMar>
              <w:top w:w="80" w:type="dxa"/>
              <w:start w:w="120" w:type="dxa"/>
              <w:bottom w:w="80" w:type="dxa"/>
              <w:end w:w="120" w:type="dxa"/>
            </w:tcMar>
          </w:tcPr>
          <w:p>
            <w:pPr>
              <w:spacing w:after="0" w:line="240" w:lineRule="auto"/>
            </w:pPr>
            <w:r>
              <w:rPr>
                <w:sz w:val="17"/>
              </w:rPr>
              <w:t>30 days</w:t>
            </w:r>
          </w:p>
        </w:tc>
        <w:tc>
          <w:tcPr>
            <w:tcW w:type="dxa" w:w="3120"/>
            <w:tcMar>
              <w:top w:w="80" w:type="dxa"/>
              <w:start w:w="120" w:type="dxa"/>
              <w:bottom w:w="80" w:type="dxa"/>
              <w:end w:w="120" w:type="dxa"/>
            </w:tcMar>
          </w:tcPr>
          <w:p>
            <w:pPr>
              <w:spacing w:after="0" w:line="240" w:lineRule="auto"/>
            </w:pPr>
            <w:r>
              <w:rPr>
                <w:sz w:val="17"/>
              </w:rPr>
              <w:t>Security/audit logs may require a separately approved longer period.</w:t>
            </w:r>
          </w:p>
        </w:tc>
      </w:tr>
      <w:tr>
        <w:trPr>
          <w:cantSplit/>
        </w:trPr>
        <w:tc>
          <w:tcPr>
            <w:tcW w:type="dxa" w:w="3120"/>
            <w:tcMar>
              <w:top w:w="80" w:type="dxa"/>
              <w:start w:w="120" w:type="dxa"/>
              <w:bottom w:w="80" w:type="dxa"/>
              <w:end w:w="120" w:type="dxa"/>
            </w:tcMar>
          </w:tcPr>
          <w:p>
            <w:pPr>
              <w:spacing w:after="0" w:line="240" w:lineRule="auto"/>
            </w:pPr>
            <w:r>
              <w:rPr>
                <w:sz w:val="17"/>
              </w:rPr>
              <w:t>OAuth tokens</w:t>
            </w:r>
          </w:p>
        </w:tc>
        <w:tc>
          <w:tcPr>
            <w:tcW w:type="dxa" w:w="3120"/>
            <w:tcMar>
              <w:top w:w="80" w:type="dxa"/>
              <w:start w:w="120" w:type="dxa"/>
              <w:bottom w:w="80" w:type="dxa"/>
              <w:end w:w="120" w:type="dxa"/>
            </w:tcMar>
          </w:tcPr>
          <w:p>
            <w:pPr>
              <w:spacing w:after="0" w:line="240" w:lineRule="auto"/>
            </w:pPr>
            <w:r>
              <w:rPr>
                <w:sz w:val="17"/>
              </w:rPr>
              <w:t>Until disconnect/revoke</w:t>
            </w:r>
          </w:p>
        </w:tc>
        <w:tc>
          <w:tcPr>
            <w:tcW w:type="dxa" w:w="3120"/>
            <w:tcMar>
              <w:top w:w="80" w:type="dxa"/>
              <w:start w:w="120" w:type="dxa"/>
              <w:bottom w:w="80" w:type="dxa"/>
              <w:end w:w="120" w:type="dxa"/>
            </w:tcMar>
          </w:tcPr>
          <w:p>
            <w:pPr>
              <w:spacing w:after="0" w:line="240" w:lineRule="auto"/>
            </w:pPr>
            <w:r>
              <w:rPr>
                <w:sz w:val="17"/>
              </w:rPr>
              <w:t>Delete immediately on disconnect or account deletion.</w:t>
            </w:r>
          </w:p>
        </w:tc>
      </w:tr>
      <w:tr>
        <w:trPr>
          <w:cantSplit/>
        </w:trPr>
        <w:tc>
          <w:tcPr>
            <w:tcW w:type="dxa" w:w="3120"/>
            <w:tcMar>
              <w:top w:w="80" w:type="dxa"/>
              <w:start w:w="120" w:type="dxa"/>
              <w:bottom w:w="80" w:type="dxa"/>
              <w:end w:w="120" w:type="dxa"/>
            </w:tcMar>
          </w:tcPr>
          <w:p>
            <w:pPr>
              <w:spacing w:after="0" w:line="240" w:lineRule="auto"/>
            </w:pPr>
            <w:r>
              <w:rPr>
                <w:sz w:val="17"/>
              </w:rPr>
              <w:t>Contact submissions</w:t>
            </w:r>
          </w:p>
        </w:tc>
        <w:tc>
          <w:tcPr>
            <w:tcW w:type="dxa" w:w="3120"/>
            <w:tcMar>
              <w:top w:w="80" w:type="dxa"/>
              <w:start w:w="120" w:type="dxa"/>
              <w:bottom w:w="80" w:type="dxa"/>
              <w:end w:w="120" w:type="dxa"/>
            </w:tcMar>
          </w:tcPr>
          <w:p>
            <w:pPr>
              <w:spacing w:after="0" w:line="240" w:lineRule="auto"/>
            </w:pPr>
            <w:r>
              <w:rPr>
                <w:sz w:val="17"/>
              </w:rPr>
              <w:t>90 days or business-approved</w:t>
            </w:r>
          </w:p>
        </w:tc>
        <w:tc>
          <w:tcPr>
            <w:tcW w:type="dxa" w:w="3120"/>
            <w:tcMar>
              <w:top w:w="80" w:type="dxa"/>
              <w:start w:w="120" w:type="dxa"/>
              <w:bottom w:w="80" w:type="dxa"/>
              <w:end w:w="120" w:type="dxa"/>
            </w:tcMar>
          </w:tcPr>
          <w:p>
            <w:pPr>
              <w:spacing w:after="0" w:line="240" w:lineRule="auto"/>
            </w:pPr>
            <w:r>
              <w:rPr>
                <w:sz w:val="17"/>
              </w:rPr>
              <w:t>Store minimum data and consent context; admin-only access.</w:t>
            </w:r>
          </w:p>
        </w:tc>
      </w:tr>
    </w:tbl>
    <w:p>
      <w:pPr>
        <w:spacing w:after="0"/>
      </w:pPr>
    </w:p>
    <w:p>
      <w:bookmarkStart w:id="12" w:name="security"/>
      <w:pPr>
        <w:pStyle w:val="Heading1"/>
        <w:pageBreakBefore/>
        <w:spacing w:before="840"/>
      </w:pPr>
      <w:r>
        <w:t>12. Security and privacy requirements</w:t>
      </w:r>
      <w:bookmarkEnd w:id="12"/>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SEC-001</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Only allowlisted public assets shall be served from a dedicated static directory.</w:t>
            </w:r>
          </w:p>
        </w:tc>
        <w:tc>
          <w:tcPr>
            <w:tcW w:type="dxa" w:w="2340"/>
            <w:tcMar>
              <w:top w:w="90" w:type="dxa"/>
              <w:start w:w="105" w:type="dxa"/>
              <w:bottom w:w="90" w:type="dxa"/>
              <w:end w:w="105" w:type="dxa"/>
            </w:tcMar>
            <w:vAlign w:val="top"/>
          </w:tcPr>
          <w:p>
            <w:pPr>
              <w:pStyle w:val="RequirementText"/>
              <w:spacing w:after="0"/>
            </w:pPr>
            <w:r>
              <w:t>Requests for .env, .git, databases, Python, migrations, tests, and deployment files return 404/403 in production.</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SEC-002</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Session-authenticated mutations shall require CSRF protection and same-origin validation.</w:t>
            </w:r>
          </w:p>
        </w:tc>
        <w:tc>
          <w:tcPr>
            <w:tcW w:type="dxa" w:w="2340"/>
            <w:tcMar>
              <w:top w:w="90" w:type="dxa"/>
              <w:start w:w="105" w:type="dxa"/>
              <w:bottom w:w="90" w:type="dxa"/>
              <w:end w:w="105" w:type="dxa"/>
            </w:tcMar>
            <w:vAlign w:val="top"/>
          </w:tcPr>
          <w:p>
            <w:pPr>
              <w:pStyle w:val="RequirementText"/>
              <w:spacing w:after="0"/>
            </w:pPr>
            <w:r>
              <w:t>Missing/invalid token fails; valid token succeeds; OAuth callbacks retain state validation.</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SEC-003</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Endpoint-specific rate limits and account/provider budgets shall protect auth, contacts, crawls, GSC, and paid scans.</w:t>
            </w:r>
          </w:p>
        </w:tc>
        <w:tc>
          <w:tcPr>
            <w:tcW w:type="dxa" w:w="2340"/>
            <w:tcMar>
              <w:top w:w="90" w:type="dxa"/>
              <w:start w:w="105" w:type="dxa"/>
              <w:bottom w:w="90" w:type="dxa"/>
              <w:end w:w="105" w:type="dxa"/>
            </w:tcMar>
            <w:vAlign w:val="top"/>
          </w:tcPr>
          <w:p>
            <w:pPr>
              <w:pStyle w:val="RequirementText"/>
              <w:spacing w:after="0"/>
            </w:pPr>
            <w:r>
              <w:t>Abuse tests receive 429 with retry metadata; configured per-user/tenant limits cannot be exceeded.</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SEC-004</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Contact and administrative data shall require explicit RBAC and output escaping.</w:t>
            </w:r>
          </w:p>
        </w:tc>
        <w:tc>
          <w:tcPr>
            <w:tcW w:type="dxa" w:w="2340"/>
            <w:tcMar>
              <w:top w:w="90" w:type="dxa"/>
              <w:start w:w="105" w:type="dxa"/>
              <w:bottom w:w="90" w:type="dxa"/>
              <w:end w:w="105" w:type="dxa"/>
            </w:tcMar>
            <w:vAlign w:val="top"/>
          </w:tcPr>
          <w:p>
            <w:pPr>
              <w:pStyle w:val="RequirementText"/>
              <w:spacing w:after="0"/>
            </w:pPr>
            <w:r>
              <w:t>Anonymous/ordinary users cannot list contacts; stored script strings render inert; privileged access is audited.</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SEC-005</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Crawler networking shall resist SSRF, DNS rebinding, redirect pivots, private/link-local/metadata IPs, and non-standard ports.</w:t>
            </w:r>
          </w:p>
        </w:tc>
        <w:tc>
          <w:tcPr>
            <w:tcW w:type="dxa" w:w="2340"/>
            <w:tcMar>
              <w:top w:w="90" w:type="dxa"/>
              <w:start w:w="105" w:type="dxa"/>
              <w:bottom w:w="90" w:type="dxa"/>
              <w:end w:w="105" w:type="dxa"/>
            </w:tcMar>
            <w:vAlign w:val="top"/>
          </w:tcPr>
          <w:p>
            <w:pPr>
              <w:pStyle w:val="RequirementText"/>
              <w:spacing w:after="0"/>
            </w:pPr>
            <w:r>
              <w:t>Automated tests cannot reach loopback, RFC1918, link-local, IPv6 private, metadata, or rebind targets.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SEC-006</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Production responses shall enforce CSP, HSTS, frame protection, MIME protection, referrer policy, permissions policy, secure cookies, and trusted host/proxy handling.</w:t>
            </w:r>
          </w:p>
        </w:tc>
        <w:tc>
          <w:tcPr>
            <w:tcW w:type="dxa" w:w="2340"/>
            <w:tcMar>
              <w:top w:w="90" w:type="dxa"/>
              <w:start w:w="105" w:type="dxa"/>
              <w:bottom w:w="90" w:type="dxa"/>
              <w:end w:w="105" w:type="dxa"/>
            </w:tcMar>
            <w:vAlign w:val="top"/>
          </w:tcPr>
          <w:p>
            <w:pPr>
              <w:pStyle w:val="RequirementText"/>
              <w:spacing w:after="0"/>
            </w:pPr>
            <w:r>
              <w:t>Header tests pass on HTML/API responses and CDN/self-hosted assets comply with CSP.</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SEC-007</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Secrets shall use environment-specific secret management, rotation, access logging, and log redaction.</w:t>
            </w:r>
          </w:p>
        </w:tc>
        <w:tc>
          <w:tcPr>
            <w:tcW w:type="dxa" w:w="2340"/>
            <w:tcMar>
              <w:top w:w="90" w:type="dxa"/>
              <w:start w:w="105" w:type="dxa"/>
              <w:bottom w:w="90" w:type="dxa"/>
              <w:end w:w="105" w:type="dxa"/>
            </w:tcMar>
            <w:vAlign w:val="top"/>
          </w:tcPr>
          <w:p>
            <w:pPr>
              <w:pStyle w:val="RequirementText"/>
              <w:spacing w:after="0"/>
            </w:pPr>
            <w:r>
              <w:t>Secrets scan is clean; tokens/connection strings never appear in client bundles, source, exception pages, or logs.</w:t>
            </w:r>
          </w:p>
        </w:tc>
      </w:tr>
    </w:tbl>
    <w:p>
      <w:r>
        <w:br w:type="page"/>
      </w:r>
    </w:p>
    <w:p>
      <w:pPr>
        <w:spacing w:after="640"/>
      </w:pPr>
      <w:r>
        <w:rPr>
          <w:sz w:val="2"/>
        </w:rPr>
        <w:t xml:space="preserve"> </w:t>
      </w:r>
    </w:p>
    <w:p>
      <w:pPr>
        <w:pStyle w:val="Heading2"/>
      </w:pPr>
      <w:r>
        <w:t>12. Security and privacy requirements (continued)</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SEC-008</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User inputs and provider content shall be length-limited, encoded, and safely rendered.</w:t>
            </w:r>
          </w:p>
        </w:tc>
        <w:tc>
          <w:tcPr>
            <w:tcW w:type="dxa" w:w="2340"/>
            <w:tcMar>
              <w:top w:w="90" w:type="dxa"/>
              <w:start w:w="105" w:type="dxa"/>
              <w:bottom w:w="90" w:type="dxa"/>
              <w:end w:w="105" w:type="dxa"/>
            </w:tcMar>
            <w:vAlign w:val="top"/>
          </w:tcPr>
          <w:p>
            <w:pPr>
              <w:pStyle w:val="RequirementText"/>
              <w:spacing w:after="0"/>
            </w:pPr>
            <w:r>
              <w:t>Stored/reflected XSS, CSV injection, URL scheme, HTML injection, and oversized-payload tests pass.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SEC-009</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Authentication shall support session revocation, inactivity/absolute expiry, password reset, and incident lockout controls.</w:t>
            </w:r>
          </w:p>
        </w:tc>
        <w:tc>
          <w:tcPr>
            <w:tcW w:type="dxa" w:w="2340"/>
            <w:tcMar>
              <w:top w:w="90" w:type="dxa"/>
              <w:start w:w="105" w:type="dxa"/>
              <w:bottom w:w="90" w:type="dxa"/>
              <w:end w:w="105" w:type="dxa"/>
            </w:tcMar>
            <w:vAlign w:val="top"/>
          </w:tcPr>
          <w:p>
            <w:pPr>
              <w:pStyle w:val="RequirementText"/>
              <w:spacing w:after="0"/>
            </w:pPr>
            <w:r>
              <w:t>Security tests cover stolen-cookie revocation, reset token expiry/single use, and account recovery.</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SEC-010</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Production releases shall pass SAST, dependency, container, secret, and DAST checks with no known exploitable critical/high issue.</w:t>
            </w:r>
          </w:p>
        </w:tc>
        <w:tc>
          <w:tcPr>
            <w:tcW w:type="dxa" w:w="2340"/>
            <w:tcMar>
              <w:top w:w="90" w:type="dxa"/>
              <w:start w:w="105" w:type="dxa"/>
              <w:bottom w:w="90" w:type="dxa"/>
              <w:end w:w="105" w:type="dxa"/>
            </w:tcMar>
            <w:vAlign w:val="top"/>
          </w:tcPr>
          <w:p>
            <w:pPr>
              <w:pStyle w:val="RequirementText"/>
              <w:spacing w:after="0"/>
            </w:pPr>
            <w:r>
              <w:t>CI blocks on the security gate or records an approved, time-bound exception.</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PRIV-001</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Privacy notices shall disclose crawl behavior, GSC access, provider processing, retention, and customer controls.</w:t>
            </w:r>
          </w:p>
        </w:tc>
        <w:tc>
          <w:tcPr>
            <w:tcW w:type="dxa" w:w="2340"/>
            <w:tcMar>
              <w:top w:w="90" w:type="dxa"/>
              <w:start w:w="105" w:type="dxa"/>
              <w:bottom w:w="90" w:type="dxa"/>
              <w:end w:w="105" w:type="dxa"/>
            </w:tcMar>
            <w:vAlign w:val="top"/>
          </w:tcPr>
          <w:p>
            <w:pPr>
              <w:pStyle w:val="RequirementText"/>
              <w:spacing w:after="0"/>
            </w:pPr>
            <w:r>
              <w:t>Consent and policy links appear before connection/submission; provider subprocessors are documented.</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PRIV-002</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Verified access, correction, export, deletion, and integration-revocation requests shall be operationally supported.</w:t>
            </w:r>
          </w:p>
        </w:tc>
        <w:tc>
          <w:tcPr>
            <w:tcW w:type="dxa" w:w="2340"/>
            <w:tcMar>
              <w:top w:w="90" w:type="dxa"/>
              <w:start w:w="105" w:type="dxa"/>
              <w:bottom w:w="90" w:type="dxa"/>
              <w:end w:w="105" w:type="dxa"/>
            </w:tcMar>
            <w:vAlign w:val="top"/>
          </w:tcPr>
          <w:p>
            <w:pPr>
              <w:pStyle w:val="RequirementText"/>
              <w:spacing w:after="0"/>
            </w:pPr>
            <w:r>
              <w:t>Deletion completes within 30 days and produces an auditable completion record without retaining revoked tokens.</w:t>
            </w:r>
          </w:p>
        </w:tc>
      </w:tr>
    </w:tbl>
    <w:p>
      <w:pPr>
        <w:spacing w:after="0"/>
      </w:pPr>
    </w:p>
    <w:p>
      <w:bookmarkStart w:id="13" w:name="nfr"/>
      <w:pPr>
        <w:pStyle w:val="Heading1"/>
        <w:pageBreakBefore/>
        <w:spacing w:before="840"/>
      </w:pPr>
      <w:r>
        <w:t>13. Non-functional requirements</w:t>
      </w:r>
      <w:bookmarkEnd w:id="13"/>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3120"/>
        <w:gridCol w:w="3120"/>
        <w:gridCol w:w="3120"/>
      </w:tblGrid>
      <w:tr>
        <w:trPr>
          <w:tblHeader w:val="true"/>
        </w:trPr>
        <w:tc>
          <w:tcPr>
            <w:tcW w:type="dxa" w:w="1500"/>
            <w:shd w:fill="F5F6F7"/>
            <w:tcMar>
              <w:top w:w="80" w:type="dxa"/>
              <w:start w:w="120" w:type="dxa"/>
              <w:bottom w:w="80" w:type="dxa"/>
              <w:end w:w="120" w:type="dxa"/>
            </w:tcMar>
          </w:tcPr>
          <w:p>
            <w:pPr>
              <w:spacing w:after="0"/>
            </w:pPr>
            <w:r>
              <w:rPr>
                <w:b/>
                <w:color w:val="171717"/>
                <w:sz w:val="16"/>
              </w:rPr>
              <w:t>ID</w:t>
            </w:r>
          </w:p>
        </w:tc>
        <w:tc>
          <w:tcPr>
            <w:tcW w:type="dxa" w:w="1700"/>
            <w:shd w:fill="F5F6F7"/>
            <w:tcMar>
              <w:top w:w="80" w:type="dxa"/>
              <w:start w:w="120" w:type="dxa"/>
              <w:bottom w:w="80" w:type="dxa"/>
              <w:end w:w="120" w:type="dxa"/>
            </w:tcMar>
          </w:tcPr>
          <w:p>
            <w:pPr>
              <w:spacing w:after="0"/>
            </w:pPr>
            <w:r>
              <w:rPr>
                <w:b/>
                <w:color w:val="171717"/>
                <w:sz w:val="16"/>
              </w:rPr>
              <w:t>Category</w:t>
            </w:r>
          </w:p>
        </w:tc>
        <w:tc>
          <w:tcPr>
            <w:tcW w:type="dxa" w:w="6160"/>
            <w:shd w:fill="F5F6F7"/>
            <w:tcMar>
              <w:top w:w="80" w:type="dxa"/>
              <w:start w:w="120" w:type="dxa"/>
              <w:bottom w:w="80" w:type="dxa"/>
              <w:end w:w="120" w:type="dxa"/>
            </w:tcMar>
          </w:tcPr>
          <w:p>
            <w:pPr>
              <w:spacing w:after="0"/>
            </w:pPr>
            <w:r>
              <w:rPr>
                <w:b/>
                <w:color w:val="171717"/>
                <w:sz w:val="16"/>
              </w:rPr>
              <w:t>Target / acceptance</w:t>
            </w:r>
          </w:p>
        </w:tc>
      </w:tr>
      <w:tr>
        <w:trPr>
          <w:cantSplit/>
        </w:trPr>
        <w:tc>
          <w:tcPr>
            <w:tcW w:type="dxa" w:w="3120"/>
            <w:tcMar>
              <w:top w:w="80" w:type="dxa"/>
              <w:start w:w="120" w:type="dxa"/>
              <w:bottom w:w="80" w:type="dxa"/>
              <w:end w:w="120" w:type="dxa"/>
            </w:tcMar>
          </w:tcPr>
          <w:p>
            <w:pPr>
              <w:spacing w:after="0" w:line="240" w:lineRule="auto"/>
            </w:pPr>
            <w:r>
              <w:rPr>
                <w:sz w:val="16"/>
              </w:rPr>
              <w:t>NFR-REL-001</w:t>
            </w:r>
          </w:p>
        </w:tc>
        <w:tc>
          <w:tcPr>
            <w:tcW w:type="dxa" w:w="3120"/>
            <w:tcMar>
              <w:top w:w="80" w:type="dxa"/>
              <w:start w:w="120" w:type="dxa"/>
              <w:bottom w:w="80" w:type="dxa"/>
              <w:end w:w="120" w:type="dxa"/>
            </w:tcMar>
          </w:tcPr>
          <w:p>
            <w:pPr>
              <w:spacing w:after="0" w:line="240" w:lineRule="auto"/>
            </w:pPr>
            <w:r>
              <w:rPr>
                <w:sz w:val="16"/>
              </w:rPr>
              <w:t>Availability</w:t>
            </w:r>
          </w:p>
        </w:tc>
        <w:tc>
          <w:tcPr>
            <w:tcW w:type="dxa" w:w="3120"/>
            <w:tcMar>
              <w:top w:w="80" w:type="dxa"/>
              <w:start w:w="120" w:type="dxa"/>
              <w:bottom w:w="80" w:type="dxa"/>
              <w:end w:w="120" w:type="dxa"/>
            </w:tcMar>
          </w:tcPr>
          <w:p>
            <w:pPr>
              <w:spacing w:after="0" w:line="240" w:lineRule="auto"/>
            </w:pPr>
            <w:r>
              <w:rPr>
                <w:sz w:val="16"/>
              </w:rPr>
              <w:t>First-party application/API monthly availability ≥ 99.9%, excluding planned maintenance; provider degradation reported separately.</w:t>
            </w:r>
          </w:p>
        </w:tc>
      </w:tr>
      <w:tr>
        <w:trPr>
          <w:cantSplit/>
        </w:trPr>
        <w:tc>
          <w:tcPr>
            <w:tcW w:type="dxa" w:w="3120"/>
            <w:tcMar>
              <w:top w:w="80" w:type="dxa"/>
              <w:start w:w="120" w:type="dxa"/>
              <w:bottom w:w="80" w:type="dxa"/>
              <w:end w:w="120" w:type="dxa"/>
            </w:tcMar>
          </w:tcPr>
          <w:p>
            <w:pPr>
              <w:spacing w:after="0" w:line="240" w:lineRule="auto"/>
            </w:pPr>
            <w:r>
              <w:rPr>
                <w:sz w:val="16"/>
              </w:rPr>
              <w:t>NFR-PERF-001</w:t>
            </w:r>
          </w:p>
        </w:tc>
        <w:tc>
          <w:tcPr>
            <w:tcW w:type="dxa" w:w="3120"/>
            <w:tcMar>
              <w:top w:w="80" w:type="dxa"/>
              <w:start w:w="120" w:type="dxa"/>
              <w:bottom w:w="80" w:type="dxa"/>
              <w:end w:w="120" w:type="dxa"/>
            </w:tcMar>
          </w:tcPr>
          <w:p>
            <w:pPr>
              <w:spacing w:after="0" w:line="240" w:lineRule="auto"/>
            </w:pPr>
            <w:r>
              <w:rPr>
                <w:sz w:val="16"/>
              </w:rPr>
              <w:t>API latency</w:t>
            </w:r>
          </w:p>
        </w:tc>
        <w:tc>
          <w:tcPr>
            <w:tcW w:type="dxa" w:w="3120"/>
            <w:tcMar>
              <w:top w:w="80" w:type="dxa"/>
              <w:start w:w="120" w:type="dxa"/>
              <w:bottom w:w="80" w:type="dxa"/>
              <w:end w:w="120" w:type="dxa"/>
            </w:tcMar>
          </w:tcPr>
          <w:p>
            <w:pPr>
              <w:spacing w:after="0" w:line="240" w:lineRule="auto"/>
            </w:pPr>
            <w:r>
              <w:rPr>
                <w:sz w:val="16"/>
              </w:rPr>
              <w:t>Authenticated read API p95 ≤ 500 ms and p99 ≤ 2 s; mutation/job-enqueue p95 ≤ 750 ms, excluding asynchronous execution.</w:t>
            </w:r>
          </w:p>
        </w:tc>
      </w:tr>
      <w:tr>
        <w:trPr>
          <w:cantSplit/>
        </w:trPr>
        <w:tc>
          <w:tcPr>
            <w:tcW w:type="dxa" w:w="3120"/>
            <w:tcMar>
              <w:top w:w="80" w:type="dxa"/>
              <w:start w:w="120" w:type="dxa"/>
              <w:bottom w:w="80" w:type="dxa"/>
              <w:end w:w="120" w:type="dxa"/>
            </w:tcMar>
          </w:tcPr>
          <w:p>
            <w:pPr>
              <w:spacing w:after="0" w:line="240" w:lineRule="auto"/>
            </w:pPr>
            <w:r>
              <w:rPr>
                <w:sz w:val="16"/>
              </w:rPr>
              <w:t>NFR-JOB-001</w:t>
            </w:r>
          </w:p>
        </w:tc>
        <w:tc>
          <w:tcPr>
            <w:tcW w:type="dxa" w:w="3120"/>
            <w:tcMar>
              <w:top w:w="80" w:type="dxa"/>
              <w:start w:w="120" w:type="dxa"/>
              <w:bottom w:w="80" w:type="dxa"/>
              <w:end w:w="120" w:type="dxa"/>
            </w:tcMar>
          </w:tcPr>
          <w:p>
            <w:pPr>
              <w:spacing w:after="0" w:line="240" w:lineRule="auto"/>
            </w:pPr>
            <w:r>
              <w:rPr>
                <w:sz w:val="16"/>
              </w:rPr>
              <w:t>Job timeliness</w:t>
            </w:r>
          </w:p>
        </w:tc>
        <w:tc>
          <w:tcPr>
            <w:tcW w:type="dxa" w:w="3120"/>
            <w:tcMar>
              <w:top w:w="80" w:type="dxa"/>
              <w:start w:w="120" w:type="dxa"/>
              <w:bottom w:w="80" w:type="dxa"/>
              <w:end w:w="120" w:type="dxa"/>
            </w:tcMar>
          </w:tcPr>
          <w:p>
            <w:pPr>
              <w:spacing w:after="0" w:line="240" w:lineRule="auto"/>
            </w:pPr>
            <w:r>
              <w:rPr>
                <w:sz w:val="16"/>
              </w:rPr>
              <w:t>On-demand jobs start within 2 minutes at p95; scheduled jobs start within 15 minutes; completed results appear within 60 seconds.</w:t>
            </w:r>
          </w:p>
        </w:tc>
      </w:tr>
      <w:tr>
        <w:trPr>
          <w:cantSplit/>
        </w:trPr>
        <w:tc>
          <w:tcPr>
            <w:tcW w:type="dxa" w:w="3120"/>
            <w:tcMar>
              <w:top w:w="80" w:type="dxa"/>
              <w:start w:w="120" w:type="dxa"/>
              <w:bottom w:w="80" w:type="dxa"/>
              <w:end w:w="120" w:type="dxa"/>
            </w:tcMar>
          </w:tcPr>
          <w:p>
            <w:pPr>
              <w:spacing w:after="0" w:line="240" w:lineRule="auto"/>
            </w:pPr>
            <w:r>
              <w:rPr>
                <w:sz w:val="16"/>
              </w:rPr>
              <w:t>NFR-ERR-001</w:t>
            </w:r>
          </w:p>
        </w:tc>
        <w:tc>
          <w:tcPr>
            <w:tcW w:type="dxa" w:w="3120"/>
            <w:tcMar>
              <w:top w:w="80" w:type="dxa"/>
              <w:start w:w="120" w:type="dxa"/>
              <w:bottom w:w="80" w:type="dxa"/>
              <w:end w:w="120" w:type="dxa"/>
            </w:tcMar>
          </w:tcPr>
          <w:p>
            <w:pPr>
              <w:spacing w:after="0" w:line="240" w:lineRule="auto"/>
            </w:pPr>
            <w:r>
              <w:rPr>
                <w:sz w:val="16"/>
              </w:rPr>
              <w:t>Error rate</w:t>
            </w:r>
          </w:p>
        </w:tc>
        <w:tc>
          <w:tcPr>
            <w:tcW w:type="dxa" w:w="3120"/>
            <w:tcMar>
              <w:top w:w="80" w:type="dxa"/>
              <w:start w:w="120" w:type="dxa"/>
              <w:bottom w:w="80" w:type="dxa"/>
              <w:end w:w="120" w:type="dxa"/>
            </w:tcMar>
          </w:tcPr>
          <w:p>
            <w:pPr>
              <w:spacing w:after="0" w:line="240" w:lineRule="auto"/>
            </w:pPr>
            <w:r>
              <w:rPr>
                <w:sz w:val="16"/>
              </w:rPr>
              <w:t>First-party 5xx rate &lt; 1% over a rolling 30-day window; provider errors classified independently.</w:t>
            </w:r>
          </w:p>
        </w:tc>
      </w:tr>
      <w:tr>
        <w:trPr>
          <w:cantSplit/>
        </w:trPr>
        <w:tc>
          <w:tcPr>
            <w:tcW w:type="dxa" w:w="3120"/>
            <w:tcMar>
              <w:top w:w="80" w:type="dxa"/>
              <w:start w:w="120" w:type="dxa"/>
              <w:bottom w:w="80" w:type="dxa"/>
              <w:end w:w="120" w:type="dxa"/>
            </w:tcMar>
          </w:tcPr>
          <w:p>
            <w:pPr>
              <w:spacing w:after="0" w:line="240" w:lineRule="auto"/>
            </w:pPr>
            <w:r>
              <w:rPr>
                <w:sz w:val="16"/>
              </w:rPr>
              <w:t>NFR-WEB-001</w:t>
            </w:r>
          </w:p>
        </w:tc>
        <w:tc>
          <w:tcPr>
            <w:tcW w:type="dxa" w:w="3120"/>
            <w:tcMar>
              <w:top w:w="80" w:type="dxa"/>
              <w:start w:w="120" w:type="dxa"/>
              <w:bottom w:w="80" w:type="dxa"/>
              <w:end w:w="120" w:type="dxa"/>
            </w:tcMar>
          </w:tcPr>
          <w:p>
            <w:pPr>
              <w:spacing w:after="0" w:line="240" w:lineRule="auto"/>
            </w:pPr>
            <w:r>
              <w:rPr>
                <w:sz w:val="16"/>
              </w:rPr>
              <w:t>Core Web Vitals</w:t>
            </w:r>
          </w:p>
        </w:tc>
        <w:tc>
          <w:tcPr>
            <w:tcW w:type="dxa" w:w="3120"/>
            <w:tcMar>
              <w:top w:w="80" w:type="dxa"/>
              <w:start w:w="120" w:type="dxa"/>
              <w:bottom w:w="80" w:type="dxa"/>
              <w:end w:w="120" w:type="dxa"/>
            </w:tcMar>
          </w:tcPr>
          <w:p>
            <w:pPr>
              <w:spacing w:after="0" w:line="240" w:lineRule="auto"/>
            </w:pPr>
            <w:r>
              <w:rPr>
                <w:sz w:val="16"/>
              </w:rPr>
              <w:t>Mobile p75: LCP ≤ 2.5 s, INP ≤ 200 ms, CLS ≤ 0.1 on representative public and authenticated routes.</w:t>
            </w:r>
          </w:p>
        </w:tc>
      </w:tr>
      <w:tr>
        <w:trPr>
          <w:cantSplit/>
        </w:trPr>
        <w:tc>
          <w:tcPr>
            <w:tcW w:type="dxa" w:w="3120"/>
            <w:tcMar>
              <w:top w:w="80" w:type="dxa"/>
              <w:start w:w="120" w:type="dxa"/>
              <w:bottom w:w="80" w:type="dxa"/>
              <w:end w:w="120" w:type="dxa"/>
            </w:tcMar>
          </w:tcPr>
          <w:p>
            <w:pPr>
              <w:spacing w:after="0" w:line="240" w:lineRule="auto"/>
            </w:pPr>
            <w:r>
              <w:rPr>
                <w:sz w:val="16"/>
              </w:rPr>
              <w:t>NFR-UX-001</w:t>
            </w:r>
          </w:p>
        </w:tc>
        <w:tc>
          <w:tcPr>
            <w:tcW w:type="dxa" w:w="3120"/>
            <w:tcMar>
              <w:top w:w="80" w:type="dxa"/>
              <w:start w:w="120" w:type="dxa"/>
              <w:bottom w:w="80" w:type="dxa"/>
              <w:end w:w="120" w:type="dxa"/>
            </w:tcMar>
          </w:tcPr>
          <w:p>
            <w:pPr>
              <w:spacing w:after="0" w:line="240" w:lineRule="auto"/>
            </w:pPr>
            <w:r>
              <w:rPr>
                <w:sz w:val="16"/>
              </w:rPr>
              <w:t>Responsive</w:t>
            </w:r>
          </w:p>
        </w:tc>
        <w:tc>
          <w:tcPr>
            <w:tcW w:type="dxa" w:w="3120"/>
            <w:tcMar>
              <w:top w:w="80" w:type="dxa"/>
              <w:start w:w="120" w:type="dxa"/>
              <w:bottom w:w="80" w:type="dxa"/>
              <w:end w:w="120" w:type="dxa"/>
            </w:tcMar>
          </w:tcPr>
          <w:p>
            <w:pPr>
              <w:spacing w:after="0" w:line="240" w:lineRule="auto"/>
            </w:pPr>
            <w:r>
              <w:rPr>
                <w:sz w:val="16"/>
              </w:rPr>
              <w:t>All core flows work from 320 px to 2560 px; touch controls ≥ 44 × 44 CSS px on coarse pointers.</w:t>
            </w:r>
          </w:p>
        </w:tc>
      </w:tr>
      <w:tr>
        <w:trPr>
          <w:cantSplit/>
        </w:trPr>
        <w:tc>
          <w:tcPr>
            <w:tcW w:type="dxa" w:w="3120"/>
            <w:tcMar>
              <w:top w:w="80" w:type="dxa"/>
              <w:start w:w="120" w:type="dxa"/>
              <w:bottom w:w="80" w:type="dxa"/>
              <w:end w:w="120" w:type="dxa"/>
            </w:tcMar>
          </w:tcPr>
          <w:p>
            <w:pPr>
              <w:spacing w:after="0" w:line="240" w:lineRule="auto"/>
            </w:pPr>
            <w:r>
              <w:rPr>
                <w:sz w:val="16"/>
              </w:rPr>
              <w:t>NFR-A11Y-001</w:t>
            </w:r>
          </w:p>
        </w:tc>
        <w:tc>
          <w:tcPr>
            <w:tcW w:type="dxa" w:w="3120"/>
            <w:tcMar>
              <w:top w:w="80" w:type="dxa"/>
              <w:start w:w="120" w:type="dxa"/>
              <w:bottom w:w="80" w:type="dxa"/>
              <w:end w:w="120" w:type="dxa"/>
            </w:tcMar>
          </w:tcPr>
          <w:p>
            <w:pPr>
              <w:spacing w:after="0" w:line="240" w:lineRule="auto"/>
            </w:pPr>
            <w:r>
              <w:rPr>
                <w:sz w:val="16"/>
              </w:rPr>
              <w:t>Accessibility</w:t>
            </w:r>
          </w:p>
        </w:tc>
        <w:tc>
          <w:tcPr>
            <w:tcW w:type="dxa" w:w="3120"/>
            <w:tcMar>
              <w:top w:w="80" w:type="dxa"/>
              <w:start w:w="120" w:type="dxa"/>
              <w:bottom w:w="80" w:type="dxa"/>
              <w:end w:w="120" w:type="dxa"/>
            </w:tcMar>
          </w:tcPr>
          <w:p>
            <w:pPr>
              <w:spacing w:after="0" w:line="240" w:lineRule="auto"/>
            </w:pPr>
            <w:r>
              <w:rPr>
                <w:sz w:val="16"/>
              </w:rPr>
              <w:t>WCAG 2.2 AA; keyboard complete; APG tablist/dialog/drawer behavior; visible focus; 200% zoom; status/error announcements.</w:t>
            </w:r>
          </w:p>
        </w:tc>
      </w:tr>
    </w:tbl>
    <w:p>
      <w:r>
        <w:br w:type="page"/>
      </w:r>
    </w:p>
    <w:p>
      <w:pPr>
        <w:spacing w:after="640"/>
      </w:pPr>
      <w:r>
        <w:rPr>
          <w:sz w:val="2"/>
        </w:rPr>
        <w:t xml:space="preserve"> </w:t>
      </w:r>
    </w:p>
    <w:p>
      <w:pPr>
        <w:pStyle w:val="Heading3"/>
      </w:pPr>
      <w:r>
        <w:t>13. Non-functional requirements (continued)</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3120"/>
        <w:gridCol w:w="3120"/>
        <w:gridCol w:w="3120"/>
      </w:tblGrid>
      <w:tr>
        <w:trPr>
          <w:tblHeader w:val="true"/>
        </w:trPr>
        <w:tc>
          <w:tcPr>
            <w:tcW w:type="dxa" w:w="1500"/>
            <w:shd w:fill="F5F6F7"/>
            <w:tcMar>
              <w:top w:w="80" w:type="dxa"/>
              <w:start w:w="120" w:type="dxa"/>
              <w:bottom w:w="80" w:type="dxa"/>
              <w:end w:w="120" w:type="dxa"/>
            </w:tcMar>
          </w:tcPr>
          <w:p>
            <w:pPr>
              <w:spacing w:after="0"/>
            </w:pPr>
            <w:r>
              <w:rPr>
                <w:b/>
                <w:color w:val="171717"/>
                <w:sz w:val="16"/>
              </w:rPr>
              <w:t>ID</w:t>
            </w:r>
          </w:p>
        </w:tc>
        <w:tc>
          <w:tcPr>
            <w:tcW w:type="dxa" w:w="1700"/>
            <w:shd w:fill="F5F6F7"/>
            <w:tcMar>
              <w:top w:w="80" w:type="dxa"/>
              <w:start w:w="120" w:type="dxa"/>
              <w:bottom w:w="80" w:type="dxa"/>
              <w:end w:w="120" w:type="dxa"/>
            </w:tcMar>
          </w:tcPr>
          <w:p>
            <w:pPr>
              <w:spacing w:after="0"/>
            </w:pPr>
            <w:r>
              <w:rPr>
                <w:b/>
                <w:color w:val="171717"/>
                <w:sz w:val="16"/>
              </w:rPr>
              <w:t>Category</w:t>
            </w:r>
          </w:p>
        </w:tc>
        <w:tc>
          <w:tcPr>
            <w:tcW w:type="dxa" w:w="6160"/>
            <w:shd w:fill="F5F6F7"/>
            <w:tcMar>
              <w:top w:w="80" w:type="dxa"/>
              <w:start w:w="120" w:type="dxa"/>
              <w:bottom w:w="80" w:type="dxa"/>
              <w:end w:w="120" w:type="dxa"/>
            </w:tcMar>
          </w:tcPr>
          <w:p>
            <w:pPr>
              <w:spacing w:after="0"/>
            </w:pPr>
            <w:r>
              <w:rPr>
                <w:b/>
                <w:color w:val="171717"/>
                <w:sz w:val="16"/>
              </w:rPr>
              <w:t>Target / acceptance</w:t>
            </w:r>
          </w:p>
        </w:tc>
      </w:tr>
      <w:tr>
        <w:trPr>
          <w:cantSplit/>
        </w:trPr>
        <w:tc>
          <w:tcPr>
            <w:tcW w:type="dxa" w:w="3120"/>
            <w:tcMar>
              <w:top w:w="80" w:type="dxa"/>
              <w:start w:w="120" w:type="dxa"/>
              <w:bottom w:w="80" w:type="dxa"/>
              <w:end w:w="120" w:type="dxa"/>
            </w:tcMar>
          </w:tcPr>
          <w:p>
            <w:pPr>
              <w:spacing w:after="0" w:line="240" w:lineRule="auto"/>
            </w:pPr>
            <w:r>
              <w:rPr>
                <w:sz w:val="16"/>
              </w:rPr>
              <w:t>NFR-BR-001</w:t>
            </w:r>
          </w:p>
        </w:tc>
        <w:tc>
          <w:tcPr>
            <w:tcW w:type="dxa" w:w="3120"/>
            <w:tcMar>
              <w:top w:w="80" w:type="dxa"/>
              <w:start w:w="120" w:type="dxa"/>
              <w:bottom w:w="80" w:type="dxa"/>
              <w:end w:w="120" w:type="dxa"/>
            </w:tcMar>
          </w:tcPr>
          <w:p>
            <w:pPr>
              <w:spacing w:after="0" w:line="240" w:lineRule="auto"/>
            </w:pPr>
            <w:r>
              <w:rPr>
                <w:sz w:val="16"/>
              </w:rPr>
              <w:t>Browsers</w:t>
            </w:r>
          </w:p>
        </w:tc>
        <w:tc>
          <w:tcPr>
            <w:tcW w:type="dxa" w:w="3120"/>
            <w:tcMar>
              <w:top w:w="80" w:type="dxa"/>
              <w:start w:w="120" w:type="dxa"/>
              <w:bottom w:w="80" w:type="dxa"/>
              <w:end w:w="120" w:type="dxa"/>
            </w:tcMar>
          </w:tcPr>
          <w:p>
            <w:pPr>
              <w:spacing w:after="0" w:line="240" w:lineRule="auto"/>
            </w:pPr>
            <w:r>
              <w:rPr>
                <w:sz w:val="16"/>
              </w:rPr>
              <w:t>Current and previous major Chrome, Edge, Firefox, and Safari; required fallbacks for dialog, 100dvh, overflow, replaceAll, and Array.at.</w:t>
            </w:r>
          </w:p>
        </w:tc>
      </w:tr>
      <w:tr>
        <w:trPr>
          <w:cantSplit/>
        </w:trPr>
        <w:tc>
          <w:tcPr>
            <w:tcW w:type="dxa" w:w="3120"/>
            <w:tcMar>
              <w:top w:w="80" w:type="dxa"/>
              <w:start w:w="120" w:type="dxa"/>
              <w:bottom w:w="80" w:type="dxa"/>
              <w:end w:w="120" w:type="dxa"/>
            </w:tcMar>
          </w:tcPr>
          <w:p>
            <w:pPr>
              <w:spacing w:after="0" w:line="240" w:lineRule="auto"/>
            </w:pPr>
            <w:r>
              <w:rPr>
                <w:sz w:val="16"/>
              </w:rPr>
              <w:t>NFR-SCALE-001</w:t>
            </w:r>
          </w:p>
        </w:tc>
        <w:tc>
          <w:tcPr>
            <w:tcW w:type="dxa" w:w="3120"/>
            <w:tcMar>
              <w:top w:w="80" w:type="dxa"/>
              <w:start w:w="120" w:type="dxa"/>
              <w:bottom w:w="80" w:type="dxa"/>
              <w:end w:w="120" w:type="dxa"/>
            </w:tcMar>
          </w:tcPr>
          <w:p>
            <w:pPr>
              <w:spacing w:after="0" w:line="240" w:lineRule="auto"/>
            </w:pPr>
            <w:r>
              <w:rPr>
                <w:sz w:val="16"/>
              </w:rPr>
              <w:t>Scale</w:t>
            </w:r>
          </w:p>
        </w:tc>
        <w:tc>
          <w:tcPr>
            <w:tcW w:type="dxa" w:w="3120"/>
            <w:tcMar>
              <w:top w:w="80" w:type="dxa"/>
              <w:start w:w="120" w:type="dxa"/>
              <w:bottom w:w="80" w:type="dxa"/>
              <w:end w:w="120" w:type="dxa"/>
            </w:tcMar>
          </w:tcPr>
          <w:p>
            <w:pPr>
              <w:spacing w:after="0" w:line="240" w:lineRule="auto"/>
            </w:pPr>
            <w:r>
              <w:rPr>
                <w:sz w:val="16"/>
              </w:rPr>
              <w:t>Horizontal web/worker scaling without duplicate schedules or cross-worker in-memory coordination; bounded tenant/provider concurrency.</w:t>
            </w:r>
          </w:p>
        </w:tc>
      </w:tr>
      <w:tr>
        <w:trPr>
          <w:cantSplit/>
        </w:trPr>
        <w:tc>
          <w:tcPr>
            <w:tcW w:type="dxa" w:w="3120"/>
            <w:tcMar>
              <w:top w:w="80" w:type="dxa"/>
              <w:start w:w="120" w:type="dxa"/>
              <w:bottom w:w="80" w:type="dxa"/>
              <w:end w:w="120" w:type="dxa"/>
            </w:tcMar>
          </w:tcPr>
          <w:p>
            <w:pPr>
              <w:spacing w:after="0" w:line="240" w:lineRule="auto"/>
            </w:pPr>
            <w:r>
              <w:rPr>
                <w:sz w:val="16"/>
              </w:rPr>
              <w:t>NFR-DR-001</w:t>
            </w:r>
          </w:p>
        </w:tc>
        <w:tc>
          <w:tcPr>
            <w:tcW w:type="dxa" w:w="3120"/>
            <w:tcMar>
              <w:top w:w="80" w:type="dxa"/>
              <w:start w:w="120" w:type="dxa"/>
              <w:bottom w:w="80" w:type="dxa"/>
              <w:end w:w="120" w:type="dxa"/>
            </w:tcMar>
          </w:tcPr>
          <w:p>
            <w:pPr>
              <w:spacing w:after="0" w:line="240" w:lineRule="auto"/>
            </w:pPr>
            <w:r>
              <w:rPr>
                <w:sz w:val="16"/>
              </w:rPr>
              <w:t>Recovery</w:t>
            </w:r>
          </w:p>
        </w:tc>
        <w:tc>
          <w:tcPr>
            <w:tcW w:type="dxa" w:w="3120"/>
            <w:tcMar>
              <w:top w:w="80" w:type="dxa"/>
              <w:start w:w="120" w:type="dxa"/>
              <w:bottom w:w="80" w:type="dxa"/>
              <w:end w:w="120" w:type="dxa"/>
            </w:tcMar>
          </w:tcPr>
          <w:p>
            <w:pPr>
              <w:spacing w:after="0" w:line="240" w:lineRule="auto"/>
            </w:pPr>
            <w:r>
              <w:rPr>
                <w:sz w:val="16"/>
              </w:rPr>
              <w:t>Initial RPO ≤ 24 hours and RTO ≤ 4 hours; encrypted backups and quarterly restore verification.</w:t>
            </w:r>
          </w:p>
        </w:tc>
      </w:tr>
      <w:tr>
        <w:trPr>
          <w:cantSplit/>
        </w:trPr>
        <w:tc>
          <w:tcPr>
            <w:tcW w:type="dxa" w:w="3120"/>
            <w:tcMar>
              <w:top w:w="80" w:type="dxa"/>
              <w:start w:w="120" w:type="dxa"/>
              <w:bottom w:w="80" w:type="dxa"/>
              <w:end w:w="120" w:type="dxa"/>
            </w:tcMar>
          </w:tcPr>
          <w:p>
            <w:pPr>
              <w:spacing w:after="0" w:line="240" w:lineRule="auto"/>
            </w:pPr>
            <w:r>
              <w:rPr>
                <w:sz w:val="16"/>
              </w:rPr>
              <w:t>NFR-OBS-001</w:t>
            </w:r>
          </w:p>
        </w:tc>
        <w:tc>
          <w:tcPr>
            <w:tcW w:type="dxa" w:w="3120"/>
            <w:tcMar>
              <w:top w:w="80" w:type="dxa"/>
              <w:start w:w="120" w:type="dxa"/>
              <w:bottom w:w="80" w:type="dxa"/>
              <w:end w:w="120" w:type="dxa"/>
            </w:tcMar>
          </w:tcPr>
          <w:p>
            <w:pPr>
              <w:spacing w:after="0" w:line="240" w:lineRule="auto"/>
            </w:pPr>
            <w:r>
              <w:rPr>
                <w:sz w:val="16"/>
              </w:rPr>
              <w:t>Observability</w:t>
            </w:r>
          </w:p>
        </w:tc>
        <w:tc>
          <w:tcPr>
            <w:tcW w:type="dxa" w:w="3120"/>
            <w:tcMar>
              <w:top w:w="80" w:type="dxa"/>
              <w:start w:w="120" w:type="dxa"/>
              <w:bottom w:w="80" w:type="dxa"/>
              <w:end w:w="120" w:type="dxa"/>
            </w:tcMar>
          </w:tcPr>
          <w:p>
            <w:pPr>
              <w:spacing w:after="0" w:line="240" w:lineRule="auto"/>
            </w:pPr>
            <w:r>
              <w:rPr>
                <w:sz w:val="16"/>
              </w:rPr>
              <w:t>Every request/job carries correlation IDs; metrics/logs/traces cover web, queue, database, providers, OAuth, cost, and backups.</w:t>
            </w:r>
          </w:p>
        </w:tc>
      </w:tr>
      <w:tr>
        <w:trPr>
          <w:cantSplit/>
        </w:trPr>
        <w:tc>
          <w:tcPr>
            <w:tcW w:type="dxa" w:w="3120"/>
            <w:tcMar>
              <w:top w:w="80" w:type="dxa"/>
              <w:start w:w="120" w:type="dxa"/>
              <w:bottom w:w="80" w:type="dxa"/>
              <w:end w:w="120" w:type="dxa"/>
            </w:tcMar>
          </w:tcPr>
          <w:p>
            <w:pPr>
              <w:spacing w:after="0" w:line="240" w:lineRule="auto"/>
            </w:pPr>
            <w:r>
              <w:rPr>
                <w:sz w:val="16"/>
              </w:rPr>
              <w:t>NFR-MAINT-001</w:t>
            </w:r>
          </w:p>
        </w:tc>
        <w:tc>
          <w:tcPr>
            <w:tcW w:type="dxa" w:w="3120"/>
            <w:tcMar>
              <w:top w:w="80" w:type="dxa"/>
              <w:start w:w="120" w:type="dxa"/>
              <w:bottom w:w="80" w:type="dxa"/>
              <w:end w:w="120" w:type="dxa"/>
            </w:tcMar>
          </w:tcPr>
          <w:p>
            <w:pPr>
              <w:spacing w:after="0" w:line="240" w:lineRule="auto"/>
            </w:pPr>
            <w:r>
              <w:rPr>
                <w:sz w:val="16"/>
              </w:rPr>
              <w:t>Maintainability</w:t>
            </w:r>
          </w:p>
        </w:tc>
        <w:tc>
          <w:tcPr>
            <w:tcW w:type="dxa" w:w="3120"/>
            <w:tcMar>
              <w:top w:w="80" w:type="dxa"/>
              <w:start w:w="120" w:type="dxa"/>
              <w:bottom w:w="80" w:type="dxa"/>
              <w:end w:w="120" w:type="dxa"/>
            </w:tcMar>
          </w:tcPr>
          <w:p>
            <w:pPr>
              <w:spacing w:after="0" w:line="240" w:lineRule="auto"/>
            </w:pPr>
            <w:r>
              <w:rPr>
                <w:sz w:val="16"/>
              </w:rPr>
              <w:t>Critical backend modules ≥ 90% branch coverage and overall server ≥ 80%; typed/linted modular services and reviewed migrations.</w:t>
            </w:r>
          </w:p>
        </w:tc>
      </w:tr>
      <w:tr>
        <w:trPr>
          <w:cantSplit/>
        </w:trPr>
        <w:tc>
          <w:tcPr>
            <w:tcW w:type="dxa" w:w="3120"/>
            <w:tcMar>
              <w:top w:w="80" w:type="dxa"/>
              <w:start w:w="120" w:type="dxa"/>
              <w:bottom w:w="80" w:type="dxa"/>
              <w:end w:w="120" w:type="dxa"/>
            </w:tcMar>
          </w:tcPr>
          <w:p>
            <w:pPr>
              <w:spacing w:after="0" w:line="240" w:lineRule="auto"/>
            </w:pPr>
            <w:r>
              <w:rPr>
                <w:sz w:val="16"/>
              </w:rPr>
              <w:t>NFR-I18N-001</w:t>
            </w:r>
          </w:p>
        </w:tc>
        <w:tc>
          <w:tcPr>
            <w:tcW w:type="dxa" w:w="3120"/>
            <w:tcMar>
              <w:top w:w="80" w:type="dxa"/>
              <w:start w:w="120" w:type="dxa"/>
              <w:bottom w:w="80" w:type="dxa"/>
              <w:end w:w="120" w:type="dxa"/>
            </w:tcMar>
          </w:tcPr>
          <w:p>
            <w:pPr>
              <w:spacing w:after="0" w:line="240" w:lineRule="auto"/>
            </w:pPr>
            <w:r>
              <w:rPr>
                <w:sz w:val="16"/>
              </w:rPr>
              <w:t>Locale/time</w:t>
            </w:r>
          </w:p>
        </w:tc>
        <w:tc>
          <w:tcPr>
            <w:tcW w:type="dxa" w:w="3120"/>
            <w:tcMar>
              <w:top w:w="80" w:type="dxa"/>
              <w:start w:w="120" w:type="dxa"/>
              <w:bottom w:w="80" w:type="dxa"/>
              <w:end w:w="120" w:type="dxa"/>
            </w:tcMar>
          </w:tcPr>
          <w:p>
            <w:pPr>
              <w:spacing w:after="0" w:line="240" w:lineRule="auto"/>
            </w:pPr>
            <w:r>
              <w:rPr>
                <w:sz w:val="16"/>
              </w:rPr>
              <w:t>Storage uses UTC; UI renders locale-aware dates/numbers; schedules are timezone and DST aware; UTF-8 supported end to end.</w:t>
            </w:r>
          </w:p>
        </w:tc>
      </w:tr>
    </w:tbl>
    <w:p>
      <w:pPr>
        <w:spacing w:after="0"/>
      </w:pPr>
    </w:p>
    <w:p>
      <w:pPr>
        <w:pStyle w:val="Heading2"/>
      </w:pPr>
      <w:r>
        <w:t>13.1 Accessibility-specific acceptance</w:t>
      </w:r>
    </w:p>
    <w:p>
      <w:pPr>
        <w:pStyle w:val="ListBullet"/>
      </w:pPr>
      <w:r>
        <w:t>Tablists implement arrow, Home, End, Enter/Space, aria-selected, roving tabindex, and labelled panel relationships.</w:t>
      </w:r>
    </w:p>
    <w:p>
      <w:pPr>
        <w:pStyle w:val="ListBullet"/>
      </w:pPr>
      <w:r>
        <w:t>Dialogs and navigation drawers trap focus, restore the invoking control, and prevent background interaction.</w:t>
      </w:r>
    </w:p>
    <w:p>
      <w:pPr>
        <w:pStyle w:val="ListBullet"/>
      </w:pPr>
      <w:r>
        <w:t>Job progress and asynchronous success/failure use non-disruptive live regions; errors link to invalid fields.</w:t>
      </w:r>
    </w:p>
    <w:p>
      <w:pPr>
        <w:pStyle w:val="ListBullet"/>
      </w:pPr>
      <w:r>
        <w:t>Charts provide equivalent text/table data; status is never conveyed by color alone; contrast passes AA.</w:t>
      </w:r>
    </w:p>
    <w:p>
      <w:pPr>
        <w:pStyle w:val="ListBullet"/>
      </w:pPr>
      <w:r>
        <w:t>Wide tables expose an operable labelled scroller or compact detail pattern on narrow screens.</w:t>
      </w:r>
    </w:p>
    <w:p>
      <w:bookmarkStart w:id="14" w:name="operations"/>
      <w:pPr>
        <w:pStyle w:val="Heading1"/>
      </w:pPr>
      <w:r>
        <w:t>14. Deployment and operations</w:t>
      </w:r>
      <w:bookmarkEnd w:id="14"/>
    </w:p>
    <w:p>
      <w:pPr>
        <w:pStyle w:val="Heading2"/>
        <w:pageBreakBefore/>
        <w:spacing w:before="840"/>
      </w:pPr>
      <w:r>
        <w:t>14.1 Required environment topology</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1450"/>
            <w:shd w:fill="F5F6F7"/>
            <w:tcMar>
              <w:top w:w="80" w:type="dxa"/>
              <w:start w:w="120" w:type="dxa"/>
              <w:bottom w:w="80" w:type="dxa"/>
              <w:end w:w="120" w:type="dxa"/>
            </w:tcMar>
          </w:tcPr>
          <w:p>
            <w:pPr>
              <w:spacing w:after="0"/>
            </w:pPr>
            <w:r>
              <w:rPr>
                <w:b/>
                <w:color w:val="171717"/>
                <w:sz w:val="15"/>
              </w:rPr>
              <w:t>Environment</w:t>
            </w:r>
          </w:p>
        </w:tc>
        <w:tc>
          <w:tcPr>
            <w:tcW w:type="dxa" w:w="3000"/>
            <w:shd w:fill="F5F6F7"/>
            <w:tcMar>
              <w:top w:w="80" w:type="dxa"/>
              <w:start w:w="120" w:type="dxa"/>
              <w:bottom w:w="80" w:type="dxa"/>
              <w:end w:w="120" w:type="dxa"/>
            </w:tcMar>
          </w:tcPr>
          <w:p>
            <w:pPr>
              <w:spacing w:after="0"/>
            </w:pPr>
            <w:r>
              <w:rPr>
                <w:b/>
                <w:color w:val="171717"/>
                <w:sz w:val="15"/>
              </w:rPr>
              <w:t>Topology</w:t>
            </w:r>
          </w:p>
        </w:tc>
        <w:tc>
          <w:tcPr>
            <w:tcW w:type="dxa" w:w="3370"/>
            <w:shd w:fill="F5F6F7"/>
            <w:tcMar>
              <w:top w:w="80" w:type="dxa"/>
              <w:start w:w="120" w:type="dxa"/>
              <w:bottom w:w="80" w:type="dxa"/>
              <w:end w:w="120" w:type="dxa"/>
            </w:tcMar>
          </w:tcPr>
          <w:p>
            <w:pPr>
              <w:spacing w:after="0"/>
            </w:pPr>
            <w:r>
              <w:rPr>
                <w:b/>
                <w:color w:val="171717"/>
                <w:sz w:val="15"/>
              </w:rPr>
              <w:t>Data/provider policy</w:t>
            </w:r>
          </w:p>
        </w:tc>
        <w:tc>
          <w:tcPr>
            <w:tcW w:type="dxa" w:w="1540"/>
            <w:shd w:fill="F5F6F7"/>
            <w:tcMar>
              <w:top w:w="80" w:type="dxa"/>
              <w:start w:w="120" w:type="dxa"/>
              <w:bottom w:w="80" w:type="dxa"/>
              <w:end w:w="120" w:type="dxa"/>
            </w:tcMar>
          </w:tcPr>
          <w:p>
            <w:pPr>
              <w:spacing w:after="0"/>
            </w:pPr>
            <w:r>
              <w:rPr>
                <w:b/>
                <w:color w:val="171717"/>
                <w:sz w:val="15"/>
              </w:rPr>
              <w:t>Baseline</w:t>
            </w:r>
          </w:p>
        </w:tc>
      </w:tr>
      <w:tr>
        <w:trPr>
          <w:cantSplit/>
        </w:trPr>
        <w:tc>
          <w:tcPr>
            <w:tcW w:type="dxa" w:w="2340"/>
            <w:tcMar>
              <w:top w:w="80" w:type="dxa"/>
              <w:start w:w="120" w:type="dxa"/>
              <w:bottom w:w="80" w:type="dxa"/>
              <w:end w:w="120" w:type="dxa"/>
            </w:tcMar>
          </w:tcPr>
          <w:p>
            <w:pPr>
              <w:spacing w:after="0" w:line="240" w:lineRule="auto"/>
            </w:pPr>
            <w:r>
              <w:rPr>
                <w:sz w:val="15"/>
              </w:rPr>
              <w:t>Local</w:t>
            </w:r>
          </w:p>
        </w:tc>
        <w:tc>
          <w:tcPr>
            <w:tcW w:type="dxa" w:w="2340"/>
            <w:tcMar>
              <w:top w:w="80" w:type="dxa"/>
              <w:start w:w="120" w:type="dxa"/>
              <w:bottom w:w="80" w:type="dxa"/>
              <w:end w:w="120" w:type="dxa"/>
            </w:tcMar>
          </w:tcPr>
          <w:p>
            <w:pPr>
              <w:spacing w:after="0" w:line="240" w:lineRule="auto"/>
            </w:pPr>
            <w:r>
              <w:rPr>
                <w:sz w:val="15"/>
              </w:rPr>
              <w:t>Flask dev server, SQLite, optional local Ollama</w:t>
            </w:r>
          </w:p>
        </w:tc>
        <w:tc>
          <w:tcPr>
            <w:tcW w:type="dxa" w:w="2340"/>
            <w:tcMar>
              <w:top w:w="80" w:type="dxa"/>
              <w:start w:w="120" w:type="dxa"/>
              <w:bottom w:w="80" w:type="dxa"/>
              <w:end w:w="120" w:type="dxa"/>
            </w:tcMar>
          </w:tcPr>
          <w:p>
            <w:pPr>
              <w:spacing w:after="0" w:line="240" w:lineRule="auto"/>
            </w:pPr>
            <w:r>
              <w:rPr>
                <w:sz w:val="15"/>
              </w:rPr>
              <w:t>Provider credentials optional; developer-owned test data</w:t>
            </w:r>
          </w:p>
        </w:tc>
        <w:tc>
          <w:tcPr>
            <w:tcW w:type="dxa" w:w="2340"/>
            <w:tcMar>
              <w:top w:w="80" w:type="dxa"/>
              <w:start w:w="120" w:type="dxa"/>
              <w:bottom w:w="80" w:type="dxa"/>
              <w:end w:w="120" w:type="dxa"/>
            </w:tcMar>
          </w:tcPr>
          <w:p>
            <w:pPr>
              <w:spacing w:after="0" w:line="240" w:lineRule="auto"/>
            </w:pPr>
            <w:r>
              <w:rPr>
                <w:sz w:val="15"/>
              </w:rPr>
              <w:t>Implemented</w:t>
            </w:r>
          </w:p>
        </w:tc>
      </w:tr>
      <w:tr>
        <w:trPr>
          <w:cantSplit/>
        </w:trPr>
        <w:tc>
          <w:tcPr>
            <w:tcW w:type="dxa" w:w="2340"/>
            <w:tcMar>
              <w:top w:w="80" w:type="dxa"/>
              <w:start w:w="120" w:type="dxa"/>
              <w:bottom w:w="80" w:type="dxa"/>
              <w:end w:w="120" w:type="dxa"/>
            </w:tcMar>
          </w:tcPr>
          <w:p>
            <w:pPr>
              <w:spacing w:after="0" w:line="240" w:lineRule="auto"/>
            </w:pPr>
            <w:r>
              <w:rPr>
                <w:sz w:val="15"/>
              </w:rPr>
              <w:t>Test / CI</w:t>
            </w:r>
          </w:p>
        </w:tc>
        <w:tc>
          <w:tcPr>
            <w:tcW w:type="dxa" w:w="2340"/>
            <w:tcMar>
              <w:top w:w="80" w:type="dxa"/>
              <w:start w:w="120" w:type="dxa"/>
              <w:bottom w:w="80" w:type="dxa"/>
              <w:end w:w="120" w:type="dxa"/>
            </w:tcMar>
          </w:tcPr>
          <w:p>
            <w:pPr>
              <w:spacing w:after="0" w:line="240" w:lineRule="auto"/>
            </w:pPr>
            <w:r>
              <w:rPr>
                <w:sz w:val="15"/>
              </w:rPr>
              <w:t>Ephemeral PostgreSQL, web app, worker, browser runner</w:t>
            </w:r>
          </w:p>
        </w:tc>
        <w:tc>
          <w:tcPr>
            <w:tcW w:type="dxa" w:w="2340"/>
            <w:tcMar>
              <w:top w:w="80" w:type="dxa"/>
              <w:start w:w="120" w:type="dxa"/>
              <w:bottom w:w="80" w:type="dxa"/>
              <w:end w:w="120" w:type="dxa"/>
            </w:tcMar>
          </w:tcPr>
          <w:p>
            <w:pPr>
              <w:spacing w:after="0" w:line="240" w:lineRule="auto"/>
            </w:pPr>
            <w:r>
              <w:rPr>
                <w:sz w:val="15"/>
              </w:rPr>
              <w:t>Mock OAuth/provider calls; no paid live requests</w:t>
            </w:r>
          </w:p>
        </w:tc>
        <w:tc>
          <w:tcPr>
            <w:tcW w:type="dxa" w:w="2340"/>
            <w:tcMar>
              <w:top w:w="80" w:type="dxa"/>
              <w:start w:w="120" w:type="dxa"/>
              <w:bottom w:w="80" w:type="dxa"/>
              <w:end w:w="120" w:type="dxa"/>
            </w:tcMar>
          </w:tcPr>
          <w:p>
            <w:pPr>
              <w:spacing w:after="0" w:line="240" w:lineRule="auto"/>
            </w:pPr>
            <w:r>
              <w:rPr>
                <w:sz w:val="15"/>
              </w:rPr>
              <w:t>Required</w:t>
            </w:r>
          </w:p>
        </w:tc>
      </w:tr>
      <w:tr>
        <w:trPr>
          <w:cantSplit/>
        </w:trPr>
        <w:tc>
          <w:tcPr>
            <w:tcW w:type="dxa" w:w="2340"/>
            <w:tcMar>
              <w:top w:w="80" w:type="dxa"/>
              <w:start w:w="120" w:type="dxa"/>
              <w:bottom w:w="80" w:type="dxa"/>
              <w:end w:w="120" w:type="dxa"/>
            </w:tcMar>
          </w:tcPr>
          <w:p>
            <w:pPr>
              <w:spacing w:after="0" w:line="240" w:lineRule="auto"/>
            </w:pPr>
            <w:r>
              <w:rPr>
                <w:sz w:val="15"/>
              </w:rPr>
              <w:t>Staging</w:t>
            </w:r>
          </w:p>
        </w:tc>
        <w:tc>
          <w:tcPr>
            <w:tcW w:type="dxa" w:w="2340"/>
            <w:tcMar>
              <w:top w:w="80" w:type="dxa"/>
              <w:start w:w="120" w:type="dxa"/>
              <w:bottom w:w="80" w:type="dxa"/>
              <w:end w:w="120" w:type="dxa"/>
            </w:tcMar>
          </w:tcPr>
          <w:p>
            <w:pPr>
              <w:spacing w:after="0" w:line="240" w:lineRule="auto"/>
            </w:pPr>
            <w:r>
              <w:rPr>
                <w:sz w:val="15"/>
              </w:rPr>
              <w:t>Production-equivalent web, worker, scheduler, PostgreSQL</w:t>
            </w:r>
          </w:p>
        </w:tc>
        <w:tc>
          <w:tcPr>
            <w:tcW w:type="dxa" w:w="2340"/>
            <w:tcMar>
              <w:top w:w="80" w:type="dxa"/>
              <w:start w:w="120" w:type="dxa"/>
              <w:bottom w:w="80" w:type="dxa"/>
              <w:end w:w="120" w:type="dxa"/>
            </w:tcMar>
          </w:tcPr>
          <w:p>
            <w:pPr>
              <w:spacing w:after="0" w:line="240" w:lineRule="auto"/>
            </w:pPr>
            <w:r>
              <w:rPr>
                <w:sz w:val="15"/>
              </w:rPr>
              <w:t>Isolated secrets, restricted OAuth client, capped provider budgets</w:t>
            </w:r>
          </w:p>
        </w:tc>
        <w:tc>
          <w:tcPr>
            <w:tcW w:type="dxa" w:w="2340"/>
            <w:tcMar>
              <w:top w:w="80" w:type="dxa"/>
              <w:start w:w="120" w:type="dxa"/>
              <w:bottom w:w="80" w:type="dxa"/>
              <w:end w:w="120" w:type="dxa"/>
            </w:tcMar>
          </w:tcPr>
          <w:p>
            <w:pPr>
              <w:spacing w:after="0" w:line="240" w:lineRule="auto"/>
            </w:pPr>
            <w:r>
              <w:rPr>
                <w:sz w:val="15"/>
              </w:rPr>
              <w:t>Required</w:t>
            </w:r>
          </w:p>
        </w:tc>
      </w:tr>
      <w:tr>
        <w:trPr>
          <w:cantSplit/>
        </w:trPr>
        <w:tc>
          <w:tcPr>
            <w:tcW w:type="dxa" w:w="2340"/>
            <w:tcMar>
              <w:top w:w="80" w:type="dxa"/>
              <w:start w:w="120" w:type="dxa"/>
              <w:bottom w:w="80" w:type="dxa"/>
              <w:end w:w="120" w:type="dxa"/>
            </w:tcMar>
          </w:tcPr>
          <w:p>
            <w:pPr>
              <w:spacing w:after="0" w:line="240" w:lineRule="auto"/>
            </w:pPr>
            <w:r>
              <w:rPr>
                <w:sz w:val="15"/>
              </w:rPr>
              <w:t>Production</w:t>
            </w:r>
          </w:p>
        </w:tc>
        <w:tc>
          <w:tcPr>
            <w:tcW w:type="dxa" w:w="2340"/>
            <w:tcMar>
              <w:top w:w="80" w:type="dxa"/>
              <w:start w:w="120" w:type="dxa"/>
              <w:bottom w:w="80" w:type="dxa"/>
              <w:end w:w="120" w:type="dxa"/>
            </w:tcMar>
          </w:tcPr>
          <w:p>
            <w:pPr>
              <w:spacing w:after="0" w:line="240" w:lineRule="auto"/>
            </w:pPr>
            <w:r>
              <w:rPr>
                <w:sz w:val="15"/>
              </w:rPr>
              <w:t>Gunicorn web, managed PostgreSQL, durable queue workers, scheduler/cron, backups, monitoring</w:t>
            </w:r>
          </w:p>
        </w:tc>
        <w:tc>
          <w:tcPr>
            <w:tcW w:type="dxa" w:w="2340"/>
            <w:tcMar>
              <w:top w:w="80" w:type="dxa"/>
              <w:start w:w="120" w:type="dxa"/>
              <w:bottom w:w="80" w:type="dxa"/>
              <w:end w:w="120" w:type="dxa"/>
            </w:tcMar>
          </w:tcPr>
          <w:p>
            <w:pPr>
              <w:spacing w:after="0" w:line="240" w:lineRule="auto"/>
            </w:pPr>
            <w:r>
              <w:rPr>
                <w:sz w:val="15"/>
              </w:rPr>
              <w:t>Secret-managed integrations, tenant quotas, retention jobs</w:t>
            </w:r>
          </w:p>
        </w:tc>
        <w:tc>
          <w:tcPr>
            <w:tcW w:type="dxa" w:w="2340"/>
            <w:tcMar>
              <w:top w:w="80" w:type="dxa"/>
              <w:start w:w="120" w:type="dxa"/>
              <w:bottom w:w="80" w:type="dxa"/>
              <w:end w:w="120" w:type="dxa"/>
            </w:tcMar>
          </w:tcPr>
          <w:p>
            <w:pPr>
              <w:spacing w:after="0" w:line="240" w:lineRule="auto"/>
            </w:pPr>
            <w:r>
              <w:rPr>
                <w:sz w:val="15"/>
              </w:rPr>
              <w:t>Partial</w:t>
            </w:r>
          </w:p>
        </w:tc>
      </w:tr>
      <w:tr>
        <w:trPr>
          <w:cantSplit/>
        </w:trPr>
        <w:tc>
          <w:tcPr>
            <w:tcW w:type="dxa" w:w="2340"/>
            <w:tcMar>
              <w:top w:w="80" w:type="dxa"/>
              <w:start w:w="120" w:type="dxa"/>
              <w:bottom w:w="80" w:type="dxa"/>
              <w:end w:w="120" w:type="dxa"/>
            </w:tcMar>
          </w:tcPr>
          <w:p>
            <w:pPr>
              <w:spacing w:after="0" w:line="240" w:lineRule="auto"/>
            </w:pPr>
            <w:r>
              <w:rPr>
                <w:sz w:val="15"/>
              </w:rPr>
              <w:t>Disaster recovery</w:t>
            </w:r>
          </w:p>
        </w:tc>
        <w:tc>
          <w:tcPr>
            <w:tcW w:type="dxa" w:w="2340"/>
            <w:tcMar>
              <w:top w:w="80" w:type="dxa"/>
              <w:start w:w="120" w:type="dxa"/>
              <w:bottom w:w="80" w:type="dxa"/>
              <w:end w:w="120" w:type="dxa"/>
            </w:tcMar>
          </w:tcPr>
          <w:p>
            <w:pPr>
              <w:spacing w:after="0" w:line="240" w:lineRule="auto"/>
            </w:pPr>
            <w:r>
              <w:rPr>
                <w:sz w:val="15"/>
              </w:rPr>
              <w:t>Immutable application build plus verified backup restore</w:t>
            </w:r>
          </w:p>
        </w:tc>
        <w:tc>
          <w:tcPr>
            <w:tcW w:type="dxa" w:w="2340"/>
            <w:tcMar>
              <w:top w:w="80" w:type="dxa"/>
              <w:start w:w="120" w:type="dxa"/>
              <w:bottom w:w="80" w:type="dxa"/>
              <w:end w:w="120" w:type="dxa"/>
            </w:tcMar>
          </w:tcPr>
          <w:p>
            <w:pPr>
              <w:spacing w:after="0" w:line="240" w:lineRule="auto"/>
            </w:pPr>
            <w:r>
              <w:rPr>
                <w:sz w:val="15"/>
              </w:rPr>
              <w:t>Secrets restored through secret manager</w:t>
            </w:r>
          </w:p>
        </w:tc>
        <w:tc>
          <w:tcPr>
            <w:tcW w:type="dxa" w:w="2340"/>
            <w:tcMar>
              <w:top w:w="80" w:type="dxa"/>
              <w:start w:w="120" w:type="dxa"/>
              <w:bottom w:w="80" w:type="dxa"/>
              <w:end w:w="120" w:type="dxa"/>
            </w:tcMar>
          </w:tcPr>
          <w:p>
            <w:pPr>
              <w:spacing w:after="0" w:line="240" w:lineRule="auto"/>
            </w:pPr>
            <w:r>
              <w:rPr>
                <w:sz w:val="15"/>
              </w:rPr>
              <w:t>Required</w:t>
            </w:r>
          </w:p>
        </w:tc>
      </w:tr>
    </w:tbl>
    <w:p>
      <w:pPr>
        <w:spacing w:after="0"/>
      </w:pPr>
    </w:p>
    <w:p>
      <w:pPr>
        <w:pStyle w:val="Heading2"/>
        <w:pageBreakBefore/>
        <w:spacing w:before="840"/>
      </w:pPr>
      <w:r>
        <w:t>14.2 Operational requirements</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OPS-001</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Production infrastructure shall provision web, managed PostgreSQL, durable worker/queue, scheduler, backups, and monitoring.</w:t>
            </w:r>
          </w:p>
        </w:tc>
        <w:tc>
          <w:tcPr>
            <w:tcW w:type="dxa" w:w="2340"/>
            <w:tcMar>
              <w:top w:w="90" w:type="dxa"/>
              <w:start w:w="105" w:type="dxa"/>
              <w:bottom w:w="90" w:type="dxa"/>
              <w:end w:w="105" w:type="dxa"/>
            </w:tcMar>
            <w:vAlign w:val="top"/>
          </w:tcPr>
          <w:p>
            <w:pPr>
              <w:pStyle w:val="RequirementText"/>
              <w:spacing w:after="0"/>
            </w:pPr>
            <w:r>
              <w:t>Infrastructure definition deploys all components; DATABASE_URL and stable encryption/database identity settings are bound correctly.</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OPS-002</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Liveness and readiness shall be separate and expose no unnecessary database identity or secret context.</w:t>
            </w:r>
          </w:p>
        </w:tc>
        <w:tc>
          <w:tcPr>
            <w:tcW w:type="dxa" w:w="2340"/>
            <w:tcMar>
              <w:top w:w="90" w:type="dxa"/>
              <w:start w:w="105" w:type="dxa"/>
              <w:bottom w:w="90" w:type="dxa"/>
              <w:end w:w="105" w:type="dxa"/>
            </w:tcMar>
            <w:vAlign w:val="top"/>
          </w:tcPr>
          <w:p>
            <w:pPr>
              <w:pStyle w:val="RequirementText"/>
              <w:spacing w:after="0"/>
            </w:pPr>
            <w:r>
              <w:t>Liveness checks process; readiness checks database/queue dependencies; provider state is reported separately.</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OPS-003</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The container shall run as a non-root user, copy only required artifacts, include a health check, and use a .dockerignore.</w:t>
            </w:r>
          </w:p>
        </w:tc>
        <w:tc>
          <w:tcPr>
            <w:tcW w:type="dxa" w:w="2340"/>
            <w:tcMar>
              <w:top w:w="90" w:type="dxa"/>
              <w:start w:w="105" w:type="dxa"/>
              <w:bottom w:w="90" w:type="dxa"/>
              <w:end w:w="105" w:type="dxa"/>
            </w:tcMar>
            <w:vAlign w:val="top"/>
          </w:tcPr>
          <w:p>
            <w:pPr>
              <w:pStyle w:val="RequirementText"/>
              <w:spacing w:after="0"/>
            </w:pPr>
            <w:r>
              <w:t>Image contains no .git, local DB, .env, tests, or unnecessary large assets; scanner and runtime tests pass.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OPS-004</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Python/runtime and dependencies shall be pinned and reproducible across local, CI, Docker, and Render.</w:t>
            </w:r>
          </w:p>
        </w:tc>
        <w:tc>
          <w:tcPr>
            <w:tcW w:type="dxa" w:w="2340"/>
            <w:tcMar>
              <w:top w:w="90" w:type="dxa"/>
              <w:start w:w="105" w:type="dxa"/>
              <w:bottom w:w="90" w:type="dxa"/>
              <w:end w:w="105" w:type="dxa"/>
            </w:tcMar>
            <w:vAlign w:val="top"/>
          </w:tcPr>
          <w:p>
            <w:pPr>
              <w:pStyle w:val="RequirementText"/>
              <w:spacing w:after="0"/>
            </w:pPr>
            <w:r>
              <w:t>Lock/hashes and runtime version produce one immutable artifact; automated updates run with tests.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OPS-005</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Structured logs shall redact secrets and include request_id, user/tenant where permitted, project, job, provider, outcome, and duration.</w:t>
            </w:r>
          </w:p>
        </w:tc>
        <w:tc>
          <w:tcPr>
            <w:tcW w:type="dxa" w:w="2340"/>
            <w:tcMar>
              <w:top w:w="90" w:type="dxa"/>
              <w:start w:w="105" w:type="dxa"/>
              <w:bottom w:w="90" w:type="dxa"/>
              <w:end w:w="105" w:type="dxa"/>
            </w:tcMar>
            <w:vAlign w:val="top"/>
          </w:tcPr>
          <w:p>
            <w:pPr>
              <w:pStyle w:val="RequirementText"/>
              <w:spacing w:after="0"/>
            </w:pPr>
            <w:r>
              <w:t>Automated redaction test covers OAuth/API keys, DATABASE_URL, email, raw answers, and configured prompt privacy.</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OPS-006</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Operational dashboards and alerts shall cover HTTP health, queue depth/age, job/provider success and latency, spend, DB pool, OAuth refresh, and backup status.</w:t>
            </w:r>
          </w:p>
        </w:tc>
        <w:tc>
          <w:tcPr>
            <w:tcW w:type="dxa" w:w="2340"/>
            <w:tcMar>
              <w:top w:w="90" w:type="dxa"/>
              <w:start w:w="105" w:type="dxa"/>
              <w:bottom w:w="90" w:type="dxa"/>
              <w:end w:w="105" w:type="dxa"/>
            </w:tcMar>
            <w:vAlign w:val="top"/>
          </w:tcPr>
          <w:p>
            <w:pPr>
              <w:pStyle w:val="RequirementText"/>
              <w:spacing w:after="0"/>
            </w:pPr>
            <w:r>
              <w:t>Test alerts route correctly and each alert links to a runbook.</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OPS-007</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Backups, restore, rollback, incident response, secret rotation, provider outage, and data deletion shall have tested runbooks.</w:t>
            </w:r>
          </w:p>
        </w:tc>
        <w:tc>
          <w:tcPr>
            <w:tcW w:type="dxa" w:w="2340"/>
            <w:tcMar>
              <w:top w:w="90" w:type="dxa"/>
              <w:start w:w="105" w:type="dxa"/>
              <w:bottom w:w="90" w:type="dxa"/>
              <w:end w:w="105" w:type="dxa"/>
            </w:tcMar>
            <w:vAlign w:val="top"/>
          </w:tcPr>
          <w:p>
            <w:pPr>
              <w:pStyle w:val="RequirementText"/>
              <w:spacing w:after="0"/>
            </w:pPr>
            <w:r>
              <w:t>Quarterly exercise meets RPO/RTO and records evidence, owners, gaps, and remediation.</w:t>
            </w:r>
          </w:p>
        </w:tc>
      </w:tr>
    </w:tbl>
    <w:p>
      <w:r>
        <w:br w:type="page"/>
      </w:r>
    </w:p>
    <w:p>
      <w:pPr>
        <w:spacing w:after="640"/>
      </w:pPr>
      <w:r>
        <w:rPr>
          <w:sz w:val="2"/>
        </w:rPr>
        <w:t xml:space="preserve"> </w:t>
      </w:r>
    </w:p>
    <w:p>
      <w:pPr>
        <w:pStyle w:val="Heading2"/>
      </w:pPr>
      <w:r>
        <w:t>14.2 Operational requirements (continued)</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OPS-008</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Jobs shall support leases, heartbeat, bounded retry/backoff, cancellation, dead-letter state, idempotency, and cost quotas.</w:t>
            </w:r>
          </w:p>
        </w:tc>
        <w:tc>
          <w:tcPr>
            <w:tcW w:type="dxa" w:w="2340"/>
            <w:tcMar>
              <w:top w:w="90" w:type="dxa"/>
              <w:start w:w="105" w:type="dxa"/>
              <w:bottom w:w="90" w:type="dxa"/>
              <w:end w:w="105" w:type="dxa"/>
            </w:tcMar>
            <w:vAlign w:val="top"/>
          </w:tcPr>
          <w:p>
            <w:pPr>
              <w:pStyle w:val="RequirementText"/>
              <w:spacing w:after="0"/>
            </w:pPr>
            <w:r>
              <w:t>Worker-restart/concurrency tests produce one final result and no lost job.</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OPS-009</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Calendar-aware schedules shall use user timezone and distributed locking.</w:t>
            </w:r>
          </w:p>
        </w:tc>
        <w:tc>
          <w:tcPr>
            <w:tcW w:type="dxa" w:w="2340"/>
            <w:tcMar>
              <w:top w:w="90" w:type="dxa"/>
              <w:start w:w="105" w:type="dxa"/>
              <w:bottom w:w="90" w:type="dxa"/>
              <w:end w:w="105" w:type="dxa"/>
            </w:tcMar>
            <w:vAlign w:val="top"/>
          </w:tcPr>
          <w:p>
            <w:pPr>
              <w:pStyle w:val="RequirementText"/>
              <w:spacing w:after="0"/>
            </w:pPr>
            <w:r>
              <w:t>Concurrent schedulers create at most one due job per project/window; DST/month boundary cases pass.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OPS-010</w:t>
            </w:r>
          </w:p>
        </w:tc>
        <w:tc>
          <w:tcPr>
            <w:tcW w:type="dxa" w:w="2340"/>
            <w:tcMar>
              <w:top w:w="90" w:type="dxa"/>
              <w:start w:w="105" w:type="dxa"/>
              <w:bottom w:w="90" w:type="dxa"/>
              <w:end w:w="105" w:type="dxa"/>
            </w:tcMar>
            <w:vAlign w:val="top"/>
            <w:shd w:fill="EAF2F8"/>
          </w:tcPr>
          <w:p>
            <w:pPr>
              <w:pStyle w:val="RequirementText"/>
              <w:spacing w:after="0"/>
            </w:pPr>
            <w:r>
              <w:rPr>
                <w:b/>
              </w:rPr>
              <w:t>P2</w:t>
            </w:r>
          </w:p>
        </w:tc>
        <w:tc>
          <w:tcPr>
            <w:tcW w:type="dxa" w:w="2340"/>
            <w:tcMar>
              <w:top w:w="90" w:type="dxa"/>
              <w:start w:w="105" w:type="dxa"/>
              <w:bottom w:w="90" w:type="dxa"/>
              <w:end w:w="105" w:type="dxa"/>
            </w:tcMar>
            <w:vAlign w:val="top"/>
          </w:tcPr>
          <w:p>
            <w:pPr>
              <w:pStyle w:val="RequirementText"/>
              <w:spacing w:after="0"/>
            </w:pPr>
            <w:r>
              <w:t>Static third-party libraries should be self-hosted or controlled by an approved dependency/CSP policy.</w:t>
            </w:r>
          </w:p>
        </w:tc>
        <w:tc>
          <w:tcPr>
            <w:tcW w:type="dxa" w:w="2340"/>
            <w:tcMar>
              <w:top w:w="90" w:type="dxa"/>
              <w:start w:w="105" w:type="dxa"/>
              <w:bottom w:w="90" w:type="dxa"/>
              <w:end w:w="105" w:type="dxa"/>
            </w:tcMar>
            <w:vAlign w:val="top"/>
          </w:tcPr>
          <w:p>
            <w:pPr>
              <w:pStyle w:val="RequirementText"/>
              <w:spacing w:after="0"/>
            </w:pPr>
            <w:r>
              <w:t>Three.js and other runtime assets load under CSP and remain available without an uncontrolled CDN dependency.</w:t>
            </w:r>
          </w:p>
        </w:tc>
      </w:tr>
    </w:tbl>
    <w:p>
      <w:pPr>
        <w:spacing w:after="0"/>
      </w:pPr>
    </w:p>
    <w:p>
      <w:bookmarkStart w:id="15" w:name="quality"/>
      <w:pPr>
        <w:pStyle w:val="Heading1"/>
        <w:pageBreakBefore/>
        <w:spacing w:before="840"/>
      </w:pPr>
      <w:r>
        <w:t>15. Quality and test strategy</w:t>
      </w:r>
      <w:bookmarkEnd w:id="15"/>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4680"/>
        <w:gridCol w:w="4680"/>
      </w:tblGrid>
      <w:tr>
        <w:trPr>
          <w:tblHeader w:val="true"/>
        </w:trPr>
        <w:tc>
          <w:tcPr>
            <w:tcW w:type="dxa" w:w="2000"/>
            <w:shd w:fill="F5F6F7"/>
            <w:tcMar>
              <w:top w:w="80" w:type="dxa"/>
              <w:start w:w="120" w:type="dxa"/>
              <w:bottom w:w="80" w:type="dxa"/>
              <w:end w:w="120" w:type="dxa"/>
            </w:tcMar>
          </w:tcPr>
          <w:p>
            <w:pPr>
              <w:spacing w:after="0"/>
            </w:pPr>
            <w:r>
              <w:rPr>
                <w:b/>
                <w:color w:val="171717"/>
                <w:sz w:val="16"/>
              </w:rPr>
              <w:t>Layer</w:t>
            </w:r>
          </w:p>
        </w:tc>
        <w:tc>
          <w:tcPr>
            <w:tcW w:type="dxa" w:w="7360"/>
            <w:shd w:fill="F5F6F7"/>
            <w:tcMar>
              <w:top w:w="80" w:type="dxa"/>
              <w:start w:w="120" w:type="dxa"/>
              <w:bottom w:w="80" w:type="dxa"/>
              <w:end w:w="120" w:type="dxa"/>
            </w:tcMar>
          </w:tcPr>
          <w:p>
            <w:pPr>
              <w:spacing w:after="0"/>
            </w:pPr>
            <w:r>
              <w:rPr>
                <w:b/>
                <w:color w:val="171717"/>
                <w:sz w:val="16"/>
              </w:rPr>
              <w:t>Required coverage</w:t>
            </w:r>
          </w:p>
        </w:tc>
      </w:tr>
      <w:tr>
        <w:trPr>
          <w:cantSplit/>
        </w:trPr>
        <w:tc>
          <w:tcPr>
            <w:tcW w:type="dxa" w:w="4680"/>
            <w:tcMar>
              <w:top w:w="80" w:type="dxa"/>
              <w:start w:w="120" w:type="dxa"/>
              <w:bottom w:w="80" w:type="dxa"/>
              <w:end w:w="120" w:type="dxa"/>
            </w:tcMar>
          </w:tcPr>
          <w:p>
            <w:pPr>
              <w:spacing w:after="0" w:line="240" w:lineRule="auto"/>
            </w:pPr>
            <w:r>
              <w:rPr>
                <w:sz w:val="16"/>
              </w:rPr>
              <w:t>Unit</w:t>
            </w:r>
          </w:p>
        </w:tc>
        <w:tc>
          <w:tcPr>
            <w:tcW w:type="dxa" w:w="4680"/>
            <w:tcMar>
              <w:top w:w="80" w:type="dxa"/>
              <w:start w:w="120" w:type="dxa"/>
              <w:bottom w:w="80" w:type="dxa"/>
              <w:end w:w="120" w:type="dxa"/>
            </w:tcMar>
          </w:tcPr>
          <w:p>
            <w:pPr>
              <w:spacing w:after="0" w:line="240" w:lineRule="auto"/>
            </w:pPr>
            <w:r>
              <w:rPr>
                <w:sz w:val="16"/>
              </w:rPr>
              <w:t>URL/DNS safety; crawl/parser/sitemap edge cases; scoring; metric denominators; schedule/timezone; retention; evidence reference validation.</w:t>
            </w:r>
          </w:p>
        </w:tc>
      </w:tr>
      <w:tr>
        <w:trPr>
          <w:cantSplit/>
        </w:trPr>
        <w:tc>
          <w:tcPr>
            <w:tcW w:type="dxa" w:w="4680"/>
            <w:tcMar>
              <w:top w:w="80" w:type="dxa"/>
              <w:start w:w="120" w:type="dxa"/>
              <w:bottom w:w="80" w:type="dxa"/>
              <w:end w:w="120" w:type="dxa"/>
            </w:tcMar>
          </w:tcPr>
          <w:p>
            <w:pPr>
              <w:spacing w:after="0" w:line="240" w:lineRule="auto"/>
            </w:pPr>
            <w:r>
              <w:rPr>
                <w:sz w:val="16"/>
              </w:rPr>
              <w:t>Database integration</w:t>
            </w:r>
          </w:p>
        </w:tc>
        <w:tc>
          <w:tcPr>
            <w:tcW w:type="dxa" w:w="4680"/>
            <w:tcMar>
              <w:top w:w="80" w:type="dxa"/>
              <w:start w:w="120" w:type="dxa"/>
              <w:bottom w:w="80" w:type="dxa"/>
              <w:end w:w="120" w:type="dxa"/>
            </w:tcMar>
          </w:tcPr>
          <w:p>
            <w:pPr>
              <w:spacing w:after="0" w:line="240" w:lineRule="auto"/>
            </w:pPr>
            <w:r>
              <w:rPr>
                <w:sz w:val="16"/>
              </w:rPr>
              <w:t>PostgreSQL migrations, foreign keys, uniqueness/indexes, tenant isolation, transactional delete, concurrent claiming, idempotency, retention.</w:t>
            </w:r>
          </w:p>
        </w:tc>
      </w:tr>
      <w:tr>
        <w:trPr>
          <w:cantSplit/>
        </w:trPr>
        <w:tc>
          <w:tcPr>
            <w:tcW w:type="dxa" w:w="4680"/>
            <w:tcMar>
              <w:top w:w="80" w:type="dxa"/>
              <w:start w:w="120" w:type="dxa"/>
              <w:bottom w:w="80" w:type="dxa"/>
              <w:end w:w="120" w:type="dxa"/>
            </w:tcMar>
          </w:tcPr>
          <w:p>
            <w:pPr>
              <w:spacing w:after="0" w:line="240" w:lineRule="auto"/>
            </w:pPr>
            <w:r>
              <w:rPr>
                <w:sz w:val="16"/>
              </w:rPr>
              <w:t>API integration</w:t>
            </w:r>
          </w:p>
        </w:tc>
        <w:tc>
          <w:tcPr>
            <w:tcW w:type="dxa" w:w="4680"/>
            <w:tcMar>
              <w:top w:w="80" w:type="dxa"/>
              <w:start w:w="120" w:type="dxa"/>
              <w:bottom w:w="80" w:type="dxa"/>
              <w:end w:w="120" w:type="dxa"/>
            </w:tcMar>
          </w:tcPr>
          <w:p>
            <w:pPr>
              <w:spacing w:after="0" w:line="240" w:lineRule="auto"/>
            </w:pPr>
            <w:r>
              <w:rPr>
                <w:sz w:val="16"/>
              </w:rPr>
              <w:t>Auth lifecycle, CSRF, rate limits, RBAC, contact privacy, ownership/IDOR, validation, pagination, error envelope, export.</w:t>
            </w:r>
          </w:p>
        </w:tc>
      </w:tr>
      <w:tr>
        <w:trPr>
          <w:cantSplit/>
        </w:trPr>
        <w:tc>
          <w:tcPr>
            <w:tcW w:type="dxa" w:w="4680"/>
            <w:tcMar>
              <w:top w:w="80" w:type="dxa"/>
              <w:start w:w="120" w:type="dxa"/>
              <w:bottom w:w="80" w:type="dxa"/>
              <w:end w:w="120" w:type="dxa"/>
            </w:tcMar>
          </w:tcPr>
          <w:p>
            <w:pPr>
              <w:spacing w:after="0" w:line="240" w:lineRule="auto"/>
            </w:pPr>
            <w:r>
              <w:rPr>
                <w:sz w:val="16"/>
              </w:rPr>
              <w:t>Provider contract</w:t>
            </w:r>
          </w:p>
        </w:tc>
        <w:tc>
          <w:tcPr>
            <w:tcW w:type="dxa" w:w="4680"/>
            <w:tcMar>
              <w:top w:w="80" w:type="dxa"/>
              <w:start w:w="120" w:type="dxa"/>
              <w:bottom w:w="80" w:type="dxa"/>
              <w:end w:w="120" w:type="dxa"/>
            </w:tcMar>
          </w:tcPr>
          <w:p>
            <w:pPr>
              <w:spacing w:after="0" w:line="240" w:lineRule="auto"/>
            </w:pPr>
            <w:r>
              <w:rPr>
                <w:sz w:val="16"/>
              </w:rPr>
              <w:t>Google OAuth/refresh/GSC pagination; Perplexity success/partial/error/malformed; HF/Ollama malformed grounding; timeouts, quotas, retries.</w:t>
            </w:r>
          </w:p>
        </w:tc>
      </w:tr>
      <w:tr>
        <w:trPr>
          <w:cantSplit/>
        </w:trPr>
        <w:tc>
          <w:tcPr>
            <w:tcW w:type="dxa" w:w="4680"/>
            <w:tcMar>
              <w:top w:w="80" w:type="dxa"/>
              <w:start w:w="120" w:type="dxa"/>
              <w:bottom w:w="80" w:type="dxa"/>
              <w:end w:w="120" w:type="dxa"/>
            </w:tcMar>
          </w:tcPr>
          <w:p>
            <w:pPr>
              <w:spacing w:after="0" w:line="240" w:lineRule="auto"/>
            </w:pPr>
            <w:r>
              <w:rPr>
                <w:sz w:val="16"/>
              </w:rPr>
              <w:t>End to end</w:t>
            </w:r>
          </w:p>
        </w:tc>
        <w:tc>
          <w:tcPr>
            <w:tcW w:type="dxa" w:w="4680"/>
            <w:tcMar>
              <w:top w:w="80" w:type="dxa"/>
              <w:start w:w="120" w:type="dxa"/>
              <w:bottom w:w="80" w:type="dxa"/>
              <w:end w:w="120" w:type="dxa"/>
            </w:tcMar>
          </w:tcPr>
          <w:p>
            <w:pPr>
              <w:spacing w:after="0" w:line="240" w:lineRule="auto"/>
            </w:pPr>
            <w:r>
              <w:rPr>
                <w:sz w:val="16"/>
              </w:rPr>
              <w:t>Register/login/return path; master setup; audit lifecycle; GSC; prompt scan/evidence; content handoff; export; mobile navigation; offline/update.</w:t>
            </w:r>
          </w:p>
        </w:tc>
      </w:tr>
      <w:tr>
        <w:trPr>
          <w:cantSplit/>
        </w:trPr>
        <w:tc>
          <w:tcPr>
            <w:tcW w:type="dxa" w:w="4680"/>
            <w:tcMar>
              <w:top w:w="80" w:type="dxa"/>
              <w:start w:w="120" w:type="dxa"/>
              <w:bottom w:w="80" w:type="dxa"/>
              <w:end w:w="120" w:type="dxa"/>
            </w:tcMar>
          </w:tcPr>
          <w:p>
            <w:pPr>
              <w:spacing w:after="0" w:line="240" w:lineRule="auto"/>
            </w:pPr>
            <w:r>
              <w:rPr>
                <w:sz w:val="16"/>
              </w:rPr>
              <w:t>Security</w:t>
            </w:r>
          </w:p>
        </w:tc>
        <w:tc>
          <w:tcPr>
            <w:tcW w:type="dxa" w:w="4680"/>
            <w:tcMar>
              <w:top w:w="80" w:type="dxa"/>
              <w:start w:w="120" w:type="dxa"/>
              <w:bottom w:w="80" w:type="dxa"/>
              <w:end w:w="120" w:type="dxa"/>
            </w:tcMar>
          </w:tcPr>
          <w:p>
            <w:pPr>
              <w:spacing w:after="0" w:line="240" w:lineRule="auto"/>
            </w:pPr>
            <w:r>
              <w:rPr>
                <w:sz w:val="16"/>
              </w:rPr>
              <w:t>Sensitive-path enumeration, SSRF/rebinding, XSS, CSRF, fixation, brute force, IDOR, secret/dependency/container scans, DAST.</w:t>
            </w:r>
          </w:p>
        </w:tc>
      </w:tr>
      <w:tr>
        <w:trPr>
          <w:cantSplit/>
        </w:trPr>
        <w:tc>
          <w:tcPr>
            <w:tcW w:type="dxa" w:w="4680"/>
            <w:tcMar>
              <w:top w:w="80" w:type="dxa"/>
              <w:start w:w="120" w:type="dxa"/>
              <w:bottom w:w="80" w:type="dxa"/>
              <w:end w:w="120" w:type="dxa"/>
            </w:tcMar>
          </w:tcPr>
          <w:p>
            <w:pPr>
              <w:spacing w:after="0" w:line="240" w:lineRule="auto"/>
            </w:pPr>
            <w:r>
              <w:rPr>
                <w:sz w:val="16"/>
              </w:rPr>
              <w:t>Accessibility</w:t>
            </w:r>
          </w:p>
        </w:tc>
        <w:tc>
          <w:tcPr>
            <w:tcW w:type="dxa" w:w="4680"/>
            <w:tcMar>
              <w:top w:w="80" w:type="dxa"/>
              <w:start w:w="120" w:type="dxa"/>
              <w:bottom w:w="80" w:type="dxa"/>
              <w:end w:w="120" w:type="dxa"/>
            </w:tcMar>
          </w:tcPr>
          <w:p>
            <w:pPr>
              <w:spacing w:after="0" w:line="240" w:lineRule="auto"/>
            </w:pPr>
            <w:r>
              <w:rPr>
                <w:sz w:val="16"/>
              </w:rPr>
              <w:t>Automated axe plus keyboard, screen reader, high contrast, reduced motion, 200% zoom, and responsive data-table review.</w:t>
            </w:r>
          </w:p>
        </w:tc>
      </w:tr>
      <w:tr>
        <w:trPr>
          <w:cantSplit/>
        </w:trPr>
        <w:tc>
          <w:tcPr>
            <w:tcW w:type="dxa" w:w="4680"/>
            <w:tcMar>
              <w:top w:w="80" w:type="dxa"/>
              <w:start w:w="120" w:type="dxa"/>
              <w:bottom w:w="80" w:type="dxa"/>
              <w:end w:w="120" w:type="dxa"/>
            </w:tcMar>
          </w:tcPr>
          <w:p>
            <w:pPr>
              <w:spacing w:after="0" w:line="240" w:lineRule="auto"/>
            </w:pPr>
            <w:r>
              <w:rPr>
                <w:sz w:val="16"/>
              </w:rPr>
              <w:t>Performance/resilience</w:t>
            </w:r>
          </w:p>
        </w:tc>
        <w:tc>
          <w:tcPr>
            <w:tcW w:type="dxa" w:w="4680"/>
            <w:tcMar>
              <w:top w:w="80" w:type="dxa"/>
              <w:start w:w="120" w:type="dxa"/>
              <w:bottom w:w="80" w:type="dxa"/>
              <w:end w:w="120" w:type="dxa"/>
            </w:tcMar>
          </w:tcPr>
          <w:p>
            <w:pPr>
              <w:spacing w:after="0" w:line="240" w:lineRule="auto"/>
            </w:pPr>
            <w:r>
              <w:rPr>
                <w:sz w:val="16"/>
              </w:rPr>
              <w:t>Dashboard load, crawl bounds, concurrent jobs, provider outage, worker restart, database failover, queue recovery, backup restore.</w:t>
            </w:r>
          </w:p>
        </w:tc>
      </w:tr>
    </w:tbl>
    <w:p>
      <w:pPr>
        <w:spacing w:after="0"/>
      </w:pP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960"/>
            <w:shd w:fill="171717"/>
            <w:tcMar>
              <w:top w:w="90" w:type="dxa"/>
              <w:start w:w="120" w:type="dxa"/>
              <w:bottom w:w="90" w:type="dxa"/>
              <w:end w:w="120" w:type="dxa"/>
            </w:tcMar>
          </w:tcPr>
          <w:p>
            <w:pPr>
              <w:spacing w:after="0"/>
            </w:pPr>
            <w:r>
              <w:rPr>
                <w:b/>
                <w:color w:val="FFFFFF"/>
                <w:sz w:val="16"/>
              </w:rPr>
              <w:t>ID</w:t>
            </w:r>
          </w:p>
        </w:tc>
        <w:tc>
          <w:tcPr>
            <w:tcW w:type="dxa" w:w="520"/>
            <w:shd w:fill="171717"/>
            <w:tcMar>
              <w:top w:w="90" w:type="dxa"/>
              <w:start w:w="120" w:type="dxa"/>
              <w:bottom w:w="90" w:type="dxa"/>
              <w:end w:w="120" w:type="dxa"/>
            </w:tcMar>
          </w:tcPr>
          <w:p>
            <w:pPr>
              <w:spacing w:after="0"/>
            </w:pPr>
            <w:r>
              <w:rPr>
                <w:b/>
                <w:color w:val="FFFFFF"/>
                <w:sz w:val="16"/>
              </w:rPr>
              <w:t>Pri</w:t>
            </w:r>
          </w:p>
        </w:tc>
        <w:tc>
          <w:tcPr>
            <w:tcW w:type="dxa" w:w="4620"/>
            <w:shd w:fill="171717"/>
            <w:tcMar>
              <w:top w:w="90" w:type="dxa"/>
              <w:start w:w="120" w:type="dxa"/>
              <w:bottom w:w="90" w:type="dxa"/>
              <w:end w:w="120" w:type="dxa"/>
            </w:tcMar>
          </w:tcPr>
          <w:p>
            <w:pPr>
              <w:spacing w:after="0"/>
            </w:pPr>
            <w:r>
              <w:rPr>
                <w:b/>
                <w:color w:val="FFFFFF"/>
                <w:sz w:val="16"/>
              </w:rPr>
              <w:t>Requirement</w:t>
            </w:r>
          </w:p>
        </w:tc>
        <w:tc>
          <w:tcPr>
            <w:tcW w:type="dxa" w:w="3260"/>
            <w:shd w:fill="171717"/>
            <w:tcMar>
              <w:top w:w="90" w:type="dxa"/>
              <w:start w:w="120" w:type="dxa"/>
              <w:bottom w:w="90" w:type="dxa"/>
              <w:end w:w="120" w:type="dxa"/>
            </w:tcMar>
          </w:tcPr>
          <w:p>
            <w:pPr>
              <w:spacing w:after="0"/>
            </w:pPr>
            <w:r>
              <w:rPr>
                <w:b/>
                <w:color w:val="FFFFFF"/>
                <w:sz w:val="16"/>
              </w:rPr>
              <w:t>Verification / acceptance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TEST-001</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CI shall run on every change and block merge on formatting/lint, unit, PostgreSQL integration, API, frontend/E2E, accessibility, and security gates.</w:t>
            </w:r>
          </w:p>
        </w:tc>
        <w:tc>
          <w:tcPr>
            <w:tcW w:type="dxa" w:w="2340"/>
            <w:tcMar>
              <w:top w:w="90" w:type="dxa"/>
              <w:start w:w="105" w:type="dxa"/>
              <w:bottom w:w="90" w:type="dxa"/>
              <w:end w:w="105" w:type="dxa"/>
            </w:tcMar>
            <w:vAlign w:val="top"/>
          </w:tcPr>
          <w:p>
            <w:pPr>
              <w:pStyle w:val="RequirementText"/>
              <w:spacing w:after="0"/>
            </w:pPr>
            <w:r>
              <w:t>A failing stage blocks merge; provider calls are mocked; artifacts and coverage reports are retained.</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TEST-002</w:t>
            </w:r>
          </w:p>
        </w:tc>
        <w:tc>
          <w:tcPr>
            <w:tcW w:type="dxa" w:w="2340"/>
            <w:tcMar>
              <w:top w:w="90" w:type="dxa"/>
              <w:start w:w="105" w:type="dxa"/>
              <w:bottom w:w="90" w:type="dxa"/>
              <w:end w:w="105" w:type="dxa"/>
            </w:tcMar>
            <w:vAlign w:val="top"/>
            <w:shd w:fill="FDECEC"/>
          </w:tcPr>
          <w:p>
            <w:pPr>
              <w:pStyle w:val="RequirementText"/>
              <w:spacing w:after="0"/>
            </w:pPr>
            <w:r>
              <w:rPr>
                <w:b/>
              </w:rPr>
              <w:t>P0</w:t>
            </w:r>
          </w:p>
        </w:tc>
        <w:tc>
          <w:tcPr>
            <w:tcW w:type="dxa" w:w="2340"/>
            <w:tcMar>
              <w:top w:w="90" w:type="dxa"/>
              <w:start w:w="105" w:type="dxa"/>
              <w:bottom w:w="90" w:type="dxa"/>
              <w:end w:w="105" w:type="dxa"/>
            </w:tcMar>
            <w:vAlign w:val="top"/>
          </w:tcPr>
          <w:p>
            <w:pPr>
              <w:pStyle w:val="RequirementText"/>
              <w:spacing w:after="0"/>
            </w:pPr>
            <w:r>
              <w:t>CI shall include regression tests for every P0 finding in section 3.1.</w:t>
            </w:r>
          </w:p>
        </w:tc>
        <w:tc>
          <w:tcPr>
            <w:tcW w:type="dxa" w:w="2340"/>
            <w:tcMar>
              <w:top w:w="90" w:type="dxa"/>
              <w:start w:w="105" w:type="dxa"/>
              <w:bottom w:w="90" w:type="dxa"/>
              <w:end w:w="105" w:type="dxa"/>
            </w:tcMar>
            <w:vAlign w:val="top"/>
          </w:tcPr>
          <w:p>
            <w:pPr>
              <w:pStyle w:val="RequirementText"/>
              <w:spacing w:after="0"/>
            </w:pPr>
            <w:r>
              <w:t>Sensitive files/contacts/admin/synthetic metrics/deployment topology each have an automated gate.</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TEST-003</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Provider contracts shall use captured sanitized fixtures and adapter-level schema validation.</w:t>
            </w:r>
          </w:p>
        </w:tc>
        <w:tc>
          <w:tcPr>
            <w:tcW w:type="dxa" w:w="2340"/>
            <w:tcMar>
              <w:top w:w="90" w:type="dxa"/>
              <w:start w:w="105" w:type="dxa"/>
              <w:bottom w:w="90" w:type="dxa"/>
              <w:end w:w="105" w:type="dxa"/>
            </w:tcMar>
            <w:vAlign w:val="top"/>
          </w:tcPr>
          <w:p>
            <w:pPr>
              <w:pStyle w:val="RequirementText"/>
              <w:spacing w:after="0"/>
            </w:pPr>
            <w:r>
              <w:t>Fixture suite covers current and legacy provider shapes without storing credentials or customer data.</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TEST-004</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Migration rehearsals shall run against a production-like database clone before release.</w:t>
            </w:r>
          </w:p>
        </w:tc>
        <w:tc>
          <w:tcPr>
            <w:tcW w:type="dxa" w:w="2340"/>
            <w:tcMar>
              <w:top w:w="90" w:type="dxa"/>
              <w:start w:w="105" w:type="dxa"/>
              <w:bottom w:w="90" w:type="dxa"/>
              <w:end w:w="105" w:type="dxa"/>
            </w:tcMar>
            <w:vAlign w:val="top"/>
          </w:tcPr>
          <w:p>
            <w:pPr>
              <w:pStyle w:val="RequirementText"/>
              <w:spacing w:after="0"/>
            </w:pPr>
            <w:r>
              <w:t>Pre/post row counts, constraints, performance, rollback decision, and backup checkpoint are recorded.</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TEST-005</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Release candidates shall pass staging smoke tests and a documented production-readiness checklist.</w:t>
            </w:r>
          </w:p>
        </w:tc>
        <w:tc>
          <w:tcPr>
            <w:tcW w:type="dxa" w:w="2340"/>
            <w:tcMar>
              <w:top w:w="90" w:type="dxa"/>
              <w:start w:w="105" w:type="dxa"/>
              <w:bottom w:w="90" w:type="dxa"/>
              <w:end w:w="105" w:type="dxa"/>
            </w:tcMar>
            <w:vAlign w:val="top"/>
          </w:tcPr>
          <w:p>
            <w:pPr>
              <w:pStyle w:val="RequirementText"/>
              <w:spacing w:after="0"/>
            </w:pPr>
            <w:r>
              <w:t>Core journeys, integrations, worker, alerts, backups, and rollback are signed off by named owners.</w:t>
            </w:r>
          </w:p>
        </w:tc>
      </w:tr>
      <w:tr>
        <w:trPr>
          <w:cantSplit/>
        </w:trPr>
        <w:tc>
          <w:tcPr>
            <w:tcW w:type="dxa" w:w="2340"/>
            <w:tcMar>
              <w:top w:w="90" w:type="dxa"/>
              <w:start w:w="105" w:type="dxa"/>
              <w:bottom w:w="90" w:type="dxa"/>
              <w:end w:w="105" w:type="dxa"/>
            </w:tcMar>
            <w:vAlign w:val="top"/>
          </w:tcPr>
          <w:p>
            <w:pPr>
              <w:pStyle w:val="RequirementText"/>
              <w:spacing w:after="0"/>
            </w:pPr>
            <w:r>
              <w:rPr>
                <w:b/>
                <w:color w:val="C84B00"/>
              </w:rPr>
              <w:t>TEST-006</w:t>
            </w:r>
          </w:p>
        </w:tc>
        <w:tc>
          <w:tcPr>
            <w:tcW w:type="dxa" w:w="2340"/>
            <w:tcMar>
              <w:top w:w="90" w:type="dxa"/>
              <w:start w:w="105" w:type="dxa"/>
              <w:bottom w:w="90" w:type="dxa"/>
              <w:end w:w="105" w:type="dxa"/>
            </w:tcMar>
            <w:vAlign w:val="top"/>
            <w:shd w:fill="FFF2E8"/>
          </w:tcPr>
          <w:p>
            <w:pPr>
              <w:pStyle w:val="RequirementText"/>
              <w:spacing w:after="0"/>
            </w:pPr>
            <w:r>
              <w:rPr>
                <w:b/>
              </w:rPr>
              <w:t>P1</w:t>
            </w:r>
          </w:p>
        </w:tc>
        <w:tc>
          <w:tcPr>
            <w:tcW w:type="dxa" w:w="2340"/>
            <w:tcMar>
              <w:top w:w="90" w:type="dxa"/>
              <w:start w:w="105" w:type="dxa"/>
              <w:bottom w:w="90" w:type="dxa"/>
              <w:end w:w="105" w:type="dxa"/>
            </w:tcMar>
            <w:vAlign w:val="top"/>
          </w:tcPr>
          <w:p>
            <w:pPr>
              <w:pStyle w:val="RequirementText"/>
              <w:spacing w:after="0"/>
            </w:pPr>
            <w:r>
              <w:t>Metric correctness shall be tested from raw evidence fixtures independently of presentation code.</w:t>
            </w:r>
          </w:p>
        </w:tc>
        <w:tc>
          <w:tcPr>
            <w:tcW w:type="dxa" w:w="2340"/>
            <w:tcMar>
              <w:top w:w="90" w:type="dxa"/>
              <w:start w:w="105" w:type="dxa"/>
              <w:bottom w:w="90" w:type="dxa"/>
              <w:end w:w="105" w:type="dxa"/>
            </w:tcMar>
            <w:vAlign w:val="top"/>
          </w:tcPr>
          <w:p>
            <w:pPr>
              <w:pStyle w:val="RequirementText"/>
              <w:spacing w:after="0"/>
            </w:pPr>
            <w:r>
              <w:t>Expected numerator/denominator, null, partial, rank, SOV, and comparison cases pass.</w:t>
            </w:r>
          </w:p>
        </w:tc>
      </w:tr>
    </w:tbl>
    <w:p>
      <w:pPr>
        <w:spacing w:after="0"/>
      </w:pPr>
    </w:p>
    <w:p>
      <w:pPr>
        <w:pStyle w:val="Heading2"/>
      </w:pPr>
      <w:r>
        <w:t>15.1 Current test baseline</w:t>
      </w:r>
    </w:p>
    <w:p>
      <w:r>
        <w:t>At audit time, five unittest cases pass. They cover private/non-standard URL rejection, same-site URL canonicalization, unavailable fetch scores, Perplexity answer/source parsing, and evidence-reference validation. They are valuable but insufficient for production confidence.</w:t>
      </w:r>
    </w:p>
    <w:p>
      <w:bookmarkStart w:id="16" w:name="release_plan"/>
      <w:pPr>
        <w:pStyle w:val="Heading1"/>
        <w:pageBreakBefore/>
        <w:spacing w:before="840"/>
      </w:pPr>
      <w:r>
        <w:t>16. Release plan</w:t>
      </w:r>
      <w:bookmarkEnd w:id="16"/>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3120"/>
        <w:gridCol w:w="3120"/>
        <w:gridCol w:w="3120"/>
      </w:tblGrid>
      <w:tr>
        <w:trPr>
          <w:tblHeader w:val="true"/>
        </w:trPr>
        <w:tc>
          <w:tcPr>
            <w:tcW w:type="dxa" w:w="1800"/>
            <w:shd w:fill="F5F6F7"/>
            <w:tcMar>
              <w:top w:w="80" w:type="dxa"/>
              <w:start w:w="120" w:type="dxa"/>
              <w:bottom w:w="80" w:type="dxa"/>
              <w:end w:w="120" w:type="dxa"/>
            </w:tcMar>
          </w:tcPr>
          <w:p>
            <w:pPr>
              <w:spacing w:after="0"/>
            </w:pPr>
            <w:r>
              <w:rPr>
                <w:b/>
                <w:color w:val="171717"/>
                <w:sz w:val="16"/>
              </w:rPr>
              <w:t>Phase</w:t>
            </w:r>
          </w:p>
        </w:tc>
        <w:tc>
          <w:tcPr>
            <w:tcW w:type="dxa" w:w="3530"/>
            <w:shd w:fill="F5F6F7"/>
            <w:tcMar>
              <w:top w:w="80" w:type="dxa"/>
              <w:start w:w="120" w:type="dxa"/>
              <w:bottom w:w="80" w:type="dxa"/>
              <w:end w:w="120" w:type="dxa"/>
            </w:tcMar>
          </w:tcPr>
          <w:p>
            <w:pPr>
              <w:spacing w:after="0"/>
            </w:pPr>
            <w:r>
              <w:rPr>
                <w:b/>
                <w:color w:val="171717"/>
                <w:sz w:val="16"/>
              </w:rPr>
              <w:t>Objective</w:t>
            </w:r>
          </w:p>
        </w:tc>
        <w:tc>
          <w:tcPr>
            <w:tcW w:type="dxa" w:w="4030"/>
            <w:shd w:fill="F5F6F7"/>
            <w:tcMar>
              <w:top w:w="80" w:type="dxa"/>
              <w:start w:w="120" w:type="dxa"/>
              <w:bottom w:w="80" w:type="dxa"/>
              <w:end w:w="120" w:type="dxa"/>
            </w:tcMar>
          </w:tcPr>
          <w:p>
            <w:pPr>
              <w:spacing w:after="0"/>
            </w:pPr>
            <w:r>
              <w:rPr>
                <w:b/>
                <w:color w:val="171717"/>
                <w:sz w:val="16"/>
              </w:rPr>
              <w:t>Exit criteria</w:t>
            </w:r>
          </w:p>
        </w:tc>
      </w:tr>
      <w:tr>
        <w:trPr>
          <w:cantSplit/>
        </w:trPr>
        <w:tc>
          <w:tcPr>
            <w:tcW w:type="dxa" w:w="3120"/>
            <w:tcMar>
              <w:top w:w="80" w:type="dxa"/>
              <w:start w:w="120" w:type="dxa"/>
              <w:bottom w:w="80" w:type="dxa"/>
              <w:end w:w="120" w:type="dxa"/>
            </w:tcMar>
          </w:tcPr>
          <w:p>
            <w:pPr>
              <w:spacing w:after="0" w:line="240" w:lineRule="auto"/>
            </w:pPr>
            <w:r>
              <w:rPr>
                <w:sz w:val="16"/>
              </w:rPr>
              <w:t>Phase 0 — containment</w:t>
            </w:r>
          </w:p>
        </w:tc>
        <w:tc>
          <w:tcPr>
            <w:tcW w:type="dxa" w:w="3120"/>
            <w:tcMar>
              <w:top w:w="80" w:type="dxa"/>
              <w:start w:w="120" w:type="dxa"/>
              <w:bottom w:w="80" w:type="dxa"/>
              <w:end w:w="120" w:type="dxa"/>
            </w:tcMar>
          </w:tcPr>
          <w:p>
            <w:pPr>
              <w:spacing w:after="0" w:line="240" w:lineRule="auto"/>
            </w:pPr>
            <w:r>
              <w:rPr>
                <w:sz w:val="16"/>
              </w:rPr>
              <w:t>Close security/privacy exposure and prevent synthetic data from reaching production-visible measured surfaces.</w:t>
            </w:r>
          </w:p>
        </w:tc>
        <w:tc>
          <w:tcPr>
            <w:tcW w:type="dxa" w:w="3120"/>
            <w:tcMar>
              <w:top w:w="80" w:type="dxa"/>
              <w:start w:w="120" w:type="dxa"/>
              <w:bottom w:w="80" w:type="dxa"/>
              <w:end w:w="120" w:type="dxa"/>
            </w:tcMar>
          </w:tcPr>
          <w:p>
            <w:pPr>
              <w:spacing w:after="0" w:line="240" w:lineRule="auto"/>
            </w:pPr>
            <w:r>
              <w:rPr>
                <w:sz w:val="16"/>
              </w:rPr>
              <w:t>All P0 gates in sections 3.1, 12, and 15 pass.</w:t>
            </w:r>
          </w:p>
        </w:tc>
      </w:tr>
      <w:tr>
        <w:trPr>
          <w:cantSplit/>
        </w:trPr>
        <w:tc>
          <w:tcPr>
            <w:tcW w:type="dxa" w:w="3120"/>
            <w:tcMar>
              <w:top w:w="80" w:type="dxa"/>
              <w:start w:w="120" w:type="dxa"/>
              <w:bottom w:w="80" w:type="dxa"/>
              <w:end w:w="120" w:type="dxa"/>
            </w:tcMar>
          </w:tcPr>
          <w:p>
            <w:pPr>
              <w:spacing w:after="0" w:line="240" w:lineRule="auto"/>
            </w:pPr>
            <w:r>
              <w:rPr>
                <w:sz w:val="16"/>
              </w:rPr>
              <w:t>Phase 1 — production foundation</w:t>
            </w:r>
          </w:p>
        </w:tc>
        <w:tc>
          <w:tcPr>
            <w:tcW w:type="dxa" w:w="3120"/>
            <w:tcMar>
              <w:top w:w="80" w:type="dxa"/>
              <w:start w:w="120" w:type="dxa"/>
              <w:bottom w:w="80" w:type="dxa"/>
              <w:end w:w="120" w:type="dxa"/>
            </w:tcMar>
          </w:tcPr>
          <w:p>
            <w:pPr>
              <w:spacing w:after="0" w:line="240" w:lineRule="auto"/>
            </w:pPr>
            <w:r>
              <w:rPr>
                <w:sz w:val="16"/>
              </w:rPr>
              <w:t>Modular Flask app, /api/v1 contract, Alembic/FKs, RBAC, durable queue, Render topology, CI, observability, backups.</w:t>
            </w:r>
          </w:p>
        </w:tc>
        <w:tc>
          <w:tcPr>
            <w:tcW w:type="dxa" w:w="3120"/>
            <w:tcMar>
              <w:top w:w="80" w:type="dxa"/>
              <w:start w:w="120" w:type="dxa"/>
              <w:bottom w:w="80" w:type="dxa"/>
              <w:end w:w="120" w:type="dxa"/>
            </w:tcMar>
          </w:tcPr>
          <w:p>
            <w:pPr>
              <w:spacing w:after="0" w:line="240" w:lineRule="auto"/>
            </w:pPr>
            <w:r>
              <w:rPr>
                <w:sz w:val="16"/>
              </w:rPr>
              <w:t>Staging matches production topology; recovery and migration rehearsals pass.</w:t>
            </w:r>
          </w:p>
        </w:tc>
      </w:tr>
      <w:tr>
        <w:trPr>
          <w:cantSplit/>
        </w:trPr>
        <w:tc>
          <w:tcPr>
            <w:tcW w:type="dxa" w:w="3120"/>
            <w:tcMar>
              <w:top w:w="80" w:type="dxa"/>
              <w:start w:w="120" w:type="dxa"/>
              <w:bottom w:w="80" w:type="dxa"/>
              <w:end w:w="120" w:type="dxa"/>
            </w:tcMar>
          </w:tcPr>
          <w:p>
            <w:pPr>
              <w:spacing w:after="0" w:line="240" w:lineRule="auto"/>
            </w:pPr>
            <w:r>
              <w:rPr>
                <w:sz w:val="16"/>
              </w:rPr>
              <w:t>Phase 2 — Analytics GA</w:t>
            </w:r>
          </w:p>
        </w:tc>
        <w:tc>
          <w:tcPr>
            <w:tcW w:type="dxa" w:w="3120"/>
            <w:tcMar>
              <w:top w:w="80" w:type="dxa"/>
              <w:start w:w="120" w:type="dxa"/>
              <w:bottom w:w="80" w:type="dxa"/>
              <w:end w:w="120" w:type="dxa"/>
            </w:tcMar>
          </w:tcPr>
          <w:p>
            <w:pPr>
              <w:spacing w:after="0" w:line="240" w:lineRule="auto"/>
            </w:pPr>
            <w:r>
              <w:rPr>
                <w:sz w:val="16"/>
              </w:rPr>
              <w:t>Harden crawl, asynchronous GSC, Perplexity evidence, metric contract, scheduling, export, accessibility, PWA update flow.</w:t>
            </w:r>
          </w:p>
        </w:tc>
        <w:tc>
          <w:tcPr>
            <w:tcW w:type="dxa" w:w="3120"/>
            <w:tcMar>
              <w:top w:w="80" w:type="dxa"/>
              <w:start w:w="120" w:type="dxa"/>
              <w:bottom w:w="80" w:type="dxa"/>
              <w:end w:w="120" w:type="dxa"/>
            </w:tcMar>
          </w:tcPr>
          <w:p>
            <w:pPr>
              <w:spacing w:after="0" w:line="240" w:lineRule="auto"/>
            </w:pPr>
            <w:r>
              <w:rPr>
                <w:sz w:val="16"/>
              </w:rPr>
              <w:t>Analytics acceptance suite and SLO dashboards pass with controlled customers.</w:t>
            </w:r>
          </w:p>
        </w:tc>
      </w:tr>
      <w:tr>
        <w:trPr>
          <w:cantSplit/>
        </w:trPr>
        <w:tc>
          <w:tcPr>
            <w:tcW w:type="dxa" w:w="3120"/>
            <w:tcMar>
              <w:top w:w="80" w:type="dxa"/>
              <w:start w:w="120" w:type="dxa"/>
              <w:bottom w:w="80" w:type="dxa"/>
              <w:end w:w="120" w:type="dxa"/>
            </w:tcMar>
          </w:tcPr>
          <w:p>
            <w:pPr>
              <w:spacing w:after="0" w:line="240" w:lineRule="auto"/>
            </w:pPr>
            <w:r>
              <w:rPr>
                <w:sz w:val="16"/>
              </w:rPr>
              <w:t>Phase 3 — unified intelligence</w:t>
            </w:r>
          </w:p>
        </w:tc>
        <w:tc>
          <w:tcPr>
            <w:tcW w:type="dxa" w:w="3120"/>
            <w:tcMar>
              <w:top w:w="80" w:type="dxa"/>
              <w:start w:w="120" w:type="dxa"/>
              <w:bottom w:w="80" w:type="dxa"/>
              <w:end w:w="120" w:type="dxa"/>
            </w:tcMar>
          </w:tcPr>
          <w:p>
            <w:pPr>
              <w:spacing w:after="0" w:line="240" w:lineRule="auto"/>
            </w:pPr>
            <w:r>
              <w:rPr>
                <w:sz w:val="16"/>
              </w:rPr>
              <w:t>Migrate Prompt Intelligence and Visibility Tracking to shared evidence; make Master Workspace provenance-correct.</w:t>
            </w:r>
          </w:p>
        </w:tc>
        <w:tc>
          <w:tcPr>
            <w:tcW w:type="dxa" w:w="3120"/>
            <w:tcMar>
              <w:top w:w="80" w:type="dxa"/>
              <w:start w:w="120" w:type="dxa"/>
              <w:bottom w:w="80" w:type="dxa"/>
              <w:end w:w="120" w:type="dxa"/>
            </w:tcMar>
          </w:tcPr>
          <w:p>
            <w:pPr>
              <w:spacing w:after="0" w:line="240" w:lineRule="auto"/>
            </w:pPr>
            <w:r>
              <w:rPr>
                <w:sz w:val="16"/>
              </w:rPr>
              <w:t>No production SHA/modelled metrics; comparable histories and evidence links pass.</w:t>
            </w:r>
          </w:p>
        </w:tc>
      </w:tr>
      <w:tr>
        <w:trPr>
          <w:cantSplit/>
        </w:trPr>
        <w:tc>
          <w:tcPr>
            <w:tcW w:type="dxa" w:w="3120"/>
            <w:tcMar>
              <w:top w:w="80" w:type="dxa"/>
              <w:start w:w="120" w:type="dxa"/>
              <w:bottom w:w="80" w:type="dxa"/>
              <w:end w:w="120" w:type="dxa"/>
            </w:tcMar>
          </w:tcPr>
          <w:p>
            <w:pPr>
              <w:spacing w:after="0" w:line="240" w:lineRule="auto"/>
            </w:pPr>
            <w:r>
              <w:rPr>
                <w:sz w:val="16"/>
              </w:rPr>
              <w:t>Phase 4 — evidence-led content</w:t>
            </w:r>
          </w:p>
        </w:tc>
        <w:tc>
          <w:tcPr>
            <w:tcW w:type="dxa" w:w="3120"/>
            <w:tcMar>
              <w:top w:w="80" w:type="dxa"/>
              <w:start w:w="120" w:type="dxa"/>
              <w:bottom w:w="80" w:type="dxa"/>
              <w:end w:w="120" w:type="dxa"/>
            </w:tcMar>
          </w:tcPr>
          <w:p>
            <w:pPr>
              <w:spacing w:after="0" w:line="240" w:lineRule="auto"/>
            </w:pPr>
            <w:r>
              <w:rPr>
                <w:sz w:val="16"/>
              </w:rPr>
              <w:t>Carry analytics opportunities into grounded content briefs, model-assisted drafting, versioning, review, and optional CMS connectors.</w:t>
            </w:r>
          </w:p>
        </w:tc>
        <w:tc>
          <w:tcPr>
            <w:tcW w:type="dxa" w:w="3120"/>
            <w:tcMar>
              <w:top w:w="80" w:type="dxa"/>
              <w:start w:w="120" w:type="dxa"/>
              <w:bottom w:w="80" w:type="dxa"/>
              <w:end w:w="120" w:type="dxa"/>
            </w:tcMar>
          </w:tcPr>
          <w:p>
            <w:pPr>
              <w:spacing w:after="0" w:line="240" w:lineRule="auto"/>
            </w:pPr>
            <w:r>
              <w:rPr>
                <w:sz w:val="16"/>
              </w:rPr>
              <w:t>Draft provenance and human review are enforced; publication state is evidence-backed.</w:t>
            </w:r>
          </w:p>
        </w:tc>
      </w:tr>
      <w:tr>
        <w:trPr>
          <w:cantSplit/>
        </w:trPr>
        <w:tc>
          <w:tcPr>
            <w:tcW w:type="dxa" w:w="3120"/>
            <w:tcMar>
              <w:top w:w="80" w:type="dxa"/>
              <w:start w:w="120" w:type="dxa"/>
              <w:bottom w:w="80" w:type="dxa"/>
              <w:end w:w="120" w:type="dxa"/>
            </w:tcMar>
          </w:tcPr>
          <w:p>
            <w:pPr>
              <w:spacing w:after="0" w:line="240" w:lineRule="auto"/>
            </w:pPr>
            <w:r>
              <w:rPr>
                <w:sz w:val="16"/>
              </w:rPr>
              <w:t>Phase 5 — scale</w:t>
            </w:r>
          </w:p>
        </w:tc>
        <w:tc>
          <w:tcPr>
            <w:tcW w:type="dxa" w:w="3120"/>
            <w:tcMar>
              <w:top w:w="80" w:type="dxa"/>
              <w:start w:w="120" w:type="dxa"/>
              <w:bottom w:w="80" w:type="dxa"/>
              <w:end w:w="120" w:type="dxa"/>
            </w:tcMar>
          </w:tcPr>
          <w:p>
            <w:pPr>
              <w:spacing w:after="0" w:line="240" w:lineRule="auto"/>
            </w:pPr>
            <w:r>
              <w:rPr>
                <w:sz w:val="16"/>
              </w:rPr>
              <w:t>Agency organizations, roles, bulk workflows, alerts, provider expansion, quotas, cost controls, and performance tuning.</w:t>
            </w:r>
          </w:p>
        </w:tc>
        <w:tc>
          <w:tcPr>
            <w:tcW w:type="dxa" w:w="3120"/>
            <w:tcMar>
              <w:top w:w="80" w:type="dxa"/>
              <w:start w:w="120" w:type="dxa"/>
              <w:bottom w:w="80" w:type="dxa"/>
              <w:end w:w="120" w:type="dxa"/>
            </w:tcMar>
          </w:tcPr>
          <w:p>
            <w:pPr>
              <w:spacing w:after="0" w:line="240" w:lineRule="auto"/>
            </w:pPr>
            <w:r>
              <w:rPr>
                <w:sz w:val="16"/>
              </w:rPr>
              <w:t>Tenant/load/security tests meet scale target and budget policy.</w:t>
            </w:r>
          </w:p>
        </w:tc>
      </w:tr>
    </w:tbl>
    <w:p>
      <w:pPr>
        <w:spacing w:after="0"/>
      </w:pPr>
    </w:p>
    <w:p>
      <w:pPr>
        <w:pStyle w:val="Heading2"/>
      </w:pPr>
      <w:r>
        <w:t>16.1 Rollout controls</w:t>
      </w:r>
    </w:p>
    <w:p>
      <w:pPr>
        <w:pStyle w:val="ListBullet"/>
      </w:pPr>
      <w:r>
        <w:t>Use feature flags for provider connectors, scheduling, generated content, and beta modules.</w:t>
      </w:r>
    </w:p>
    <w:p>
      <w:pPr>
        <w:pStyle w:val="ListBullet"/>
      </w:pPr>
      <w:r>
        <w:t>Start with internal/staging evidence, then a capped pilot with explicit source disclosures and spend limits.</w:t>
      </w:r>
    </w:p>
    <w:p>
      <w:pPr>
        <w:pStyle w:val="ListBullet"/>
      </w:pPr>
      <w:r>
        <w:t>Backfill or migrate only after the new metric contract is stable; do not translate legacy synthetic scores into new evidence tables.</w:t>
      </w:r>
    </w:p>
    <w:p>
      <w:pPr>
        <w:pStyle w:val="ListBullet"/>
      </w:pPr>
      <w:r>
        <w:t>Retain read-only legacy history only if it is visibly labelled modelled/demo and excluded from trends.</w:t>
      </w:r>
    </w:p>
    <w:p>
      <w:pPr>
        <w:pStyle w:val="ListBullet"/>
      </w:pPr>
      <w:r>
        <w:t>Define rollback at application, migration, worker, and provider-feature levels before production enablement.</w:t>
      </w:r>
    </w:p>
    <w:p>
      <w:bookmarkStart w:id="17" w:name="risks"/>
      <w:pPr>
        <w:pStyle w:val="Heading1"/>
        <w:pageBreakBefore/>
        <w:spacing w:before="840"/>
      </w:pPr>
      <w:r>
        <w:t>17. Risk register and open decisions</w:t>
      </w:r>
      <w:bookmarkEnd w:id="17"/>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3120"/>
        <w:gridCol w:w="3120"/>
        <w:gridCol w:w="3120"/>
      </w:tblGrid>
      <w:tr>
        <w:trPr>
          <w:tblHeader w:val="true"/>
        </w:trPr>
        <w:tc>
          <w:tcPr>
            <w:tcW w:type="dxa" w:w="2500"/>
            <w:shd w:fill="F5F6F7"/>
            <w:tcMar>
              <w:top w:w="80" w:type="dxa"/>
              <w:start w:w="120" w:type="dxa"/>
              <w:bottom w:w="80" w:type="dxa"/>
              <w:end w:w="120" w:type="dxa"/>
            </w:tcMar>
          </w:tcPr>
          <w:p>
            <w:pPr>
              <w:spacing w:after="0"/>
            </w:pPr>
            <w:r>
              <w:rPr>
                <w:b/>
                <w:color w:val="171717"/>
                <w:sz w:val="16"/>
              </w:rPr>
              <w:t>Risk</w:t>
            </w:r>
          </w:p>
        </w:tc>
        <w:tc>
          <w:tcPr>
            <w:tcW w:type="dxa" w:w="3000"/>
            <w:shd w:fill="F5F6F7"/>
            <w:tcMar>
              <w:top w:w="80" w:type="dxa"/>
              <w:start w:w="120" w:type="dxa"/>
              <w:bottom w:w="80" w:type="dxa"/>
              <w:end w:w="120" w:type="dxa"/>
            </w:tcMar>
          </w:tcPr>
          <w:p>
            <w:pPr>
              <w:spacing w:after="0"/>
            </w:pPr>
            <w:r>
              <w:rPr>
                <w:b/>
                <w:color w:val="171717"/>
                <w:sz w:val="16"/>
              </w:rPr>
              <w:t>Impact</w:t>
            </w:r>
          </w:p>
        </w:tc>
        <w:tc>
          <w:tcPr>
            <w:tcW w:type="dxa" w:w="3860"/>
            <w:shd w:fill="F5F6F7"/>
            <w:tcMar>
              <w:top w:w="80" w:type="dxa"/>
              <w:start w:w="120" w:type="dxa"/>
              <w:bottom w:w="80" w:type="dxa"/>
              <w:end w:w="120" w:type="dxa"/>
            </w:tcMar>
          </w:tcPr>
          <w:p>
            <w:pPr>
              <w:spacing w:after="0"/>
            </w:pPr>
            <w:r>
              <w:rPr>
                <w:b/>
                <w:color w:val="171717"/>
                <w:sz w:val="16"/>
              </w:rPr>
              <w:t>Mitigation / owner decision</w:t>
            </w:r>
          </w:p>
        </w:tc>
      </w:tr>
      <w:tr>
        <w:trPr>
          <w:cantSplit/>
        </w:trPr>
        <w:tc>
          <w:tcPr>
            <w:tcW w:type="dxa" w:w="3120"/>
            <w:tcMar>
              <w:top w:w="80" w:type="dxa"/>
              <w:start w:w="120" w:type="dxa"/>
              <w:bottom w:w="80" w:type="dxa"/>
              <w:end w:w="120" w:type="dxa"/>
            </w:tcMar>
          </w:tcPr>
          <w:p>
            <w:pPr>
              <w:spacing w:after="0" w:line="240" w:lineRule="auto"/>
            </w:pPr>
            <w:r>
              <w:rPr>
                <w:sz w:val="16"/>
              </w:rPr>
              <w:t>Provider availability, price, or response drift</w:t>
            </w:r>
          </w:p>
        </w:tc>
        <w:tc>
          <w:tcPr>
            <w:tcW w:type="dxa" w:w="3120"/>
            <w:tcMar>
              <w:top w:w="80" w:type="dxa"/>
              <w:start w:w="120" w:type="dxa"/>
              <w:bottom w:w="80" w:type="dxa"/>
              <w:end w:w="120" w:type="dxa"/>
            </w:tcMar>
          </w:tcPr>
          <w:p>
            <w:pPr>
              <w:spacing w:after="0" w:line="240" w:lineRule="auto"/>
            </w:pPr>
            <w:r>
              <w:rPr>
                <w:sz w:val="16"/>
              </w:rPr>
              <w:t>Missing/partial evidence, cost spikes, parse failure</w:t>
            </w:r>
          </w:p>
        </w:tc>
        <w:tc>
          <w:tcPr>
            <w:tcW w:type="dxa" w:w="3120"/>
            <w:tcMar>
              <w:top w:w="80" w:type="dxa"/>
              <w:start w:w="120" w:type="dxa"/>
              <w:bottom w:w="80" w:type="dxa"/>
              <w:end w:w="120" w:type="dxa"/>
            </w:tcMar>
          </w:tcPr>
          <w:p>
            <w:pPr>
              <w:spacing w:after="0" w:line="240" w:lineRule="auto"/>
            </w:pPr>
            <w:r>
              <w:rPr>
                <w:sz w:val="16"/>
              </w:rPr>
              <w:t>Adapters, fixtures, circuit breakers, spend quotas, schema monitoring, source-specific degradation.</w:t>
            </w:r>
          </w:p>
        </w:tc>
      </w:tr>
      <w:tr>
        <w:trPr>
          <w:cantSplit/>
        </w:trPr>
        <w:tc>
          <w:tcPr>
            <w:tcW w:type="dxa" w:w="3120"/>
            <w:tcMar>
              <w:top w:w="80" w:type="dxa"/>
              <w:start w:w="120" w:type="dxa"/>
              <w:bottom w:w="80" w:type="dxa"/>
              <w:end w:w="120" w:type="dxa"/>
            </w:tcMar>
          </w:tcPr>
          <w:p>
            <w:pPr>
              <w:spacing w:after="0" w:line="240" w:lineRule="auto"/>
            </w:pPr>
            <w:r>
              <w:rPr>
                <w:sz w:val="16"/>
              </w:rPr>
              <w:t>Synthetic legacy data misread as real</w:t>
            </w:r>
          </w:p>
        </w:tc>
        <w:tc>
          <w:tcPr>
            <w:tcW w:type="dxa" w:w="3120"/>
            <w:tcMar>
              <w:top w:w="80" w:type="dxa"/>
              <w:start w:w="120" w:type="dxa"/>
              <w:bottom w:w="80" w:type="dxa"/>
              <w:end w:w="120" w:type="dxa"/>
            </w:tcMar>
          </w:tcPr>
          <w:p>
            <w:pPr>
              <w:spacing w:after="0" w:line="240" w:lineRule="auto"/>
            </w:pPr>
            <w:r>
              <w:rPr>
                <w:sz w:val="16"/>
              </w:rPr>
              <w:t>Loss of trust and incorrect business decisions</w:t>
            </w:r>
          </w:p>
        </w:tc>
        <w:tc>
          <w:tcPr>
            <w:tcW w:type="dxa" w:w="3120"/>
            <w:tcMar>
              <w:top w:w="80" w:type="dxa"/>
              <w:start w:w="120" w:type="dxa"/>
              <w:bottom w:w="80" w:type="dxa"/>
              <w:end w:w="120" w:type="dxa"/>
            </w:tcMar>
          </w:tcPr>
          <w:p>
            <w:pPr>
              <w:spacing w:after="0" w:line="240" w:lineRule="auto"/>
            </w:pPr>
            <w:r>
              <w:rPr>
                <w:sz w:val="16"/>
              </w:rPr>
              <w:t>Disable in production, clear labels in demo, migrate modules onto shared evidence, exclude from aggregate trends.</w:t>
            </w:r>
          </w:p>
        </w:tc>
      </w:tr>
      <w:tr>
        <w:trPr>
          <w:cantSplit/>
        </w:trPr>
        <w:tc>
          <w:tcPr>
            <w:tcW w:type="dxa" w:w="3120"/>
            <w:tcMar>
              <w:top w:w="80" w:type="dxa"/>
              <w:start w:w="120" w:type="dxa"/>
              <w:bottom w:w="80" w:type="dxa"/>
              <w:end w:w="120" w:type="dxa"/>
            </w:tcMar>
          </w:tcPr>
          <w:p>
            <w:pPr>
              <w:spacing w:after="0" w:line="240" w:lineRule="auto"/>
            </w:pPr>
            <w:r>
              <w:rPr>
                <w:sz w:val="16"/>
              </w:rPr>
              <w:t>Crawler abuse or DNS rebinding</w:t>
            </w:r>
          </w:p>
        </w:tc>
        <w:tc>
          <w:tcPr>
            <w:tcW w:type="dxa" w:w="3120"/>
            <w:tcMar>
              <w:top w:w="80" w:type="dxa"/>
              <w:start w:w="120" w:type="dxa"/>
              <w:bottom w:w="80" w:type="dxa"/>
              <w:end w:w="120" w:type="dxa"/>
            </w:tcMar>
          </w:tcPr>
          <w:p>
            <w:pPr>
              <w:spacing w:after="0" w:line="240" w:lineRule="auto"/>
            </w:pPr>
            <w:r>
              <w:rPr>
                <w:sz w:val="16"/>
              </w:rPr>
              <w:t>Internal network access, service abuse, legal exposure</w:t>
            </w:r>
          </w:p>
        </w:tc>
        <w:tc>
          <w:tcPr>
            <w:tcW w:type="dxa" w:w="3120"/>
            <w:tcMar>
              <w:top w:w="80" w:type="dxa"/>
              <w:start w:w="120" w:type="dxa"/>
              <w:bottom w:w="80" w:type="dxa"/>
              <w:end w:w="120" w:type="dxa"/>
            </w:tcMar>
          </w:tcPr>
          <w:p>
            <w:pPr>
              <w:spacing w:after="0" w:line="240" w:lineRule="auto"/>
            </w:pPr>
            <w:r>
              <w:rPr>
                <w:sz w:val="16"/>
              </w:rPr>
              <w:t>Pinned/egress-controlled networking, allowlists, crawl policy, quotas, audit logs, security tests.</w:t>
            </w:r>
          </w:p>
        </w:tc>
      </w:tr>
      <w:tr>
        <w:trPr>
          <w:cantSplit/>
        </w:trPr>
        <w:tc>
          <w:tcPr>
            <w:tcW w:type="dxa" w:w="3120"/>
            <w:tcMar>
              <w:top w:w="80" w:type="dxa"/>
              <w:start w:w="120" w:type="dxa"/>
              <w:bottom w:w="80" w:type="dxa"/>
              <w:end w:w="120" w:type="dxa"/>
            </w:tcMar>
          </w:tcPr>
          <w:p>
            <w:pPr>
              <w:spacing w:after="0" w:line="240" w:lineRule="auto"/>
            </w:pPr>
            <w:r>
              <w:rPr>
                <w:sz w:val="16"/>
              </w:rPr>
              <w:t>OAuth/token compromise</w:t>
            </w:r>
          </w:p>
        </w:tc>
        <w:tc>
          <w:tcPr>
            <w:tcW w:type="dxa" w:w="3120"/>
            <w:tcMar>
              <w:top w:w="80" w:type="dxa"/>
              <w:start w:w="120" w:type="dxa"/>
              <w:bottom w:w="80" w:type="dxa"/>
              <w:end w:w="120" w:type="dxa"/>
            </w:tcMar>
          </w:tcPr>
          <w:p>
            <w:pPr>
              <w:spacing w:after="0" w:line="240" w:lineRule="auto"/>
            </w:pPr>
            <w:r>
              <w:rPr>
                <w:sz w:val="16"/>
              </w:rPr>
              <w:t>Unauthorized Search Console access</w:t>
            </w:r>
          </w:p>
        </w:tc>
        <w:tc>
          <w:tcPr>
            <w:tcW w:type="dxa" w:w="3120"/>
            <w:tcMar>
              <w:top w:w="80" w:type="dxa"/>
              <w:start w:w="120" w:type="dxa"/>
              <w:bottom w:w="80" w:type="dxa"/>
              <w:end w:w="120" w:type="dxa"/>
            </w:tcMar>
          </w:tcPr>
          <w:p>
            <w:pPr>
              <w:spacing w:after="0" w:line="240" w:lineRule="auto"/>
            </w:pPr>
            <w:r>
              <w:rPr>
                <w:sz w:val="16"/>
              </w:rPr>
              <w:t>Read-only scope, encryption, rotation, revoke/disconnect, least privilege, access logging, incident playbook.</w:t>
            </w:r>
          </w:p>
        </w:tc>
      </w:tr>
      <w:tr>
        <w:trPr>
          <w:cantSplit/>
        </w:trPr>
        <w:tc>
          <w:tcPr>
            <w:tcW w:type="dxa" w:w="3120"/>
            <w:tcMar>
              <w:top w:w="80" w:type="dxa"/>
              <w:start w:w="120" w:type="dxa"/>
              <w:bottom w:w="80" w:type="dxa"/>
              <w:end w:w="120" w:type="dxa"/>
            </w:tcMar>
          </w:tcPr>
          <w:p>
            <w:pPr>
              <w:spacing w:after="0" w:line="240" w:lineRule="auto"/>
            </w:pPr>
            <w:r>
              <w:rPr>
                <w:sz w:val="16"/>
              </w:rPr>
              <w:t>Unbounded evidence retention</w:t>
            </w:r>
          </w:p>
        </w:tc>
        <w:tc>
          <w:tcPr>
            <w:tcW w:type="dxa" w:w="3120"/>
            <w:tcMar>
              <w:top w:w="80" w:type="dxa"/>
              <w:start w:w="120" w:type="dxa"/>
              <w:bottom w:w="80" w:type="dxa"/>
              <w:end w:w="120" w:type="dxa"/>
            </w:tcMar>
          </w:tcPr>
          <w:p>
            <w:pPr>
              <w:spacing w:after="0" w:line="240" w:lineRule="auto"/>
            </w:pPr>
            <w:r>
              <w:rPr>
                <w:sz w:val="16"/>
              </w:rPr>
              <w:t>Privacy, cost, and data breach impact</w:t>
            </w:r>
          </w:p>
        </w:tc>
        <w:tc>
          <w:tcPr>
            <w:tcW w:type="dxa" w:w="3120"/>
            <w:tcMar>
              <w:top w:w="80" w:type="dxa"/>
              <w:start w:w="120" w:type="dxa"/>
              <w:bottom w:w="80" w:type="dxa"/>
              <w:end w:w="120" w:type="dxa"/>
            </w:tcMar>
          </w:tcPr>
          <w:p>
            <w:pPr>
              <w:spacing w:after="0" w:line="240" w:lineRule="auto"/>
            </w:pPr>
            <w:r>
              <w:rPr>
                <w:sz w:val="16"/>
              </w:rPr>
              <w:t>Class-based retention, minimization, object storage, deletion/export tooling, customer controls.</w:t>
            </w:r>
          </w:p>
        </w:tc>
      </w:tr>
      <w:tr>
        <w:trPr>
          <w:cantSplit/>
        </w:trPr>
        <w:tc>
          <w:tcPr>
            <w:tcW w:type="dxa" w:w="3120"/>
            <w:tcMar>
              <w:top w:w="80" w:type="dxa"/>
              <w:start w:w="120" w:type="dxa"/>
              <w:bottom w:w="80" w:type="dxa"/>
              <w:end w:w="120" w:type="dxa"/>
            </w:tcMar>
          </w:tcPr>
          <w:p>
            <w:pPr>
              <w:spacing w:after="0" w:line="240" w:lineRule="auto"/>
            </w:pPr>
            <w:r>
              <w:rPr>
                <w:sz w:val="16"/>
              </w:rPr>
              <w:t>Non-comparable trends</w:t>
            </w:r>
          </w:p>
        </w:tc>
        <w:tc>
          <w:tcPr>
            <w:tcW w:type="dxa" w:w="3120"/>
            <w:tcMar>
              <w:top w:w="80" w:type="dxa"/>
              <w:start w:w="120" w:type="dxa"/>
              <w:bottom w:w="80" w:type="dxa"/>
              <w:end w:w="120" w:type="dxa"/>
            </w:tcMar>
          </w:tcPr>
          <w:p>
            <w:pPr>
              <w:spacing w:after="0" w:line="240" w:lineRule="auto"/>
            </w:pPr>
            <w:r>
              <w:rPr>
                <w:sz w:val="16"/>
              </w:rPr>
              <w:t>Misleading performance claims</w:t>
            </w:r>
          </w:p>
        </w:tc>
        <w:tc>
          <w:tcPr>
            <w:tcW w:type="dxa" w:w="3120"/>
            <w:tcMar>
              <w:top w:w="80" w:type="dxa"/>
              <w:start w:w="120" w:type="dxa"/>
              <w:bottom w:w="80" w:type="dxa"/>
              <w:end w:w="120" w:type="dxa"/>
            </w:tcMar>
          </w:tcPr>
          <w:p>
            <w:pPr>
              <w:spacing w:after="0" w:line="240" w:lineRule="auto"/>
            </w:pPr>
            <w:r>
              <w:rPr>
                <w:sz w:val="16"/>
              </w:rPr>
              <w:t>Snapshot cohort/config, algorithm versioning, baseline breaks, no inferred delta.</w:t>
            </w:r>
          </w:p>
        </w:tc>
      </w:tr>
      <w:tr>
        <w:trPr>
          <w:cantSplit/>
        </w:trPr>
        <w:tc>
          <w:tcPr>
            <w:tcW w:type="dxa" w:w="3120"/>
            <w:tcMar>
              <w:top w:w="80" w:type="dxa"/>
              <w:start w:w="120" w:type="dxa"/>
              <w:bottom w:w="80" w:type="dxa"/>
              <w:end w:w="120" w:type="dxa"/>
            </w:tcMar>
          </w:tcPr>
          <w:p>
            <w:pPr>
              <w:spacing w:after="0" w:line="240" w:lineRule="auto"/>
            </w:pPr>
            <w:r>
              <w:rPr>
                <w:sz w:val="16"/>
              </w:rPr>
              <w:t>Daemon-thread job loss</w:t>
            </w:r>
          </w:p>
        </w:tc>
        <w:tc>
          <w:tcPr>
            <w:tcW w:type="dxa" w:w="3120"/>
            <w:tcMar>
              <w:top w:w="80" w:type="dxa"/>
              <w:start w:w="120" w:type="dxa"/>
              <w:bottom w:w="80" w:type="dxa"/>
              <w:end w:w="120" w:type="dxa"/>
            </w:tcMar>
          </w:tcPr>
          <w:p>
            <w:pPr>
              <w:spacing w:after="0" w:line="240" w:lineRule="auto"/>
            </w:pPr>
            <w:r>
              <w:rPr>
                <w:sz w:val="16"/>
              </w:rPr>
              <w:t>Incomplete scans and inconsistent state</w:t>
            </w:r>
          </w:p>
        </w:tc>
        <w:tc>
          <w:tcPr>
            <w:tcW w:type="dxa" w:w="3120"/>
            <w:tcMar>
              <w:top w:w="80" w:type="dxa"/>
              <w:start w:w="120" w:type="dxa"/>
              <w:bottom w:w="80" w:type="dxa"/>
              <w:end w:w="120" w:type="dxa"/>
            </w:tcMar>
          </w:tcPr>
          <w:p>
            <w:pPr>
              <w:spacing w:after="0" w:line="240" w:lineRule="auto"/>
            </w:pPr>
            <w:r>
              <w:rPr>
                <w:sz w:val="16"/>
              </w:rPr>
              <w:t>Durable external queue, leases, idempotency, retries, cancellation, dead-letter handling.</w:t>
            </w:r>
          </w:p>
        </w:tc>
      </w:tr>
      <w:tr>
        <w:trPr>
          <w:cantSplit/>
        </w:trPr>
        <w:tc>
          <w:tcPr>
            <w:tcW w:type="dxa" w:w="3120"/>
            <w:tcMar>
              <w:top w:w="80" w:type="dxa"/>
              <w:start w:w="120" w:type="dxa"/>
              <w:bottom w:w="80" w:type="dxa"/>
              <w:end w:w="120" w:type="dxa"/>
            </w:tcMar>
          </w:tcPr>
          <w:p>
            <w:pPr>
              <w:spacing w:after="0" w:line="240" w:lineRule="auto"/>
            </w:pPr>
            <w:r>
              <w:rPr>
                <w:sz w:val="16"/>
              </w:rPr>
              <w:t>Monolithic code/CSS regression</w:t>
            </w:r>
          </w:p>
        </w:tc>
        <w:tc>
          <w:tcPr>
            <w:tcW w:type="dxa" w:w="3120"/>
            <w:tcMar>
              <w:top w:w="80" w:type="dxa"/>
              <w:start w:w="120" w:type="dxa"/>
              <w:bottom w:w="80" w:type="dxa"/>
              <w:end w:w="120" w:type="dxa"/>
            </w:tcMar>
          </w:tcPr>
          <w:p>
            <w:pPr>
              <w:spacing w:after="0" w:line="240" w:lineRule="auto"/>
            </w:pPr>
            <w:r>
              <w:rPr>
                <w:sz w:val="16"/>
              </w:rPr>
              <w:t>Slow change and inconsistent mobile UX</w:t>
            </w:r>
          </w:p>
        </w:tc>
        <w:tc>
          <w:tcPr>
            <w:tcW w:type="dxa" w:w="3120"/>
            <w:tcMar>
              <w:top w:w="80" w:type="dxa"/>
              <w:start w:w="120" w:type="dxa"/>
              <w:bottom w:w="80" w:type="dxa"/>
              <w:end w:w="120" w:type="dxa"/>
            </w:tcMar>
          </w:tcPr>
          <w:p>
            <w:pPr>
              <w:spacing w:after="0" w:line="240" w:lineRule="auto"/>
            </w:pPr>
            <w:r>
              <w:rPr>
                <w:sz w:val="16"/>
              </w:rPr>
              <w:t>Modular services/components, design tokens, automated visual/E2E/accessibility tests.</w:t>
            </w:r>
          </w:p>
        </w:tc>
      </w:tr>
    </w:tbl>
    <w:p>
      <w:pPr>
        <w:spacing w:after="0"/>
      </w:pPr>
    </w:p>
    <w:p>
      <w:pPr>
        <w:pStyle w:val="Heading2"/>
      </w:pPr>
      <w:r>
        <w:t>17.1 Decisions required before GA</w:t>
      </w:r>
    </w:p>
    <w:p>
      <w:pPr>
        <w:spacing w:after="80"/>
        <w:ind w:left="605" w:hanging="346"/>
      </w:pPr>
      <w:r>
        <w:t xml:space="preserve">1. </w:t>
      </w:r>
      <w:r>
        <w:t>Select the durable queue/worker technology and managed hosting topology.</w:t>
      </w:r>
    </w:p>
    <w:p>
      <w:pPr>
        <w:spacing w:after="80"/>
        <w:ind w:left="605" w:hanging="346"/>
      </w:pPr>
      <w:r>
        <w:t xml:space="preserve">2. </w:t>
      </w:r>
      <w:r>
        <w:t>Approve organization/RBAC roles and the default signed-in destination.</w:t>
      </w:r>
    </w:p>
    <w:p>
      <w:pPr>
        <w:spacing w:after="80"/>
        <w:ind w:left="605" w:hanging="346"/>
      </w:pPr>
      <w:r>
        <w:t xml:space="preserve">3. </w:t>
      </w:r>
      <w:r>
        <w:t>Approve provider set, legal basis, quotas, budget ownership, and customer-facing source language.</w:t>
      </w:r>
    </w:p>
    <w:p>
      <w:pPr>
        <w:spacing w:after="80"/>
        <w:ind w:left="605" w:hanging="346"/>
      </w:pPr>
      <w:r>
        <w:t xml:space="preserve">4. </w:t>
      </w:r>
      <w:r>
        <w:t>Approve retention periods, account deletion SLA, audit-log retention, and data residency commitments.</w:t>
      </w:r>
    </w:p>
    <w:p>
      <w:pPr>
        <w:spacing w:after="80"/>
        <w:ind w:left="605" w:hanging="346"/>
      </w:pPr>
      <w:r>
        <w:t xml:space="preserve">5. </w:t>
      </w:r>
      <w:r>
        <w:t>Decide whether raw provider payloads remain in PostgreSQL or move to encrypted object storage.</w:t>
      </w:r>
    </w:p>
    <w:p>
      <w:pPr>
        <w:spacing w:after="80"/>
        <w:ind w:left="605" w:hanging="346"/>
      </w:pPr>
      <w:r>
        <w:t xml:space="preserve">6. </w:t>
      </w:r>
      <w:r>
        <w:t>Approve crawl user agent, robots policy, page limits, tenant quotas, and acceptable-use terms.</w:t>
      </w:r>
    </w:p>
    <w:p>
      <w:pPr>
        <w:spacing w:after="80"/>
        <w:ind w:left="605" w:hanging="346"/>
      </w:pPr>
      <w:r>
        <w:t xml:space="preserve">7. </w:t>
      </w:r>
      <w:r>
        <w:t>Approve Content Studio generation provider, model policy, human-review obligations, and publication semantics.</w:t>
      </w:r>
    </w:p>
    <w:p>
      <w:pPr>
        <w:spacing w:after="80"/>
        <w:ind w:left="605" w:hanging="346"/>
      </w:pPr>
      <w:r>
        <w:t xml:space="preserve">8. </w:t>
      </w:r>
      <w:r>
        <w:t>Set launch capacity targets and error-budget ownership for first-party services and external integrations.</w:t>
      </w:r>
    </w:p>
    <w:p>
      <w:bookmarkStart w:id="18" w:name="acceptance"/>
      <w:pPr>
        <w:pStyle w:val="Heading1"/>
      </w:pPr>
      <w:r>
        <w:t>18. Production acceptance checklist</w:t>
      </w:r>
      <w:bookmarkEnd w:id="18"/>
    </w:p>
    <w:p>
      <w:pPr>
        <w:pStyle w:val="Heading2"/>
      </w:pPr>
      <w:r>
        <w:t>Data truth</w:t>
      </w:r>
    </w:p>
    <w:p>
      <w:pPr>
        <w:ind w:left="216" w:hanging="216"/>
      </w:pPr>
      <w:r>
        <w:rPr>
          <w:color w:val="C84B00"/>
        </w:rPr>
        <w:t xml:space="preserve">☐  </w:t>
      </w:r>
      <w:r>
        <w:t>No deterministic/modelled metric is presented as measured in production.</w:t>
      </w:r>
    </w:p>
    <w:p>
      <w:pPr>
        <w:ind w:left="216" w:hanging="216"/>
      </w:pPr>
      <w:r>
        <w:rPr>
          <w:color w:val="C84B00"/>
        </w:rPr>
        <w:t xml:space="preserve">☐  </w:t>
      </w:r>
      <w:r>
        <w:t>Every metric shows source, time, status, denominator, and evidence link.</w:t>
      </w:r>
    </w:p>
    <w:p>
      <w:pPr>
        <w:ind w:left="216" w:hanging="216"/>
      </w:pPr>
      <w:r>
        <w:rPr>
          <w:color w:val="C84B00"/>
        </w:rPr>
        <w:t xml:space="preserve">☐  </w:t>
      </w:r>
      <w:r>
        <w:t>Crawl, GSC, and provider metrics remain separated and use nullable unavailable states.</w:t>
      </w:r>
    </w:p>
    <w:p>
      <w:pPr>
        <w:pStyle w:val="Heading2"/>
      </w:pPr>
      <w:r>
        <w:t>Security and privacy</w:t>
      </w:r>
    </w:p>
    <w:p>
      <w:pPr>
        <w:ind w:left="216" w:hanging="216"/>
      </w:pPr>
      <w:r>
        <w:rPr>
          <w:color w:val="C84B00"/>
        </w:rPr>
        <w:t xml:space="preserve">☐  </w:t>
      </w:r>
      <w:r>
        <w:t>Sensitive repository paths are not web-accessible; runtime database is untracked and absent from the image.</w:t>
      </w:r>
    </w:p>
    <w:p>
      <w:pPr>
        <w:ind w:left="216" w:hanging="216"/>
      </w:pPr>
      <w:r>
        <w:rPr>
          <w:color w:val="C84B00"/>
        </w:rPr>
        <w:t xml:space="preserve">☐  </w:t>
      </w:r>
      <w:r>
        <w:t>Contacts/admin are RBAC-protected, escaped, audited, and rate-limited.</w:t>
      </w:r>
    </w:p>
    <w:p>
      <w:pPr>
        <w:ind w:left="216" w:hanging="216"/>
      </w:pPr>
      <w:r>
        <w:rPr>
          <w:color w:val="C84B00"/>
        </w:rPr>
        <w:t xml:space="preserve">☐  </w:t>
      </w:r>
      <w:r>
        <w:t>CSRF, SSRF/rebinding, authentication, secret, XSS, IDOR, header, and dependency gates pass.</w:t>
      </w:r>
    </w:p>
    <w:p>
      <w:pPr>
        <w:ind w:left="216" w:hanging="216"/>
      </w:pPr>
      <w:r>
        <w:rPr>
          <w:color w:val="C84B00"/>
        </w:rPr>
        <w:t xml:space="preserve">☐  </w:t>
      </w:r>
      <w:r>
        <w:t>Retention, export, deletion, revoke, and privacy disclosures are operationally verified.</w:t>
      </w:r>
    </w:p>
    <w:p>
      <w:pPr>
        <w:pStyle w:val="Heading2"/>
      </w:pPr>
      <w:r>
        <w:t>Architecture and operations</w:t>
      </w:r>
    </w:p>
    <w:p>
      <w:pPr>
        <w:ind w:left="216" w:hanging="216"/>
      </w:pPr>
      <w:r>
        <w:rPr>
          <w:color w:val="C84B00"/>
        </w:rPr>
        <w:t xml:space="preserve">☐  </w:t>
      </w:r>
      <w:r>
        <w:t>Web, PostgreSQL, worker/queue, scheduler, backups, monitoring, and alerts are provisioned.</w:t>
      </w:r>
    </w:p>
    <w:p>
      <w:pPr>
        <w:ind w:left="216" w:hanging="216"/>
      </w:pPr>
      <w:r>
        <w:rPr>
          <w:color w:val="C84B00"/>
        </w:rPr>
        <w:t xml:space="preserve">☐  </w:t>
      </w:r>
      <w:r>
        <w:t>Alembic migration and rollback rehearsal passes; no orphaned data exists.</w:t>
      </w:r>
    </w:p>
    <w:p>
      <w:pPr>
        <w:ind w:left="216" w:hanging="216"/>
      </w:pPr>
      <w:r>
        <w:rPr>
          <w:color w:val="C84B00"/>
        </w:rPr>
        <w:t xml:space="preserve">☐  </w:t>
      </w:r>
      <w:r>
        <w:t>Jobs survive restarts, are idempotent, obey quota, and expose progress/failure/cancellation.</w:t>
      </w:r>
    </w:p>
    <w:p>
      <w:pPr>
        <w:ind w:left="216" w:hanging="216"/>
      </w:pPr>
      <w:r>
        <w:rPr>
          <w:color w:val="C84B00"/>
        </w:rPr>
        <w:t xml:space="preserve">☐  </w:t>
      </w:r>
      <w:r>
        <w:t>RPO/RTO restore exercise and critical runbooks are signed off.</w:t>
      </w:r>
    </w:p>
    <w:p>
      <w:pPr>
        <w:pStyle w:val="Heading2"/>
      </w:pPr>
      <w:r>
        <w:t>Product and quality</w:t>
      </w:r>
    </w:p>
    <w:p>
      <w:pPr>
        <w:ind w:left="216" w:hanging="216"/>
      </w:pPr>
      <w:r>
        <w:rPr>
          <w:color w:val="C84B00"/>
        </w:rPr>
        <w:t xml:space="preserve">☐  </w:t>
      </w:r>
      <w:r>
        <w:t>Core journeys pass on desktop/mobile, supported browsers, keyboard, screen reader, reduced motion, and offline/update scenarios.</w:t>
      </w:r>
    </w:p>
    <w:p>
      <w:pPr>
        <w:ind w:left="216" w:hanging="216"/>
      </w:pPr>
      <w:r>
        <w:rPr>
          <w:color w:val="C84B00"/>
        </w:rPr>
        <w:t xml:space="preserve">☐  </w:t>
      </w:r>
      <w:r>
        <w:t>Provider, metric, API, database, E2E, accessibility, load, and security suites pass in CI/staging.</w:t>
      </w:r>
    </w:p>
    <w:p>
      <w:pPr>
        <w:ind w:left="216" w:hanging="216"/>
      </w:pPr>
      <w:r>
        <w:rPr>
          <w:color w:val="C84B00"/>
        </w:rPr>
        <w:t xml:space="preserve">☐  </w:t>
      </w:r>
      <w:r>
        <w:t>SLO dashboards are live and the release has named product, engineering, security, and operations approval.</w:t>
      </w:r>
    </w:p>
    <w:tbl>
      <w:tblPr>
        <w:tblW w:type="dxa" w:w="9360"/>
        <w:jc w:val="center"/>
        <w:tblLayout w:type="fixed"/>
        <w:tblLook w:firstColumn="1" w:firstRow="1" w:lastColumn="0" w:lastRow="0" w:noHBand="0" w:noVBand="1" w:val="04A0"/>
        <w:tblBorders>
          <w:top w:val="single" w:sz="8" w:color="B42318"/>
          <w:start w:val="single" w:sz="8" w:color="B42318"/>
          <w:bottom w:val="single" w:sz="8" w:color="B42318"/>
          <w:end w:val="single" w:sz="8" w:color="B42318"/>
          <w:insideH w:val="single" w:sz="8" w:color="B42318"/>
          <w:insideV w:val="single" w:sz="8" w:color="B42318"/>
        </w:tblBorders>
      </w:tblPr>
      <w:tblGrid>
        <w:gridCol w:w="9360"/>
      </w:tblGrid>
      <w:tr>
        <w:trPr>
          <w:cantSplit/>
        </w:trPr>
        <w:tc>
          <w:tcPr>
            <w:tcW w:type="dxa" w:w="9360"/>
            <w:shd w:fill="FDECEC"/>
            <w:tcMar>
              <w:top w:w="140" w:type="dxa"/>
              <w:start w:w="180" w:type="dxa"/>
              <w:bottom w:w="140" w:type="dxa"/>
              <w:end w:w="180" w:type="dxa"/>
            </w:tcMar>
          </w:tcPr>
          <w:p>
            <w:pPr>
              <w:spacing w:after="80"/>
            </w:pPr>
            <w:r>
              <w:rPr>
                <w:b/>
                <w:color w:val="B42318"/>
              </w:rPr>
              <w:t>Release authority</w:t>
            </w:r>
          </w:p>
          <w:p>
            <w:pPr>
              <w:spacing w:after="0"/>
            </w:pPr>
            <w:r>
              <w:t>Production launch is approved only when every P0 item is closed, all P1 exceptions are explicit and time-bound, and named owners sign the production-readiness record.</w:t>
            </w:r>
          </w:p>
        </w:tc>
      </w:tr>
    </w:tbl>
    <w:p>
      <w:bookmarkStart w:id="19" w:name="api_inventory"/>
      <w:pPr>
        <w:pStyle w:val="Heading1"/>
        <w:pageBreakBefore/>
        <w:spacing w:before="840"/>
      </w:pPr>
      <w:r>
        <w:t>Appendix A — Current API inventory</w:t>
      </w:r>
      <w:bookmarkEnd w:id="19"/>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3120"/>
        <w:gridCol w:w="3120"/>
        <w:gridCol w:w="3120"/>
      </w:tblGrid>
      <w:tr>
        <w:trPr>
          <w:tblHeader w:val="true"/>
        </w:trPr>
        <w:tc>
          <w:tcPr>
            <w:tcW w:type="dxa" w:w="1850"/>
            <w:shd w:fill="F5F6F7"/>
            <w:tcMar>
              <w:top w:w="80" w:type="dxa"/>
              <w:start w:w="120" w:type="dxa"/>
              <w:bottom w:w="80" w:type="dxa"/>
              <w:end w:w="120" w:type="dxa"/>
            </w:tcMar>
          </w:tcPr>
          <w:p>
            <w:pPr>
              <w:spacing w:after="0"/>
            </w:pPr>
            <w:r>
              <w:rPr>
                <w:b/>
                <w:color w:val="171717"/>
                <w:sz w:val="15"/>
              </w:rPr>
              <w:t>Domain</w:t>
            </w:r>
          </w:p>
        </w:tc>
        <w:tc>
          <w:tcPr>
            <w:tcW w:type="dxa" w:w="4100"/>
            <w:shd w:fill="F5F6F7"/>
            <w:tcMar>
              <w:top w:w="80" w:type="dxa"/>
              <w:start w:w="120" w:type="dxa"/>
              <w:bottom w:w="80" w:type="dxa"/>
              <w:end w:w="120" w:type="dxa"/>
            </w:tcMar>
          </w:tcPr>
          <w:p>
            <w:pPr>
              <w:spacing w:after="0"/>
            </w:pPr>
            <w:r>
              <w:rPr>
                <w:b/>
                <w:color w:val="171717"/>
                <w:sz w:val="15"/>
              </w:rPr>
              <w:t>Current routes</w:t>
            </w:r>
          </w:p>
        </w:tc>
        <w:tc>
          <w:tcPr>
            <w:tcW w:type="dxa" w:w="3410"/>
            <w:shd w:fill="F5F6F7"/>
            <w:tcMar>
              <w:top w:w="80" w:type="dxa"/>
              <w:start w:w="120" w:type="dxa"/>
              <w:bottom w:w="80" w:type="dxa"/>
              <w:end w:w="120" w:type="dxa"/>
            </w:tcMar>
          </w:tcPr>
          <w:p>
            <w:pPr>
              <w:spacing w:after="0"/>
            </w:pPr>
            <w:r>
              <w:rPr>
                <w:b/>
                <w:color w:val="171717"/>
                <w:sz w:val="15"/>
              </w:rPr>
              <w:t>Target action</w:t>
            </w:r>
          </w:p>
        </w:tc>
      </w:tr>
      <w:tr>
        <w:trPr>
          <w:cantSplit/>
        </w:trPr>
        <w:tc>
          <w:tcPr>
            <w:tcW w:type="dxa" w:w="3120"/>
            <w:tcMar>
              <w:top w:w="80" w:type="dxa"/>
              <w:start w:w="120" w:type="dxa"/>
              <w:bottom w:w="80" w:type="dxa"/>
              <w:end w:w="120" w:type="dxa"/>
            </w:tcMar>
          </w:tcPr>
          <w:p>
            <w:pPr>
              <w:spacing w:after="0" w:line="240" w:lineRule="auto"/>
            </w:pPr>
            <w:r>
              <w:rPr>
                <w:sz w:val="15"/>
              </w:rPr>
              <w:t>System/public</w:t>
            </w:r>
          </w:p>
        </w:tc>
        <w:tc>
          <w:tcPr>
            <w:tcW w:type="dxa" w:w="3120"/>
            <w:tcMar>
              <w:top w:w="80" w:type="dxa"/>
              <w:start w:w="120" w:type="dxa"/>
              <w:bottom w:w="80" w:type="dxa"/>
              <w:end w:w="120" w:type="dxa"/>
            </w:tcMar>
          </w:tcPr>
          <w:p>
            <w:pPr>
              <w:spacing w:after="0" w:line="240" w:lineRule="auto"/>
            </w:pPr>
            <w:r>
              <w:rPr>
                <w:sz w:val="15"/>
              </w:rPr>
              <w:t>GET /; static assets; GET /api/health; POST/GET /api/contacts</w:t>
            </w:r>
          </w:p>
        </w:tc>
        <w:tc>
          <w:tcPr>
            <w:tcW w:type="dxa" w:w="3120"/>
            <w:tcMar>
              <w:top w:w="80" w:type="dxa"/>
              <w:start w:w="120" w:type="dxa"/>
              <w:bottom w:w="80" w:type="dxa"/>
              <w:end w:w="120" w:type="dxa"/>
            </w:tcMar>
          </w:tcPr>
          <w:p>
            <w:pPr>
              <w:spacing w:after="0" w:line="240" w:lineRule="auto"/>
            </w:pPr>
            <w:r>
              <w:rPr>
                <w:sz w:val="15"/>
              </w:rPr>
              <w:t>GET contacts must become admin-only; static catch-all must be removed.</w:t>
            </w:r>
          </w:p>
        </w:tc>
      </w:tr>
      <w:tr>
        <w:trPr>
          <w:cantSplit/>
        </w:trPr>
        <w:tc>
          <w:tcPr>
            <w:tcW w:type="dxa" w:w="3120"/>
            <w:tcMar>
              <w:top w:w="80" w:type="dxa"/>
              <w:start w:w="120" w:type="dxa"/>
              <w:bottom w:w="80" w:type="dxa"/>
              <w:end w:w="120" w:type="dxa"/>
            </w:tcMar>
          </w:tcPr>
          <w:p>
            <w:pPr>
              <w:spacing w:after="0" w:line="240" w:lineRule="auto"/>
            </w:pPr>
            <w:r>
              <w:rPr>
                <w:sz w:val="15"/>
              </w:rPr>
              <w:t>Auth/account</w:t>
            </w:r>
          </w:p>
        </w:tc>
        <w:tc>
          <w:tcPr>
            <w:tcW w:type="dxa" w:w="3120"/>
            <w:tcMar>
              <w:top w:w="80" w:type="dxa"/>
              <w:start w:w="120" w:type="dxa"/>
              <w:bottom w:w="80" w:type="dxa"/>
              <w:end w:w="120" w:type="dxa"/>
            </w:tcMar>
          </w:tcPr>
          <w:p>
            <w:pPr>
              <w:spacing w:after="0" w:line="240" w:lineRule="auto"/>
            </w:pPr>
            <w:r>
              <w:rPr>
                <w:sz w:val="15"/>
              </w:rPr>
              <w:t>POST /api/register; POST /api/login; POST /api/logout; GET /api/me</w:t>
            </w:r>
          </w:p>
        </w:tc>
        <w:tc>
          <w:tcPr>
            <w:tcW w:type="dxa" w:w="3120"/>
            <w:tcMar>
              <w:top w:w="80" w:type="dxa"/>
              <w:start w:w="120" w:type="dxa"/>
              <w:bottom w:w="80" w:type="dxa"/>
              <w:end w:w="120" w:type="dxa"/>
            </w:tcMar>
          </w:tcPr>
          <w:p>
            <w:pPr>
              <w:spacing w:after="0" w:line="240" w:lineRule="auto"/>
            </w:pPr>
            <w:r>
              <w:rPr>
                <w:sz w:val="15"/>
              </w:rPr>
              <w:t>Add return path, verification, reset, roles, CSRF, rate limits, lifecycle.</w:t>
            </w:r>
          </w:p>
        </w:tc>
      </w:tr>
      <w:tr>
        <w:trPr>
          <w:cantSplit/>
        </w:trPr>
        <w:tc>
          <w:tcPr>
            <w:tcW w:type="dxa" w:w="3120"/>
            <w:tcMar>
              <w:top w:w="80" w:type="dxa"/>
              <w:start w:w="120" w:type="dxa"/>
              <w:bottom w:w="80" w:type="dxa"/>
              <w:end w:w="120" w:type="dxa"/>
            </w:tcMar>
          </w:tcPr>
          <w:p>
            <w:pPr>
              <w:spacing w:after="0" w:line="240" w:lineRule="auto"/>
            </w:pPr>
            <w:r>
              <w:rPr>
                <w:sz w:val="15"/>
              </w:rPr>
              <w:t>Analytics projects</w:t>
            </w:r>
          </w:p>
        </w:tc>
        <w:tc>
          <w:tcPr>
            <w:tcW w:type="dxa" w:w="3120"/>
            <w:tcMar>
              <w:top w:w="80" w:type="dxa"/>
              <w:start w:w="120" w:type="dxa"/>
              <w:bottom w:w="80" w:type="dxa"/>
              <w:end w:w="120" w:type="dxa"/>
            </w:tcMar>
          </w:tcPr>
          <w:p>
            <w:pPr>
              <w:spacing w:after="0" w:line="240" w:lineRule="auto"/>
            </w:pPr>
            <w:r>
              <w:rPr>
                <w:sz w:val="15"/>
              </w:rPr>
              <w:t>GET/POST /api/analytics/projects; DELETE project; GET report</w:t>
            </w:r>
          </w:p>
        </w:tc>
        <w:tc>
          <w:tcPr>
            <w:tcW w:type="dxa" w:w="3120"/>
            <w:tcMar>
              <w:top w:w="80" w:type="dxa"/>
              <w:start w:w="120" w:type="dxa"/>
              <w:bottom w:w="80" w:type="dxa"/>
              <w:end w:w="120" w:type="dxa"/>
            </w:tcMar>
          </w:tcPr>
          <w:p>
            <w:pPr>
              <w:spacing w:after="0" w:line="240" w:lineRule="auto"/>
            </w:pPr>
            <w:r>
              <w:rPr>
                <w:sz w:val="15"/>
              </w:rPr>
              <w:t>Version, add update, pagination, idempotency, consistent source contract.</w:t>
            </w:r>
          </w:p>
        </w:tc>
      </w:tr>
      <w:tr>
        <w:trPr>
          <w:cantSplit/>
        </w:trPr>
        <w:tc>
          <w:tcPr>
            <w:tcW w:type="dxa" w:w="3120"/>
            <w:tcMar>
              <w:top w:w="80" w:type="dxa"/>
              <w:start w:w="120" w:type="dxa"/>
              <w:bottom w:w="80" w:type="dxa"/>
              <w:end w:w="120" w:type="dxa"/>
            </w:tcMar>
          </w:tcPr>
          <w:p>
            <w:pPr>
              <w:spacing w:after="0" w:line="240" w:lineRule="auto"/>
            </w:pPr>
            <w:r>
              <w:rPr>
                <w:sz w:val="15"/>
              </w:rPr>
              <w:t>Website audits</w:t>
            </w:r>
          </w:p>
        </w:tc>
        <w:tc>
          <w:tcPr>
            <w:tcW w:type="dxa" w:w="3120"/>
            <w:tcMar>
              <w:top w:w="80" w:type="dxa"/>
              <w:start w:w="120" w:type="dxa"/>
              <w:bottom w:w="80" w:type="dxa"/>
              <w:end w:w="120" w:type="dxa"/>
            </w:tcMar>
          </w:tcPr>
          <w:p>
            <w:pPr>
              <w:spacing w:after="0" w:line="240" w:lineRule="auto"/>
            </w:pPr>
            <w:r>
              <w:rPr>
                <w:sz w:val="15"/>
              </w:rPr>
              <w:t>POST project/audits; GET jobs/{id}; GET project/audit; legacy POST project/scan</w:t>
            </w:r>
          </w:p>
        </w:tc>
        <w:tc>
          <w:tcPr>
            <w:tcW w:type="dxa" w:w="3120"/>
            <w:tcMar>
              <w:top w:w="80" w:type="dxa"/>
              <w:start w:w="120" w:type="dxa"/>
              <w:bottom w:w="80" w:type="dxa"/>
              <w:end w:w="120" w:type="dxa"/>
            </w:tcMar>
          </w:tcPr>
          <w:p>
            <w:pPr>
              <w:spacing w:after="0" w:line="240" w:lineRule="auto"/>
            </w:pPr>
            <w:r>
              <w:rPr>
                <w:sz w:val="15"/>
              </w:rPr>
              <w:t>Keep durable audit; deprecate legacy compatibility scan.</w:t>
            </w:r>
          </w:p>
        </w:tc>
      </w:tr>
      <w:tr>
        <w:trPr>
          <w:cantSplit/>
        </w:trPr>
        <w:tc>
          <w:tcPr>
            <w:tcW w:type="dxa" w:w="3120"/>
            <w:tcMar>
              <w:top w:w="80" w:type="dxa"/>
              <w:start w:w="120" w:type="dxa"/>
              <w:bottom w:w="80" w:type="dxa"/>
              <w:end w:w="120" w:type="dxa"/>
            </w:tcMar>
          </w:tcPr>
          <w:p>
            <w:pPr>
              <w:spacing w:after="0" w:line="240" w:lineRule="auto"/>
            </w:pPr>
            <w:r>
              <w:rPr>
                <w:sz w:val="15"/>
              </w:rPr>
              <w:t>Google Search Console</w:t>
            </w:r>
          </w:p>
        </w:tc>
        <w:tc>
          <w:tcPr>
            <w:tcW w:type="dxa" w:w="3120"/>
            <w:tcMar>
              <w:top w:w="80" w:type="dxa"/>
              <w:start w:w="120" w:type="dxa"/>
              <w:bottom w:w="80" w:type="dxa"/>
              <w:end w:w="120" w:type="dxa"/>
            </w:tcMar>
          </w:tcPr>
          <w:p>
            <w:pPr>
              <w:spacing w:after="0" w:line="240" w:lineRule="auto"/>
            </w:pPr>
            <w:r>
              <w:rPr>
                <w:sz w:val="15"/>
              </w:rPr>
              <w:t>OAuth start/callback; connection GET/DELETE; property PUT; sync POST</w:t>
            </w:r>
          </w:p>
        </w:tc>
        <w:tc>
          <w:tcPr>
            <w:tcW w:type="dxa" w:w="3120"/>
            <w:tcMar>
              <w:top w:w="80" w:type="dxa"/>
              <w:start w:w="120" w:type="dxa"/>
              <w:bottom w:w="80" w:type="dxa"/>
              <w:end w:w="120" w:type="dxa"/>
            </w:tcMar>
          </w:tcPr>
          <w:p>
            <w:pPr>
              <w:spacing w:after="0" w:line="240" w:lineRule="auto"/>
            </w:pPr>
            <w:r>
              <w:rPr>
                <w:sz w:val="15"/>
              </w:rPr>
              <w:t>Add PKCE, revoke, durable paginated sync, idempotency, audit events.</w:t>
            </w:r>
          </w:p>
        </w:tc>
      </w:tr>
      <w:tr>
        <w:trPr>
          <w:cantSplit/>
        </w:trPr>
        <w:tc>
          <w:tcPr>
            <w:tcW w:type="dxa" w:w="3120"/>
            <w:tcMar>
              <w:top w:w="80" w:type="dxa"/>
              <w:start w:w="120" w:type="dxa"/>
              <w:bottom w:w="80" w:type="dxa"/>
              <w:end w:w="120" w:type="dxa"/>
            </w:tcMar>
          </w:tcPr>
          <w:p>
            <w:pPr>
              <w:spacing w:after="0" w:line="240" w:lineRule="auto"/>
            </w:pPr>
            <w:r>
              <w:rPr>
                <w:sz w:val="15"/>
              </w:rPr>
              <w:t>Tracking config</w:t>
            </w:r>
          </w:p>
        </w:tc>
        <w:tc>
          <w:tcPr>
            <w:tcW w:type="dxa" w:w="3120"/>
            <w:tcMar>
              <w:top w:w="80" w:type="dxa"/>
              <w:start w:w="120" w:type="dxa"/>
              <w:bottom w:w="80" w:type="dxa"/>
              <w:end w:w="120" w:type="dxa"/>
            </w:tcMar>
          </w:tcPr>
          <w:p>
            <w:pPr>
              <w:spacing w:after="0" w:line="240" w:lineRule="auto"/>
            </w:pPr>
            <w:r>
              <w:rPr>
                <w:sz w:val="15"/>
              </w:rPr>
              <w:t>GET tracking; topic/competitor/prompt CRUD; schedule PUT</w:t>
            </w:r>
          </w:p>
        </w:tc>
        <w:tc>
          <w:tcPr>
            <w:tcW w:type="dxa" w:w="3120"/>
            <w:tcMar>
              <w:top w:w="80" w:type="dxa"/>
              <w:start w:w="120" w:type="dxa"/>
              <w:bottom w:w="80" w:type="dxa"/>
              <w:end w:w="120" w:type="dxa"/>
            </w:tcMar>
          </w:tcPr>
          <w:p>
            <w:pPr>
              <w:spacing w:after="0" w:line="240" w:lineRule="auto"/>
            </w:pPr>
            <w:r>
              <w:rPr>
                <w:sz w:val="15"/>
              </w:rPr>
              <w:t>Add pagination/update/version snapshot and role permissions.</w:t>
            </w:r>
          </w:p>
        </w:tc>
      </w:tr>
    </w:tbl>
    <w:p>
      <w:r>
        <w:br w:type="page"/>
      </w:r>
    </w:p>
    <w:p>
      <w:pPr>
        <w:spacing w:after="640"/>
      </w:pPr>
      <w:r>
        <w:rPr>
          <w:sz w:val="2"/>
        </w:rPr>
        <w:t xml:space="preserve"> </w:t>
      </w:r>
    </w:p>
    <w:p>
      <w:pPr>
        <w:pStyle w:val="Heading3"/>
      </w:pPr>
      <w:r>
        <w:t>Appendix A — Current API inventory (continued)</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3120"/>
        <w:gridCol w:w="3120"/>
        <w:gridCol w:w="3120"/>
      </w:tblGrid>
      <w:tr>
        <w:trPr>
          <w:tblHeader w:val="true"/>
        </w:trPr>
        <w:tc>
          <w:tcPr>
            <w:tcW w:type="dxa" w:w="1850"/>
            <w:shd w:fill="F5F6F7"/>
            <w:tcMar>
              <w:top w:w="80" w:type="dxa"/>
              <w:start w:w="120" w:type="dxa"/>
              <w:bottom w:w="80" w:type="dxa"/>
              <w:end w:w="120" w:type="dxa"/>
            </w:tcMar>
          </w:tcPr>
          <w:p>
            <w:pPr>
              <w:spacing w:after="0"/>
            </w:pPr>
            <w:r>
              <w:rPr>
                <w:b/>
                <w:color w:val="171717"/>
                <w:sz w:val="15"/>
              </w:rPr>
              <w:t>Domain</w:t>
            </w:r>
          </w:p>
        </w:tc>
        <w:tc>
          <w:tcPr>
            <w:tcW w:type="dxa" w:w="4100"/>
            <w:shd w:fill="F5F6F7"/>
            <w:tcMar>
              <w:top w:w="80" w:type="dxa"/>
              <w:start w:w="120" w:type="dxa"/>
              <w:bottom w:w="80" w:type="dxa"/>
              <w:end w:w="120" w:type="dxa"/>
            </w:tcMar>
          </w:tcPr>
          <w:p>
            <w:pPr>
              <w:spacing w:after="0"/>
            </w:pPr>
            <w:r>
              <w:rPr>
                <w:b/>
                <w:color w:val="171717"/>
                <w:sz w:val="15"/>
              </w:rPr>
              <w:t>Current routes</w:t>
            </w:r>
          </w:p>
        </w:tc>
        <w:tc>
          <w:tcPr>
            <w:tcW w:type="dxa" w:w="3410"/>
            <w:shd w:fill="F5F6F7"/>
            <w:tcMar>
              <w:top w:w="80" w:type="dxa"/>
              <w:start w:w="120" w:type="dxa"/>
              <w:bottom w:w="80" w:type="dxa"/>
              <w:end w:w="120" w:type="dxa"/>
            </w:tcMar>
          </w:tcPr>
          <w:p>
            <w:pPr>
              <w:spacing w:after="0"/>
            </w:pPr>
            <w:r>
              <w:rPr>
                <w:b/>
                <w:color w:val="171717"/>
                <w:sz w:val="15"/>
              </w:rPr>
              <w:t>Target action</w:t>
            </w:r>
          </w:p>
        </w:tc>
      </w:tr>
      <w:tr>
        <w:trPr>
          <w:cantSplit/>
        </w:trPr>
        <w:tc>
          <w:tcPr>
            <w:tcW w:type="dxa" w:w="3120"/>
            <w:tcMar>
              <w:top w:w="80" w:type="dxa"/>
              <w:start w:w="120" w:type="dxa"/>
              <w:bottom w:w="80" w:type="dxa"/>
              <w:end w:w="120" w:type="dxa"/>
            </w:tcMar>
          </w:tcPr>
          <w:p>
            <w:pPr>
              <w:spacing w:after="0" w:line="240" w:lineRule="auto"/>
            </w:pPr>
            <w:r>
              <w:rPr>
                <w:sz w:val="15"/>
              </w:rPr>
              <w:t>Provider evidence</w:t>
            </w:r>
          </w:p>
        </w:tc>
        <w:tc>
          <w:tcPr>
            <w:tcW w:type="dxa" w:w="3120"/>
            <w:tcMar>
              <w:top w:w="80" w:type="dxa"/>
              <w:start w:w="120" w:type="dxa"/>
              <w:bottom w:w="80" w:type="dxa"/>
              <w:end w:w="120" w:type="dxa"/>
            </w:tcMar>
          </w:tcPr>
          <w:p>
            <w:pPr>
              <w:spacing w:after="0" w:line="240" w:lineRule="auto"/>
            </w:pPr>
            <w:r>
              <w:rPr>
                <w:sz w:val="15"/>
              </w:rPr>
              <w:t>POST prompt-scans; GET evidence; GET evidence/{answer_id}</w:t>
            </w:r>
          </w:p>
        </w:tc>
        <w:tc>
          <w:tcPr>
            <w:tcW w:type="dxa" w:w="3120"/>
            <w:tcMar>
              <w:top w:w="80" w:type="dxa"/>
              <w:start w:w="120" w:type="dxa"/>
              <w:bottom w:w="80" w:type="dxa"/>
              <w:end w:w="120" w:type="dxa"/>
            </w:tcMar>
          </w:tcPr>
          <w:p>
            <w:pPr>
              <w:spacing w:after="0" w:line="240" w:lineRule="auto"/>
            </w:pPr>
            <w:r>
              <w:rPr>
                <w:sz w:val="15"/>
              </w:rPr>
              <w:t>Add run pagination/filtering, cancellation, retention metadata, quotas.</w:t>
            </w:r>
          </w:p>
        </w:tc>
      </w:tr>
      <w:tr>
        <w:trPr>
          <w:cantSplit/>
        </w:trPr>
        <w:tc>
          <w:tcPr>
            <w:tcW w:type="dxa" w:w="3120"/>
            <w:tcMar>
              <w:top w:w="80" w:type="dxa"/>
              <w:start w:w="120" w:type="dxa"/>
              <w:bottom w:w="80" w:type="dxa"/>
              <w:end w:w="120" w:type="dxa"/>
            </w:tcMar>
          </w:tcPr>
          <w:p>
            <w:pPr>
              <w:spacing w:after="0" w:line="240" w:lineRule="auto"/>
            </w:pPr>
            <w:r>
              <w:rPr>
                <w:sz w:val="15"/>
              </w:rPr>
              <w:t>Prompt Intelligence</w:t>
            </w:r>
          </w:p>
        </w:tc>
        <w:tc>
          <w:tcPr>
            <w:tcW w:type="dxa" w:w="3120"/>
            <w:tcMar>
              <w:top w:w="80" w:type="dxa"/>
              <w:start w:w="120" w:type="dxa"/>
              <w:bottom w:w="80" w:type="dxa"/>
              <w:end w:w="120" w:type="dxa"/>
            </w:tcMar>
          </w:tcPr>
          <w:p>
            <w:pPr>
              <w:spacing w:after="0" w:line="240" w:lineRule="auto"/>
            </w:pPr>
            <w:r>
              <w:rPr>
                <w:sz w:val="15"/>
              </w:rPr>
              <w:t>Collection/query CRUD, analyze, report</w:t>
            </w:r>
          </w:p>
        </w:tc>
        <w:tc>
          <w:tcPr>
            <w:tcW w:type="dxa" w:w="3120"/>
            <w:tcMar>
              <w:top w:w="80" w:type="dxa"/>
              <w:start w:w="120" w:type="dxa"/>
              <w:bottom w:w="80" w:type="dxa"/>
              <w:end w:w="120" w:type="dxa"/>
            </w:tcMar>
          </w:tcPr>
          <w:p>
            <w:pPr>
              <w:spacing w:after="0" w:line="240" w:lineRule="auto"/>
            </w:pPr>
            <w:r>
              <w:rPr>
                <w:sz w:val="15"/>
              </w:rPr>
              <w:t>Replace synthetic analysis with shared evidence service.</w:t>
            </w:r>
          </w:p>
        </w:tc>
      </w:tr>
      <w:tr>
        <w:trPr>
          <w:cantSplit/>
        </w:trPr>
        <w:tc>
          <w:tcPr>
            <w:tcW w:type="dxa" w:w="3120"/>
            <w:tcMar>
              <w:top w:w="80" w:type="dxa"/>
              <w:start w:w="120" w:type="dxa"/>
              <w:bottom w:w="80" w:type="dxa"/>
              <w:end w:w="120" w:type="dxa"/>
            </w:tcMar>
          </w:tcPr>
          <w:p>
            <w:pPr>
              <w:spacing w:after="0" w:line="240" w:lineRule="auto"/>
            </w:pPr>
            <w:r>
              <w:rPr>
                <w:sz w:val="15"/>
              </w:rPr>
              <w:t>Visibility Tracking</w:t>
            </w:r>
          </w:p>
        </w:tc>
        <w:tc>
          <w:tcPr>
            <w:tcW w:type="dxa" w:w="3120"/>
            <w:tcMar>
              <w:top w:w="80" w:type="dxa"/>
              <w:start w:w="120" w:type="dxa"/>
              <w:bottom w:w="80" w:type="dxa"/>
              <w:end w:w="120" w:type="dxa"/>
            </w:tcMar>
          </w:tcPr>
          <w:p>
            <w:pPr>
              <w:spacing w:after="0" w:line="240" w:lineRule="auto"/>
            </w:pPr>
            <w:r>
              <w:rPr>
                <w:sz w:val="15"/>
              </w:rPr>
              <w:t>Watchlist CRUD, scan, report</w:t>
            </w:r>
          </w:p>
        </w:tc>
        <w:tc>
          <w:tcPr>
            <w:tcW w:type="dxa" w:w="3120"/>
            <w:tcMar>
              <w:top w:w="80" w:type="dxa"/>
              <w:start w:w="120" w:type="dxa"/>
              <w:bottom w:w="80" w:type="dxa"/>
              <w:end w:w="120" w:type="dxa"/>
            </w:tcMar>
          </w:tcPr>
          <w:p>
            <w:pPr>
              <w:spacing w:after="0" w:line="240" w:lineRule="auto"/>
            </w:pPr>
            <w:r>
              <w:rPr>
                <w:sz w:val="15"/>
              </w:rPr>
              <w:t>Replace synthetic scan with shared evidence service.</w:t>
            </w:r>
          </w:p>
        </w:tc>
      </w:tr>
      <w:tr>
        <w:trPr>
          <w:cantSplit/>
        </w:trPr>
        <w:tc>
          <w:tcPr>
            <w:tcW w:type="dxa" w:w="3120"/>
            <w:tcMar>
              <w:top w:w="80" w:type="dxa"/>
              <w:start w:w="120" w:type="dxa"/>
              <w:bottom w:w="80" w:type="dxa"/>
              <w:end w:w="120" w:type="dxa"/>
            </w:tcMar>
          </w:tcPr>
          <w:p>
            <w:pPr>
              <w:spacing w:after="0" w:line="240" w:lineRule="auto"/>
            </w:pPr>
            <w:r>
              <w:rPr>
                <w:sz w:val="15"/>
              </w:rPr>
              <w:t>Content Studio</w:t>
            </w:r>
          </w:p>
        </w:tc>
        <w:tc>
          <w:tcPr>
            <w:tcW w:type="dxa" w:w="3120"/>
            <w:tcMar>
              <w:top w:w="80" w:type="dxa"/>
              <w:start w:w="120" w:type="dxa"/>
              <w:bottom w:w="80" w:type="dxa"/>
              <w:end w:w="120" w:type="dxa"/>
            </w:tcMar>
          </w:tcPr>
          <w:p>
            <w:pPr>
              <w:spacing w:after="0" w:line="240" w:lineRule="auto"/>
            </w:pPr>
            <w:r>
              <w:rPr>
                <w:sz w:val="15"/>
              </w:rPr>
              <w:t>Document CRUD and generate</w:t>
            </w:r>
          </w:p>
        </w:tc>
        <w:tc>
          <w:tcPr>
            <w:tcW w:type="dxa" w:w="3120"/>
            <w:tcMar>
              <w:top w:w="80" w:type="dxa"/>
              <w:start w:w="120" w:type="dxa"/>
              <w:bottom w:w="80" w:type="dxa"/>
              <w:end w:w="120" w:type="dxa"/>
            </w:tcMar>
          </w:tcPr>
          <w:p>
            <w:pPr>
              <w:spacing w:after="0" w:line="240" w:lineRule="auto"/>
            </w:pPr>
            <w:r>
              <w:rPr>
                <w:sz w:val="15"/>
              </w:rPr>
              <w:t>Add evidence handoff, provenance, version history, model/CMS adapters.</w:t>
            </w:r>
          </w:p>
        </w:tc>
      </w:tr>
      <w:tr>
        <w:trPr>
          <w:cantSplit/>
        </w:trPr>
        <w:tc>
          <w:tcPr>
            <w:tcW w:type="dxa" w:w="3120"/>
            <w:tcMar>
              <w:top w:w="80" w:type="dxa"/>
              <w:start w:w="120" w:type="dxa"/>
              <w:bottom w:w="80" w:type="dxa"/>
              <w:end w:w="120" w:type="dxa"/>
            </w:tcMar>
          </w:tcPr>
          <w:p>
            <w:pPr>
              <w:spacing w:after="0" w:line="240" w:lineRule="auto"/>
            </w:pPr>
            <w:r>
              <w:rPr>
                <w:sz w:val="15"/>
              </w:rPr>
              <w:t>Master workspace</w:t>
            </w:r>
          </w:p>
        </w:tc>
        <w:tc>
          <w:tcPr>
            <w:tcW w:type="dxa" w:w="3120"/>
            <w:tcMar>
              <w:top w:w="80" w:type="dxa"/>
              <w:start w:w="120" w:type="dxa"/>
              <w:bottom w:w="80" w:type="dxa"/>
              <w:end w:w="120" w:type="dxa"/>
            </w:tcMar>
          </w:tcPr>
          <w:p>
            <w:pPr>
              <w:spacing w:after="0" w:line="240" w:lineRule="auto"/>
            </w:pPr>
            <w:r>
              <w:rPr>
                <w:sz w:val="15"/>
              </w:rPr>
              <w:t>GET/POST /api/master-workspace; GET summary</w:t>
            </w:r>
          </w:p>
        </w:tc>
        <w:tc>
          <w:tcPr>
            <w:tcW w:type="dxa" w:w="3120"/>
            <w:tcMar>
              <w:top w:w="80" w:type="dxa"/>
              <w:start w:w="120" w:type="dxa"/>
              <w:bottom w:w="80" w:type="dxa"/>
              <w:end w:w="120" w:type="dxa"/>
            </w:tcMar>
          </w:tcPr>
          <w:p>
            <w:pPr>
              <w:spacing w:after="0" w:line="240" w:lineRule="auto"/>
            </w:pPr>
            <w:r>
              <w:rPr>
                <w:sz w:val="15"/>
              </w:rPr>
              <w:t>Add explicit update/replace and source-correct aggregate read model.</w:t>
            </w:r>
          </w:p>
        </w:tc>
      </w:tr>
      <w:tr>
        <w:trPr>
          <w:cantSplit/>
        </w:trPr>
        <w:tc>
          <w:tcPr>
            <w:tcW w:type="dxa" w:w="3120"/>
            <w:tcMar>
              <w:top w:w="80" w:type="dxa"/>
              <w:start w:w="120" w:type="dxa"/>
              <w:bottom w:w="80" w:type="dxa"/>
              <w:end w:w="120" w:type="dxa"/>
            </w:tcMar>
          </w:tcPr>
          <w:p>
            <w:pPr>
              <w:spacing w:after="0" w:line="240" w:lineRule="auto"/>
            </w:pPr>
            <w:r>
              <w:rPr>
                <w:sz w:val="15"/>
              </w:rPr>
              <w:t>Admin</w:t>
            </w:r>
          </w:p>
        </w:tc>
        <w:tc>
          <w:tcPr>
            <w:tcW w:type="dxa" w:w="3120"/>
            <w:tcMar>
              <w:top w:w="80" w:type="dxa"/>
              <w:start w:w="120" w:type="dxa"/>
              <w:bottom w:w="80" w:type="dxa"/>
              <w:end w:w="120" w:type="dxa"/>
            </w:tcMar>
          </w:tcPr>
          <w:p>
            <w:pPr>
              <w:spacing w:after="0" w:line="240" w:lineRule="auto"/>
            </w:pPr>
            <w:r>
              <w:rPr>
                <w:sz w:val="15"/>
              </w:rPr>
              <w:t>GET /admin/contacts</w:t>
            </w:r>
          </w:p>
        </w:tc>
        <w:tc>
          <w:tcPr>
            <w:tcW w:type="dxa" w:w="3120"/>
            <w:tcMar>
              <w:top w:w="80" w:type="dxa"/>
              <w:start w:w="120" w:type="dxa"/>
              <w:bottom w:w="80" w:type="dxa"/>
              <w:end w:w="120" w:type="dxa"/>
            </w:tcMar>
          </w:tcPr>
          <w:p>
            <w:pPr>
              <w:spacing w:after="0" w:line="240" w:lineRule="auto"/>
            </w:pPr>
            <w:r>
              <w:rPr>
                <w:sz w:val="15"/>
              </w:rPr>
              <w:t>Move behind admin RBAC and escaped template; audit access.</w:t>
            </w:r>
          </w:p>
        </w:tc>
      </w:tr>
    </w:tbl>
    <w:p>
      <w:pPr>
        <w:spacing w:after="0"/>
      </w:pPr>
    </w:p>
    <w:p>
      <w:bookmarkStart w:id="20" w:name="data_model"/>
      <w:pPr>
        <w:pStyle w:val="Heading1"/>
        <w:pageBreakBefore/>
        <w:spacing w:before="840"/>
      </w:pPr>
      <w:r>
        <w:t>Appendix B — Logical data model</w:t>
      </w:r>
      <w:bookmarkEnd w:id="20"/>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3120"/>
        <w:gridCol w:w="3120"/>
        <w:gridCol w:w="3120"/>
      </w:tblGrid>
      <w:tr>
        <w:trPr>
          <w:tblHeader w:val="true"/>
        </w:trPr>
        <w:tc>
          <w:tcPr>
            <w:tcW w:type="dxa" w:w="1700"/>
            <w:shd w:fill="F5F6F7"/>
            <w:tcMar>
              <w:top w:w="80" w:type="dxa"/>
              <w:start w:w="120" w:type="dxa"/>
              <w:bottom w:w="80" w:type="dxa"/>
              <w:end w:w="120" w:type="dxa"/>
            </w:tcMar>
          </w:tcPr>
          <w:p>
            <w:pPr>
              <w:spacing w:after="0"/>
            </w:pPr>
            <w:r>
              <w:rPr>
                <w:b/>
                <w:color w:val="171717"/>
                <w:sz w:val="15"/>
              </w:rPr>
              <w:t>Domain</w:t>
            </w:r>
          </w:p>
        </w:tc>
        <w:tc>
          <w:tcPr>
            <w:tcW w:type="dxa" w:w="4260"/>
            <w:shd w:fill="F5F6F7"/>
            <w:tcMar>
              <w:top w:w="80" w:type="dxa"/>
              <w:start w:w="120" w:type="dxa"/>
              <w:bottom w:w="80" w:type="dxa"/>
              <w:end w:w="120" w:type="dxa"/>
            </w:tcMar>
          </w:tcPr>
          <w:p>
            <w:pPr>
              <w:spacing w:after="0"/>
            </w:pPr>
            <w:r>
              <w:rPr>
                <w:b/>
                <w:color w:val="171717"/>
                <w:sz w:val="15"/>
              </w:rPr>
              <w:t>Current tables</w:t>
            </w:r>
          </w:p>
        </w:tc>
        <w:tc>
          <w:tcPr>
            <w:tcW w:type="dxa" w:w="3400"/>
            <w:shd w:fill="F5F6F7"/>
            <w:tcMar>
              <w:top w:w="80" w:type="dxa"/>
              <w:start w:w="120" w:type="dxa"/>
              <w:bottom w:w="80" w:type="dxa"/>
              <w:end w:w="120" w:type="dxa"/>
            </w:tcMar>
          </w:tcPr>
          <w:p>
            <w:pPr>
              <w:spacing w:after="0"/>
            </w:pPr>
            <w:r>
              <w:rPr>
                <w:b/>
                <w:color w:val="171717"/>
                <w:sz w:val="15"/>
              </w:rPr>
              <w:t>Target note</w:t>
            </w:r>
          </w:p>
        </w:tc>
      </w:tr>
      <w:tr>
        <w:trPr>
          <w:cantSplit/>
        </w:trPr>
        <w:tc>
          <w:tcPr>
            <w:tcW w:type="dxa" w:w="3120"/>
            <w:tcMar>
              <w:top w:w="80" w:type="dxa"/>
              <w:start w:w="120" w:type="dxa"/>
              <w:bottom w:w="80" w:type="dxa"/>
              <w:end w:w="120" w:type="dxa"/>
            </w:tcMar>
          </w:tcPr>
          <w:p>
            <w:pPr>
              <w:spacing w:after="0" w:line="240" w:lineRule="auto"/>
            </w:pPr>
            <w:r>
              <w:rPr>
                <w:sz w:val="15"/>
              </w:rPr>
              <w:t>Foundation</w:t>
            </w:r>
          </w:p>
        </w:tc>
        <w:tc>
          <w:tcPr>
            <w:tcW w:type="dxa" w:w="3120"/>
            <w:tcMar>
              <w:top w:w="80" w:type="dxa"/>
              <w:start w:w="120" w:type="dxa"/>
              <w:bottom w:w="80" w:type="dxa"/>
              <w:end w:w="120" w:type="dxa"/>
            </w:tcMar>
          </w:tcPr>
          <w:p>
            <w:pPr>
              <w:spacing w:after="0" w:line="240" w:lineRule="auto"/>
            </w:pPr>
            <w:r>
              <w:rPr>
                <w:sz w:val="15"/>
              </w:rPr>
              <w:t>users, contacts, app_metadata</w:t>
            </w:r>
          </w:p>
        </w:tc>
        <w:tc>
          <w:tcPr>
            <w:tcW w:type="dxa" w:w="3120"/>
            <w:tcMar>
              <w:top w:w="80" w:type="dxa"/>
              <w:start w:w="120" w:type="dxa"/>
              <w:bottom w:w="80" w:type="dxa"/>
              <w:end w:w="120" w:type="dxa"/>
            </w:tcMar>
          </w:tcPr>
          <w:p>
            <w:pPr>
              <w:spacing w:after="0" w:line="240" w:lineRule="auto"/>
            </w:pPr>
            <w:r>
              <w:rPr>
                <w:sz w:val="15"/>
              </w:rPr>
              <w:t>Account/contact/DB identity; add roles, orgs, sessions, consent, audit events.</w:t>
            </w:r>
          </w:p>
        </w:tc>
      </w:tr>
      <w:tr>
        <w:trPr>
          <w:cantSplit/>
        </w:trPr>
        <w:tc>
          <w:tcPr>
            <w:tcW w:type="dxa" w:w="3120"/>
            <w:tcMar>
              <w:top w:w="80" w:type="dxa"/>
              <w:start w:w="120" w:type="dxa"/>
              <w:bottom w:w="80" w:type="dxa"/>
              <w:end w:w="120" w:type="dxa"/>
            </w:tcMar>
          </w:tcPr>
          <w:p>
            <w:pPr>
              <w:spacing w:after="0" w:line="240" w:lineRule="auto"/>
            </w:pPr>
            <w:r>
              <w:rPr>
                <w:sz w:val="15"/>
              </w:rPr>
              <w:t>Analytics compatibility</w:t>
            </w:r>
          </w:p>
        </w:tc>
        <w:tc>
          <w:tcPr>
            <w:tcW w:type="dxa" w:w="3120"/>
            <w:tcMar>
              <w:top w:w="80" w:type="dxa"/>
              <w:start w:w="120" w:type="dxa"/>
              <w:bottom w:w="80" w:type="dxa"/>
              <w:end w:w="120" w:type="dxa"/>
            </w:tcMar>
          </w:tcPr>
          <w:p>
            <w:pPr>
              <w:spacing w:after="0" w:line="240" w:lineRule="auto"/>
            </w:pPr>
            <w:r>
              <w:rPr>
                <w:sz w:val="15"/>
              </w:rPr>
              <w:t>analytics_projects, analytics_runs, analytics_engine_metrics, analytics_prompts</w:t>
            </w:r>
          </w:p>
        </w:tc>
        <w:tc>
          <w:tcPr>
            <w:tcW w:type="dxa" w:w="3120"/>
            <w:tcMar>
              <w:top w:w="80" w:type="dxa"/>
              <w:start w:w="120" w:type="dxa"/>
              <w:bottom w:w="80" w:type="dxa"/>
              <w:end w:w="120" w:type="dxa"/>
            </w:tcMar>
          </w:tcPr>
          <w:p>
            <w:pPr>
              <w:spacing w:after="0" w:line="240" w:lineRule="auto"/>
            </w:pPr>
            <w:r>
              <w:rPr>
                <w:sz w:val="15"/>
              </w:rPr>
              <w:t>Project remains; legacy metric tables require deprecation/migration.</w:t>
            </w:r>
          </w:p>
        </w:tc>
      </w:tr>
      <w:tr>
        <w:trPr>
          <w:cantSplit/>
        </w:trPr>
        <w:tc>
          <w:tcPr>
            <w:tcW w:type="dxa" w:w="3120"/>
            <w:tcMar>
              <w:top w:w="80" w:type="dxa"/>
              <w:start w:w="120" w:type="dxa"/>
              <w:bottom w:w="80" w:type="dxa"/>
              <w:end w:w="120" w:type="dxa"/>
            </w:tcMar>
          </w:tcPr>
          <w:p>
            <w:pPr>
              <w:spacing w:after="0" w:line="240" w:lineRule="auto"/>
            </w:pPr>
            <w:r>
              <w:rPr>
                <w:sz w:val="15"/>
              </w:rPr>
              <w:t>Crawl</w:t>
            </w:r>
          </w:p>
        </w:tc>
        <w:tc>
          <w:tcPr>
            <w:tcW w:type="dxa" w:w="3120"/>
            <w:tcMar>
              <w:top w:w="80" w:type="dxa"/>
              <w:start w:w="120" w:type="dxa"/>
              <w:bottom w:w="80" w:type="dxa"/>
              <w:end w:w="120" w:type="dxa"/>
            </w:tcMar>
          </w:tcPr>
          <w:p>
            <w:pPr>
              <w:spacing w:after="0" w:line="240" w:lineRule="auto"/>
            </w:pPr>
            <w:r>
              <w:rPr>
                <w:sz w:val="15"/>
              </w:rPr>
              <w:t>analytics_audit_jobs, analytics_site_audits, analytics_audit_pages, analytics_audit_findings, analytics_sitemaps</w:t>
            </w:r>
          </w:p>
        </w:tc>
        <w:tc>
          <w:tcPr>
            <w:tcW w:type="dxa" w:w="3120"/>
            <w:tcMar>
              <w:top w:w="80" w:type="dxa"/>
              <w:start w:w="120" w:type="dxa"/>
              <w:bottom w:w="80" w:type="dxa"/>
              <w:end w:w="120" w:type="dxa"/>
            </w:tcMar>
          </w:tcPr>
          <w:p>
            <w:pPr>
              <w:spacing w:after="0" w:line="240" w:lineRule="auto"/>
            </w:pPr>
            <w:r>
              <w:rPr>
                <w:sz w:val="15"/>
              </w:rPr>
              <w:t>Evidence-backed multi-page audit and job state.</w:t>
            </w:r>
          </w:p>
        </w:tc>
      </w:tr>
      <w:tr>
        <w:trPr>
          <w:cantSplit/>
        </w:trPr>
        <w:tc>
          <w:tcPr>
            <w:tcW w:type="dxa" w:w="3120"/>
            <w:tcMar>
              <w:top w:w="80" w:type="dxa"/>
              <w:start w:w="120" w:type="dxa"/>
              <w:bottom w:w="80" w:type="dxa"/>
              <w:end w:w="120" w:type="dxa"/>
            </w:tcMar>
          </w:tcPr>
          <w:p>
            <w:pPr>
              <w:spacing w:after="0" w:line="240" w:lineRule="auto"/>
            </w:pPr>
            <w:r>
              <w:rPr>
                <w:sz w:val="15"/>
              </w:rPr>
              <w:t>Search Console</w:t>
            </w:r>
          </w:p>
        </w:tc>
        <w:tc>
          <w:tcPr>
            <w:tcW w:type="dxa" w:w="3120"/>
            <w:tcMar>
              <w:top w:w="80" w:type="dxa"/>
              <w:start w:w="120" w:type="dxa"/>
              <w:bottom w:w="80" w:type="dxa"/>
              <w:end w:w="120" w:type="dxa"/>
            </w:tcMar>
          </w:tcPr>
          <w:p>
            <w:pPr>
              <w:spacing w:after="0" w:line="240" w:lineRule="auto"/>
            </w:pPr>
            <w:r>
              <w:rPr>
                <w:sz w:val="15"/>
              </w:rPr>
              <w:t>gsc_connections, gsc_properties, gsc_sync_runs, gsc_query_rows</w:t>
            </w:r>
          </w:p>
        </w:tc>
        <w:tc>
          <w:tcPr>
            <w:tcW w:type="dxa" w:w="3120"/>
            <w:tcMar>
              <w:top w:w="80" w:type="dxa"/>
              <w:start w:w="120" w:type="dxa"/>
              <w:bottom w:w="80" w:type="dxa"/>
              <w:end w:w="120" w:type="dxa"/>
            </w:tcMar>
          </w:tcPr>
          <w:p>
            <w:pPr>
              <w:spacing w:after="0" w:line="240" w:lineRule="auto"/>
            </w:pPr>
            <w:r>
              <w:rPr>
                <w:sz w:val="15"/>
              </w:rPr>
              <w:t>Encrypted OAuth, property choice, sync history, query/page rows.</w:t>
            </w:r>
          </w:p>
        </w:tc>
      </w:tr>
      <w:tr>
        <w:trPr>
          <w:cantSplit/>
        </w:trPr>
        <w:tc>
          <w:tcPr>
            <w:tcW w:type="dxa" w:w="3120"/>
            <w:tcMar>
              <w:top w:w="80" w:type="dxa"/>
              <w:start w:w="120" w:type="dxa"/>
              <w:bottom w:w="80" w:type="dxa"/>
              <w:end w:w="120" w:type="dxa"/>
            </w:tcMar>
          </w:tcPr>
          <w:p>
            <w:pPr>
              <w:spacing w:after="0" w:line="240" w:lineRule="auto"/>
            </w:pPr>
            <w:r>
              <w:rPr>
                <w:sz w:val="15"/>
              </w:rPr>
              <w:t>Prompt evidence</w:t>
            </w:r>
          </w:p>
        </w:tc>
        <w:tc>
          <w:tcPr>
            <w:tcW w:type="dxa" w:w="3120"/>
            <w:tcMar>
              <w:top w:w="80" w:type="dxa"/>
              <w:start w:w="120" w:type="dxa"/>
              <w:bottom w:w="80" w:type="dxa"/>
              <w:end w:w="120" w:type="dxa"/>
            </w:tcMar>
          </w:tcPr>
          <w:p>
            <w:pPr>
              <w:spacing w:after="0" w:line="240" w:lineRule="auto"/>
            </w:pPr>
            <w:r>
              <w:rPr>
                <w:sz w:val="15"/>
              </w:rPr>
              <w:t>analytics_topics, analytics_competitors, analytics_tracked_prompts, analytics_prompt_scan_runs, analytics_provider_answers, analytics_answer_sources, analytics_scan_schedules, analytics_content_opportunities</w:t>
            </w:r>
          </w:p>
        </w:tc>
        <w:tc>
          <w:tcPr>
            <w:tcW w:type="dxa" w:w="3120"/>
            <w:tcMar>
              <w:top w:w="80" w:type="dxa"/>
              <w:start w:w="120" w:type="dxa"/>
              <w:bottom w:w="80" w:type="dxa"/>
              <w:end w:w="120" w:type="dxa"/>
            </w:tcMar>
          </w:tcPr>
          <w:p>
            <w:pPr>
              <w:spacing w:after="0" w:line="240" w:lineRule="auto"/>
            </w:pPr>
            <w:r>
              <w:rPr>
                <w:sz w:val="15"/>
              </w:rPr>
              <w:t>Primary production evidence model; add FK constraints, algorithm versions, cost/retry/retention metadata.</w:t>
            </w:r>
          </w:p>
        </w:tc>
      </w:tr>
      <w:tr>
        <w:trPr>
          <w:cantSplit/>
        </w:trPr>
        <w:tc>
          <w:tcPr>
            <w:tcW w:type="dxa" w:w="3120"/>
            <w:tcMar>
              <w:top w:w="80" w:type="dxa"/>
              <w:start w:w="120" w:type="dxa"/>
              <w:bottom w:w="80" w:type="dxa"/>
              <w:end w:w="120" w:type="dxa"/>
            </w:tcMar>
          </w:tcPr>
          <w:p>
            <w:pPr>
              <w:spacing w:after="0" w:line="240" w:lineRule="auto"/>
            </w:pPr>
            <w:r>
              <w:rPr>
                <w:sz w:val="15"/>
              </w:rPr>
              <w:t>Prompt Intelligence</w:t>
            </w:r>
          </w:p>
        </w:tc>
        <w:tc>
          <w:tcPr>
            <w:tcW w:type="dxa" w:w="3120"/>
            <w:tcMar>
              <w:top w:w="80" w:type="dxa"/>
              <w:start w:w="120" w:type="dxa"/>
              <w:bottom w:w="80" w:type="dxa"/>
              <w:end w:w="120" w:type="dxa"/>
            </w:tcMar>
          </w:tcPr>
          <w:p>
            <w:pPr>
              <w:spacing w:after="0" w:line="240" w:lineRule="auto"/>
            </w:pPr>
            <w:r>
              <w:rPr>
                <w:sz w:val="15"/>
              </w:rPr>
              <w:t>prompt_collections, prompt_queries, prompt_query_results</w:t>
            </w:r>
          </w:p>
        </w:tc>
        <w:tc>
          <w:tcPr>
            <w:tcW w:type="dxa" w:w="3120"/>
            <w:tcMar>
              <w:top w:w="80" w:type="dxa"/>
              <w:start w:w="120" w:type="dxa"/>
              <w:bottom w:w="80" w:type="dxa"/>
              <w:end w:w="120" w:type="dxa"/>
            </w:tcMar>
          </w:tcPr>
          <w:p>
            <w:pPr>
              <w:spacing w:after="0" w:line="240" w:lineRule="auto"/>
            </w:pPr>
            <w:r>
              <w:rPr>
                <w:sz w:val="15"/>
              </w:rPr>
              <w:t>Replace synthetic results or migrate to shared evidence/read models.</w:t>
            </w:r>
          </w:p>
        </w:tc>
      </w:tr>
      <w:tr>
        <w:trPr>
          <w:cantSplit/>
        </w:trPr>
        <w:tc>
          <w:tcPr>
            <w:tcW w:type="dxa" w:w="3120"/>
            <w:tcMar>
              <w:top w:w="80" w:type="dxa"/>
              <w:start w:w="120" w:type="dxa"/>
              <w:bottom w:w="80" w:type="dxa"/>
              <w:end w:w="120" w:type="dxa"/>
            </w:tcMar>
          </w:tcPr>
          <w:p>
            <w:pPr>
              <w:spacing w:after="0" w:line="240" w:lineRule="auto"/>
            </w:pPr>
            <w:r>
              <w:rPr>
                <w:sz w:val="15"/>
              </w:rPr>
              <w:t>Visibility</w:t>
            </w:r>
          </w:p>
        </w:tc>
        <w:tc>
          <w:tcPr>
            <w:tcW w:type="dxa" w:w="3120"/>
            <w:tcMar>
              <w:top w:w="80" w:type="dxa"/>
              <w:start w:w="120" w:type="dxa"/>
              <w:bottom w:w="80" w:type="dxa"/>
              <w:end w:w="120" w:type="dxa"/>
            </w:tcMar>
          </w:tcPr>
          <w:p>
            <w:pPr>
              <w:spacing w:after="0" w:line="240" w:lineRule="auto"/>
            </w:pPr>
            <w:r>
              <w:rPr>
                <w:sz w:val="15"/>
              </w:rPr>
              <w:t>visibility_watchlists, visibility_scans, visibility_engine_results, visibility_mentions</w:t>
            </w:r>
          </w:p>
        </w:tc>
        <w:tc>
          <w:tcPr>
            <w:tcW w:type="dxa" w:w="3120"/>
            <w:tcMar>
              <w:top w:w="80" w:type="dxa"/>
              <w:start w:w="120" w:type="dxa"/>
              <w:bottom w:w="80" w:type="dxa"/>
              <w:end w:w="120" w:type="dxa"/>
            </w:tcMar>
          </w:tcPr>
          <w:p>
            <w:pPr>
              <w:spacing w:after="0" w:line="240" w:lineRule="auto"/>
            </w:pPr>
            <w:r>
              <w:rPr>
                <w:sz w:val="15"/>
              </w:rPr>
              <w:t>Replace synthetic results or migrate to shared evidence/read models.</w:t>
            </w:r>
          </w:p>
        </w:tc>
      </w:tr>
      <w:tr>
        <w:trPr>
          <w:cantSplit/>
        </w:trPr>
        <w:tc>
          <w:tcPr>
            <w:tcW w:type="dxa" w:w="3120"/>
            <w:tcMar>
              <w:top w:w="80" w:type="dxa"/>
              <w:start w:w="120" w:type="dxa"/>
              <w:bottom w:w="80" w:type="dxa"/>
              <w:end w:w="120" w:type="dxa"/>
            </w:tcMar>
          </w:tcPr>
          <w:p>
            <w:pPr>
              <w:spacing w:after="0" w:line="240" w:lineRule="auto"/>
            </w:pPr>
            <w:r>
              <w:rPr>
                <w:sz w:val="15"/>
              </w:rPr>
              <w:t>Content</w:t>
            </w:r>
          </w:p>
        </w:tc>
        <w:tc>
          <w:tcPr>
            <w:tcW w:type="dxa" w:w="3120"/>
            <w:tcMar>
              <w:top w:w="80" w:type="dxa"/>
              <w:start w:w="120" w:type="dxa"/>
              <w:bottom w:w="80" w:type="dxa"/>
              <w:end w:w="120" w:type="dxa"/>
            </w:tcMar>
          </w:tcPr>
          <w:p>
            <w:pPr>
              <w:spacing w:after="0" w:line="240" w:lineRule="auto"/>
            </w:pPr>
            <w:r>
              <w:rPr>
                <w:sz w:val="15"/>
              </w:rPr>
              <w:t>content_documents</w:t>
            </w:r>
          </w:p>
        </w:tc>
        <w:tc>
          <w:tcPr>
            <w:tcW w:type="dxa" w:w="3120"/>
            <w:tcMar>
              <w:top w:w="80" w:type="dxa"/>
              <w:start w:w="120" w:type="dxa"/>
              <w:bottom w:w="80" w:type="dxa"/>
              <w:end w:w="120" w:type="dxa"/>
            </w:tcMar>
          </w:tcPr>
          <w:p>
            <w:pPr>
              <w:spacing w:after="0" w:line="240" w:lineRule="auto"/>
            </w:pPr>
            <w:r>
              <w:rPr>
                <w:sz w:val="15"/>
              </w:rPr>
              <w:t>Add evidence links, generation metadata, version history, collaboration/publication records.</w:t>
            </w:r>
          </w:p>
        </w:tc>
      </w:tr>
      <w:tr>
        <w:trPr>
          <w:cantSplit/>
        </w:trPr>
        <w:tc>
          <w:tcPr>
            <w:tcW w:type="dxa" w:w="3120"/>
            <w:tcMar>
              <w:top w:w="80" w:type="dxa"/>
              <w:start w:w="120" w:type="dxa"/>
              <w:bottom w:w="80" w:type="dxa"/>
              <w:end w:w="120" w:type="dxa"/>
            </w:tcMar>
          </w:tcPr>
          <w:p>
            <w:pPr>
              <w:spacing w:after="0" w:line="240" w:lineRule="auto"/>
            </w:pPr>
            <w:r>
              <w:rPr>
                <w:sz w:val="15"/>
              </w:rPr>
              <w:t>Master</w:t>
            </w:r>
          </w:p>
        </w:tc>
        <w:tc>
          <w:tcPr>
            <w:tcW w:type="dxa" w:w="3120"/>
            <w:tcMar>
              <w:top w:w="80" w:type="dxa"/>
              <w:start w:w="120" w:type="dxa"/>
              <w:bottom w:w="80" w:type="dxa"/>
              <w:end w:w="120" w:type="dxa"/>
            </w:tcMar>
          </w:tcPr>
          <w:p>
            <w:pPr>
              <w:spacing w:after="0" w:line="240" w:lineRule="auto"/>
            </w:pPr>
            <w:r>
              <w:rPr>
                <w:sz w:val="15"/>
              </w:rPr>
              <w:t>master_workspaces</w:t>
            </w:r>
          </w:p>
        </w:tc>
        <w:tc>
          <w:tcPr>
            <w:tcW w:type="dxa" w:w="3120"/>
            <w:tcMar>
              <w:top w:w="80" w:type="dxa"/>
              <w:start w:w="120" w:type="dxa"/>
              <w:bottom w:w="80" w:type="dxa"/>
              <w:end w:w="120" w:type="dxa"/>
            </w:tcMar>
          </w:tcPr>
          <w:p>
            <w:pPr>
              <w:spacing w:after="0" w:line="240" w:lineRule="auto"/>
            </w:pPr>
            <w:r>
              <w:rPr>
                <w:sz w:val="15"/>
              </w:rPr>
              <w:t>Link shared brand configuration to product views; avoid synthetic seeded measurements.</w:t>
            </w:r>
          </w:p>
        </w:tc>
      </w:tr>
    </w:tbl>
    <w:p>
      <w:pPr>
        <w:spacing w:after="0"/>
      </w:pPr>
    </w:p>
    <w:p>
      <w:r>
        <w:t>Current relationships are implemented in application code without database foreign keys. The target schema shall define tenant ownership, foreign keys, uniqueness, cascade/restrict behavior, and query-driven indexes through versioned migrations.</w:t>
      </w:r>
    </w:p>
    <w:p>
      <w:bookmarkStart w:id="21" w:name="environment"/>
      <w:pPr>
        <w:pStyle w:val="Heading1"/>
        <w:pageBreakBefore/>
        <w:spacing w:before="840"/>
      </w:pPr>
      <w:r>
        <w:t>Appendix C — Environment variables</w:t>
      </w:r>
      <w:bookmarkEnd w:id="21"/>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3120"/>
        <w:gridCol w:w="3120"/>
        <w:gridCol w:w="3120"/>
      </w:tblGrid>
      <w:tr>
        <w:trPr>
          <w:tblHeader w:val="true"/>
        </w:trPr>
        <w:tc>
          <w:tcPr>
            <w:tcW w:type="dxa" w:w="1350"/>
            <w:shd w:fill="F5F6F7"/>
            <w:tcMar>
              <w:top w:w="80" w:type="dxa"/>
              <w:start w:w="120" w:type="dxa"/>
              <w:bottom w:w="80" w:type="dxa"/>
              <w:end w:w="120" w:type="dxa"/>
            </w:tcMar>
          </w:tcPr>
          <w:p>
            <w:pPr>
              <w:spacing w:after="0"/>
            </w:pPr>
            <w:r>
              <w:rPr>
                <w:b/>
                <w:color w:val="171717"/>
                <w:sz w:val="15"/>
              </w:rPr>
              <w:t>Group</w:t>
            </w:r>
          </w:p>
        </w:tc>
        <w:tc>
          <w:tcPr>
            <w:tcW w:type="dxa" w:w="4920"/>
            <w:shd w:fill="F5F6F7"/>
            <w:tcMar>
              <w:top w:w="80" w:type="dxa"/>
              <w:start w:w="120" w:type="dxa"/>
              <w:bottom w:w="80" w:type="dxa"/>
              <w:end w:w="120" w:type="dxa"/>
            </w:tcMar>
          </w:tcPr>
          <w:p>
            <w:pPr>
              <w:spacing w:after="0"/>
            </w:pPr>
            <w:r>
              <w:rPr>
                <w:b/>
                <w:color w:val="171717"/>
                <w:sz w:val="15"/>
              </w:rPr>
              <w:t>Variables</w:t>
            </w:r>
          </w:p>
        </w:tc>
        <w:tc>
          <w:tcPr>
            <w:tcW w:type="dxa" w:w="3090"/>
            <w:shd w:fill="F5F6F7"/>
            <w:tcMar>
              <w:top w:w="80" w:type="dxa"/>
              <w:start w:w="120" w:type="dxa"/>
              <w:bottom w:w="80" w:type="dxa"/>
              <w:end w:w="120" w:type="dxa"/>
            </w:tcMar>
          </w:tcPr>
          <w:p>
            <w:pPr>
              <w:spacing w:after="0"/>
            </w:pPr>
            <w:r>
              <w:rPr>
                <w:b/>
                <w:color w:val="171717"/>
                <w:sz w:val="15"/>
              </w:rPr>
              <w:t>Requirement note</w:t>
            </w:r>
          </w:p>
        </w:tc>
      </w:tr>
      <w:tr>
        <w:trPr>
          <w:cantSplit/>
        </w:trPr>
        <w:tc>
          <w:tcPr>
            <w:tcW w:type="dxa" w:w="3120"/>
            <w:tcMar>
              <w:top w:w="80" w:type="dxa"/>
              <w:start w:w="120" w:type="dxa"/>
              <w:bottom w:w="80" w:type="dxa"/>
              <w:end w:w="120" w:type="dxa"/>
            </w:tcMar>
          </w:tcPr>
          <w:p>
            <w:pPr>
              <w:spacing w:after="0" w:line="240" w:lineRule="auto"/>
            </w:pPr>
            <w:r>
              <w:rPr>
                <w:sz w:val="15"/>
              </w:rPr>
              <w:t>Core</w:t>
            </w:r>
          </w:p>
        </w:tc>
        <w:tc>
          <w:tcPr>
            <w:tcW w:type="dxa" w:w="3120"/>
            <w:tcMar>
              <w:top w:w="80" w:type="dxa"/>
              <w:start w:w="120" w:type="dxa"/>
              <w:bottom w:w="80" w:type="dxa"/>
              <w:end w:w="120" w:type="dxa"/>
            </w:tcMar>
          </w:tcPr>
          <w:p>
            <w:pPr>
              <w:spacing w:after="0" w:line="240" w:lineRule="auto"/>
            </w:pPr>
            <w:r>
              <w:rPr>
                <w:sz w:val="15"/>
              </w:rPr>
              <w:t>APP_ENV, SECRET_KEY, DATABASE_URL, DATABASE_INSTANCE_ID</w:t>
            </w:r>
          </w:p>
        </w:tc>
        <w:tc>
          <w:tcPr>
            <w:tcW w:type="dxa" w:w="3120"/>
            <w:tcMar>
              <w:top w:w="80" w:type="dxa"/>
              <w:start w:w="120" w:type="dxa"/>
              <w:bottom w:w="80" w:type="dxa"/>
              <w:end w:w="120" w:type="dxa"/>
            </w:tcMar>
          </w:tcPr>
          <w:p>
            <w:pPr>
              <w:spacing w:after="0" w:line="240" w:lineRule="auto"/>
            </w:pPr>
            <w:r>
              <w:rPr>
                <w:sz w:val="15"/>
              </w:rPr>
              <w:t>Production requires managed secrets, stable DB binding, and identity check.</w:t>
            </w:r>
          </w:p>
        </w:tc>
      </w:tr>
      <w:tr>
        <w:trPr>
          <w:cantSplit/>
        </w:trPr>
        <w:tc>
          <w:tcPr>
            <w:tcW w:type="dxa" w:w="3120"/>
            <w:tcMar>
              <w:top w:w="80" w:type="dxa"/>
              <w:start w:w="120" w:type="dxa"/>
              <w:bottom w:w="80" w:type="dxa"/>
              <w:end w:w="120" w:type="dxa"/>
            </w:tcMar>
          </w:tcPr>
          <w:p>
            <w:pPr>
              <w:spacing w:after="0" w:line="240" w:lineRule="auto"/>
            </w:pPr>
            <w:r>
              <w:rPr>
                <w:sz w:val="15"/>
              </w:rPr>
              <w:t>Crawler</w:t>
            </w:r>
          </w:p>
        </w:tc>
        <w:tc>
          <w:tcPr>
            <w:tcW w:type="dxa" w:w="3120"/>
            <w:tcMar>
              <w:top w:w="80" w:type="dxa"/>
              <w:start w:w="120" w:type="dxa"/>
              <w:bottom w:w="80" w:type="dxa"/>
              <w:end w:w="120" w:type="dxa"/>
            </w:tcMar>
          </w:tcPr>
          <w:p>
            <w:pPr>
              <w:spacing w:after="0" w:line="240" w:lineRule="auto"/>
            </w:pPr>
            <w:r>
              <w:rPr>
                <w:sz w:val="15"/>
              </w:rPr>
              <w:t>AUDIT_MAX_PAGES, AUDIT_PAGE_BYTES, AUDIT_SITEMAP_BYTES, AUDIT_REQUEST_DELAY_SECONDS, AUDIT_USER_AGENT</w:t>
            </w:r>
          </w:p>
        </w:tc>
        <w:tc>
          <w:tcPr>
            <w:tcW w:type="dxa" w:w="3120"/>
            <w:tcMar>
              <w:top w:w="80" w:type="dxa"/>
              <w:start w:w="120" w:type="dxa"/>
              <w:bottom w:w="80" w:type="dxa"/>
              <w:end w:w="120" w:type="dxa"/>
            </w:tcMar>
          </w:tcPr>
          <w:p>
            <w:pPr>
              <w:spacing w:after="0" w:line="240" w:lineRule="auto"/>
            </w:pPr>
            <w:r>
              <w:rPr>
                <w:sz w:val="15"/>
              </w:rPr>
              <w:t>Bound cost/size/rate and publish user-agent policy.</w:t>
            </w:r>
          </w:p>
        </w:tc>
      </w:tr>
      <w:tr>
        <w:trPr>
          <w:cantSplit/>
        </w:trPr>
        <w:tc>
          <w:tcPr>
            <w:tcW w:type="dxa" w:w="3120"/>
            <w:tcMar>
              <w:top w:w="80" w:type="dxa"/>
              <w:start w:w="120" w:type="dxa"/>
              <w:bottom w:w="80" w:type="dxa"/>
              <w:end w:w="120" w:type="dxa"/>
            </w:tcMar>
          </w:tcPr>
          <w:p>
            <w:pPr>
              <w:spacing w:after="0" w:line="240" w:lineRule="auto"/>
            </w:pPr>
            <w:r>
              <w:rPr>
                <w:sz w:val="15"/>
              </w:rPr>
              <w:t>Perplexity</w:t>
            </w:r>
          </w:p>
        </w:tc>
        <w:tc>
          <w:tcPr>
            <w:tcW w:type="dxa" w:w="3120"/>
            <w:tcMar>
              <w:top w:w="80" w:type="dxa"/>
              <w:start w:w="120" w:type="dxa"/>
              <w:bottom w:w="80" w:type="dxa"/>
              <w:end w:w="120" w:type="dxa"/>
            </w:tcMar>
          </w:tcPr>
          <w:p>
            <w:pPr>
              <w:spacing w:after="0" w:line="240" w:lineRule="auto"/>
            </w:pPr>
            <w:r>
              <w:rPr>
                <w:sz w:val="15"/>
              </w:rPr>
              <w:t>PERPLEXITY_API_KEY, PERPLEXITY_AGENT_PRESET, PERPLEXITY_AGENT_MAX_OUTPUT_TOKENS, PERPLEXITY_MAX_RESULTS, PERPLEXITY_SEARCH_CONTEXT, PERPLEXITY_MAX_PROMPTS_PER_SCAN, PERPLEXITY_REQUEST_DELAY_SECONDS</w:t>
            </w:r>
          </w:p>
        </w:tc>
        <w:tc>
          <w:tcPr>
            <w:tcW w:type="dxa" w:w="3120"/>
            <w:tcMar>
              <w:top w:w="80" w:type="dxa"/>
              <w:start w:w="120" w:type="dxa"/>
              <w:bottom w:w="80" w:type="dxa"/>
              <w:end w:w="120" w:type="dxa"/>
            </w:tcMar>
          </w:tcPr>
          <w:p>
            <w:pPr>
              <w:spacing w:after="0" w:line="240" w:lineRule="auto"/>
            </w:pPr>
            <w:r>
              <w:rPr>
                <w:sz w:val="15"/>
              </w:rPr>
              <w:t>Secret server-side; budget, latency, region, and retry policy required.</w:t>
            </w:r>
          </w:p>
        </w:tc>
      </w:tr>
      <w:tr>
        <w:trPr>
          <w:cantSplit/>
        </w:trPr>
        <w:tc>
          <w:tcPr>
            <w:tcW w:type="dxa" w:w="3120"/>
            <w:tcMar>
              <w:top w:w="80" w:type="dxa"/>
              <w:start w:w="120" w:type="dxa"/>
              <w:bottom w:w="80" w:type="dxa"/>
              <w:end w:w="120" w:type="dxa"/>
            </w:tcMar>
          </w:tcPr>
          <w:p>
            <w:pPr>
              <w:spacing w:after="0" w:line="240" w:lineRule="auto"/>
            </w:pPr>
            <w:r>
              <w:rPr>
                <w:sz w:val="15"/>
              </w:rPr>
              <w:t>Open model</w:t>
            </w:r>
          </w:p>
        </w:tc>
        <w:tc>
          <w:tcPr>
            <w:tcW w:type="dxa" w:w="3120"/>
            <w:tcMar>
              <w:top w:w="80" w:type="dxa"/>
              <w:start w:w="120" w:type="dxa"/>
              <w:bottom w:w="80" w:type="dxa"/>
              <w:end w:w="120" w:type="dxa"/>
            </w:tcMar>
          </w:tcPr>
          <w:p>
            <w:pPr>
              <w:spacing w:after="0" w:line="240" w:lineRule="auto"/>
            </w:pPr>
            <w:r>
              <w:rPr>
                <w:sz w:val="15"/>
              </w:rPr>
              <w:t>HF_TOKEN, HF_BASE_URL, HF_MODEL, OLLAMA_BASE_URL, OLLAMA_MODEL</w:t>
            </w:r>
          </w:p>
        </w:tc>
        <w:tc>
          <w:tcPr>
            <w:tcW w:type="dxa" w:w="3120"/>
            <w:tcMar>
              <w:top w:w="80" w:type="dxa"/>
              <w:start w:w="120" w:type="dxa"/>
              <w:bottom w:w="80" w:type="dxa"/>
              <w:end w:w="120" w:type="dxa"/>
            </w:tcMar>
          </w:tcPr>
          <w:p>
            <w:pPr>
              <w:spacing w:after="0" w:line="240" w:lineRule="auto"/>
            </w:pPr>
            <w:r>
              <w:rPr>
                <w:sz w:val="15"/>
              </w:rPr>
              <w:t>Used only for grounded actions; Ollama requires a reachable dedicated inference host.</w:t>
            </w:r>
          </w:p>
        </w:tc>
      </w:tr>
      <w:tr>
        <w:trPr>
          <w:cantSplit/>
        </w:trPr>
        <w:tc>
          <w:tcPr>
            <w:tcW w:type="dxa" w:w="3120"/>
            <w:tcMar>
              <w:top w:w="80" w:type="dxa"/>
              <w:start w:w="120" w:type="dxa"/>
              <w:bottom w:w="80" w:type="dxa"/>
              <w:end w:w="120" w:type="dxa"/>
            </w:tcMar>
          </w:tcPr>
          <w:p>
            <w:pPr>
              <w:spacing w:after="0" w:line="240" w:lineRule="auto"/>
            </w:pPr>
            <w:r>
              <w:rPr>
                <w:sz w:val="15"/>
              </w:rPr>
              <w:t>Google</w:t>
            </w:r>
          </w:p>
        </w:tc>
        <w:tc>
          <w:tcPr>
            <w:tcW w:type="dxa" w:w="3120"/>
            <w:tcMar>
              <w:top w:w="80" w:type="dxa"/>
              <w:start w:w="120" w:type="dxa"/>
              <w:bottom w:w="80" w:type="dxa"/>
              <w:end w:w="120" w:type="dxa"/>
            </w:tcMar>
          </w:tcPr>
          <w:p>
            <w:pPr>
              <w:spacing w:after="0" w:line="240" w:lineRule="auto"/>
            </w:pPr>
            <w:r>
              <w:rPr>
                <w:sz w:val="15"/>
              </w:rPr>
              <w:t>GOOGLE_CLIENT_ID, GOOGLE_CLIENT_SECRET, GOOGLE_OAUTH_REDIRECT_URI, OAUTH_TOKEN_ENCRYPTION_KEY, GSC_ROW_LIMIT</w:t>
            </w:r>
          </w:p>
        </w:tc>
        <w:tc>
          <w:tcPr>
            <w:tcW w:type="dxa" w:w="3120"/>
            <w:tcMar>
              <w:top w:w="80" w:type="dxa"/>
              <w:start w:w="120" w:type="dxa"/>
              <w:bottom w:w="80" w:type="dxa"/>
              <w:end w:w="120" w:type="dxa"/>
            </w:tcMar>
          </w:tcPr>
          <w:p>
            <w:pPr>
              <w:spacing w:after="0" w:line="240" w:lineRule="auto"/>
            </w:pPr>
            <w:r>
              <w:rPr>
                <w:sz w:val="15"/>
              </w:rPr>
              <w:t>Stable encryption key, exact redirect, restricted clients, async pagination.</w:t>
            </w:r>
          </w:p>
        </w:tc>
      </w:tr>
      <w:tr>
        <w:trPr>
          <w:cantSplit/>
        </w:trPr>
        <w:tc>
          <w:tcPr>
            <w:tcW w:type="dxa" w:w="3120"/>
            <w:tcMar>
              <w:top w:w="80" w:type="dxa"/>
              <w:start w:w="120" w:type="dxa"/>
              <w:bottom w:w="80" w:type="dxa"/>
              <w:end w:w="120" w:type="dxa"/>
            </w:tcMar>
          </w:tcPr>
          <w:p>
            <w:pPr>
              <w:spacing w:after="0" w:line="240" w:lineRule="auto"/>
            </w:pPr>
            <w:r>
              <w:rPr>
                <w:sz w:val="15"/>
              </w:rPr>
              <w:t>Jobs</w:t>
            </w:r>
          </w:p>
        </w:tc>
        <w:tc>
          <w:tcPr>
            <w:tcW w:type="dxa" w:w="3120"/>
            <w:tcMar>
              <w:top w:w="80" w:type="dxa"/>
              <w:start w:w="120" w:type="dxa"/>
              <w:bottom w:w="80" w:type="dxa"/>
              <w:end w:w="120" w:type="dxa"/>
            </w:tcMar>
          </w:tcPr>
          <w:p>
            <w:pPr>
              <w:spacing w:after="0" w:line="240" w:lineRule="auto"/>
            </w:pPr>
            <w:r>
              <w:rPr>
                <w:sz w:val="15"/>
              </w:rPr>
              <w:t>ANALYTICS_JOB_BATCH, ANALYTICS_MAX_TRACKED_PROMPTS</w:t>
            </w:r>
          </w:p>
        </w:tc>
        <w:tc>
          <w:tcPr>
            <w:tcW w:type="dxa" w:w="3120"/>
            <w:tcMar>
              <w:top w:w="80" w:type="dxa"/>
              <w:start w:w="120" w:type="dxa"/>
              <w:bottom w:w="80" w:type="dxa"/>
              <w:end w:w="120" w:type="dxa"/>
            </w:tcMar>
          </w:tcPr>
          <w:p>
            <w:pPr>
              <w:spacing w:after="0" w:line="240" w:lineRule="auto"/>
            </w:pPr>
            <w:r>
              <w:rPr>
                <w:sz w:val="15"/>
              </w:rPr>
              <w:t>Extend with queue URL, leases, concurrency, retry, dead-letter, quota, and scheduler timezone settings.</w:t>
            </w:r>
          </w:p>
        </w:tc>
      </w:tr>
      <w:tr>
        <w:trPr>
          <w:cantSplit/>
        </w:trPr>
        <w:tc>
          <w:tcPr>
            <w:tcW w:type="dxa" w:w="3120"/>
            <w:tcMar>
              <w:top w:w="80" w:type="dxa"/>
              <w:start w:w="120" w:type="dxa"/>
              <w:bottom w:w="80" w:type="dxa"/>
              <w:end w:w="120" w:type="dxa"/>
            </w:tcMar>
          </w:tcPr>
          <w:p>
            <w:pPr>
              <w:spacing w:after="0" w:line="240" w:lineRule="auto"/>
            </w:pPr>
            <w:r>
              <w:rPr>
                <w:sz w:val="15"/>
              </w:rPr>
              <w:t>Security/ops</w:t>
            </w:r>
          </w:p>
        </w:tc>
        <w:tc>
          <w:tcPr>
            <w:tcW w:type="dxa" w:w="3120"/>
            <w:tcMar>
              <w:top w:w="80" w:type="dxa"/>
              <w:start w:w="120" w:type="dxa"/>
              <w:bottom w:w="80" w:type="dxa"/>
              <w:end w:w="120" w:type="dxa"/>
            </w:tcMar>
          </w:tcPr>
          <w:p>
            <w:pPr>
              <w:spacing w:after="0" w:line="240" w:lineRule="auto"/>
            </w:pPr>
            <w:r>
              <w:rPr>
                <w:sz w:val="15"/>
              </w:rPr>
              <w:t>ALLOWED_HOSTS, TRUSTED_PROXY_COUNT, CSRF_SECRET, RATE_LIMIT_STORE, LOG_LEVEL, SENTRY/OTEL settings</w:t>
            </w:r>
          </w:p>
        </w:tc>
        <w:tc>
          <w:tcPr>
            <w:tcW w:type="dxa" w:w="3120"/>
            <w:tcMar>
              <w:top w:w="80" w:type="dxa"/>
              <w:start w:w="120" w:type="dxa"/>
              <w:bottom w:w="80" w:type="dxa"/>
              <w:end w:w="120" w:type="dxa"/>
            </w:tcMar>
          </w:tcPr>
          <w:p>
            <w:pPr>
              <w:spacing w:after="0" w:line="240" w:lineRule="auto"/>
            </w:pPr>
            <w:r>
              <w:rPr>
                <w:sz w:val="15"/>
              </w:rPr>
              <w:t>Required target controls; names finalized in implementation.</w:t>
            </w:r>
          </w:p>
        </w:tc>
      </w:tr>
    </w:tbl>
    <w:p>
      <w:pPr>
        <w:spacing w:after="0"/>
      </w:pPr>
    </w:p>
    <w:tbl>
      <w:tblPr>
        <w:tblW w:type="dxa" w:w="9360"/>
        <w:jc w:val="center"/>
        <w:tblLayout w:type="fixed"/>
        <w:tblLook w:firstColumn="1" w:firstRow="1" w:lastColumn="0" w:lastRow="0" w:noHBand="0" w:noVBand="1" w:val="04A0"/>
        <w:tblBorders>
          <w:top w:val="single" w:sz="8" w:color="FF7F11"/>
          <w:start w:val="single" w:sz="8" w:color="FF7F11"/>
          <w:bottom w:val="single" w:sz="8" w:color="FF7F11"/>
          <w:end w:val="single" w:sz="8" w:color="FF7F11"/>
          <w:insideH w:val="single" w:sz="8" w:color="FF7F11"/>
          <w:insideV w:val="single" w:sz="8" w:color="FF7F11"/>
        </w:tblBorders>
      </w:tblPr>
      <w:tblGrid>
        <w:gridCol w:w="9360"/>
      </w:tblGrid>
      <w:tr>
        <w:trPr>
          <w:cantSplit/>
        </w:trPr>
        <w:tc>
          <w:tcPr>
            <w:tcW w:type="dxa" w:w="9360"/>
            <w:shd w:fill="FFF2E8"/>
            <w:tcMar>
              <w:top w:w="140" w:type="dxa"/>
              <w:start w:w="180" w:type="dxa"/>
              <w:bottom w:w="140" w:type="dxa"/>
              <w:end w:w="180" w:type="dxa"/>
            </w:tcMar>
          </w:tcPr>
          <w:p>
            <w:pPr>
              <w:spacing w:after="80"/>
            </w:pPr>
            <w:r>
              <w:rPr>
                <w:b/>
                <w:color w:val="C84B00"/>
              </w:rPr>
              <w:t>Secret handling</w:t>
            </w:r>
          </w:p>
          <w:p>
            <w:pPr>
              <w:spacing w:after="0"/>
            </w:pPr>
            <w:r>
              <w:t>Real credentials shall never be committed, embedded in browser JavaScript, printed in logs, or placed in the document. The .env.example file remains a non-secret contract only.</w:t>
            </w:r>
          </w:p>
        </w:tc>
      </w:tr>
    </w:tbl>
    <w:p>
      <w:bookmarkStart w:id="22" w:name="glossary"/>
      <w:pPr>
        <w:pStyle w:val="Heading1"/>
        <w:pageBreakBefore/>
        <w:spacing w:before="840"/>
      </w:pPr>
      <w:r>
        <w:t>Appendix D — Glossary and source basis</w:t>
      </w:r>
      <w:bookmarkEnd w:id="22"/>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4680"/>
        <w:gridCol w:w="4680"/>
      </w:tblGrid>
      <w:tr>
        <w:trPr>
          <w:tblHeader w:val="true"/>
        </w:trPr>
        <w:tc>
          <w:tcPr>
            <w:tcW w:type="dxa" w:w="1900"/>
            <w:shd w:fill="F5F6F7"/>
            <w:tcMar>
              <w:top w:w="80" w:type="dxa"/>
              <w:start w:w="120" w:type="dxa"/>
              <w:bottom w:w="80" w:type="dxa"/>
              <w:end w:w="120" w:type="dxa"/>
            </w:tcMar>
          </w:tcPr>
          <w:p>
            <w:pPr>
              <w:spacing w:after="0"/>
            </w:pPr>
            <w:r>
              <w:rPr>
                <w:b/>
                <w:color w:val="171717"/>
                <w:sz w:val="16"/>
              </w:rPr>
              <w:t>Term</w:t>
            </w:r>
          </w:p>
        </w:tc>
        <w:tc>
          <w:tcPr>
            <w:tcW w:type="dxa" w:w="7460"/>
            <w:shd w:fill="F5F6F7"/>
            <w:tcMar>
              <w:top w:w="80" w:type="dxa"/>
              <w:start w:w="120" w:type="dxa"/>
              <w:bottom w:w="80" w:type="dxa"/>
              <w:end w:w="120" w:type="dxa"/>
            </w:tcMar>
          </w:tcPr>
          <w:p>
            <w:pPr>
              <w:spacing w:after="0"/>
            </w:pPr>
            <w:r>
              <w:rPr>
                <w:b/>
                <w:color w:val="171717"/>
                <w:sz w:val="16"/>
              </w:rPr>
              <w:t>Definition</w:t>
            </w:r>
          </w:p>
        </w:tc>
      </w:tr>
      <w:tr>
        <w:trPr>
          <w:cantSplit/>
        </w:trPr>
        <w:tc>
          <w:tcPr>
            <w:tcW w:type="dxa" w:w="4680"/>
            <w:tcMar>
              <w:top w:w="80" w:type="dxa"/>
              <w:start w:w="120" w:type="dxa"/>
              <w:bottom w:w="80" w:type="dxa"/>
              <w:end w:w="120" w:type="dxa"/>
            </w:tcMar>
          </w:tcPr>
          <w:p>
            <w:pPr>
              <w:spacing w:after="0" w:line="240" w:lineRule="auto"/>
            </w:pPr>
            <w:r>
              <w:rPr>
                <w:sz w:val="16"/>
              </w:rPr>
              <w:t>AEO</w:t>
            </w:r>
          </w:p>
        </w:tc>
        <w:tc>
          <w:tcPr>
            <w:tcW w:type="dxa" w:w="4680"/>
            <w:tcMar>
              <w:top w:w="80" w:type="dxa"/>
              <w:start w:w="120" w:type="dxa"/>
              <w:bottom w:w="80" w:type="dxa"/>
              <w:end w:w="120" w:type="dxa"/>
            </w:tcMar>
          </w:tcPr>
          <w:p>
            <w:pPr>
              <w:spacing w:after="0" w:line="240" w:lineRule="auto"/>
            </w:pPr>
            <w:r>
              <w:rPr>
                <w:sz w:val="16"/>
              </w:rPr>
              <w:t>Answer Engine Optimization: improving the clarity, authority, and sourceability of content for answer systems.</w:t>
            </w:r>
          </w:p>
        </w:tc>
      </w:tr>
      <w:tr>
        <w:trPr>
          <w:cantSplit/>
        </w:trPr>
        <w:tc>
          <w:tcPr>
            <w:tcW w:type="dxa" w:w="4680"/>
            <w:tcMar>
              <w:top w:w="80" w:type="dxa"/>
              <w:start w:w="120" w:type="dxa"/>
              <w:bottom w:w="80" w:type="dxa"/>
              <w:end w:w="120" w:type="dxa"/>
            </w:tcMar>
          </w:tcPr>
          <w:p>
            <w:pPr>
              <w:spacing w:after="0" w:line="240" w:lineRule="auto"/>
            </w:pPr>
            <w:r>
              <w:rPr>
                <w:sz w:val="16"/>
              </w:rPr>
              <w:t>GEO</w:t>
            </w:r>
          </w:p>
        </w:tc>
        <w:tc>
          <w:tcPr>
            <w:tcW w:type="dxa" w:w="4680"/>
            <w:tcMar>
              <w:top w:w="80" w:type="dxa"/>
              <w:start w:w="120" w:type="dxa"/>
              <w:bottom w:w="80" w:type="dxa"/>
              <w:end w:w="120" w:type="dxa"/>
            </w:tcMar>
          </w:tcPr>
          <w:p>
            <w:pPr>
              <w:spacing w:after="0" w:line="240" w:lineRule="auto"/>
            </w:pPr>
            <w:r>
              <w:rPr>
                <w:sz w:val="16"/>
              </w:rPr>
              <w:t>Generative Engine Optimization: improving how a brand/content is represented and cited in generative discovery experiences.</w:t>
            </w:r>
          </w:p>
        </w:tc>
      </w:tr>
      <w:tr>
        <w:trPr>
          <w:cantSplit/>
        </w:trPr>
        <w:tc>
          <w:tcPr>
            <w:tcW w:type="dxa" w:w="4680"/>
            <w:tcMar>
              <w:top w:w="80" w:type="dxa"/>
              <w:start w:w="120" w:type="dxa"/>
              <w:bottom w:w="80" w:type="dxa"/>
              <w:end w:w="120" w:type="dxa"/>
            </w:tcMar>
          </w:tcPr>
          <w:p>
            <w:pPr>
              <w:spacing w:after="0" w:line="240" w:lineRule="auto"/>
            </w:pPr>
            <w:r>
              <w:rPr>
                <w:sz w:val="16"/>
              </w:rPr>
              <w:t>Provider evidence</w:t>
            </w:r>
          </w:p>
        </w:tc>
        <w:tc>
          <w:tcPr>
            <w:tcW w:type="dxa" w:w="4680"/>
            <w:tcMar>
              <w:top w:w="80" w:type="dxa"/>
              <w:start w:w="120" w:type="dxa"/>
              <w:bottom w:w="80" w:type="dxa"/>
              <w:end w:w="120" w:type="dxa"/>
            </w:tcMar>
          </w:tcPr>
          <w:p>
            <w:pPr>
              <w:spacing w:after="0" w:line="240" w:lineRule="auto"/>
            </w:pPr>
            <w:r>
              <w:rPr>
                <w:sz w:val="16"/>
              </w:rPr>
              <w:t>Saved original prompt result, answer, sources, request metadata, status, and timing from a supported provider API.</w:t>
            </w:r>
          </w:p>
        </w:tc>
      </w:tr>
      <w:tr>
        <w:trPr>
          <w:cantSplit/>
        </w:trPr>
        <w:tc>
          <w:tcPr>
            <w:tcW w:type="dxa" w:w="4680"/>
            <w:tcMar>
              <w:top w:w="80" w:type="dxa"/>
              <w:start w:w="120" w:type="dxa"/>
              <w:bottom w:w="80" w:type="dxa"/>
              <w:end w:w="120" w:type="dxa"/>
            </w:tcMar>
          </w:tcPr>
          <w:p>
            <w:pPr>
              <w:spacing w:after="0" w:line="240" w:lineRule="auto"/>
            </w:pPr>
            <w:r>
              <w:rPr>
                <w:sz w:val="16"/>
              </w:rPr>
              <w:t>Technical readiness</w:t>
            </w:r>
          </w:p>
        </w:tc>
        <w:tc>
          <w:tcPr>
            <w:tcW w:type="dxa" w:w="4680"/>
            <w:tcMar>
              <w:top w:w="80" w:type="dxa"/>
              <w:start w:w="120" w:type="dxa"/>
              <w:bottom w:w="80" w:type="dxa"/>
              <w:end w:w="120" w:type="dxa"/>
            </w:tcMar>
          </w:tcPr>
          <w:p>
            <w:pPr>
              <w:spacing w:after="0" w:line="240" w:lineRule="auto"/>
            </w:pPr>
            <w:r>
              <w:rPr>
                <w:sz w:val="16"/>
              </w:rPr>
              <w:t>A local heuristic derived from public website signals; not a provider visibility measurement.</w:t>
            </w:r>
          </w:p>
        </w:tc>
      </w:tr>
      <w:tr>
        <w:trPr>
          <w:cantSplit/>
        </w:trPr>
        <w:tc>
          <w:tcPr>
            <w:tcW w:type="dxa" w:w="4680"/>
            <w:tcMar>
              <w:top w:w="80" w:type="dxa"/>
              <w:start w:w="120" w:type="dxa"/>
              <w:bottom w:w="80" w:type="dxa"/>
              <w:end w:w="120" w:type="dxa"/>
            </w:tcMar>
          </w:tcPr>
          <w:p>
            <w:pPr>
              <w:spacing w:after="0" w:line="240" w:lineRule="auto"/>
            </w:pPr>
            <w:r>
              <w:rPr>
                <w:sz w:val="16"/>
              </w:rPr>
              <w:t>Answer visibility</w:t>
            </w:r>
          </w:p>
        </w:tc>
        <w:tc>
          <w:tcPr>
            <w:tcW w:type="dxa" w:w="4680"/>
            <w:tcMar>
              <w:top w:w="80" w:type="dxa"/>
              <w:start w:w="120" w:type="dxa"/>
              <w:bottom w:w="80" w:type="dxa"/>
              <w:end w:w="120" w:type="dxa"/>
            </w:tcMar>
          </w:tcPr>
          <w:p>
            <w:pPr>
              <w:spacing w:after="0" w:line="240" w:lineRule="auto"/>
            </w:pPr>
            <w:r>
              <w:rPr>
                <w:sz w:val="16"/>
              </w:rPr>
              <w:t>Percentage of completed provider answers that mention the tracked brand under the saved prompt cohort.</w:t>
            </w:r>
          </w:p>
        </w:tc>
      </w:tr>
    </w:tbl>
    <w:p>
      <w:r>
        <w:br w:type="page"/>
      </w:r>
    </w:p>
    <w:p>
      <w:pPr>
        <w:spacing w:after="640"/>
      </w:pPr>
      <w:r>
        <w:rPr>
          <w:sz w:val="2"/>
        </w:rPr>
        <w:t xml:space="preserve"> </w:t>
      </w:r>
    </w:p>
    <w:p>
      <w:pPr>
        <w:pStyle w:val="Heading3"/>
      </w:pPr>
      <w:r>
        <w:t>Appendix D — Glossary and source basis (continued)</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4680"/>
        <w:gridCol w:w="4680"/>
      </w:tblGrid>
      <w:tr>
        <w:trPr>
          <w:tblHeader w:val="true"/>
        </w:trPr>
        <w:tc>
          <w:tcPr>
            <w:tcW w:type="dxa" w:w="1900"/>
            <w:shd w:fill="F5F6F7"/>
            <w:tcMar>
              <w:top w:w="80" w:type="dxa"/>
              <w:start w:w="120" w:type="dxa"/>
              <w:bottom w:w="80" w:type="dxa"/>
              <w:end w:w="120" w:type="dxa"/>
            </w:tcMar>
          </w:tcPr>
          <w:p>
            <w:pPr>
              <w:spacing w:after="0"/>
            </w:pPr>
            <w:r>
              <w:rPr>
                <w:b/>
                <w:color w:val="171717"/>
                <w:sz w:val="16"/>
              </w:rPr>
              <w:t>Term</w:t>
            </w:r>
          </w:p>
        </w:tc>
        <w:tc>
          <w:tcPr>
            <w:tcW w:type="dxa" w:w="7460"/>
            <w:shd w:fill="F5F6F7"/>
            <w:tcMar>
              <w:top w:w="80" w:type="dxa"/>
              <w:start w:w="120" w:type="dxa"/>
              <w:bottom w:w="80" w:type="dxa"/>
              <w:end w:w="120" w:type="dxa"/>
            </w:tcMar>
          </w:tcPr>
          <w:p>
            <w:pPr>
              <w:spacing w:after="0"/>
            </w:pPr>
            <w:r>
              <w:rPr>
                <w:b/>
                <w:color w:val="171717"/>
                <w:sz w:val="16"/>
              </w:rPr>
              <w:t>Definition</w:t>
            </w:r>
          </w:p>
        </w:tc>
      </w:tr>
      <w:tr>
        <w:trPr>
          <w:cantSplit/>
        </w:trPr>
        <w:tc>
          <w:tcPr>
            <w:tcW w:type="dxa" w:w="4680"/>
            <w:tcMar>
              <w:top w:w="80" w:type="dxa"/>
              <w:start w:w="120" w:type="dxa"/>
              <w:bottom w:w="80" w:type="dxa"/>
              <w:end w:w="120" w:type="dxa"/>
            </w:tcMar>
          </w:tcPr>
          <w:p>
            <w:pPr>
              <w:spacing w:after="0" w:line="240" w:lineRule="auto"/>
            </w:pPr>
            <w:r>
              <w:rPr>
                <w:sz w:val="16"/>
              </w:rPr>
              <w:t>Citation</w:t>
            </w:r>
          </w:p>
        </w:tc>
        <w:tc>
          <w:tcPr>
            <w:tcW w:type="dxa" w:w="4680"/>
            <w:tcMar>
              <w:top w:w="80" w:type="dxa"/>
              <w:start w:w="120" w:type="dxa"/>
              <w:bottom w:w="80" w:type="dxa"/>
              <w:end w:w="120" w:type="dxa"/>
            </w:tcMar>
          </w:tcPr>
          <w:p>
            <w:pPr>
              <w:spacing w:after="0" w:line="240" w:lineRule="auto"/>
            </w:pPr>
            <w:r>
              <w:rPr>
                <w:sz w:val="16"/>
              </w:rPr>
              <w:t>A provider answer annotation/source that links to the tracked domain.</w:t>
            </w:r>
          </w:p>
        </w:tc>
      </w:tr>
      <w:tr>
        <w:trPr>
          <w:cantSplit/>
        </w:trPr>
        <w:tc>
          <w:tcPr>
            <w:tcW w:type="dxa" w:w="4680"/>
            <w:tcMar>
              <w:top w:w="80" w:type="dxa"/>
              <w:start w:w="120" w:type="dxa"/>
              <w:bottom w:w="80" w:type="dxa"/>
              <w:end w:w="120" w:type="dxa"/>
            </w:tcMar>
          </w:tcPr>
          <w:p>
            <w:pPr>
              <w:spacing w:after="0" w:line="240" w:lineRule="auto"/>
            </w:pPr>
            <w:r>
              <w:rPr>
                <w:sz w:val="16"/>
              </w:rPr>
              <w:t>Source presence</w:t>
            </w:r>
          </w:p>
        </w:tc>
        <w:tc>
          <w:tcPr>
            <w:tcW w:type="dxa" w:w="4680"/>
            <w:tcMar>
              <w:top w:w="80" w:type="dxa"/>
              <w:start w:w="120" w:type="dxa"/>
              <w:bottom w:w="80" w:type="dxa"/>
              <w:end w:w="120" w:type="dxa"/>
            </w:tcMar>
          </w:tcPr>
          <w:p>
            <w:pPr>
              <w:spacing w:after="0" w:line="240" w:lineRule="auto"/>
            </w:pPr>
            <w:r>
              <w:rPr>
                <w:sz w:val="16"/>
              </w:rPr>
              <w:t>Whether the tracked domain appears in a provider’s ranked source results for a measured prompt.</w:t>
            </w:r>
          </w:p>
        </w:tc>
      </w:tr>
      <w:tr>
        <w:trPr>
          <w:cantSplit/>
        </w:trPr>
        <w:tc>
          <w:tcPr>
            <w:tcW w:type="dxa" w:w="4680"/>
            <w:tcMar>
              <w:top w:w="80" w:type="dxa"/>
              <w:start w:w="120" w:type="dxa"/>
              <w:bottom w:w="80" w:type="dxa"/>
              <w:end w:w="120" w:type="dxa"/>
            </w:tcMar>
          </w:tcPr>
          <w:p>
            <w:pPr>
              <w:spacing w:after="0" w:line="240" w:lineRule="auto"/>
            </w:pPr>
            <w:r>
              <w:rPr>
                <w:sz w:val="16"/>
              </w:rPr>
              <w:t>Share of voice</w:t>
            </w:r>
          </w:p>
        </w:tc>
        <w:tc>
          <w:tcPr>
            <w:tcW w:type="dxa" w:w="4680"/>
            <w:tcMar>
              <w:top w:w="80" w:type="dxa"/>
              <w:start w:w="120" w:type="dxa"/>
              <w:bottom w:w="80" w:type="dxa"/>
              <w:end w:w="120" w:type="dxa"/>
            </w:tcMar>
          </w:tcPr>
          <w:p>
            <w:pPr>
              <w:spacing w:after="0" w:line="240" w:lineRule="auto"/>
            </w:pPr>
            <w:r>
              <w:rPr>
                <w:sz w:val="16"/>
              </w:rPr>
              <w:t>Tracked-brand presence relative to the tracked brand plus configured competitors for one saved cohort.</w:t>
            </w:r>
          </w:p>
        </w:tc>
      </w:tr>
      <w:tr>
        <w:trPr>
          <w:cantSplit/>
        </w:trPr>
        <w:tc>
          <w:tcPr>
            <w:tcW w:type="dxa" w:w="4680"/>
            <w:tcMar>
              <w:top w:w="80" w:type="dxa"/>
              <w:start w:w="120" w:type="dxa"/>
              <w:bottom w:w="80" w:type="dxa"/>
              <w:end w:w="120" w:type="dxa"/>
            </w:tcMar>
          </w:tcPr>
          <w:p>
            <w:pPr>
              <w:spacing w:after="0" w:line="240" w:lineRule="auto"/>
            </w:pPr>
            <w:r>
              <w:rPr>
                <w:sz w:val="16"/>
              </w:rPr>
              <w:t>Cohort</w:t>
            </w:r>
          </w:p>
        </w:tc>
        <w:tc>
          <w:tcPr>
            <w:tcW w:type="dxa" w:w="4680"/>
            <w:tcMar>
              <w:top w:w="80" w:type="dxa"/>
              <w:start w:w="120" w:type="dxa"/>
              <w:bottom w:w="80" w:type="dxa"/>
              <w:end w:w="120" w:type="dxa"/>
            </w:tcMar>
          </w:tcPr>
          <w:p>
            <w:pPr>
              <w:spacing w:after="0" w:line="240" w:lineRule="auto"/>
            </w:pPr>
            <w:r>
              <w:rPr>
                <w:sz w:val="16"/>
              </w:rPr>
              <w:t>The provider/model, prompt set, competitor snapshot, region, and algorithm version that define a comparable run.</w:t>
            </w:r>
          </w:p>
        </w:tc>
      </w:tr>
      <w:tr>
        <w:trPr>
          <w:cantSplit/>
        </w:trPr>
        <w:tc>
          <w:tcPr>
            <w:tcW w:type="dxa" w:w="4680"/>
            <w:tcMar>
              <w:top w:w="80" w:type="dxa"/>
              <w:start w:w="120" w:type="dxa"/>
              <w:bottom w:w="80" w:type="dxa"/>
              <w:end w:w="120" w:type="dxa"/>
            </w:tcMar>
          </w:tcPr>
          <w:p>
            <w:pPr>
              <w:spacing w:after="0" w:line="240" w:lineRule="auto"/>
            </w:pPr>
            <w:r>
              <w:rPr>
                <w:sz w:val="16"/>
              </w:rPr>
              <w:t>Unavailable</w:t>
            </w:r>
          </w:p>
        </w:tc>
        <w:tc>
          <w:tcPr>
            <w:tcW w:type="dxa" w:w="4680"/>
            <w:tcMar>
              <w:top w:w="80" w:type="dxa"/>
              <w:start w:w="120" w:type="dxa"/>
              <w:bottom w:w="80" w:type="dxa"/>
              <w:end w:w="120" w:type="dxa"/>
            </w:tcMar>
          </w:tcPr>
          <w:p>
            <w:pPr>
              <w:spacing w:after="0" w:line="240" w:lineRule="auto"/>
            </w:pPr>
            <w:r>
              <w:rPr>
                <w:sz w:val="16"/>
              </w:rPr>
              <w:t>A value was not measured due to missing configuration/evidence or failure; it is not equivalent to zero.</w:t>
            </w:r>
          </w:p>
        </w:tc>
      </w:tr>
    </w:tbl>
    <w:p>
      <w:pPr>
        <w:spacing w:after="0"/>
      </w:pPr>
    </w:p>
    <w:p>
      <w:pPr>
        <w:pStyle w:val="Heading2"/>
        <w:pageBreakBefore/>
        <w:spacing w:before="840"/>
      </w:pPr>
      <w:r>
        <w:t>D.1 Audited source files</w:t>
      </w:r>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4680"/>
        <w:gridCol w:w="4680"/>
      </w:tblGrid>
      <w:tr>
        <w:trPr>
          <w:tblHeader w:val="true"/>
        </w:trPr>
        <w:tc>
          <w:tcPr>
            <w:tcW w:type="dxa" w:w="3000"/>
            <w:shd w:fill="F5F6F7"/>
            <w:tcMar>
              <w:top w:w="80" w:type="dxa"/>
              <w:start w:w="120" w:type="dxa"/>
              <w:bottom w:w="80" w:type="dxa"/>
              <w:end w:w="120" w:type="dxa"/>
            </w:tcMar>
          </w:tcPr>
          <w:p>
            <w:pPr>
              <w:spacing w:after="0"/>
            </w:pPr>
            <w:r>
              <w:rPr>
                <w:b/>
                <w:color w:val="171717"/>
                <w:sz w:val="16"/>
              </w:rPr>
              <w:t>Source</w:t>
            </w:r>
          </w:p>
        </w:tc>
        <w:tc>
          <w:tcPr>
            <w:tcW w:type="dxa" w:w="6360"/>
            <w:shd w:fill="F5F6F7"/>
            <w:tcMar>
              <w:top w:w="80" w:type="dxa"/>
              <w:start w:w="120" w:type="dxa"/>
              <w:bottom w:w="80" w:type="dxa"/>
              <w:end w:w="120" w:type="dxa"/>
            </w:tcMar>
          </w:tcPr>
          <w:p>
            <w:pPr>
              <w:spacing w:after="0"/>
            </w:pPr>
            <w:r>
              <w:rPr>
                <w:b/>
                <w:color w:val="171717"/>
                <w:sz w:val="16"/>
              </w:rPr>
              <w:t>Audit use</w:t>
            </w:r>
          </w:p>
        </w:tc>
      </w:tr>
      <w:tr>
        <w:trPr>
          <w:cantSplit/>
        </w:trPr>
        <w:tc>
          <w:tcPr>
            <w:tcW w:type="dxa" w:w="4680"/>
            <w:tcMar>
              <w:top w:w="80" w:type="dxa"/>
              <w:start w:w="120" w:type="dxa"/>
              <w:bottom w:w="80" w:type="dxa"/>
              <w:end w:w="120" w:type="dxa"/>
            </w:tcMar>
          </w:tcPr>
          <w:p>
            <w:pPr>
              <w:spacing w:after="0" w:line="240" w:lineRule="auto"/>
            </w:pPr>
            <w:r>
              <w:rPr>
                <w:sz w:val="16"/>
              </w:rPr>
              <w:t>server_pg.py</w:t>
            </w:r>
          </w:p>
        </w:tc>
        <w:tc>
          <w:tcPr>
            <w:tcW w:type="dxa" w:w="4680"/>
            <w:tcMar>
              <w:top w:w="80" w:type="dxa"/>
              <w:start w:w="120" w:type="dxa"/>
              <w:bottom w:w="80" w:type="dxa"/>
              <w:end w:w="120" w:type="dxa"/>
            </w:tcMar>
          </w:tcPr>
          <w:p>
            <w:pPr>
              <w:spacing w:after="0" w:line="240" w:lineRule="auto"/>
            </w:pPr>
            <w:r>
              <w:rPr>
                <w:sz w:val="16"/>
              </w:rPr>
              <w:t>Production entrypoint, schema, APIs, crawls, integrations, jobs, legacy generators, account/admin flows.</w:t>
            </w:r>
          </w:p>
        </w:tc>
      </w:tr>
      <w:tr>
        <w:trPr>
          <w:cantSplit/>
        </w:trPr>
        <w:tc>
          <w:tcPr>
            <w:tcW w:type="dxa" w:w="4680"/>
            <w:tcMar>
              <w:top w:w="80" w:type="dxa"/>
              <w:start w:w="120" w:type="dxa"/>
              <w:bottom w:w="80" w:type="dxa"/>
              <w:end w:w="120" w:type="dxa"/>
            </w:tcMar>
          </w:tcPr>
          <w:p>
            <w:pPr>
              <w:spacing w:after="0" w:line="240" w:lineRule="auto"/>
            </w:pPr>
            <w:r>
              <w:rPr>
                <w:sz w:val="16"/>
              </w:rPr>
              <w:t>analytics.html / analytics.js / analytics.css</w:t>
            </w:r>
          </w:p>
        </w:tc>
        <w:tc>
          <w:tcPr>
            <w:tcW w:type="dxa" w:w="4680"/>
            <w:tcMar>
              <w:top w:w="80" w:type="dxa"/>
              <w:start w:w="120" w:type="dxa"/>
              <w:bottom w:w="80" w:type="dxa"/>
              <w:end w:w="120" w:type="dxa"/>
            </w:tcMar>
          </w:tcPr>
          <w:p>
            <w:pPr>
              <w:spacing w:after="0" w:line="240" w:lineRule="auto"/>
            </w:pPr>
            <w:r>
              <w:rPr>
                <w:sz w:val="16"/>
              </w:rPr>
              <w:t>Evidence-first Analytics workspace, source status, metrics, filters, export, responsive app shell.</w:t>
            </w:r>
          </w:p>
        </w:tc>
      </w:tr>
      <w:tr>
        <w:trPr>
          <w:cantSplit/>
        </w:trPr>
        <w:tc>
          <w:tcPr>
            <w:tcW w:type="dxa" w:w="4680"/>
            <w:tcMar>
              <w:top w:w="80" w:type="dxa"/>
              <w:start w:w="120" w:type="dxa"/>
              <w:bottom w:w="80" w:type="dxa"/>
              <w:end w:w="120" w:type="dxa"/>
            </w:tcMar>
          </w:tcPr>
          <w:p>
            <w:pPr>
              <w:spacing w:after="0" w:line="240" w:lineRule="auto"/>
            </w:pPr>
            <w:r>
              <w:rPr>
                <w:sz w:val="16"/>
              </w:rPr>
              <w:t>index.html / script.js / styles.css / three-home.js</w:t>
            </w:r>
          </w:p>
        </w:tc>
        <w:tc>
          <w:tcPr>
            <w:tcW w:type="dxa" w:w="4680"/>
            <w:tcMar>
              <w:top w:w="80" w:type="dxa"/>
              <w:start w:w="120" w:type="dxa"/>
              <w:bottom w:w="80" w:type="dxa"/>
              <w:end w:w="120" w:type="dxa"/>
            </w:tcMar>
          </w:tcPr>
          <w:p>
            <w:pPr>
              <w:spacing w:after="0" w:line="240" w:lineRule="auto"/>
            </w:pPr>
            <w:r>
              <w:rPr>
                <w:sz w:val="16"/>
              </w:rPr>
              <w:t>Marketing site, auth-aware header, master setup, contact, responsive behavior, illustrative chart/motion.</w:t>
            </w:r>
          </w:p>
        </w:tc>
      </w:tr>
      <w:tr>
        <w:trPr>
          <w:cantSplit/>
        </w:trPr>
        <w:tc>
          <w:tcPr>
            <w:tcW w:type="dxa" w:w="4680"/>
            <w:tcMar>
              <w:top w:w="80" w:type="dxa"/>
              <w:start w:w="120" w:type="dxa"/>
              <w:bottom w:w="80" w:type="dxa"/>
              <w:end w:w="120" w:type="dxa"/>
            </w:tcMar>
          </w:tcPr>
          <w:p>
            <w:pPr>
              <w:spacing w:after="0" w:line="240" w:lineRule="auto"/>
            </w:pPr>
            <w:r>
              <w:rPr>
                <w:sz w:val="16"/>
              </w:rPr>
              <w:t>prompt_intelligence.* / visibility_tracking.* / content_studio.*</w:t>
            </w:r>
          </w:p>
        </w:tc>
        <w:tc>
          <w:tcPr>
            <w:tcW w:type="dxa" w:w="4680"/>
            <w:tcMar>
              <w:top w:w="80" w:type="dxa"/>
              <w:start w:w="120" w:type="dxa"/>
              <w:bottom w:w="80" w:type="dxa"/>
              <w:end w:w="120" w:type="dxa"/>
            </w:tcMar>
          </w:tcPr>
          <w:p>
            <w:pPr>
              <w:spacing w:after="0" w:line="240" w:lineRule="auto"/>
            </w:pPr>
            <w:r>
              <w:rPr>
                <w:sz w:val="16"/>
              </w:rPr>
              <w:t>Dedicated product flows and current demo/template behavior.</w:t>
            </w:r>
          </w:p>
        </w:tc>
      </w:tr>
      <w:tr>
        <w:trPr>
          <w:cantSplit/>
        </w:trPr>
        <w:tc>
          <w:tcPr>
            <w:tcW w:type="dxa" w:w="4680"/>
            <w:tcMar>
              <w:top w:w="80" w:type="dxa"/>
              <w:start w:w="120" w:type="dxa"/>
              <w:bottom w:w="80" w:type="dxa"/>
              <w:end w:w="120" w:type="dxa"/>
            </w:tcMar>
          </w:tcPr>
          <w:p>
            <w:pPr>
              <w:spacing w:after="0" w:line="240" w:lineRule="auto"/>
            </w:pPr>
            <w:r>
              <w:rPr>
                <w:sz w:val="16"/>
              </w:rPr>
              <w:t>workspace.* / profile.html</w:t>
            </w:r>
          </w:p>
        </w:tc>
        <w:tc>
          <w:tcPr>
            <w:tcW w:type="dxa" w:w="4680"/>
            <w:tcMar>
              <w:top w:w="80" w:type="dxa"/>
              <w:start w:w="120" w:type="dxa"/>
              <w:bottom w:w="80" w:type="dxa"/>
              <w:end w:w="120" w:type="dxa"/>
            </w:tcMar>
          </w:tcPr>
          <w:p>
            <w:pPr>
              <w:spacing w:after="0" w:line="240" w:lineRule="auto"/>
            </w:pPr>
            <w:r>
              <w:rPr>
                <w:sz w:val="16"/>
              </w:rPr>
              <w:t>Combined workspace summary and account view.</w:t>
            </w:r>
          </w:p>
        </w:tc>
      </w:tr>
      <w:tr>
        <w:trPr>
          <w:cantSplit/>
        </w:trPr>
        <w:tc>
          <w:tcPr>
            <w:tcW w:type="dxa" w:w="4680"/>
            <w:tcMar>
              <w:top w:w="80" w:type="dxa"/>
              <w:start w:w="120" w:type="dxa"/>
              <w:bottom w:w="80" w:type="dxa"/>
              <w:end w:w="120" w:type="dxa"/>
            </w:tcMar>
          </w:tcPr>
          <w:p>
            <w:pPr>
              <w:spacing w:after="0" w:line="240" w:lineRule="auto"/>
            </w:pPr>
            <w:r>
              <w:rPr>
                <w:sz w:val="16"/>
              </w:rPr>
              <w:t>manifest.webmanifest / sw.js / pwa.js / offline.html</w:t>
            </w:r>
          </w:p>
        </w:tc>
        <w:tc>
          <w:tcPr>
            <w:tcW w:type="dxa" w:w="4680"/>
            <w:tcMar>
              <w:top w:w="80" w:type="dxa"/>
              <w:start w:w="120" w:type="dxa"/>
              <w:bottom w:w="80" w:type="dxa"/>
              <w:end w:w="120" w:type="dxa"/>
            </w:tcMar>
          </w:tcPr>
          <w:p>
            <w:pPr>
              <w:spacing w:after="0" w:line="240" w:lineRule="auto"/>
            </w:pPr>
            <w:r>
              <w:rPr>
                <w:sz w:val="16"/>
              </w:rPr>
              <w:t>PWA configuration, service worker, caching, and offline fallback.</w:t>
            </w:r>
          </w:p>
        </w:tc>
      </w:tr>
      <w:tr>
        <w:trPr>
          <w:cantSplit/>
        </w:trPr>
        <w:tc>
          <w:tcPr>
            <w:tcW w:type="dxa" w:w="4680"/>
            <w:tcMar>
              <w:top w:w="80" w:type="dxa"/>
              <w:start w:w="120" w:type="dxa"/>
              <w:bottom w:w="80" w:type="dxa"/>
              <w:end w:w="120" w:type="dxa"/>
            </w:tcMar>
          </w:tcPr>
          <w:p>
            <w:pPr>
              <w:spacing w:after="0" w:line="240" w:lineRule="auto"/>
            </w:pPr>
            <w:r>
              <w:rPr>
                <w:sz w:val="16"/>
              </w:rPr>
              <w:t>render.yaml / Dockerfile / Procfile / requirements.txt / .env.example</w:t>
            </w:r>
          </w:p>
        </w:tc>
        <w:tc>
          <w:tcPr>
            <w:tcW w:type="dxa" w:w="4680"/>
            <w:tcMar>
              <w:top w:w="80" w:type="dxa"/>
              <w:start w:w="120" w:type="dxa"/>
              <w:bottom w:w="80" w:type="dxa"/>
              <w:end w:w="120" w:type="dxa"/>
            </w:tcMar>
          </w:tcPr>
          <w:p>
            <w:pPr>
              <w:spacing w:after="0" w:line="240" w:lineRule="auto"/>
            </w:pPr>
            <w:r>
              <w:rPr>
                <w:sz w:val="16"/>
              </w:rPr>
              <w:t>Deployment, runtime, dependencies, and configuration contract.</w:t>
            </w:r>
          </w:p>
        </w:tc>
      </w:tr>
      <w:tr>
        <w:trPr>
          <w:cantSplit/>
        </w:trPr>
        <w:tc>
          <w:tcPr>
            <w:tcW w:type="dxa" w:w="4680"/>
            <w:tcMar>
              <w:top w:w="80" w:type="dxa"/>
              <w:start w:w="120" w:type="dxa"/>
              <w:bottom w:w="80" w:type="dxa"/>
              <w:end w:w="120" w:type="dxa"/>
            </w:tcMar>
          </w:tcPr>
          <w:p>
            <w:pPr>
              <w:spacing w:after="0" w:line="240" w:lineRule="auto"/>
            </w:pPr>
            <w:r>
              <w:rPr>
                <w:sz w:val="16"/>
              </w:rPr>
              <w:t>AEO_ANALYTICS_SETUP.md</w:t>
            </w:r>
          </w:p>
        </w:tc>
        <w:tc>
          <w:tcPr>
            <w:tcW w:type="dxa" w:w="4680"/>
            <w:tcMar>
              <w:top w:w="80" w:type="dxa"/>
              <w:start w:w="120" w:type="dxa"/>
              <w:bottom w:w="80" w:type="dxa"/>
              <w:end w:w="120" w:type="dxa"/>
            </w:tcMar>
          </w:tcPr>
          <w:p>
            <w:pPr>
              <w:spacing w:after="0" w:line="240" w:lineRule="auto"/>
            </w:pPr>
            <w:r>
              <w:rPr>
                <w:sz w:val="16"/>
              </w:rPr>
              <w:t>Integration setup and source-separation guidance.</w:t>
            </w:r>
          </w:p>
        </w:tc>
      </w:tr>
      <w:tr>
        <w:trPr>
          <w:cantSplit/>
        </w:trPr>
        <w:tc>
          <w:tcPr>
            <w:tcW w:type="dxa" w:w="4680"/>
            <w:tcMar>
              <w:top w:w="80" w:type="dxa"/>
              <w:start w:w="120" w:type="dxa"/>
              <w:bottom w:w="80" w:type="dxa"/>
              <w:end w:w="120" w:type="dxa"/>
            </w:tcMar>
          </w:tcPr>
          <w:p>
            <w:pPr>
              <w:spacing w:after="0" w:line="240" w:lineRule="auto"/>
            </w:pPr>
            <w:r>
              <w:rPr>
                <w:sz w:val="16"/>
              </w:rPr>
              <w:t>tests/test_analytics_pipeline.py</w:t>
            </w:r>
          </w:p>
        </w:tc>
        <w:tc>
          <w:tcPr>
            <w:tcW w:type="dxa" w:w="4680"/>
            <w:tcMar>
              <w:top w:w="80" w:type="dxa"/>
              <w:start w:w="120" w:type="dxa"/>
              <w:bottom w:w="80" w:type="dxa"/>
              <w:end w:w="120" w:type="dxa"/>
            </w:tcMar>
          </w:tcPr>
          <w:p>
            <w:pPr>
              <w:spacing w:after="0" w:line="240" w:lineRule="auto"/>
            </w:pPr>
            <w:r>
              <w:rPr>
                <w:sz w:val="16"/>
              </w:rPr>
              <w:t>Current five-test helper-level analytics safety/evidence suite.</w:t>
            </w:r>
          </w:p>
        </w:tc>
      </w:tr>
    </w:tbl>
    <w:p>
      <w:pPr>
        <w:spacing w:after="0"/>
      </w:pPr>
    </w:p>
    <w:p>
      <w:pPr>
        <w:pStyle w:val="Heading2"/>
      </w:pPr>
      <w:r>
        <w:t>D.2 Traceability convention</w:t>
      </w:r>
    </w:p>
    <w:p>
      <w:r>
        <w:t>Requirement identifiers are stable by domain: FR for functional behavior, API for contracts, INT for external integrations, DATA for persistence/provenance, SEC/PRIV for protection, NFR for quality attributes, OPS for production operations, and TEST for verification. Implementation tickets and automated tests should reference these IDs.</w:t>
      </w:r>
    </w:p>
    <w:p>
      <w:bookmarkStart w:id="23" w:name="approval"/>
      <w:pPr>
        <w:pStyle w:val="Heading1"/>
      </w:pPr>
      <w:r>
        <w:t>Approval record</w:t>
      </w:r>
      <w:bookmarkEnd w:id="23"/>
    </w:p>
    <w:tbl>
      <w:tblPr>
        <w:tblStyle w:val="TableGrid"/>
        <w:tblW w:type="dxa" w:w="9360"/>
        <w:jc w:val="center"/>
        <w:tblLayout w:type="fixed"/>
        <w:tblLook w:firstColumn="1" w:firstRow="1" w:lastColumn="0" w:lastRow="0" w:noHBand="0" w:noVBand="1" w:val="04A0"/>
        <w:tblBorders>
          <w:top w:val="single" w:sz="4" w:color="D9DCE1"/>
          <w:start w:val="single" w:sz="4" w:color="D9DCE1"/>
          <w:bottom w:val="single" w:sz="4" w:color="D9DCE1"/>
          <w:end w:val="single" w:sz="4" w:color="D9DCE1"/>
          <w:insideH w:val="single" w:sz="4" w:color="D9DCE1"/>
          <w:insideV w:val="single" w:sz="4" w:color="D9DCE1"/>
        </w:tblBorders>
      </w:tblPr>
      <w:tblGrid>
        <w:gridCol w:w="2340"/>
        <w:gridCol w:w="2340"/>
        <w:gridCol w:w="2340"/>
        <w:gridCol w:w="2340"/>
      </w:tblGrid>
      <w:tr>
        <w:trPr>
          <w:tblHeader w:val="true"/>
        </w:trPr>
        <w:tc>
          <w:tcPr>
            <w:tcW w:type="dxa" w:w="2500"/>
            <w:shd w:fill="F5F6F7"/>
            <w:tcMar>
              <w:top w:w="80" w:type="dxa"/>
              <w:start w:w="120" w:type="dxa"/>
              <w:bottom w:w="80" w:type="dxa"/>
              <w:end w:w="120" w:type="dxa"/>
            </w:tcMar>
          </w:tcPr>
          <w:p>
            <w:pPr>
              <w:spacing w:after="0"/>
            </w:pPr>
            <w:r>
              <w:rPr>
                <w:b/>
                <w:color w:val="171717"/>
                <w:sz w:val="17"/>
              </w:rPr>
              <w:t>Role</w:t>
            </w:r>
          </w:p>
        </w:tc>
        <w:tc>
          <w:tcPr>
            <w:tcW w:type="dxa" w:w="2400"/>
            <w:shd w:fill="F5F6F7"/>
            <w:tcMar>
              <w:top w:w="80" w:type="dxa"/>
              <w:start w:w="120" w:type="dxa"/>
              <w:bottom w:w="80" w:type="dxa"/>
              <w:end w:w="120" w:type="dxa"/>
            </w:tcMar>
          </w:tcPr>
          <w:p>
            <w:pPr>
              <w:spacing w:after="0"/>
            </w:pPr>
            <w:r>
              <w:rPr>
                <w:b/>
                <w:color w:val="171717"/>
                <w:sz w:val="17"/>
              </w:rPr>
              <w:t>Name</w:t>
            </w:r>
          </w:p>
        </w:tc>
        <w:tc>
          <w:tcPr>
            <w:tcW w:type="dxa" w:w="2400"/>
            <w:shd w:fill="F5F6F7"/>
            <w:tcMar>
              <w:top w:w="80" w:type="dxa"/>
              <w:start w:w="120" w:type="dxa"/>
              <w:bottom w:w="80" w:type="dxa"/>
              <w:end w:w="120" w:type="dxa"/>
            </w:tcMar>
          </w:tcPr>
          <w:p>
            <w:pPr>
              <w:spacing w:after="0"/>
            </w:pPr>
            <w:r>
              <w:rPr>
                <w:b/>
                <w:color w:val="171717"/>
                <w:sz w:val="17"/>
              </w:rPr>
              <w:t>Decision</w:t>
            </w:r>
          </w:p>
        </w:tc>
        <w:tc>
          <w:tcPr>
            <w:tcW w:type="dxa" w:w="2060"/>
            <w:shd w:fill="F5F6F7"/>
            <w:tcMar>
              <w:top w:w="80" w:type="dxa"/>
              <w:start w:w="120" w:type="dxa"/>
              <w:bottom w:w="80" w:type="dxa"/>
              <w:end w:w="120" w:type="dxa"/>
            </w:tcMar>
          </w:tcPr>
          <w:p>
            <w:pPr>
              <w:spacing w:after="0"/>
            </w:pPr>
            <w:r>
              <w:rPr>
                <w:b/>
                <w:color w:val="171717"/>
                <w:sz w:val="17"/>
              </w:rPr>
              <w:t>Date</w:t>
            </w:r>
          </w:p>
        </w:tc>
      </w:tr>
      <w:tr>
        <w:trPr>
          <w:cantSplit/>
        </w:trPr>
        <w:tc>
          <w:tcPr>
            <w:tcW w:type="dxa" w:w="2340"/>
            <w:tcMar>
              <w:top w:w="80" w:type="dxa"/>
              <w:start w:w="120" w:type="dxa"/>
              <w:bottom w:w="80" w:type="dxa"/>
              <w:end w:w="120" w:type="dxa"/>
            </w:tcMar>
          </w:tcPr>
          <w:p>
            <w:pPr>
              <w:spacing w:after="0" w:line="240" w:lineRule="auto"/>
            </w:pPr>
            <w:r>
              <w:rPr>
                <w:sz w:val="17"/>
              </w:rPr>
              <w:t>Product owner</w:t>
            </w:r>
          </w:p>
        </w:tc>
        <w:tc>
          <w:tcPr>
            <w:tcW w:type="dxa" w:w="2340"/>
            <w:tcMar>
              <w:top w:w="80" w:type="dxa"/>
              <w:start w:w="120" w:type="dxa"/>
              <w:bottom w:w="80" w:type="dxa"/>
              <w:end w:w="120" w:type="dxa"/>
            </w:tcMar>
          </w:tcPr>
          <w:p>
            <w:pPr>
              <w:spacing w:after="0" w:line="240" w:lineRule="auto"/>
            </w:pPr>
            <w:r>
              <w:rPr>
                <w:sz w:val="17"/>
              </w:rPr>
            </w:r>
          </w:p>
        </w:tc>
        <w:tc>
          <w:tcPr>
            <w:tcW w:type="dxa" w:w="2340"/>
            <w:tcMar>
              <w:top w:w="80" w:type="dxa"/>
              <w:start w:w="120" w:type="dxa"/>
              <w:bottom w:w="80" w:type="dxa"/>
              <w:end w:w="120" w:type="dxa"/>
            </w:tcMar>
          </w:tcPr>
          <w:p>
            <w:pPr>
              <w:spacing w:after="0" w:line="240" w:lineRule="auto"/>
            </w:pPr>
            <w:r>
              <w:rPr>
                <w:sz w:val="17"/>
              </w:rPr>
              <w:t>Approve / Reject</w:t>
            </w:r>
          </w:p>
        </w:tc>
        <w:tc>
          <w:tcPr>
            <w:tcW w:type="dxa" w:w="2340"/>
            <w:tcMar>
              <w:top w:w="80" w:type="dxa"/>
              <w:start w:w="120" w:type="dxa"/>
              <w:bottom w:w="80" w:type="dxa"/>
              <w:end w:w="120" w:type="dxa"/>
            </w:tcMar>
          </w:tcPr>
          <w:p>
            <w:pPr>
              <w:spacing w:after="0" w:line="240" w:lineRule="auto"/>
            </w:pPr>
            <w:r>
              <w:rPr>
                <w:sz w:val="17"/>
              </w:rPr>
            </w:r>
          </w:p>
        </w:tc>
      </w:tr>
      <w:tr>
        <w:trPr>
          <w:cantSplit/>
        </w:trPr>
        <w:tc>
          <w:tcPr>
            <w:tcW w:type="dxa" w:w="2340"/>
            <w:tcMar>
              <w:top w:w="80" w:type="dxa"/>
              <w:start w:w="120" w:type="dxa"/>
              <w:bottom w:w="80" w:type="dxa"/>
              <w:end w:w="120" w:type="dxa"/>
            </w:tcMar>
          </w:tcPr>
          <w:p>
            <w:pPr>
              <w:spacing w:after="0" w:line="240" w:lineRule="auto"/>
            </w:pPr>
            <w:r>
              <w:rPr>
                <w:sz w:val="17"/>
              </w:rPr>
              <w:t>Engineering lead</w:t>
            </w:r>
          </w:p>
        </w:tc>
        <w:tc>
          <w:tcPr>
            <w:tcW w:type="dxa" w:w="2340"/>
            <w:tcMar>
              <w:top w:w="80" w:type="dxa"/>
              <w:start w:w="120" w:type="dxa"/>
              <w:bottom w:w="80" w:type="dxa"/>
              <w:end w:w="120" w:type="dxa"/>
            </w:tcMar>
          </w:tcPr>
          <w:p>
            <w:pPr>
              <w:spacing w:after="0" w:line="240" w:lineRule="auto"/>
            </w:pPr>
            <w:r>
              <w:rPr>
                <w:sz w:val="17"/>
              </w:rPr>
            </w:r>
          </w:p>
        </w:tc>
        <w:tc>
          <w:tcPr>
            <w:tcW w:type="dxa" w:w="2340"/>
            <w:tcMar>
              <w:top w:w="80" w:type="dxa"/>
              <w:start w:w="120" w:type="dxa"/>
              <w:bottom w:w="80" w:type="dxa"/>
              <w:end w:w="120" w:type="dxa"/>
            </w:tcMar>
          </w:tcPr>
          <w:p>
            <w:pPr>
              <w:spacing w:after="0" w:line="240" w:lineRule="auto"/>
            </w:pPr>
            <w:r>
              <w:rPr>
                <w:sz w:val="17"/>
              </w:rPr>
              <w:t>Approve / Reject</w:t>
            </w:r>
          </w:p>
        </w:tc>
        <w:tc>
          <w:tcPr>
            <w:tcW w:type="dxa" w:w="2340"/>
            <w:tcMar>
              <w:top w:w="80" w:type="dxa"/>
              <w:start w:w="120" w:type="dxa"/>
              <w:bottom w:w="80" w:type="dxa"/>
              <w:end w:w="120" w:type="dxa"/>
            </w:tcMar>
          </w:tcPr>
          <w:p>
            <w:pPr>
              <w:spacing w:after="0" w:line="240" w:lineRule="auto"/>
            </w:pPr>
            <w:r>
              <w:rPr>
                <w:sz w:val="17"/>
              </w:rPr>
            </w:r>
          </w:p>
        </w:tc>
      </w:tr>
      <w:tr>
        <w:trPr>
          <w:cantSplit/>
        </w:trPr>
        <w:tc>
          <w:tcPr>
            <w:tcW w:type="dxa" w:w="2340"/>
            <w:tcMar>
              <w:top w:w="80" w:type="dxa"/>
              <w:start w:w="120" w:type="dxa"/>
              <w:bottom w:w="80" w:type="dxa"/>
              <w:end w:w="120" w:type="dxa"/>
            </w:tcMar>
          </w:tcPr>
          <w:p>
            <w:pPr>
              <w:spacing w:after="0" w:line="240" w:lineRule="auto"/>
            </w:pPr>
            <w:r>
              <w:rPr>
                <w:sz w:val="17"/>
              </w:rPr>
              <w:t>Security / privacy</w:t>
            </w:r>
          </w:p>
        </w:tc>
        <w:tc>
          <w:tcPr>
            <w:tcW w:type="dxa" w:w="2340"/>
            <w:tcMar>
              <w:top w:w="80" w:type="dxa"/>
              <w:start w:w="120" w:type="dxa"/>
              <w:bottom w:w="80" w:type="dxa"/>
              <w:end w:w="120" w:type="dxa"/>
            </w:tcMar>
          </w:tcPr>
          <w:p>
            <w:pPr>
              <w:spacing w:after="0" w:line="240" w:lineRule="auto"/>
            </w:pPr>
            <w:r>
              <w:rPr>
                <w:sz w:val="17"/>
              </w:rPr>
            </w:r>
          </w:p>
        </w:tc>
        <w:tc>
          <w:tcPr>
            <w:tcW w:type="dxa" w:w="2340"/>
            <w:tcMar>
              <w:top w:w="80" w:type="dxa"/>
              <w:start w:w="120" w:type="dxa"/>
              <w:bottom w:w="80" w:type="dxa"/>
              <w:end w:w="120" w:type="dxa"/>
            </w:tcMar>
          </w:tcPr>
          <w:p>
            <w:pPr>
              <w:spacing w:after="0" w:line="240" w:lineRule="auto"/>
            </w:pPr>
            <w:r>
              <w:rPr>
                <w:sz w:val="17"/>
              </w:rPr>
              <w:t>Approve / Reject</w:t>
            </w:r>
          </w:p>
        </w:tc>
        <w:tc>
          <w:tcPr>
            <w:tcW w:type="dxa" w:w="2340"/>
            <w:tcMar>
              <w:top w:w="80" w:type="dxa"/>
              <w:start w:w="120" w:type="dxa"/>
              <w:bottom w:w="80" w:type="dxa"/>
              <w:end w:w="120" w:type="dxa"/>
            </w:tcMar>
          </w:tcPr>
          <w:p>
            <w:pPr>
              <w:spacing w:after="0" w:line="240" w:lineRule="auto"/>
            </w:pPr>
            <w:r>
              <w:rPr>
                <w:sz w:val="17"/>
              </w:rPr>
            </w:r>
          </w:p>
        </w:tc>
      </w:tr>
      <w:tr>
        <w:trPr>
          <w:cantSplit/>
        </w:trPr>
        <w:tc>
          <w:tcPr>
            <w:tcW w:type="dxa" w:w="2340"/>
            <w:tcMar>
              <w:top w:w="80" w:type="dxa"/>
              <w:start w:w="120" w:type="dxa"/>
              <w:bottom w:w="80" w:type="dxa"/>
              <w:end w:w="120" w:type="dxa"/>
            </w:tcMar>
          </w:tcPr>
          <w:p>
            <w:pPr>
              <w:spacing w:after="0" w:line="240" w:lineRule="auto"/>
            </w:pPr>
            <w:r>
              <w:rPr>
                <w:sz w:val="17"/>
              </w:rPr>
              <w:t>Operations / SRE</w:t>
            </w:r>
          </w:p>
        </w:tc>
        <w:tc>
          <w:tcPr>
            <w:tcW w:type="dxa" w:w="2340"/>
            <w:tcMar>
              <w:top w:w="80" w:type="dxa"/>
              <w:start w:w="120" w:type="dxa"/>
              <w:bottom w:w="80" w:type="dxa"/>
              <w:end w:w="120" w:type="dxa"/>
            </w:tcMar>
          </w:tcPr>
          <w:p>
            <w:pPr>
              <w:spacing w:after="0" w:line="240" w:lineRule="auto"/>
            </w:pPr>
            <w:r>
              <w:rPr>
                <w:sz w:val="17"/>
              </w:rPr>
            </w:r>
          </w:p>
        </w:tc>
        <w:tc>
          <w:tcPr>
            <w:tcW w:type="dxa" w:w="2340"/>
            <w:tcMar>
              <w:top w:w="80" w:type="dxa"/>
              <w:start w:w="120" w:type="dxa"/>
              <w:bottom w:w="80" w:type="dxa"/>
              <w:end w:w="120" w:type="dxa"/>
            </w:tcMar>
          </w:tcPr>
          <w:p>
            <w:pPr>
              <w:spacing w:after="0" w:line="240" w:lineRule="auto"/>
            </w:pPr>
            <w:r>
              <w:rPr>
                <w:sz w:val="17"/>
              </w:rPr>
              <w:t>Approve / Reject</w:t>
            </w:r>
          </w:p>
        </w:tc>
        <w:tc>
          <w:tcPr>
            <w:tcW w:type="dxa" w:w="2340"/>
            <w:tcMar>
              <w:top w:w="80" w:type="dxa"/>
              <w:start w:w="120" w:type="dxa"/>
              <w:bottom w:w="80" w:type="dxa"/>
              <w:end w:w="120" w:type="dxa"/>
            </w:tcMar>
          </w:tcPr>
          <w:p>
            <w:pPr>
              <w:spacing w:after="0" w:line="240" w:lineRule="auto"/>
            </w:pPr>
            <w:r>
              <w:rPr>
                <w:sz w:val="17"/>
              </w:rPr>
            </w:r>
          </w:p>
        </w:tc>
      </w:tr>
    </w:tbl>
    <w:p>
      <w:pPr>
        <w:spacing w:after="0"/>
      </w:pPr>
    </w:p>
    <w:tbl>
      <w:tblPr>
        <w:tblW w:type="dxa" w:w="9360"/>
        <w:jc w:val="center"/>
        <w:tblLayout w:type="fixed"/>
        <w:tblLook w:firstColumn="1" w:firstRow="1" w:lastColumn="0" w:lastRow="0" w:noHBand="0" w:noVBand="1" w:val="04A0"/>
        <w:tblBorders>
          <w:top w:val="single" w:sz="8" w:color="D9DCE1"/>
          <w:start w:val="single" w:sz="8" w:color="D9DCE1"/>
          <w:bottom w:val="single" w:sz="8" w:color="D9DCE1"/>
          <w:end w:val="single" w:sz="8" w:color="D9DCE1"/>
          <w:insideH w:val="single" w:sz="8" w:color="D9DCE1"/>
          <w:insideV w:val="single" w:sz="8" w:color="D9DCE1"/>
        </w:tblBorders>
      </w:tblPr>
      <w:tblGrid>
        <w:gridCol w:w="9360"/>
      </w:tblGrid>
      <w:tr>
        <w:trPr>
          <w:cantSplit/>
        </w:trPr>
        <w:tc>
          <w:tcPr>
            <w:tcW w:type="dxa" w:w="9360"/>
            <w:shd w:fill="F5F6F7"/>
            <w:tcMar>
              <w:top w:w="140" w:type="dxa"/>
              <w:start w:w="180" w:type="dxa"/>
              <w:bottom w:w="140" w:type="dxa"/>
              <w:end w:w="180" w:type="dxa"/>
            </w:tcMar>
          </w:tcPr>
          <w:p>
            <w:pPr>
              <w:spacing w:after="80"/>
            </w:pPr>
            <w:r>
              <w:rPr>
                <w:b/>
                <w:color w:val="333333"/>
              </w:rPr>
              <w:t>End of document</w:t>
            </w:r>
          </w:p>
          <w:p>
            <w:pPr>
              <w:spacing w:after="0"/>
            </w:pPr>
            <w:r>
              <w:t>TRD-TRYSEARCH-001 • Version 1.0 • 13 August 2026</w:t>
            </w:r>
          </w:p>
        </w:tc>
      </w:tr>
    </w:tbl>
    <w:sectPr w:rsidR="00FC693F" w:rsidRPr="0006063C" w:rsidSect="00034616">
      <w:headerReference w:type="default" r:id="rId9"/>
      <w:headerReference w:type="even" r:id="rId10"/>
      <w:footerReference w:type="default" r:id="rId11"/>
      <w:pgSz w:w="12240" w:h="15840"/>
      <w:pgMar w:top="1152"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trySearch TRD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12" w:space="5" w:color="FF7F11"/>
      </w:pBdr>
    </w:pPr>
    <w:r>
      <w:drawing>
        <wp:inline xmlns:a="http://schemas.openxmlformats.org/drawingml/2006/main" xmlns:pic="http://schemas.openxmlformats.org/drawingml/2006/picture">
          <wp:extent cx="201168" cy="203956"/>
          <wp:docPr id="1" name="Picture 1" descr="trySearch logo"/>
          <wp:cNvGraphicFramePr>
            <a:graphicFrameLocks noChangeAspect="1"/>
          </wp:cNvGraphicFramePr>
          <a:graphic>
            <a:graphicData uri="http://schemas.openxmlformats.org/drawingml/2006/picture">
              <pic:pic>
                <pic:nvPicPr>
                  <pic:cNvPr id="0" name="trysearch_logo_cropped.png"/>
                  <pic:cNvPicPr/>
                </pic:nvPicPr>
                <pic:blipFill>
                  <a:blip r:embed="rId1"/>
                  <a:stretch>
                    <a:fillRect/>
                  </a:stretch>
                </pic:blipFill>
                <pic:spPr>
                  <a:xfrm>
                    <a:off x="0" y="0"/>
                    <a:ext cx="201168" cy="203956"/>
                  </a:xfrm>
                  <a:prstGeom prst="rect"/>
                </pic:spPr>
              </pic:pic>
            </a:graphicData>
          </a:graphic>
        </wp:inline>
      </w:drawing>
    </w:r>
    <w:r>
      <w:rPr>
        <w:b/>
        <w:color w:val="666666"/>
        <w:sz w:val="16"/>
      </w:rPr>
      <w:t xml:space="preserve">   trySearch   |   TECHNICAL REQUIREMENTS DOCUMENT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12" w:space="5" w:color="FF7F11"/>
      </w:pBdr>
    </w:pPr>
    <w:r>
      <w:drawing>
        <wp:inline xmlns:a="http://schemas.openxmlformats.org/drawingml/2006/main" xmlns:pic="http://schemas.openxmlformats.org/drawingml/2006/picture">
          <wp:extent cx="201168" cy="203956"/>
          <wp:docPr id="1" name="Picture 1" descr="trySearch logo"/>
          <wp:cNvGraphicFramePr>
            <a:graphicFrameLocks noChangeAspect="1"/>
          </wp:cNvGraphicFramePr>
          <a:graphic>
            <a:graphicData uri="http://schemas.openxmlformats.org/drawingml/2006/picture">
              <pic:pic>
                <pic:nvPicPr>
                  <pic:cNvPr id="0" name="trysearch_logo_cropped.png"/>
                  <pic:cNvPicPr/>
                </pic:nvPicPr>
                <pic:blipFill>
                  <a:blip r:embed="rId1"/>
                  <a:stretch>
                    <a:fillRect/>
                  </a:stretch>
                </pic:blipFill>
                <pic:spPr>
                  <a:xfrm>
                    <a:off x="0" y="0"/>
                    <a:ext cx="201168" cy="203956"/>
                  </a:xfrm>
                  <a:prstGeom prst="rect"/>
                </pic:spPr>
              </pic:pic>
            </a:graphicData>
          </a:graphic>
        </wp:inline>
      </w:drawing>
    </w:r>
    <w:r>
      <w:rPr>
        <w:b/>
        <w:color w:val="666666"/>
        <w:sz w:val="16"/>
      </w:rPr>
      <w:t xml:space="preserve">   trySearch   |   TECHNICAL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C84B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C84B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171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color w:val="171717"/>
      <w:sz w:val="18"/>
    </w:rPr>
  </w:style>
  <w:style w:type="paragraph" w:customStyle="1" w:styleId="SmallNote">
    <w:name w:val="Small Note"/>
    <w:pPr>
      <w:spacing w:after="80" w:line="240" w:lineRule="auto"/>
    </w:pPr>
    <w:rPr>
      <w:rFonts w:ascii="Calibri" w:hAnsi="Calibri"/>
      <w:color w:val="666666"/>
      <w:sz w:val="17"/>
    </w:rPr>
  </w:style>
  <w:style w:type="paragraph" w:customStyle="1" w:styleId="RequirementText">
    <w:name w:val="Requirement Text"/>
    <w:pPr>
      <w:spacing w:after="40" w:line="240" w:lineRule="auto"/>
    </w:pPr>
    <w:rPr>
      <w:rFonts w:ascii="Calibri" w:hAnsi="Calibri"/>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trySearch Technical Requirements Document</dc:title>
  <dc:subject>Complete website and evidence-backed AEO/GEO analytics platform</dc:subject>
  <dc:creator>trySearch Engineering</dc:creator>
  <cp:keywords>trySearch, technical requirements, AEO, GEO, analytics, Flask, PostgreSQL, Perplexity, Google Search Console</cp:keywords>
  <dc:description>Generated from a repository audit of the current trySearch workspace.</dc:description>
  <cp:lastModifiedBy/>
  <cp:revision>1</cp:revision>
  <dcterms:created xsi:type="dcterms:W3CDTF">2026-08-13T00:00:00Z</dcterms:created>
  <dcterms:modified xsi:type="dcterms:W3CDTF">2026-08-13T00:00:00Z</dcterms:modified>
  <cp:category/>
</cp:coreProperties>
</file>