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0"/>
        <w:jc w:val="center"/>
      </w:pPr>
      <w:r>
        <w:rPr>
          <w:b/>
          <w:bCs/>
          <w:i/>
          <w:iCs/>
          <w:sz w:val="32"/>
          <w:szCs w:val="32"/>
          <w:highlight w:val="yellow"/>
          <w:highlightCs w:val="yellow"/>
        </w:rPr>
        <w:t xml:space="preserve">[WRITE: Title, 10–15 words]</w:t>
      </w:r>
    </w:p>
    <w:p>
      <w:pPr>
        <w:jc w:val="center"/>
      </w:pPr>
      <w:r>
        <w:rPr>
          <w:i/>
          <w:iCs/>
          <w:highlight w:val="yellow"/>
          <w:highlightCs w:val="yellow"/>
        </w:rPr>
        <w:t xml:space="preserve">[WRITE: Author names and register numbers]</w:t>
      </w:r>
    </w:p>
    <w:p>
      <w:pPr>
        <w:jc w:val="center"/>
      </w:pPr>
      <w:r>
        <w:rPr>
          <w:i/>
          <w:iCs/>
          <w:highlight w:val="yellow"/>
          <w:highlightCs w:val="yellow"/>
        </w:rPr>
        <w:t xml:space="preserve">[WRITE: Course code and title, faculty name, SCOPE, VIT, month and year]</w:t>
      </w:r>
    </w:p>
    <w:p>
      <w:r>
        <w:br w:type="page"/>
      </w:r>
    </w:p>
    <w:p>
      <w:pPr>
        <w:pStyle w:val="Heading1"/>
      </w:pPr>
      <w:r>
        <w:t xml:space="preserve">Aim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Aim, 1–2 sentences, 30–60 words]</w:t>
      </w:r>
    </w:p>
    <w:p>
      <w:pPr>
        <w:pStyle w:val="Heading1"/>
      </w:pPr>
      <w:r>
        <w:t xml:space="preserve">Objective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Objectives as 4–6 numbered points, 80–150 words]</w:t>
      </w:r>
    </w:p>
    <w:p>
      <w:pPr>
        <w:pStyle w:val="Heading1"/>
      </w:pPr>
      <w:r>
        <w:t xml:space="preserve">Abstract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Abstract, 500–700 words]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Keywords, 5–7 terms]</w:t>
      </w:r>
    </w:p>
    <w:p>
      <w:pPr>
        <w:pStyle w:val="Heading1"/>
      </w:pPr>
      <w:r>
        <w:t xml:space="preserve">Introduction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Background and motivation, 300–400 words]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Problem statement, 150–200 words]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Contributions of this work, 150–250 words]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Organisation of the report, 50–100 words]</w:t>
      </w:r>
    </w:p>
    <w:p>
      <w:pPr>
        <w:pStyle w:val="Heading1"/>
      </w:pPr>
      <w:r>
        <w:t xml:space="preserve">Related Material / Literature Review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Literature review, 1,000–1,500 words]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[ADD: Summary table of 8–12 related studies (author, year, dataset, method, key result) and a research-gap paragraph, 150–250 words]</w:t>
      </w:r>
    </w:p>
    <w:p>
      <w:pPr>
        <w:pStyle w:val="Heading1"/>
      </w:pPr>
      <w:r>
        <w:t xml:space="preserve">Proposed Methodology</w:t>
      </w:r>
    </w:p>
    <w:p>
      <w:pPr>
        <w:pStyle w:val="Heading2"/>
      </w:pPr>
      <w:r>
        <w:t xml:space="preserve">Overall architecture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124450" cy="6600825"/>
            <wp:effectExtent t="0" r="0" b="0" l="0"/>
            <wp:docPr id="1" name="architecture.png" descr="Block diagram of the pipeline: raw events, sampling, windows, features, split, K-means segmentation, single-stage and hurdle models, evaluation." title="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</w:rPr>
        <w:t xml:space="preserve">Figure 1. </w:t>
      </w:r>
      <w:r>
        <w:t xml:space="preserve">Block diagram of the pipeline: raw events, sampling, windows, features, split, K-means segmentation, single-stage and hurdle models, evaluation.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Walk-through of Figure 1, 150–250 words]</w:t>
      </w:r>
    </w:p>
    <w:p>
      <w:pPr>
        <w:pStyle w:val="Heading2"/>
      </w:pPr>
      <w:r>
        <w:t xml:space="preserve">Dataset</w:t>
      </w:r>
    </w:p>
    <w:p>
      <w:pPr>
        <w:keepNext/>
        <w:spacing w:after="120" w:before="240"/>
      </w:pPr>
      <w:r>
        <w:rPr>
          <w:b/>
          <w:bCs/>
        </w:rPr>
        <w:t xml:space="preserve">Table 1. </w:t>
      </w:r>
      <w:r>
        <w:t xml:space="preserve">Dataset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2019-Oct.csv (Kaggle: mkechinov/ecommerce-behavior-data-from-multi-category-store)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Raw events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42,448,764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Raw users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3,022,290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Sampling rule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user_id % 10 == 0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Sampled events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4,224,899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Sampled users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301,732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Sample fraction (users)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0.0998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Observation window (features)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2019-10-01 to 2019-10-24 23:59:59 UTC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Events in observation window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3,314,829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Prediction window (targets)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2019-10-25 to 2019-10-31 23:59:59 UTC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Events in prediction window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910,070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Population (users with &gt;= 1 event in observation window)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255,577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Buyers in prediction window (population)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6,379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Buy rate in prediction window (all / train / test)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0.0250 / 0.0250 / 0.0250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Mean spend among prediction-window buyers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532.949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Median spend among prediction-window buyers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225.870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Train users (all)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204,461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of which inner-train users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163,568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of which validation users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40,893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Test users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51,116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Test buyers (prediction window)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1,276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Dataset description and user sampling, 150–250 words]</w:t>
      </w:r>
    </w:p>
    <w:p>
      <w:pPr>
        <w:pStyle w:val="Heading2"/>
      </w:pPr>
      <w:r>
        <w:t xml:space="preserve">Observation and prediction windows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Time-window design and why it prevents leakage, 100–200 words]</w:t>
      </w:r>
    </w:p>
    <w:p>
      <w:pPr>
        <w:pStyle w:val="Heading2"/>
      </w:pPr>
      <w:r>
        <w:t xml:space="preserve">Feature engineering (RFM and behavioral features)</w:t>
      </w:r>
    </w:p>
    <w:p>
      <w:pPr>
        <w:tabs>
          <w:tab w:val="center" w:pos="4513"/>
          <w:tab w:val="right" w:pos="9026"/>
        </w:tabs>
        <w:spacing w:after="60" w:before="60"/>
      </w:pPr>
      <w:r>
        <w:t xml:space="preserve">	</w:t>
      </w:r>
      <m:oMath>
        <m:sSub>
          <m:sSubPr/>
          <m:e>
            <m:r>
              <m:t>R</m:t>
            </m:r>
          </m:e>
          <m:sub>
            <m:r>
              <m:t>u</m:t>
            </m:r>
          </m:sub>
        </m:sSub>
        <m:r>
          <m:t> = </m:t>
        </m:r>
        <m:sSub>
          <m:sSubPr/>
          <m:e>
            <m:r>
              <m:t>t</m:t>
            </m:r>
          </m:e>
          <m:sub>
            <m:r>
              <m:t>ref</m:t>
            </m:r>
          </m:sub>
        </m:sSub>
        <m:r>
          <m:t> − </m:t>
        </m:r>
        <m:sSub>
          <m:sSubPr/>
          <m:e>
            <m:r>
              <m:t>max</m:t>
            </m:r>
          </m:e>
          <m:sub>
            <m:r>
              <m:t>i∈</m:t>
            </m:r>
            <m:sSub>
              <m:sSubPr/>
              <m:e>
                <m:r>
                  <m:t>P</m:t>
                </m:r>
              </m:e>
              <m:sub>
                <m:r>
                  <m:t>u</m:t>
                </m:r>
              </m:sub>
            </m:sSub>
          </m:sub>
        </m:sSub>
        <m:sSub>
          <m:sSubPr/>
          <m:e>
            <m:r>
              <m:t> t</m:t>
            </m:r>
          </m:e>
          <m:sub>
            <m:r>
              <m:t>i</m:t>
            </m:r>
          </m:sub>
        </m:sSub>
      </m:oMath>
      <w:r>
        <w:t xml:space="preserve">	(1)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Recency (R_u = 60 days when the user has no purchase in the window)</w:t>
      </w:r>
    </w:p>
    <w:p>
      <w:pPr>
        <w:tabs>
          <w:tab w:val="center" w:pos="4513"/>
          <w:tab w:val="right" w:pos="9026"/>
        </w:tabs>
        <w:spacing w:after="60" w:before="60"/>
      </w:pPr>
      <w:r>
        <w:t xml:space="preserve">	</w:t>
      </w:r>
      <m:oMath>
        <m:sSub>
          <m:sSubPr/>
          <m:e>
            <m:r>
              <m:t>F</m:t>
            </m:r>
          </m:e>
          <m:sub>
            <m:r>
              <m:t>u</m:t>
            </m:r>
          </m:sub>
        </m:sSub>
        <m:r>
          <m:t> = |</m:t>
        </m:r>
        <m:sSub>
          <m:sSubPr/>
          <m:e>
            <m:r>
              <m:t>P</m:t>
            </m:r>
          </m:e>
          <m:sub>
            <m:r>
              <m:t>u</m:t>
            </m:r>
          </m:sub>
        </m:sSub>
        <m:r>
          <m:t>|</m:t>
        </m:r>
      </m:oMath>
      <w:r>
        <w:t xml:space="preserve">	(2)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Frequency</w:t>
      </w:r>
    </w:p>
    <w:p>
      <w:pPr>
        <w:tabs>
          <w:tab w:val="center" w:pos="4513"/>
          <w:tab w:val="right" w:pos="9026"/>
        </w:tabs>
        <w:spacing w:after="60" w:before="60"/>
      </w:pPr>
      <w:r>
        <w:t xml:space="preserve">	</w:t>
      </w:r>
      <m:oMath>
        <m:sSub>
          <m:sSubPr/>
          <m:e>
            <m:r>
              <m:t>M</m:t>
            </m:r>
          </m:e>
          <m:sub>
            <m:r>
              <m:t>u</m:t>
            </m:r>
          </m:sub>
        </m:sSub>
        <m:r>
          <m:t> = </m:t>
        </m:r>
        <m:nary>
          <m:naryPr>
            <m:chr m:val="∑"/>
            <m:limLoc m:val="undOvr"/>
          </m:naryPr>
          <m:sub>
            <m:r>
              <m:t>i∈</m:t>
            </m:r>
            <m:sSub>
              <m:sSubPr/>
              <m:e>
                <m:r>
                  <m:t>P</m:t>
                </m:r>
              </m:e>
              <m:sub>
                <m:r>
                  <m:t>u</m:t>
                </m:r>
              </m:sub>
            </m:sSub>
          </m:sub>
          <m:sup/>
          <m:e>
            <m:sSub>
              <m:sSubPr/>
              <m:e>
                <m:r>
                  <m:t>price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	(3)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Monetary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Symbols in Equations (1)–(3) and the behavioral features, 200–300 words]</w:t>
      </w:r>
    </w:p>
    <w:p>
      <w:pPr>
        <w:pStyle w:val="Heading2"/>
      </w:pPr>
      <w:r>
        <w:t xml:space="preserve">Customer segmentation (K-means)</w:t>
      </w:r>
    </w:p>
    <w:p>
      <w:pPr>
        <w:tabs>
          <w:tab w:val="center" w:pos="4513"/>
          <w:tab w:val="right" w:pos="9026"/>
        </w:tabs>
        <w:spacing w:after="60" w:before="60"/>
      </w:pPr>
      <w:r>
        <w:t xml:space="preserve">	</w:t>
      </w:r>
      <m:oMath>
        <m:r>
          <m:t>J = </m:t>
        </m:r>
        <m:nary>
          <m:naryPr>
            <m:chr m:val="∑"/>
            <m:limLoc m:val="undOvr"/>
          </m:naryPr>
          <m:sub>
            <m:r>
              <m:t>k=1</m:t>
            </m:r>
          </m:sub>
          <m:sup>
            <m:r>
              <m:t>K</m:t>
            </m:r>
          </m:sup>
          <m:e>
            <m:nary>
              <m:naryPr>
                <m:chr m:val="∑"/>
                <m:limLoc m:val="undOvr"/>
              </m:naryPr>
              <m:sub>
                <m:sSub>
                  <m:sSubPr/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t>∈</m:t>
                </m:r>
                <m:sSub>
                  <m:sSubPr/>
                  <m:e>
                    <m:r>
                      <m:t>C</m:t>
                    </m:r>
                  </m:e>
                  <m:sub>
                    <m:r>
                      <m:t>k</m:t>
                    </m:r>
                  </m:sub>
                </m:sSub>
              </m:sub>
              <m:sup/>
              <m:e>
                <m:sSup>
                  <m:sSupPr/>
                  <m:e>
                    <m:r>
                      <m:t>‖</m:t>
                    </m:r>
                    <m:sSub>
                      <m:sSubPr/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 − </m:t>
                    </m:r>
                    <m:sSub>
                      <m:sSubPr/>
                      <m:e>
                        <m:r>
                          <m:t>μ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‖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nary>
      </m:oMath>
      <w:r>
        <w:t xml:space="preserve">	(4)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K-means objective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971800"/>
            <wp:effectExtent t="0" r="0" b="0" l="0"/>
            <wp:docPr id="1" name="elbow_plot.png" descr="K-means inertia (within-cluster sum of squares) for K = 2..8 on train users; the detected elbow is marked." title="elbow_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</w:rPr>
        <w:t xml:space="preserve">Figure 2. </w:t>
      </w:r>
      <w:r>
        <w:t xml:space="preserve">K-means inertia (within-cluster sum of squares) for K = 2..8 on train users; the detected elbow is marked.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838450"/>
            <wp:effectExtent t="0" r="0" b="0" l="0"/>
            <wp:docPr id="1" name="silhouette_plot.png" descr="Silhouette score for K = 2..8 on a 20,000-user train sample; the maximum is marked." title="silhouette_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</w:rPr>
        <w:t xml:space="preserve">Figure 3. </w:t>
      </w:r>
      <w:r>
        <w:t xml:space="preserve">Silhouette score for K = 2..8 on a 20,000-user train sample; the maximum is marked.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Scaling, choice of K and segment naming, 150–250 words]</w:t>
      </w:r>
    </w:p>
    <w:p>
      <w:pPr>
        <w:pStyle w:val="Heading2"/>
      </w:pPr>
      <w:r>
        <w:t xml:space="preserve">Predictive models</w:t>
      </w:r>
    </w:p>
    <w:p>
      <w:pPr>
        <w:tabs>
          <w:tab w:val="center" w:pos="4513"/>
          <w:tab w:val="right" w:pos="9026"/>
        </w:tabs>
        <w:spacing w:after="60" w:before="60"/>
      </w:pPr>
      <w:r>
        <w:t xml:space="preserve">	</w:t>
      </w:r>
      <m:oMath>
        <m:r>
          <m:t>ŷ(x) = </m:t>
        </m:r>
        <m:f>
          <m:num>
            <m:r>
              <m:t>1</m:t>
            </m:r>
          </m:num>
          <m:den>
            <m:r>
              <m:t>T</m:t>
            </m:r>
          </m:den>
        </m:f>
        <m:nary>
          <m:naryPr>
            <m:chr m:val="∑"/>
            <m:limLoc m:val="undOvr"/>
          </m:naryPr>
          <m:sub>
            <m:r>
              <m:t>t=1</m:t>
            </m:r>
          </m:sub>
          <m:sup>
            <m:r>
              <m:t>T</m:t>
            </m:r>
          </m:sup>
          <m:e>
            <m:sSub>
              <m:sSubPr/>
              <m:e>
                <m:r>
                  <m:t>h</m:t>
                </m:r>
              </m:e>
              <m:sub>
                <m:r>
                  <m:t>t</m:t>
                </m:r>
              </m:sub>
            </m:sSub>
            <m:r>
              <m:t>(x)</m:t>
            </m:r>
          </m:e>
        </m:nary>
      </m:oMath>
      <w:r>
        <w:t xml:space="preserve">	(5)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Random Forest average over T trees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Classification and regression models, class weighting and hyperparameters, 200–300 words]</w:t>
      </w:r>
    </w:p>
    <w:p>
      <w:pPr>
        <w:pStyle w:val="Heading2"/>
      </w:pPr>
      <w:r>
        <w:t xml:space="preserve">Hurdle model for expected spend</w:t>
      </w:r>
    </w:p>
    <w:p>
      <w:pPr>
        <w:tabs>
          <w:tab w:val="center" w:pos="4513"/>
          <w:tab w:val="right" w:pos="9026"/>
        </w:tabs>
        <w:spacing w:after="60" w:before="60"/>
      </w:pPr>
      <w:r>
        <w:t xml:space="preserve">	</w:t>
      </w:r>
      <m:oMath>
        <m:r>
          <m:t>E[S | x] = P(Y = 1 | x) · E[S | Y = 1, x]</m:t>
        </m:r>
      </m:oMath>
      <w:r>
        <w:t xml:space="preserve">	(6)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Hurdle model expected spend</w:t>
      </w:r>
    </w:p>
    <w:p>
      <w:pPr>
        <w:tabs>
          <w:tab w:val="center" w:pos="4513"/>
          <w:tab w:val="right" w:pos="9026"/>
        </w:tabs>
        <w:spacing w:after="60" w:before="60"/>
      </w:pPr>
      <w:r>
        <w:t xml:space="preserve">	</w:t>
      </w:r>
      <m:oMath>
        <m:r>
          <m:t>odds = </m:t>
        </m:r>
        <m:f>
          <m:num>
            <m:r>
              <m:t>p</m:t>
            </m:r>
          </m:num>
          <m:den>
            <m:r>
              <m:t>1 − p</m:t>
            </m:r>
          </m:den>
        </m:f>
        <m:r>
          <m:t> · </m:t>
        </m:r>
        <m:f>
          <m:num>
            <m:sSub>
              <m:sSubPr/>
              <m:e>
                <m:r>
                  <m:t>n</m:t>
                </m:r>
              </m:e>
              <m:sub>
                <m:r>
                  <m:t>1</m:t>
                </m:r>
              </m:sub>
            </m:sSub>
          </m:num>
          <m:den>
            <m:sSub>
              <m:sSubPr/>
              <m:e>
                <m:r>
                  <m:t>n</m:t>
                </m:r>
              </m:e>
              <m:sub>
                <m:r>
                  <m:t>0</m:t>
                </m:r>
              </m:sub>
            </m:sSub>
          </m:den>
        </m:f>
        <m:r>
          <m:t>,   p′ = </m:t>
        </m:r>
        <m:f>
          <m:num>
            <m:r>
              <m:t>odds</m:t>
            </m:r>
          </m:num>
          <m:den>
            <m:r>
              <m:t>1 + odds</m:t>
            </m:r>
          </m:den>
        </m:f>
      </m:oMath>
      <w:r>
        <w:t xml:space="preserve">	(7)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Prior correction of class-weighted probabilities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Two-stage design, stage-1 selection and probability correction, 150–250 words]</w:t>
      </w:r>
    </w:p>
    <w:p>
      <w:pPr>
        <w:pStyle w:val="Heading2"/>
      </w:pPr>
      <w:r>
        <w:t xml:space="preserve">Evaluation metrics</w:t>
      </w:r>
    </w:p>
    <w:p>
      <w:pPr>
        <w:tabs>
          <w:tab w:val="center" w:pos="4513"/>
          <w:tab w:val="right" w:pos="9026"/>
        </w:tabs>
        <w:spacing w:after="60" w:before="60"/>
      </w:pPr>
      <w:r>
        <w:t xml:space="preserve">	</w:t>
      </w:r>
      <m:oMath>
        <m:r>
          <m:t>MAE = </m:t>
        </m:r>
        <m:f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|</m:t>
            </m:r>
            <m:sSub>
              <m:sSubPr/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t> − </m:t>
            </m:r>
            <m:sSub>
              <m:sSubPr/>
              <m:e>
                <m:r>
                  <m:t>ŷ</m:t>
                </m:r>
              </m:e>
              <m:sub>
                <m:r>
                  <m:t>i</m:t>
                </m:r>
              </m:sub>
            </m:sSub>
            <m:r>
              <m:t>|</m:t>
            </m:r>
          </m:e>
        </m:nary>
      </m:oMath>
      <w:r>
        <w:t xml:space="preserve">	(8)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Mean absolute error</w:t>
      </w:r>
    </w:p>
    <w:p>
      <w:pPr>
        <w:tabs>
          <w:tab w:val="center" w:pos="4513"/>
          <w:tab w:val="right" w:pos="9026"/>
        </w:tabs>
        <w:spacing w:after="60" w:before="60"/>
      </w:pPr>
      <w:r>
        <w:t xml:space="preserve">	</w:t>
      </w:r>
      <m:oMath>
        <m:r>
          <m:t>RMSE = </m:t>
        </m:r>
        <m:rad>
          <m:radPr>
            <m:degHide m:val="1"/>
          </m:radPr>
          <m:deg/>
          <m:e>
            <m:f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sSupPr/>
                  <m:e>
                    <m:r>
                      <m:t>(</m:t>
                    </m:r>
                    <m:sSub>
                      <m:sSubPr/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 − </m:t>
                    </m:r>
                    <m:sSub>
                      <m:sSubPr/>
                      <m:e>
                        <m:r>
                          <m:t>ŷ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</m:oMath>
      <w:r>
        <w:t xml:space="preserve">	(9)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Root mean squared error</w:t>
      </w:r>
    </w:p>
    <w:p>
      <w:pPr>
        <w:tabs>
          <w:tab w:val="center" w:pos="4513"/>
          <w:tab w:val="right" w:pos="9026"/>
        </w:tabs>
        <w:spacing w:after="60" w:before="60"/>
      </w:pPr>
      <w:r>
        <w:t xml:space="preserve">	</w:t>
      </w:r>
      <m:oMath>
        <m:sSup>
          <m:sSupPr/>
          <m:e>
            <m:r>
              <m:t>R</m:t>
            </m:r>
          </m:e>
          <m:sup>
            <m:r>
              <m:t>2</m:t>
            </m:r>
          </m:sup>
        </m:sSup>
        <m:r>
          <m:t> = 1 − </m:t>
        </m:r>
        <m:f>
          <m:num>
            <m:nary>
              <m:naryPr>
                <m:chr m:val="∑"/>
                <m:limLoc m:val="undOvr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sSupPr/>
                  <m:e>
                    <m:r>
                      <m:t>(</m:t>
                    </m:r>
                    <m:sSub>
                      <m:sSubPr/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 − </m:t>
                    </m:r>
                    <m:sSub>
                      <m:sSubPr/>
                      <m:e>
                        <m:r>
                          <m:t>ŷ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num>
          <m:den>
            <m:nary>
              <m:naryPr>
                <m:chr m:val="∑"/>
                <m:limLoc m:val="undOvr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sSupPr/>
                  <m:e>
                    <m:r>
                      <m:t>(</m:t>
                    </m:r>
                    <m:sSub>
                      <m:sSubPr/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 − ȳ)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den>
        </m:f>
      </m:oMath>
      <w:r>
        <w:t xml:space="preserve">	(10)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Coefficient of determination</w:t>
      </w:r>
    </w:p>
    <w:p>
      <w:pPr>
        <w:tabs>
          <w:tab w:val="center" w:pos="4513"/>
          <w:tab w:val="right" w:pos="9026"/>
        </w:tabs>
        <w:spacing w:after="60" w:before="60"/>
      </w:pPr>
      <w:r>
        <w:t xml:space="preserve">	</w:t>
      </w:r>
      <m:oMath>
        <m:r>
          <m:t>Precision = </m:t>
        </m:r>
        <m:f>
          <m:num>
            <m:r>
              <m:t>TP</m:t>
            </m:r>
          </m:num>
          <m:den>
            <m:r>
              <m:t>TP + FP</m:t>
            </m:r>
          </m:den>
        </m:f>
      </m:oMath>
      <w:r>
        <w:t xml:space="preserve">	(11)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Precision</w:t>
      </w:r>
    </w:p>
    <w:p>
      <w:pPr>
        <w:tabs>
          <w:tab w:val="center" w:pos="4513"/>
          <w:tab w:val="right" w:pos="9026"/>
        </w:tabs>
        <w:spacing w:after="60" w:before="60"/>
      </w:pPr>
      <w:r>
        <w:t xml:space="preserve">	</w:t>
      </w:r>
      <m:oMath>
        <m:r>
          <m:t>Recall = </m:t>
        </m:r>
        <m:f>
          <m:num>
            <m:r>
              <m:t>TP</m:t>
            </m:r>
          </m:num>
          <m:den>
            <m:r>
              <m:t>TP + FN</m:t>
            </m:r>
          </m:den>
        </m:f>
      </m:oMath>
      <w:r>
        <w:t xml:space="preserve">	(12)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Recall</w:t>
      </w:r>
    </w:p>
    <w:p>
      <w:pPr>
        <w:tabs>
          <w:tab w:val="center" w:pos="4513"/>
          <w:tab w:val="right" w:pos="9026"/>
        </w:tabs>
        <w:spacing w:after="60" w:before="60"/>
      </w:pPr>
      <w:r>
        <w:t xml:space="preserve">	</w:t>
      </w:r>
      <m:oMath>
        <m:sSub>
          <m:sSubPr/>
          <m:e>
            <m:r>
              <m:t>F</m:t>
            </m:r>
          </m:e>
          <m:sub>
            <m:r>
              <m:t>1</m:t>
            </m:r>
          </m:sub>
        </m:sSub>
        <m:r>
          <m:t> = </m:t>
        </m:r>
        <m:f>
          <m:num>
            <m:r>
              <m:t>2 · Precision · Recall</m:t>
            </m:r>
          </m:num>
          <m:den>
            <m:r>
              <m:t>Precision + Recall</m:t>
            </m:r>
          </m:den>
        </m:f>
      </m:oMath>
      <w:r>
        <w:t xml:space="preserve">	(13)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F1 score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Metrics, threshold tuning, bootstrap confidence intervals and leakage audit, 150–250 words]</w:t>
      </w:r>
    </w:p>
    <w:p>
      <w:pPr>
        <w:pStyle w:val="Heading1"/>
      </w:pPr>
      <w:r>
        <w:t xml:space="preserve">Results and Discussion</w:t>
      </w:r>
    </w:p>
    <w:p>
      <w:pPr>
        <w:pStyle w:val="Heading2"/>
      </w:pPr>
      <w:r>
        <w:t xml:space="preserve">Purchase prediction and feature-set comparison</w:t>
      </w:r>
    </w:p>
    <w:p>
      <w:pPr>
        <w:keepNext/>
        <w:spacing w:after="120" w:before="240"/>
      </w:pPr>
      <w:r>
        <w:rPr>
          <w:b/>
          <w:bCs/>
        </w:rPr>
        <w:t xml:space="preserve">Table 2. </w:t>
      </w:r>
      <w:r>
        <w:t xml:space="preserve">Classification: will_purchase (test set)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1"/>
        <w:gridCol w:w="963"/>
        <w:gridCol w:w="811"/>
        <w:gridCol w:w="811"/>
        <w:gridCol w:w="811"/>
        <w:gridCol w:w="1166"/>
        <w:gridCol w:w="760"/>
        <w:gridCol w:w="912"/>
        <w:gridCol w:w="1271"/>
      </w:tblGrid>
      <w:tr>
        <w:trPr>
          <w:cantSplit/>
          <w:tblHeader/>
        </w:trPr>
        <w:tc>
          <w:tcPr>
            <w:tcW w:type="dxa" w:w="1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Feature set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Model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ROC-AUC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[95% CI]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PR-AUC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[95% CI]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F1 @0.5 [95% CI]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Precision / Recall @0.5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Tuned threshold</w:t>
            </w:r>
          </w:p>
        </w:tc>
        <w:tc>
          <w:tcPr>
            <w:tcW w:type="dxa" w:w="9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F1 @tuned [95% CI]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Precision / Recall @tuned</w:t>
            </w:r>
          </w:p>
        </w:tc>
      </w:tr>
      <w:tr>
        <w:trPr>
          <w:cantSplit/>
          <w:tblHeader w:val="false"/>
        </w:trPr>
        <w:tc>
          <w:tcPr>
            <w:tcW w:type="dxa" w:w="1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(a) RFM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Logistic Regression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0.7031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[0.6890, 0.7174]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0.1602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[0.1403, 0.1829]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0.1785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[0.1655, 0.1907]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0.1092 / 0.4882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0.8485</w:t>
            </w:r>
          </w:p>
        </w:tc>
        <w:tc>
          <w:tcPr>
            <w:tcW w:type="dxa" w:w="9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0.2522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[0.2287, 0.2728]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0.2678 / 0.2382</w:t>
            </w:r>
          </w:p>
        </w:tc>
      </w:tr>
      <w:tr>
        <w:trPr>
          <w:cantSplit/>
          <w:tblHeader w:val="false"/>
        </w:trPr>
        <w:tc>
          <w:tcPr>
            <w:tcW w:type="dxa" w:w="1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(a) RFM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Decision Tree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0.6936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[0.6798, 0.7088]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0.1621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[0.1407, 0.1836]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0.1790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[0.1667, 0.1915]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0.1106 / 0.4687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0.8781</w:t>
            </w:r>
          </w:p>
        </w:tc>
        <w:tc>
          <w:tcPr>
            <w:tcW w:type="dxa" w:w="9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0.2331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[0.2109, 0.2537]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0.2796 / 0.1998</w:t>
            </w:r>
          </w:p>
        </w:tc>
      </w:tr>
      <w:tr>
        <w:trPr>
          <w:cantSplit/>
          <w:tblHeader w:val="false"/>
        </w:trPr>
        <w:tc>
          <w:tcPr>
            <w:tcW w:type="dxa" w:w="1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(a) RFM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Random Forest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0.7022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[0.6883, 0.7169]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0.1703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[0.1487, 0.1930]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0.1817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[0.1690, 0.1947]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0.1123 / 0.4765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0.8190</w:t>
            </w:r>
          </w:p>
        </w:tc>
        <w:tc>
          <w:tcPr>
            <w:tcW w:type="dxa" w:w="9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0.2347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[0.2129, 0.2544]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0.2305 / 0.2390</w:t>
            </w:r>
          </w:p>
        </w:tc>
      </w:tr>
      <w:tr>
        <w:trPr>
          <w:cantSplit/>
          <w:tblHeader w:val="false"/>
        </w:trPr>
        <w:tc>
          <w:tcPr>
            <w:tcW w:type="dxa" w:w="1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(b) RFM + behavioral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Logistic Regression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0.7783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[0.7628, 0.7912]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0.1688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[0.1484, 0.1904]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0.1538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[0.1430, 0.1626]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0.0883 / 0.5956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0.8710</w:t>
            </w:r>
          </w:p>
        </w:tc>
        <w:tc>
          <w:tcPr>
            <w:tcW w:type="dxa" w:w="9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0.2312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[0.2084, 0.2505]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0.2253 / 0.2375</w:t>
            </w:r>
          </w:p>
        </w:tc>
      </w:tr>
      <w:tr>
        <w:trPr>
          <w:cantSplit/>
          <w:tblHeader w:val="false"/>
        </w:trPr>
        <w:tc>
          <w:tcPr>
            <w:tcW w:type="dxa" w:w="1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(b) RFM + behavioral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Decision Tree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0.7766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[0.7627, 0.7902]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0.1822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[0.1606, 0.2046]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0.1235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[0.1156, 0.1308]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0.0679 / 0.6795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0.8836</w:t>
            </w:r>
          </w:p>
        </w:tc>
        <w:tc>
          <w:tcPr>
            <w:tcW w:type="dxa" w:w="9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0.2381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[0.2148, 0.2605]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0.3034 / 0.1959</w:t>
            </w:r>
          </w:p>
        </w:tc>
      </w:tr>
      <w:tr>
        <w:trPr>
          <w:cantSplit/>
          <w:tblHeader w:val="false"/>
        </w:trPr>
        <w:tc>
          <w:tcPr>
            <w:tcW w:type="dxa" w:w="1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(b) RFM + behavioral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Random Forest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0.7973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[0.7840, 0.8107]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0.2026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[0.1801, 0.2264]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0.1492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[0.1395, 0.1580]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0.0846 / 0.6348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0.8578</w:t>
            </w:r>
          </w:p>
        </w:tc>
        <w:tc>
          <w:tcPr>
            <w:tcW w:type="dxa" w:w="9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0.2445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[0.2206, 0.2691]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0.3493 / 0.1881</w:t>
            </w:r>
          </w:p>
        </w:tc>
      </w:tr>
      <w:tr>
        <w:trPr>
          <w:cantSplit/>
          <w:tblHeader w:val="false"/>
        </w:trPr>
        <w:tc>
          <w:tcPr>
            <w:tcW w:type="dxa" w:w="1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(c) RFM + behavioral + segment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Logistic Regression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0.7819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[0.7663, 0.7951]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0.1803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[0.1592, 0.2024]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0.1234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[0.1161, 0.1305]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0.0678 / 0.6889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0.8567</w:t>
            </w:r>
          </w:p>
        </w:tc>
        <w:tc>
          <w:tcPr>
            <w:tcW w:type="dxa" w:w="9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0.2430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[0.2204, 0.2629]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0.2408 / 0.2453</w:t>
            </w:r>
          </w:p>
        </w:tc>
      </w:tr>
      <w:tr>
        <w:trPr>
          <w:cantSplit/>
          <w:tblHeader w:val="false"/>
        </w:trPr>
        <w:tc>
          <w:tcPr>
            <w:tcW w:type="dxa" w:w="1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(c) RFM + behavioral + segment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Decision Tree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0.7743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[0.7588, 0.7893]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0.1830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[0.1612, 0.2055]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0.1360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[0.1272, 0.1440]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0.0758 / 0.6583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0.8836</w:t>
            </w:r>
          </w:p>
        </w:tc>
        <w:tc>
          <w:tcPr>
            <w:tcW w:type="dxa" w:w="9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0.2381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[0.2148, 0.2605]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0.3034 / 0.1959</w:t>
            </w:r>
          </w:p>
        </w:tc>
      </w:tr>
      <w:tr>
        <w:trPr>
          <w:cantSplit/>
          <w:tblHeader w:val="false"/>
        </w:trPr>
        <w:tc>
          <w:tcPr>
            <w:tcW w:type="dxa" w:w="1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(c) RFM + behavioral + segment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Random Forest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0.7955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[0.7821, 0.8090]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0.2029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[0.1805, 0.2261]</w:t>
            </w:r>
          </w:p>
        </w:tc>
        <w:tc>
          <w:tcPr>
            <w:tcW w:type="dxa" w:w="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0.1443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[0.1352, 0.1531]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0.0813 / 0.6403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0.8275</w:t>
            </w:r>
          </w:p>
        </w:tc>
        <w:tc>
          <w:tcPr>
            <w:tcW w:type="dxa" w:w="9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0.2582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[0.2327, 0.2806]</w:t>
            </w:r>
          </w:p>
        </w:tc>
        <w:tc>
          <w:tcPr>
            <w:tcW w:type="dxa" w:w="1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0.2937 / 0.2304</w:t>
            </w:r>
          </w:p>
        </w:tc>
      </w:tr>
    </w:tbl>
    <w:p>
      <w:pPr>
        <w:spacing w:before="60" w:line="240"/>
      </w:pPr>
      <w:r>
        <w:rPr>
          <w:sz w:val="20"/>
          <w:szCs w:val="20"/>
        </w:rPr>
        <w:t xml:space="preserve">Note: Test set: 51,116 users. 95% CI = percentile interval over 500 paired bootstrap resamples of test users (seed 42).</w:t>
      </w:r>
    </w:p>
    <w:p>
      <w:pPr>
        <w:spacing w:before="60" w:line="240"/>
      </w:pPr>
      <w:r>
        <w:rPr>
          <w:sz w:val="20"/>
          <w:szCs w:val="20"/>
        </w:rPr>
        <w:t xml:space="preserve">Note: Tuned threshold = threshold maximising F1 on the validation split (part of train); never chosen on test.</w:t>
      </w:r>
    </w:p>
    <w:p>
      <w:pPr>
        <w:spacing w:before="60" w:line="240"/>
      </w:pPr>
      <w:r>
        <w:rPr>
          <w:sz w:val="20"/>
          <w:szCs w:val="20"/>
        </w:rPr>
        <w:t xml:space="preserve">Note: All classifiers use class_weight='balanced'. PR-AUC = average precision.</w:t>
      </w:r>
    </w:p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5667375" cy="1924050"/>
            <wp:effectExtent t="0" r="0" b="0" l="0"/>
            <wp:docPr id="1" name="roc_curves.png" descr="Test-set ROC curves for will_purchase, one panel per classifier, one line per feature set, with ROC-AUC in the legend." title="roc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</w:rPr>
        <w:t xml:space="preserve">Figure 4. </w:t>
      </w:r>
      <w:r>
        <w:t xml:space="preserve">Test-set ROC curves for will_purchase, one panel per classifier, one line per feature set, with ROC-AUC in the legend.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Discussion of Table 2 and Figure 4, 200–300 words]</w:t>
      </w:r>
    </w:p>
    <w:p>
      <w:pPr>
        <w:pStyle w:val="Heading2"/>
      </w:pPr>
      <w:r>
        <w:t xml:space="preserve">Spend prediction: single-stage vs hurdle</w:t>
      </w:r>
    </w:p>
    <w:p>
      <w:pPr>
        <w:keepNext/>
        <w:spacing w:after="120" w:before="240"/>
      </w:pPr>
      <w:r>
        <w:rPr>
          <w:b/>
          <w:bCs/>
        </w:rPr>
        <w:t xml:space="preserve">Table 3. </w:t>
      </w:r>
      <w:r>
        <w:t xml:space="preserve">Spend prediction: single-stage vs hurdle (future_spend, Oct 25-31, test set)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8"/>
        <w:gridCol w:w="1038"/>
        <w:gridCol w:w="389"/>
        <w:gridCol w:w="2077"/>
        <w:gridCol w:w="1168"/>
        <w:gridCol w:w="1298"/>
        <w:gridCol w:w="1108"/>
      </w:tblGrid>
      <w:tr>
        <w:trPr>
          <w:cantSplit/>
          <w:tblHeader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Feature set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Evaluated on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MAE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[95% CI]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RMSE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[95% CI]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R²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[95% CI]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test users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51,116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Linear Regression (single-stage)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23.562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[22.154, 25.353]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196.533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[136.076, 280.519]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-0.1416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[-2.2154, 0.5280]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test users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51,116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 (single-stage)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21.824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[20.503, 23.402]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173.424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[133.639, 225.163]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0.1111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[-0.1272, 0.2167]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test users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51,116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 (single-stage)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21.501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[20.240, 23.050]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168.153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[130.582, 216.933]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0.1643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[-0.0956, 0.2879]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test users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51,116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Hurdle: P(buy) x E[spend | buy]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22.017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[20.652, 23.684]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175.351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[139.166, 220.363]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0.0912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[-0.3036, 0.2811]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Test buyers only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1,276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Linear Regression (single-stage)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429.291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[394.039, 472.789]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859.092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[718.420, 1,018.028]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0.3361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[-0.1315, 0.6143]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Test buyers only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1,276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 (single-stage)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455.883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[413.435, 510.967]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1,024.249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[758.115, 1,370.480]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0.0563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[-0.2508, 0.1781]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Test buyers only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1,276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 (single-stage)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440.615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[401.101, 492.743]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987.847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[734.772, 1,308.328]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0.1222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[-0.1934, 0.2630]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Test buyers only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1,276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Hurdle: P(buy) x E[spend | buy]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451.075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[410.211, 505.456]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1,009.734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[769.185, 1,304.358]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0.0829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[-0.3409, 0.2751]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test users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51,116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Linear Regression (single-stage)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23.622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[22.202, 25.416]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196.634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[135.924, 280.896]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-0.1428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[-2.2203, 0.5273]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test users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51,116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 (single-stage)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21.764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[20.463, 23.340]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174.883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[134.581, 226.225]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0.0960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[-0.1498, 0.2070]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test users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51,116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 (single-stage)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21.407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[20.140, 22.969]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169.160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[131.891, 217.242]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0.1542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[-0.1156, 0.2793]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test users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51,116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Hurdle: P(buy) x E[spend | buy]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19.271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[18.044, 20.894]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164.302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[123.945, 213.152]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0.2021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[0.0284, 0.2973]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Test buyers only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1,276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Linear Regression (single-stage)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427.176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[392.086, 470.913]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859.131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[717.551, 1,019.007]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0.3361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[-0.1314, 0.6141]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Test buyers only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1,276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 (single-stage)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457.318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[415.292, 515.181]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1,032.870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[761.504, 1,374.134]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0.0404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[-0.2803, 0.1770]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Test buyers only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1,276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 (single-stage)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442.007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[401.885, 494.213]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992.576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[740.237, 1,308.607]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0.1138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[-0.2114, 0.2556]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Test buyers only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1,276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Hurdle: P(buy) x E[spend | buy]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441.947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[401.024, 494.216]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1,001.196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[735.570, 1,324.430]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0.0983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[-0.1882, 0.2396]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test users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51,116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Linear Regression (single-stage)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23.635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[22.217, 25.430]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196.624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[135.919, 280.880]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-0.1427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[-2.2199, 0.5273]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test users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51,116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 (single-stage)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21.742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[20.444, 23.327]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174.880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[134.582, 226.228]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0.0961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[-0.1497, 0.2071]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test users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51,116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 (single-stage)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21.406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[20.137, 22.962]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169.169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[131.899, 217.246]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0.1541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[-0.1158, 0.2793]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test users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51,116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Hurdle: P(buy) x E[spend | buy]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19.296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[18.068, 20.912]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163.701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[123.839, 212.133]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0.2079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[0.0339, 0.3036]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Test buyers only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1,276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Linear Regression (single-stage)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427.175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[392.055, 470.934]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859.108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[717.543, 1,018.977]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0.3361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[-0.1315, 0.6141]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Test buyers only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1,276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 (single-stage)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457.622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[415.631, 515.492]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1,032.892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[761.592, 1,374.148]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0.0404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[-0.2799, 0.1770]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Test buyers only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1,276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 (single-stage)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441.926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[401.733, 494.133]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992.626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[740.314, 1,308.646]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0.1137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[-0.2116, 0.2555]</w:t>
            </w:r>
          </w:p>
        </w:tc>
      </w:tr>
      <w:tr>
        <w:trPr>
          <w:cantSplit/>
          <w:tblHeader w:val="false"/>
        </w:trPr>
        <w:tc>
          <w:tcPr>
            <w:tcW w:type="dxa" w:w="1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Test buyers only</w:t>
            </w:r>
          </w:p>
        </w:tc>
        <w:tc>
          <w:tcPr>
            <w:tcW w:type="dxa" w:w="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1,276</w:t>
            </w:r>
          </w:p>
        </w:tc>
        <w:tc>
          <w:tcPr>
            <w:tcW w:type="dxa" w:w="20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Hurdle: P(buy) x E[spend | buy]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441.845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[400.818, 493.732]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997.511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[734.765, 1,316.492]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0.1050</w:t>
            </w:r>
          </w:p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[-0.1861, 0.2474]</w:t>
            </w:r>
          </w:p>
        </w:tc>
      </w:tr>
    </w:tbl>
    <w:p>
      <w:pPr>
        <w:spacing w:before="60" w:line="240"/>
      </w:pPr>
      <w:r>
        <w:rPr>
          <w:sz w:val="20"/>
          <w:szCs w:val="20"/>
        </w:rPr>
        <w:t xml:space="preserve">Note: Hurdle stage 1 = classifier with the highest validation ROC-AUC per feature set ((a) RFM: Logistic Regression, (b) RFM + behavioral: Random Forest, (c) RFM + behavioral + segment: Random Forest), probabilities prior-corrected for class_weight='balanced'.</w:t>
      </w:r>
    </w:p>
    <w:p>
      <w:pPr>
        <w:spacing w:before="60" w:line="240"/>
      </w:pPr>
      <w:r>
        <w:rPr>
          <w:sz w:val="20"/>
          <w:szCs w:val="20"/>
        </w:rPr>
        <w:t xml:space="preserve">Note: Hurdle stage 2 = Random Forest regressor trained on 5,103 train users with future_spend &gt; 0.</w:t>
      </w:r>
    </w:p>
    <w:p>
      <w:pPr>
        <w:spacing w:before="60" w:line="240"/>
      </w:pPr>
      <w:r>
        <w:rPr>
          <w:sz w:val="20"/>
          <w:szCs w:val="20"/>
        </w:rPr>
        <w:t xml:space="preserve">Note: 95% CI = percentile interval over 500 bootstrap resamples of test users; the buyers-only intervals use the buyers inside each resample.</w:t>
      </w:r>
    </w:p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5667375" cy="1924050"/>
            <wp:effectExtent t="0" r="0" b="0" l="0"/>
            <wp:docPr id="1" name="actual_vs_predicted.png" descr="Actual vs predicted Oct 25-31 spend for test users (symlog axes), feature set (c) RFM + behavioral + segment: Linear Regression, Random Forest and hurdle model." title="actual_vs_predic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</w:rPr>
        <w:t xml:space="preserve">Figure 5. </w:t>
      </w:r>
      <w:r>
        <w:t xml:space="preserve">Actual vs predicted Oct 25-31 spend for test users (symlog axes), feature set (c) RFM + behavioral + segment: Linear Regression, Random Forest and hurdle model.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Discussion of Table 3 and Figure 5, 200–300 words]</w:t>
      </w:r>
    </w:p>
    <w:p>
      <w:pPr>
        <w:pStyle w:val="Heading2"/>
      </w:pPr>
      <w:r>
        <w:t xml:space="preserve">Leakage audit</w:t>
      </w:r>
    </w:p>
    <w:p>
      <w:pPr>
        <w:keepNext/>
        <w:spacing w:after="120" w:before="240"/>
      </w:pPr>
      <w:r>
        <w:rPr>
          <w:b/>
          <w:bCs/>
        </w:rPr>
        <w:t xml:space="preserve">Table 4. </w:t>
      </w:r>
      <w:r>
        <w:t xml:space="preserve">Leakage audit: honest vs deliberately leaky features (test set)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9"/>
        <w:gridCol w:w="1842"/>
        <w:gridCol w:w="1166"/>
        <w:gridCol w:w="429"/>
        <w:gridCol w:w="1596"/>
        <w:gridCol w:w="1535"/>
        <w:gridCol w:w="1599"/>
      </w:tblGrid>
      <w:tr>
        <w:trPr>
          <w:cantSplit/>
          <w:tblHeader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Task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Feature set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Metric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Honest (features Oct 1-24)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Leaky (features Oct 1-31)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Inflation (leaky - honest)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 Regression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ROC-AUC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0.7031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+0.2969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 Regression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PR-AUC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0.1602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+0.8398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 Regression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F1 @0.5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0.1785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0.9101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+0.7317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ROC-AUC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0.6936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+0.3064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PR-AUC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0.1621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+0.8379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F1 @0.5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0.1790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+0.8210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ROC-AUC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0.7022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+0.2978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PR-AUC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0.1703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+0.8297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F1 @0.5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0.1817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+0.8183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Linear Regression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R²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-0.1416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-0.0368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+0.1048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Linear Regression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RMSE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196.533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187.295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-9.239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Linear Regression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MAE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23.562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19.706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-3.857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R²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0.1111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0.4421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+0.3310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RMSE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173.424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137.390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-36.033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MAE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21.824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6.678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-15.146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R²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0.1643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0.5387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+0.3744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RMSE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168.153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124.935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-43.217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(a) RFM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MAE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21.501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6.222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-15.279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 Regression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ROC-AUC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0.7783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+0.2217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 Regression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PR-AUC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0.1688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0.9999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+0.8311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 Regression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F1 @0.5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0.1538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0.9088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+0.7551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ROC-AUC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0.7766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+0.2234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PR-AUC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0.1822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+0.8178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F1 @0.5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0.1235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+0.8765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ROC-AUC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0.7973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+0.2027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PR-AUC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0.2026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+0.7974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F1 @0.5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0.1492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+0.8508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Linear Regression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R²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-0.1428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-0.0424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+0.1004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Linear Regression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RMSE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196.634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187.795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-8.839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Linear Regression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MAE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23.622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21.072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-2.550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R²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0.0960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0.4369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+0.3409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RMSE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174.883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138.022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-36.861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MAE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21.764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6.723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-15.041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R²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0.1542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0.5368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+0.3825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RMSE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169.160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125.192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-43.968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(b) RFM + behavioral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MAE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21.407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6.279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-15.128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 Regression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ROC-AUC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0.7819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+0.2181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 Regression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PR-AUC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0.1803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0.9999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+0.8196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 Regression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F1 @0.5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0.1234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0.9092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+0.7858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ROC-AUC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0.7743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+0.2257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PR-AUC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0.1830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+0.8170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F1 @0.5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0.1360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+0.8640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ROC-AUC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0.7955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+0.2045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PR-AUC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0.2029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+0.7971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F1 @0.5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0.1443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+0.8557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Linear Regression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R²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-0.1427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-0.0413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+0.1014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Linear Regression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RMSE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196.624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187.700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-8.924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Linear Regression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MAE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23.635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21.187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-2.447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R²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0.0961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0.4369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+0.3409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RMSE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174.880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138.022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-36.858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Tree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MAE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21.742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6.723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-15.019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R²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0.1541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0.5368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+0.3826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RMSE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169.169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125.191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-43.978</w:t>
            </w:r>
          </w:p>
        </w:tc>
      </w:tr>
      <w:tr>
        <w:trPr>
          <w:cantSplit/>
          <w:tblHeader w:val="false"/>
        </w:trPr>
        <w:tc>
          <w:tcPr>
            <w:tcW w:type="dxa" w:w="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Regression</w:t>
            </w:r>
          </w:p>
        </w:tc>
        <w:tc>
          <w:tcPr>
            <w:tcW w:type="dxa" w:w="18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(c) RFM + behavioral + segment</w:t>
            </w:r>
          </w:p>
        </w:tc>
        <w:tc>
          <w:tcPr>
            <w:tcW w:type="dxa" w:w="1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MAE</w:t>
            </w:r>
          </w:p>
        </w:tc>
        <w:tc>
          <w:tcPr>
            <w:tcW w:type="dxa" w:w="1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21.406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6.279</w:t>
            </w:r>
          </w:p>
        </w:tc>
        <w:tc>
          <w:tcPr>
            <w:tcW w:type="dxa" w:w="1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-15.127</w:t>
            </w:r>
          </w:p>
        </w:tc>
      </w:tr>
    </w:tbl>
    <w:p>
      <w:pPr>
        <w:spacing w:before="60" w:line="240"/>
      </w:pPr>
      <w:r>
        <w:rPr>
          <w:sz w:val="20"/>
          <w:szCs w:val="20"/>
        </w:rPr>
        <w:t xml:space="preserve">Note: LEAKY setup is deliberately flawed and used only for comparison: features are rebuilt from Oct 1-31, which overlaps the Oct 25-31 target window. Same users, targets, split, models and K-means K.</w:t>
      </w:r>
    </w:p>
    <w:p>
      <w:pPr>
        <w:spacing w:before="60" w:line="240"/>
      </w:pPr>
      <w:r>
        <w:rPr>
          <w:sz w:val="20"/>
          <w:szCs w:val="20"/>
        </w:rPr>
        <w:t xml:space="preserve">Note: For RMSE and MAE a negative inflation means the leaky model looks better.</w:t>
      </w:r>
    </w:p>
    <w:p>
      <w:pPr>
        <w:spacing w:after="120"/>
      </w:pP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Discussion of Table 4, 150–200 words]</w:t>
      </w:r>
    </w:p>
    <w:p>
      <w:pPr>
        <w:pStyle w:val="Heading2"/>
      </w:pPr>
      <w:r>
        <w:t xml:space="preserve">Customer segments</w:t>
      </w:r>
    </w:p>
    <w:p>
      <w:pPr>
        <w:keepNext/>
        <w:spacing w:after="120" w:before="240"/>
      </w:pPr>
      <w:r>
        <w:rPr>
          <w:b/>
          <w:bCs/>
        </w:rPr>
        <w:t xml:space="preserve">Table 5. </w:t>
      </w:r>
      <w:r>
        <w:t xml:space="preserve">Segment profiles (K-means, K=3; means over all population users)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2"/>
        <w:gridCol w:w="1906"/>
        <w:gridCol w:w="2034"/>
        <w:gridCol w:w="1654"/>
      </w:tblGrid>
      <w:tr>
        <w:trPr>
          <w:cantSplit/>
          <w:tblHeader/>
        </w:trPr>
        <w:tc>
          <w:tcPr>
            <w:tcW w:type="dxa" w:w="3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Segment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Casual visitors</w:t>
            </w:r>
          </w:p>
        </w:tc>
        <w:tc>
          <w:tcPr>
            <w:tcW w:type="dxa" w:w="2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Engaged browsers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Recent buyers</w:t>
            </w:r>
          </w:p>
        </w:tc>
      </w:tr>
      <w:tr>
        <w:trPr>
          <w:cantSplit/>
          <w:tblHeader w:val="false"/>
        </w:trPr>
        <w:tc>
          <w:tcPr>
            <w:tcW w:type="dxa" w:w="3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Users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163,717</w:t>
            </w:r>
          </w:p>
        </w:tc>
        <w:tc>
          <w:tcPr>
            <w:tcW w:type="dxa" w:w="2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63,493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28,367</w:t>
            </w:r>
          </w:p>
        </w:tc>
      </w:tr>
      <w:tr>
        <w:trPr>
          <w:cantSplit/>
          <w:tblHeader w:val="false"/>
        </w:trPr>
        <w:tc>
          <w:tcPr>
            <w:tcW w:type="dxa" w:w="3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Share of users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0.6406</w:t>
            </w:r>
          </w:p>
        </w:tc>
        <w:tc>
          <w:tcPr>
            <w:tcW w:type="dxa" w:w="2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0.2484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0.1110</w:t>
            </w:r>
          </w:p>
        </w:tc>
      </w:tr>
      <w:tr>
        <w:trPr>
          <w:cantSplit/>
          <w:tblHeader w:val="false"/>
        </w:trPr>
        <w:tc>
          <w:tcPr>
            <w:tcW w:type="dxa" w:w="3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Train users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130,792</w:t>
            </w:r>
          </w:p>
        </w:tc>
        <w:tc>
          <w:tcPr>
            <w:tcW w:type="dxa" w:w="2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50,967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22,702</w:t>
            </w:r>
          </w:p>
        </w:tc>
      </w:tr>
      <w:tr>
        <w:trPr>
          <w:cantSplit/>
          <w:tblHeader w:val="false"/>
        </w:trPr>
        <w:tc>
          <w:tcPr>
            <w:tcW w:type="dxa" w:w="3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Purchased Oct 1-24 (share)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0.0012</w:t>
            </w:r>
          </w:p>
        </w:tc>
        <w:tc>
          <w:tcPr>
            <w:tcW w:type="dxa" w:w="2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0.0002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0.9988</w:t>
            </w:r>
          </w:p>
        </w:tc>
      </w:tr>
      <w:tr>
        <w:trPr>
          <w:cantSplit/>
          <w:tblHeader w:val="false"/>
        </w:trPr>
        <w:tc>
          <w:tcPr>
            <w:tcW w:type="dxa" w:w="3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Mean monetary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0.053</w:t>
            </w:r>
          </w:p>
        </w:tc>
        <w:tc>
          <w:tcPr>
            <w:tcW w:type="dxa" w:w="2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654.002</w:t>
            </w:r>
          </w:p>
        </w:tc>
      </w:tr>
      <w:tr>
        <w:trPr>
          <w:cantSplit/>
          <w:tblHeader w:val="false"/>
        </w:trPr>
        <w:tc>
          <w:tcPr>
            <w:tcW w:type="dxa" w:w="3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Mean frequency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2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2.057</w:t>
            </w:r>
          </w:p>
        </w:tc>
      </w:tr>
      <w:tr>
        <w:trPr>
          <w:cantSplit/>
          <w:tblHeader w:val="false"/>
        </w:trPr>
        <w:tc>
          <w:tcPr>
            <w:tcW w:type="dxa" w:w="3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Mean recency (days)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59.950</w:t>
            </w:r>
          </w:p>
        </w:tc>
        <w:tc>
          <w:tcPr>
            <w:tcW w:type="dxa" w:w="2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59.994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10.561</w:t>
            </w:r>
          </w:p>
        </w:tc>
      </w:tr>
      <w:tr>
        <w:trPr>
          <w:cantSplit/>
          <w:tblHeader w:val="false"/>
        </w:trPr>
        <w:tc>
          <w:tcPr>
            <w:tcW w:type="dxa" w:w="3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Mean sessions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1.341</w:t>
            </w:r>
          </w:p>
        </w:tc>
        <w:tc>
          <w:tcPr>
            <w:tcW w:type="dxa" w:w="2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4.989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6.474</w:t>
            </w:r>
          </w:p>
        </w:tc>
      </w:tr>
      <w:tr>
        <w:trPr>
          <w:cantSplit/>
          <w:tblHeader w:val="false"/>
        </w:trPr>
        <w:tc>
          <w:tcPr>
            <w:tcW w:type="dxa" w:w="3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Mean product views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3.295</w:t>
            </w:r>
          </w:p>
        </w:tc>
        <w:tc>
          <w:tcPr>
            <w:tcW w:type="dxa" w:w="2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26.708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33.330</w:t>
            </w:r>
          </w:p>
        </w:tc>
      </w:tr>
      <w:tr>
        <w:trPr>
          <w:cantSplit/>
          <w:tblHeader w:val="false"/>
        </w:trPr>
        <w:tc>
          <w:tcPr>
            <w:tcW w:type="dxa" w:w="3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Mean add-to-cart events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0.033</w:t>
            </w:r>
          </w:p>
        </w:tc>
        <w:tc>
          <w:tcPr>
            <w:tcW w:type="dxa" w:w="2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0.225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1.968</w:t>
            </w:r>
          </w:p>
        </w:tc>
      </w:tr>
      <w:tr>
        <w:trPr>
          <w:cantSplit/>
          <w:tblHeader w:val="false"/>
        </w:trPr>
        <w:tc>
          <w:tcPr>
            <w:tcW w:type="dxa" w:w="3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Mean days active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1.163</w:t>
            </w:r>
          </w:p>
        </w:tc>
        <w:tc>
          <w:tcPr>
            <w:tcW w:type="dxa" w:w="2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3.358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3.580</w:t>
            </w:r>
          </w:p>
        </w:tc>
      </w:tr>
      <w:tr>
        <w:trPr>
          <w:cantSplit/>
          <w:tblHeader w:val="false"/>
        </w:trPr>
        <w:tc>
          <w:tcPr>
            <w:tcW w:type="dxa" w:w="3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Mean session duration (min)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2.388</w:t>
            </w:r>
          </w:p>
        </w:tc>
        <w:tc>
          <w:tcPr>
            <w:tcW w:type="dxa" w:w="2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71.536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9.443</w:t>
            </w:r>
          </w:p>
        </w:tc>
      </w:tr>
      <w:tr>
        <w:trPr>
          <w:cantSplit/>
          <w:tblHeader w:val="false"/>
        </w:trPr>
        <w:tc>
          <w:tcPr>
            <w:tcW w:type="dxa" w:w="3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Mean categories viewed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1.293</w:t>
            </w:r>
          </w:p>
        </w:tc>
        <w:tc>
          <w:tcPr>
            <w:tcW w:type="dxa" w:w="2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4.649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4.149</w:t>
            </w:r>
          </w:p>
        </w:tc>
      </w:tr>
      <w:tr>
        <w:trPr>
          <w:cantSplit/>
          <w:tblHeader w:val="false"/>
        </w:trPr>
        <w:tc>
          <w:tcPr>
            <w:tcW w:type="dxa" w:w="3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Mean days since last event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11.224</w:t>
            </w:r>
          </w:p>
        </w:tc>
        <w:tc>
          <w:tcPr>
            <w:tcW w:type="dxa" w:w="2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6.302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7.672</w:t>
            </w:r>
          </w:p>
        </w:tc>
      </w:tr>
      <w:tr>
        <w:trPr>
          <w:cantSplit/>
          <w:tblHeader w:val="false"/>
        </w:trPr>
        <w:tc>
          <w:tcPr>
            <w:tcW w:type="dxa" w:w="3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Mean cart-to-view ratio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</w:t>
            </w:r>
          </w:p>
        </w:tc>
        <w:tc>
          <w:tcPr>
            <w:tcW w:type="dxa" w:w="2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0.160</w:t>
            </w:r>
          </w:p>
        </w:tc>
      </w:tr>
      <w:tr>
        <w:trPr>
          <w:cantSplit/>
          <w:tblHeader w:val="false"/>
        </w:trPr>
        <w:tc>
          <w:tcPr>
            <w:tcW w:type="dxa" w:w="3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Mean purchase-to-cart ratio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2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0.596</w:t>
            </w:r>
          </w:p>
        </w:tc>
      </w:tr>
      <w:tr>
        <w:trPr>
          <w:cantSplit/>
          <w:tblHeader w:val="false"/>
        </w:trPr>
        <w:tc>
          <w:tcPr>
            <w:tcW w:type="dxa" w:w="3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Oct 25-31 purchase rate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0.0088</w:t>
            </w:r>
          </w:p>
        </w:tc>
        <w:tc>
          <w:tcPr>
            <w:tcW w:type="dxa" w:w="2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0.0280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0.1117</w:t>
            </w:r>
          </w:p>
        </w:tc>
      </w:tr>
      <w:tr>
        <w:trPr>
          <w:cantSplit/>
          <w:tblHeader w:val="false"/>
        </w:trPr>
        <w:tc>
          <w:tcPr>
            <w:tcW w:type="dxa" w:w="3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Oct 25-31 mean spend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3.524</w:t>
            </w:r>
          </w:p>
        </w:tc>
        <w:tc>
          <w:tcPr>
            <w:tcW w:type="dxa" w:w="2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9.625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77.963</w:t>
            </w:r>
          </w:p>
        </w:tc>
      </w:tr>
    </w:tbl>
    <w:p>
      <w:pPr>
        <w:spacing w:before="60" w:line="240"/>
      </w:pPr>
      <w:r>
        <w:rPr>
          <w:sz w:val="20"/>
          <w:szCs w:val="20"/>
        </w:rPr>
        <w:t xml:space="preserve">Note: Features are from Oct 1-24. The two Oct 25-31 columns are descriptive only and were not used for clustering or naming.</w:t>
      </w:r>
    </w:p>
    <w:p>
      <w:pPr>
        <w:spacing w:before="60" w:line="240"/>
      </w:pPr>
      <w:r>
        <w:rPr>
          <w:sz w:val="20"/>
          <w:szCs w:val="20"/>
        </w:rPr>
        <w:t xml:space="preserve">Note: Naming rule and the numbers behind each name: outputs/report/cluster_naming.md.</w:t>
      </w:r>
    </w:p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5667375" cy="2781300"/>
            <wp:effectExtent t="0" r="0" b="0" l="0"/>
            <wp:docPr id="1" name="cluster_profiles.png" descr="Mean of eight Oct 1-24 features per segment (K=3), one panel per feature." title="cluster_prof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</w:rPr>
        <w:t xml:space="preserve">Figure 6. </w:t>
      </w:r>
      <w:r>
        <w:t xml:space="preserve">Mean of eight Oct 1-24 features per segment (K=3), one panel per feature.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Discussion of Table 5 and Figure 6, 150–250 words]</w:t>
      </w:r>
    </w:p>
    <w:p>
      <w:pPr>
        <w:pStyle w:val="Heading2"/>
      </w:pPr>
      <w:r>
        <w:t xml:space="preserve">Explainability</w:t>
      </w:r>
    </w:p>
    <w:p>
      <w:pPr>
        <w:keepNext/>
        <w:spacing w:after="120" w:before="240"/>
      </w:pPr>
      <w:r>
        <w:rPr>
          <w:b/>
          <w:bCs/>
        </w:rPr>
        <w:t xml:space="preserve">Table 6. </w:t>
      </w:r>
      <w:r>
        <w:t xml:space="preserve">Top SHAP features, overall (top 10) and per segment (top 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9"/>
        <w:gridCol w:w="1822"/>
        <w:gridCol w:w="607"/>
        <w:gridCol w:w="520"/>
        <w:gridCol w:w="2950"/>
        <w:gridCol w:w="958"/>
      </w:tblGrid>
      <w:tr>
        <w:trPr>
          <w:cantSplit/>
          <w:tblHeader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Scope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Ranking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 users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Rank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Feature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Mean |SHAP|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Overall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Days since last event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0.0528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Overall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Recency (days since last purchase)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0.0428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Overall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Casual visitors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0.0395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Overall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Monetary (total purchase value)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0.0311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Overall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Avg session duration (min)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0.0305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Overall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Frequency (purchases)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0.0226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Overall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Has purchased (0/1)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0.0214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Overall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 views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0.0194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Overall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Days active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0.0174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Overall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Engaged browsers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0.0149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Casual visitors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Days since last event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0.0483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Casual visitors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Recency (days since last purchase)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0.0430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Casual visitors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Casual visitors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0.0387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Casual visitors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Avg session duration (min)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0.0345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Casual visitors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Monetary (total purchase value)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0.0306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Casual visitors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excluding seg dummies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Days since last event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0.0483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Casual visitors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excluding seg dummies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Recency (days since last purchase)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0.0430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Casual visitors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excluding seg dummies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Avg session duration (min)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0.0345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Casual visitors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excluding seg dummies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Monetary (total purchase value)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0.0306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Casual visitors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excluding seg dummies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Frequency (purchases)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0.0220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Engaged browsers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Days since last event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0.0618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Engaged browsers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Casual visitors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0.0433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Engaged browsers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Recency (days since last purchase)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0.0395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Engaged browsers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Monetary (total purchase value)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0.0252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Engaged browsers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Engaged browsers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0.0229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Engaged browsers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excluding seg dummies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Days since last event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0.0618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Engaged browsers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excluding seg dummies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Recency (days since last purchase)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0.0395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Engaged browsers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excluding seg dummies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Monetary (total purchase value)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0.0252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Engaged browsers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excluding seg dummies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Frequency (purchases)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0.0200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Engaged browsers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excluding seg dummies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Days active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0.0185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Recent buyers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Days since last event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0.0605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Recent buyers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Recency (days since last purchase)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0.0517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Recent buyers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Monetary (total purchase value)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0.0469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Recent buyers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Has purchased (0/1)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0.0427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Recent buyers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features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Casual visitors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0.0337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Recent buyers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excluding seg dummies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Days since last event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0.0605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Recent buyers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excluding seg dummies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Recency (days since last purchase)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0.0517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Recent buyers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excluding seg dummies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Monetary (total purchase value)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0.0469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Recent buyers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excluding seg dummies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Has purchased (0/1)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0.0427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Segment: Recent buyers</w:t>
            </w:r>
          </w:p>
        </w:tc>
        <w:tc>
          <w:tcPr>
            <w:tcW w:type="dxa" w:w="1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excluding seg dummies</w:t>
            </w:r>
          </w:p>
        </w:tc>
        <w:tc>
          <w:tcPr>
            <w:tcW w:type="dxa" w:w="6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Frequency (purchases)</w:t>
            </w:r>
          </w:p>
        </w:tc>
        <w:tc>
          <w:tcPr>
            <w:tcW w:type="dxa" w:w="9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0.0328</w:t>
            </w:r>
          </w:p>
        </w:tc>
      </w:tr>
    </w:tbl>
    <w:p>
      <w:pPr>
        <w:spacing w:before="60" w:line="240"/>
      </w:pPr>
      <w:r>
        <w:rPr>
          <w:sz w:val="20"/>
          <w:szCs w:val="20"/>
        </w:rPr>
        <w:t xml:space="preserve">Note: Model: Random Forest classifier for will_purchase on (c) RFM + behavioral + segment (highest validation ROC-AUC among Random Forest classifiers). TreeExplainer, positive class.</w:t>
      </w:r>
    </w:p>
    <w:p>
      <w:pPr>
        <w:spacing w:before="60" w:line="240"/>
      </w:pPr>
      <w:r>
        <w:rPr>
          <w:sz w:val="20"/>
          <w:szCs w:val="20"/>
        </w:rPr>
        <w:t xml:space="preserve">Note: Segment indicators are constant within a segment, so their per-segment SHAP reflects the gap to the overall baseline; the 'excluding seg dummies' ranking leaves them out.</w:t>
      </w:r>
    </w:p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4476750" cy="4114800"/>
            <wp:effectExtent t="0" r="0" b="0" l="0"/>
            <wp:docPr id="1" name="shap_summary.png" descr="SHAP beeswarm for the Random Forest classifier ((c) RFM + behavioral + segment) on 2,000 random test users; colour = feature value." title="shap_summ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</w:rPr>
        <w:t xml:space="preserve">Figure 7. </w:t>
      </w:r>
      <w:r>
        <w:t xml:space="preserve">SHAP beeswarm for the Random Forest classifier ((c) RFM + behavioral + segment) on 2,000 random test users; colour = feature value.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476750" cy="3390900"/>
            <wp:effectExtent t="0" r="0" b="0" l="0"/>
            <wp:docPr id="1" name="rf_feature_importance.png" descr="Impurity-based feature importance of the Random Forest classifier, (c) RFM + behavioral + segment." title="rf_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</w:rPr>
        <w:t xml:space="preserve">Figure 8. </w:t>
      </w:r>
      <w:r>
        <w:t xml:space="preserve">Impurity-based feature importance of the Random Forest classifier, (c) RFM + behavioral + segment.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562350" cy="3352800"/>
            <wp:effectExtent t="0" r="0" b="0" l="0"/>
            <wp:docPr id="1" name="shap_summary_segment_casual_visitors.png" descr="SHAP beeswarm for the same model on up to 1,000 test users in segment 'Casual visitors'." title="shap_summary_segment_casual_visito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</w:rPr>
        <w:t xml:space="preserve">Figure 9. </w:t>
      </w:r>
      <w:r>
        <w:t xml:space="preserve">SHAP beeswarm for the same model on up to 1,000 test users in segment 'Casual visitors'.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562350" cy="3352800"/>
            <wp:effectExtent t="0" r="0" b="0" l="0"/>
            <wp:docPr id="1" name="shap_summary_segment_engaged_browsers.png" descr="SHAP beeswarm for the same model on up to 1,000 test users in segment 'Engaged browsers'." title="shap_summary_segment_engaged_brows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</w:rPr>
        <w:t xml:space="preserve">Figure 10. </w:t>
      </w:r>
      <w:r>
        <w:t xml:space="preserve">SHAP beeswarm for the same model on up to 1,000 test users in segment 'Engaged browsers'.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562350" cy="3352800"/>
            <wp:effectExtent t="0" r="0" b="0" l="0"/>
            <wp:docPr id="1" name="shap_summary_segment_recent_buyers.png" descr="SHAP beeswarm for the same model on up to 1,000 test users in segment 'Recent buyers'." title="shap_summary_segment_recent_buy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</w:rPr>
        <w:t xml:space="preserve">Figure 11. </w:t>
      </w:r>
      <w:r>
        <w:t xml:space="preserve">SHAP beeswarm for the same model on up to 1,000 test users in segment 'Recent buyers'.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Discussion of Table 6 and Figures 7–11, 250–350 words]</w:t>
      </w:r>
    </w:p>
    <w:p>
      <w:pPr>
        <w:pStyle w:val="Heading2"/>
      </w:pPr>
      <w:r>
        <w:t xml:space="preserve">Discussion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Overall discussion, limitations and threats to validity, 300–500 words]</w:t>
      </w:r>
    </w:p>
    <w:p>
      <w:pPr>
        <w:pStyle w:val="Heading1"/>
      </w:pPr>
      <w:r>
        <w:t xml:space="preserve">Conclusion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Conclusion, 250–400 words]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[WRITE: Future work, 100–150 words]</w:t>
      </w:r>
    </w:p>
    <w:p>
      <w:pPr>
        <w:pStyle w:val="Heading1"/>
      </w:pPr>
      <w:r>
        <w:t xml:space="preserve">References</w:t>
      </w:r>
    </w:p>
    <w:p>
      <w:pPr>
        <w:spacing w:after="120"/>
      </w:pPr>
      <w:r>
        <w:rPr>
          <w:i/>
          <w:iCs/>
          <w:highlight w:val="yellow"/>
          <w:highlightCs w:val="yellow"/>
        </w:rPr>
        <w:t xml:space="preserve">[ADD: 15–25 references in the required citation style]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 w:lin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 w:line="3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8163c9f611673c046da5f1ba611259325c17933.png"/><Relationship Id="rId9" Type="http://schemas.openxmlformats.org/officeDocument/2006/relationships/image" Target="media/d074fc4cecefe7d411252ebec0f6ff36f014781c.png"/><Relationship Id="rId10" Type="http://schemas.openxmlformats.org/officeDocument/2006/relationships/image" Target="media/5382b8e837047af812d8bcb354c167809f5bd5e9.png"/><Relationship Id="rId11" Type="http://schemas.openxmlformats.org/officeDocument/2006/relationships/image" Target="media/f0eddeb0f606b4337898d5b146e2a4c5cf83a491.png"/><Relationship Id="rId12" Type="http://schemas.openxmlformats.org/officeDocument/2006/relationships/image" Target="media/05bdbf0febd1f9c071f2633fb2e4998a6a4c8dd6.png"/><Relationship Id="rId13" Type="http://schemas.openxmlformats.org/officeDocument/2006/relationships/image" Target="media/ac14ec8e537c312d1dbfcacde0501153686d67c4.png"/><Relationship Id="rId14" Type="http://schemas.openxmlformats.org/officeDocument/2006/relationships/image" Target="media/83d171b6f16368a57b553c97789d8a59862357ca.png"/><Relationship Id="rId15" Type="http://schemas.openxmlformats.org/officeDocument/2006/relationships/image" Target="media/3874c94e597b01e2f06299b8315dd3cbbb5365ec.png"/><Relationship Id="rId16" Type="http://schemas.openxmlformats.org/officeDocument/2006/relationships/image" Target="media/902027abcf01fa33a63d080b90abaa3bf3e9dc5f.png"/><Relationship Id="rId17" Type="http://schemas.openxmlformats.org/officeDocument/2006/relationships/image" Target="media/b333a2a8ae85a0b286683fd8325bcd7316f9217b.png"/><Relationship Id="rId18" Type="http://schemas.openxmlformats.org/officeDocument/2006/relationships/image" Target="media/2ddf71a86cba8f9ab76915ffed68461f50d677f1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template</dc:title>
  <dc:creator>pipeline</dc:creator>
  <cp:lastModifiedBy>Un-named</cp:lastModifiedBy>
  <cp:revision>1</cp:revision>
  <dcterms:created xsi:type="dcterms:W3CDTF">2026-09-23T20:01:51.809Z</dcterms:created>
  <dcterms:modified xsi:type="dcterms:W3CDTF">2026-09-23T20:01:51.809Z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