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9B302">
      <w:pPr>
        <w:jc w:val="center"/>
      </w:pPr>
      <w:bookmarkStart w:id="0" w:name="_GoBack"/>
      <w:bookmarkEnd w:id="0"/>
      <w:r>
        <w:rPr>
          <w:b/>
          <w:sz w:val="36"/>
        </w:rPr>
        <w:t>Financial Statement Analysis</w:t>
      </w:r>
    </w:p>
    <w:p w14:paraId="3263F9F5">
      <w:pPr>
        <w:jc w:val="center"/>
      </w:pPr>
      <w:r>
        <w:rPr>
          <w:b/>
          <w:sz w:val="26"/>
        </w:rPr>
        <w:t>Infosys Limited – FY2025–26</w:t>
      </w:r>
    </w:p>
    <w:p w14:paraId="73CAE95A">
      <w:pPr>
        <w:jc w:val="center"/>
      </w:pPr>
      <w:r>
        <w:rPr>
          <w:i/>
        </w:rPr>
        <w:t>Week 2 – FinTech Domain &amp; Software Development Fundamentals</w:t>
      </w:r>
    </w:p>
    <w:p w14:paraId="11AF3E51">
      <w:pPr>
        <w:pStyle w:val="2"/>
      </w:pPr>
      <w:r>
        <w:t>1. Company Overview</w:t>
      </w:r>
    </w:p>
    <w:p w14:paraId="39F44311">
      <w:r>
        <w:t>Infosys Limited is a major Indian IT services company providing technology, consulting and digital services worldwide. This analysis uses consolidated financial information for FY2025–26, with comparisons against FY2024–25 and FY2023–24 where relevant.</w:t>
      </w:r>
    </w:p>
    <w:p w14:paraId="776284B3">
      <w:pPr>
        <w:pStyle w:val="2"/>
      </w:pPr>
      <w:r>
        <w:t>2. Profit &amp; Loss Analysis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14BB1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84" w:type="dxa"/>
          </w:tcPr>
          <w:p w14:paraId="04480247">
            <w:pPr>
              <w:spacing w:after="0" w:line="240" w:lineRule="auto"/>
            </w:pPr>
            <w:r>
              <w:t>Particular</w:t>
            </w:r>
          </w:p>
        </w:tc>
        <w:tc>
          <w:tcPr>
            <w:tcW w:w="2484" w:type="dxa"/>
          </w:tcPr>
          <w:p w14:paraId="03B69331">
            <w:pPr>
              <w:spacing w:after="0" w:line="240" w:lineRule="auto"/>
            </w:pPr>
            <w:r>
              <w:t>FY2024</w:t>
            </w:r>
          </w:p>
        </w:tc>
        <w:tc>
          <w:tcPr>
            <w:tcW w:w="2484" w:type="dxa"/>
          </w:tcPr>
          <w:p w14:paraId="5239612C">
            <w:pPr>
              <w:spacing w:after="0" w:line="240" w:lineRule="auto"/>
            </w:pPr>
            <w:r>
              <w:t>FY2025</w:t>
            </w:r>
          </w:p>
        </w:tc>
        <w:tc>
          <w:tcPr>
            <w:tcW w:w="2484" w:type="dxa"/>
          </w:tcPr>
          <w:p w14:paraId="5517731F">
            <w:pPr>
              <w:spacing w:after="0" w:line="240" w:lineRule="auto"/>
            </w:pPr>
            <w:r>
              <w:t>FY2026</w:t>
            </w:r>
          </w:p>
        </w:tc>
      </w:tr>
      <w:tr w14:paraId="4807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F6DB671">
            <w:pPr>
              <w:spacing w:after="0" w:line="240" w:lineRule="auto"/>
            </w:pPr>
            <w:r>
              <w:t>Revenue (₹ crore)</w:t>
            </w:r>
          </w:p>
        </w:tc>
        <w:tc>
          <w:tcPr>
            <w:tcW w:w="2484" w:type="dxa"/>
          </w:tcPr>
          <w:p w14:paraId="3E9AA265">
            <w:pPr>
              <w:spacing w:after="0" w:line="240" w:lineRule="auto"/>
            </w:pPr>
            <w:r>
              <w:t>153,670</w:t>
            </w:r>
          </w:p>
        </w:tc>
        <w:tc>
          <w:tcPr>
            <w:tcW w:w="2484" w:type="dxa"/>
          </w:tcPr>
          <w:p w14:paraId="0B3475FA">
            <w:pPr>
              <w:spacing w:after="0" w:line="240" w:lineRule="auto"/>
            </w:pPr>
            <w:r>
              <w:t>162,990</w:t>
            </w:r>
          </w:p>
        </w:tc>
        <w:tc>
          <w:tcPr>
            <w:tcW w:w="2484" w:type="dxa"/>
          </w:tcPr>
          <w:p w14:paraId="5441D26C">
            <w:pPr>
              <w:spacing w:after="0" w:line="240" w:lineRule="auto"/>
            </w:pPr>
            <w:r>
              <w:t>178,650</w:t>
            </w:r>
          </w:p>
        </w:tc>
      </w:tr>
      <w:tr w14:paraId="1D4BA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67CA72B">
            <w:pPr>
              <w:spacing w:after="0" w:line="240" w:lineRule="auto"/>
            </w:pPr>
            <w:r>
              <w:t>Operating Profit (₹ crore)</w:t>
            </w:r>
          </w:p>
        </w:tc>
        <w:tc>
          <w:tcPr>
            <w:tcW w:w="2484" w:type="dxa"/>
          </w:tcPr>
          <w:p w14:paraId="694C3871">
            <w:pPr>
              <w:spacing w:after="0" w:line="240" w:lineRule="auto"/>
            </w:pPr>
            <w:r>
              <w:t>31,747</w:t>
            </w:r>
          </w:p>
        </w:tc>
        <w:tc>
          <w:tcPr>
            <w:tcW w:w="2484" w:type="dxa"/>
          </w:tcPr>
          <w:p w14:paraId="4DC3AB8D">
            <w:pPr>
              <w:spacing w:after="0" w:line="240" w:lineRule="auto"/>
            </w:pPr>
            <w:r>
              <w:t>34,424</w:t>
            </w:r>
          </w:p>
        </w:tc>
        <w:tc>
          <w:tcPr>
            <w:tcW w:w="2484" w:type="dxa"/>
          </w:tcPr>
          <w:p w14:paraId="2886547A">
            <w:pPr>
              <w:spacing w:after="0" w:line="240" w:lineRule="auto"/>
            </w:pPr>
            <w:r>
              <w:t>36,254</w:t>
            </w:r>
          </w:p>
        </w:tc>
      </w:tr>
      <w:tr w14:paraId="3FAA0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221CEFF">
            <w:pPr>
              <w:spacing w:after="0" w:line="240" w:lineRule="auto"/>
            </w:pPr>
            <w:r>
              <w:t>Profit Before Tax (₹ crore)</w:t>
            </w:r>
          </w:p>
        </w:tc>
        <w:tc>
          <w:tcPr>
            <w:tcW w:w="2484" w:type="dxa"/>
          </w:tcPr>
          <w:p w14:paraId="00865383">
            <w:pPr>
              <w:spacing w:after="0" w:line="240" w:lineRule="auto"/>
            </w:pPr>
            <w:r>
              <w:t>35,988</w:t>
            </w:r>
          </w:p>
        </w:tc>
        <w:tc>
          <w:tcPr>
            <w:tcW w:w="2484" w:type="dxa"/>
          </w:tcPr>
          <w:p w14:paraId="1A460CDF">
            <w:pPr>
              <w:spacing w:after="0" w:line="240" w:lineRule="auto"/>
            </w:pPr>
            <w:r>
              <w:t>37,608</w:t>
            </w:r>
          </w:p>
        </w:tc>
        <w:tc>
          <w:tcPr>
            <w:tcW w:w="2484" w:type="dxa"/>
          </w:tcPr>
          <w:p w14:paraId="4D738C1A">
            <w:pPr>
              <w:spacing w:after="0" w:line="240" w:lineRule="auto"/>
            </w:pPr>
            <w:r>
              <w:t>39,995</w:t>
            </w:r>
          </w:p>
        </w:tc>
      </w:tr>
      <w:tr w14:paraId="6199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06E285E">
            <w:pPr>
              <w:spacing w:after="0" w:line="240" w:lineRule="auto"/>
            </w:pPr>
            <w:r>
              <w:t>Net Profit (₹ crore)</w:t>
            </w:r>
          </w:p>
        </w:tc>
        <w:tc>
          <w:tcPr>
            <w:tcW w:w="2484" w:type="dxa"/>
          </w:tcPr>
          <w:p w14:paraId="03B73876">
            <w:pPr>
              <w:spacing w:after="0" w:line="240" w:lineRule="auto"/>
            </w:pPr>
            <w:r>
              <w:t>26,248</w:t>
            </w:r>
          </w:p>
        </w:tc>
        <w:tc>
          <w:tcPr>
            <w:tcW w:w="2484" w:type="dxa"/>
          </w:tcPr>
          <w:p w14:paraId="513FE8AE">
            <w:pPr>
              <w:spacing w:after="0" w:line="240" w:lineRule="auto"/>
            </w:pPr>
            <w:r>
              <w:t>26,750</w:t>
            </w:r>
          </w:p>
        </w:tc>
        <w:tc>
          <w:tcPr>
            <w:tcW w:w="2484" w:type="dxa"/>
          </w:tcPr>
          <w:p w14:paraId="484A66D6">
            <w:pPr>
              <w:spacing w:after="0" w:line="240" w:lineRule="auto"/>
            </w:pPr>
            <w:r>
              <w:t>29,474</w:t>
            </w:r>
          </w:p>
        </w:tc>
      </w:tr>
      <w:tr w14:paraId="664AC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B3922AB">
            <w:pPr>
              <w:spacing w:after="0" w:line="240" w:lineRule="auto"/>
            </w:pPr>
            <w:r>
              <w:t>Profit attributable to owners (₹ crore)</w:t>
            </w:r>
          </w:p>
        </w:tc>
        <w:tc>
          <w:tcPr>
            <w:tcW w:w="2484" w:type="dxa"/>
          </w:tcPr>
          <w:p w14:paraId="1FE9C2C3">
            <w:pPr>
              <w:spacing w:after="0" w:line="240" w:lineRule="auto"/>
            </w:pPr>
            <w:r>
              <w:t>26,233</w:t>
            </w:r>
          </w:p>
        </w:tc>
        <w:tc>
          <w:tcPr>
            <w:tcW w:w="2484" w:type="dxa"/>
          </w:tcPr>
          <w:p w14:paraId="48303794">
            <w:pPr>
              <w:spacing w:after="0" w:line="240" w:lineRule="auto"/>
            </w:pPr>
            <w:r>
              <w:t>26,713</w:t>
            </w:r>
          </w:p>
        </w:tc>
        <w:tc>
          <w:tcPr>
            <w:tcW w:w="2484" w:type="dxa"/>
          </w:tcPr>
          <w:p w14:paraId="0ECC8642">
            <w:pPr>
              <w:spacing w:after="0" w:line="240" w:lineRule="auto"/>
            </w:pPr>
            <w:r>
              <w:t>29,440</w:t>
            </w:r>
          </w:p>
        </w:tc>
      </w:tr>
      <w:tr w14:paraId="575F4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8E878B2">
            <w:pPr>
              <w:spacing w:after="0" w:line="240" w:lineRule="auto"/>
            </w:pPr>
            <w:r>
              <w:t>Basic EPS (₹)</w:t>
            </w:r>
          </w:p>
        </w:tc>
        <w:tc>
          <w:tcPr>
            <w:tcW w:w="2484" w:type="dxa"/>
          </w:tcPr>
          <w:p w14:paraId="4D8D8638">
            <w:pPr>
              <w:spacing w:after="0" w:line="240" w:lineRule="auto"/>
            </w:pPr>
            <w:r>
              <w:t>63.39</w:t>
            </w:r>
          </w:p>
        </w:tc>
        <w:tc>
          <w:tcPr>
            <w:tcW w:w="2484" w:type="dxa"/>
          </w:tcPr>
          <w:p w14:paraId="68A7B8E5">
            <w:pPr>
              <w:spacing w:after="0" w:line="240" w:lineRule="auto"/>
            </w:pPr>
            <w:r>
              <w:t>64.50</w:t>
            </w:r>
          </w:p>
        </w:tc>
        <w:tc>
          <w:tcPr>
            <w:tcW w:w="2484" w:type="dxa"/>
          </w:tcPr>
          <w:p w14:paraId="30446838">
            <w:pPr>
              <w:spacing w:after="0" w:line="240" w:lineRule="auto"/>
            </w:pPr>
            <w:r>
              <w:t>71.58</w:t>
            </w:r>
          </w:p>
        </w:tc>
      </w:tr>
    </w:tbl>
    <w:p w14:paraId="6A334BE2">
      <w:pPr>
        <w:pStyle w:val="2"/>
      </w:pPr>
      <w:r>
        <w:t>3. Revenue &amp; Profit Analysis</w:t>
      </w:r>
    </w:p>
    <w:p w14:paraId="4BD07C87">
      <w:pPr>
        <w:pStyle w:val="23"/>
      </w:pPr>
      <w:r>
        <w:t>Revenue increased from ₹162,990 crore in FY2025 to ₹178,650 crore in FY2026, approximately 9.6% year-on-year growth.</w:t>
      </w:r>
    </w:p>
    <w:p w14:paraId="63E78463">
      <w:pPr>
        <w:pStyle w:val="23"/>
      </w:pPr>
      <w:r>
        <w:t>Net profit increased from ₹26,750 crore to ₹29,474 crore, approximately 10.2% growth.</w:t>
      </w:r>
    </w:p>
    <w:p w14:paraId="799D8B7F">
      <w:pPr>
        <w:pStyle w:val="23"/>
      </w:pPr>
      <w:r>
        <w:t>Operating profit margin was approximately 20.3% in FY2026 compared with 21.1% in FY2025.</w:t>
      </w:r>
    </w:p>
    <w:p w14:paraId="4BEC18CA">
      <w:pPr>
        <w:pStyle w:val="23"/>
      </w:pPr>
      <w:r>
        <w:t>Profit after tax as a percentage of revenue remained around 16.5% in FY2026.</w:t>
      </w:r>
    </w:p>
    <w:p w14:paraId="37835191">
      <w:pPr>
        <w:pStyle w:val="2"/>
      </w:pPr>
      <w:r>
        <w:t>4. Balance Sheet Analysis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7DD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A726EAB">
            <w:pPr>
              <w:spacing w:after="0" w:line="240" w:lineRule="auto"/>
            </w:pPr>
            <w:r>
              <w:t>Particular</w:t>
            </w:r>
          </w:p>
        </w:tc>
        <w:tc>
          <w:tcPr>
            <w:tcW w:w="2484" w:type="dxa"/>
          </w:tcPr>
          <w:p w14:paraId="17C5760A">
            <w:pPr>
              <w:spacing w:after="0" w:line="240" w:lineRule="auto"/>
            </w:pPr>
            <w:r>
              <w:t>FY2024</w:t>
            </w:r>
          </w:p>
        </w:tc>
        <w:tc>
          <w:tcPr>
            <w:tcW w:w="2484" w:type="dxa"/>
          </w:tcPr>
          <w:p w14:paraId="693050AF">
            <w:pPr>
              <w:spacing w:after="0" w:line="240" w:lineRule="auto"/>
            </w:pPr>
            <w:r>
              <w:t>FY2025</w:t>
            </w:r>
          </w:p>
        </w:tc>
        <w:tc>
          <w:tcPr>
            <w:tcW w:w="2484" w:type="dxa"/>
          </w:tcPr>
          <w:p w14:paraId="5DA1E651">
            <w:pPr>
              <w:spacing w:after="0" w:line="240" w:lineRule="auto"/>
            </w:pPr>
            <w:r>
              <w:t>FY2026</w:t>
            </w:r>
          </w:p>
        </w:tc>
      </w:tr>
      <w:tr w14:paraId="579C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EC70BC6">
            <w:pPr>
              <w:spacing w:after="0" w:line="240" w:lineRule="auto"/>
            </w:pPr>
            <w:r>
              <w:t>Cash &amp; Cash Equivalents (₹ crore)</w:t>
            </w:r>
          </w:p>
        </w:tc>
        <w:tc>
          <w:tcPr>
            <w:tcW w:w="2484" w:type="dxa"/>
          </w:tcPr>
          <w:p w14:paraId="15AD30BC">
            <w:pPr>
              <w:spacing w:after="0" w:line="240" w:lineRule="auto"/>
            </w:pPr>
            <w:r>
              <w:t>14,786</w:t>
            </w:r>
          </w:p>
        </w:tc>
        <w:tc>
          <w:tcPr>
            <w:tcW w:w="2484" w:type="dxa"/>
          </w:tcPr>
          <w:p w14:paraId="1B9F7F28">
            <w:pPr>
              <w:spacing w:after="0" w:line="240" w:lineRule="auto"/>
            </w:pPr>
            <w:r>
              <w:t>24,455</w:t>
            </w:r>
          </w:p>
        </w:tc>
        <w:tc>
          <w:tcPr>
            <w:tcW w:w="2484" w:type="dxa"/>
          </w:tcPr>
          <w:p w14:paraId="17465691">
            <w:pPr>
              <w:spacing w:after="0" w:line="240" w:lineRule="auto"/>
            </w:pPr>
            <w:r>
              <w:t>22,201</w:t>
            </w:r>
          </w:p>
        </w:tc>
      </w:tr>
      <w:tr w14:paraId="475D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08CDDE8">
            <w:pPr>
              <w:spacing w:after="0" w:line="240" w:lineRule="auto"/>
            </w:pPr>
            <w:r>
              <w:t>Current Investments (₹ crore)</w:t>
            </w:r>
          </w:p>
        </w:tc>
        <w:tc>
          <w:tcPr>
            <w:tcW w:w="2484" w:type="dxa"/>
          </w:tcPr>
          <w:p w14:paraId="21046FDB">
            <w:pPr>
              <w:spacing w:after="0" w:line="240" w:lineRule="auto"/>
            </w:pPr>
            <w:r>
              <w:t>12,915</w:t>
            </w:r>
          </w:p>
        </w:tc>
        <w:tc>
          <w:tcPr>
            <w:tcW w:w="2484" w:type="dxa"/>
          </w:tcPr>
          <w:p w14:paraId="713B820E">
            <w:pPr>
              <w:spacing w:after="0" w:line="240" w:lineRule="auto"/>
            </w:pPr>
            <w:r>
              <w:t>12,482</w:t>
            </w:r>
          </w:p>
        </w:tc>
        <w:tc>
          <w:tcPr>
            <w:tcW w:w="2484" w:type="dxa"/>
          </w:tcPr>
          <w:p w14:paraId="55BA0B66">
            <w:pPr>
              <w:spacing w:after="0" w:line="240" w:lineRule="auto"/>
            </w:pPr>
            <w:r>
              <w:t>12,950</w:t>
            </w:r>
          </w:p>
        </w:tc>
      </w:tr>
      <w:tr w14:paraId="5FC73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1E2438A">
            <w:pPr>
              <w:spacing w:after="0" w:line="240" w:lineRule="auto"/>
            </w:pPr>
            <w:r>
              <w:t>Net Current Assets (₹ crore)</w:t>
            </w:r>
          </w:p>
        </w:tc>
        <w:tc>
          <w:tcPr>
            <w:tcW w:w="2484" w:type="dxa"/>
          </w:tcPr>
          <w:p w14:paraId="544458B0">
            <w:pPr>
              <w:spacing w:after="0" w:line="240" w:lineRule="auto"/>
            </w:pPr>
            <w:r>
              <w:t>50,638</w:t>
            </w:r>
          </w:p>
        </w:tc>
        <w:tc>
          <w:tcPr>
            <w:tcW w:w="2484" w:type="dxa"/>
          </w:tcPr>
          <w:p w14:paraId="57E31A6B">
            <w:pPr>
              <w:spacing w:after="0" w:line="240" w:lineRule="auto"/>
            </w:pPr>
            <w:r>
              <w:t>54,249</w:t>
            </w:r>
          </w:p>
        </w:tc>
        <w:tc>
          <w:tcPr>
            <w:tcW w:w="2484" w:type="dxa"/>
          </w:tcPr>
          <w:p w14:paraId="6039ACE0">
            <w:pPr>
              <w:spacing w:after="0" w:line="240" w:lineRule="auto"/>
            </w:pPr>
            <w:r>
              <w:t>51,167</w:t>
            </w:r>
          </w:p>
        </w:tc>
      </w:tr>
      <w:tr w14:paraId="31D8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0A0CFD01">
            <w:pPr>
              <w:spacing w:after="0" w:line="240" w:lineRule="auto"/>
            </w:pPr>
            <w:r>
              <w:t>Non-current Assets (₹ crore)</w:t>
            </w:r>
          </w:p>
        </w:tc>
        <w:tc>
          <w:tcPr>
            <w:tcW w:w="2484" w:type="dxa"/>
          </w:tcPr>
          <w:p w14:paraId="290710F7">
            <w:pPr>
              <w:spacing w:after="0" w:line="240" w:lineRule="auto"/>
            </w:pPr>
            <w:r>
              <w:t>48,382</w:t>
            </w:r>
          </w:p>
        </w:tc>
        <w:tc>
          <w:tcPr>
            <w:tcW w:w="2484" w:type="dxa"/>
          </w:tcPr>
          <w:p w14:paraId="09B5164B">
            <w:pPr>
              <w:spacing w:after="0" w:line="240" w:lineRule="auto"/>
            </w:pPr>
            <w:r>
              <w:t>51,804</w:t>
            </w:r>
          </w:p>
        </w:tc>
        <w:tc>
          <w:tcPr>
            <w:tcW w:w="2484" w:type="dxa"/>
          </w:tcPr>
          <w:p w14:paraId="01AC629D">
            <w:pPr>
              <w:spacing w:after="0" w:line="240" w:lineRule="auto"/>
            </w:pPr>
            <w:r>
              <w:t>52,478</w:t>
            </w:r>
          </w:p>
        </w:tc>
      </w:tr>
      <w:tr w14:paraId="070E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1A98038">
            <w:pPr>
              <w:spacing w:after="0" w:line="240" w:lineRule="auto"/>
            </w:pPr>
            <w:r>
              <w:t>Total Assets (₹ crore)</w:t>
            </w:r>
          </w:p>
        </w:tc>
        <w:tc>
          <w:tcPr>
            <w:tcW w:w="2484" w:type="dxa"/>
          </w:tcPr>
          <w:p w14:paraId="31AC3799">
            <w:pPr>
              <w:spacing w:after="0" w:line="240" w:lineRule="auto"/>
            </w:pPr>
            <w:r>
              <w:t>137,814</w:t>
            </w:r>
          </w:p>
        </w:tc>
        <w:tc>
          <w:tcPr>
            <w:tcW w:w="2484" w:type="dxa"/>
          </w:tcPr>
          <w:p w14:paraId="1A2F44CA">
            <w:pPr>
              <w:spacing w:after="0" w:line="240" w:lineRule="auto"/>
            </w:pPr>
            <w:r>
              <w:t>148,903</w:t>
            </w:r>
          </w:p>
        </w:tc>
        <w:tc>
          <w:tcPr>
            <w:tcW w:w="2484" w:type="dxa"/>
          </w:tcPr>
          <w:p w14:paraId="1724D30F">
            <w:pPr>
              <w:spacing w:after="0" w:line="240" w:lineRule="auto"/>
            </w:pPr>
            <w:r>
              <w:t>155,967</w:t>
            </w:r>
          </w:p>
        </w:tc>
      </w:tr>
      <w:tr w14:paraId="08A9A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C143C0D">
            <w:pPr>
              <w:spacing w:after="0" w:line="240" w:lineRule="auto"/>
            </w:pPr>
            <w:r>
              <w:t>Non-current Liabilities (₹ crore)</w:t>
            </w:r>
          </w:p>
        </w:tc>
        <w:tc>
          <w:tcPr>
            <w:tcW w:w="2484" w:type="dxa"/>
          </w:tcPr>
          <w:p w14:paraId="0F3362CD">
            <w:pPr>
              <w:spacing w:after="0" w:line="240" w:lineRule="auto"/>
            </w:pPr>
            <w:r>
              <w:t>10,559</w:t>
            </w:r>
          </w:p>
        </w:tc>
        <w:tc>
          <w:tcPr>
            <w:tcW w:w="2484" w:type="dxa"/>
          </w:tcPr>
          <w:p w14:paraId="4A48527B">
            <w:pPr>
              <w:spacing w:after="0" w:line="240" w:lineRule="auto"/>
            </w:pPr>
            <w:r>
              <w:t>9,850</w:t>
            </w:r>
          </w:p>
        </w:tc>
        <w:tc>
          <w:tcPr>
            <w:tcW w:w="2484" w:type="dxa"/>
          </w:tcPr>
          <w:p w14:paraId="394C5972">
            <w:pPr>
              <w:spacing w:after="0" w:line="240" w:lineRule="auto"/>
            </w:pPr>
            <w:r>
              <w:t>10,348</w:t>
            </w:r>
          </w:p>
        </w:tc>
      </w:tr>
      <w:tr w14:paraId="02BE0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72158A7A">
            <w:pPr>
              <w:spacing w:after="0" w:line="240" w:lineRule="auto"/>
            </w:pPr>
            <w:r>
              <w:t>Total Equity (₹ crore)</w:t>
            </w:r>
          </w:p>
        </w:tc>
        <w:tc>
          <w:tcPr>
            <w:tcW w:w="2484" w:type="dxa"/>
          </w:tcPr>
          <w:p w14:paraId="26BC3D34">
            <w:pPr>
              <w:spacing w:after="0" w:line="240" w:lineRule="auto"/>
            </w:pPr>
            <w:r>
              <w:t>88,461</w:t>
            </w:r>
          </w:p>
        </w:tc>
        <w:tc>
          <w:tcPr>
            <w:tcW w:w="2484" w:type="dxa"/>
          </w:tcPr>
          <w:p w14:paraId="7F81C50A">
            <w:pPr>
              <w:spacing w:after="0" w:line="240" w:lineRule="auto"/>
            </w:pPr>
            <w:r>
              <w:t>96,203</w:t>
            </w:r>
          </w:p>
        </w:tc>
        <w:tc>
          <w:tcPr>
            <w:tcW w:w="2484" w:type="dxa"/>
          </w:tcPr>
          <w:p w14:paraId="59986B32">
            <w:pPr>
              <w:spacing w:after="0" w:line="240" w:lineRule="auto"/>
            </w:pPr>
            <w:r>
              <w:t>93,297</w:t>
            </w:r>
          </w:p>
        </w:tc>
      </w:tr>
    </w:tbl>
    <w:p w14:paraId="4D7479AA">
      <w:r>
        <w:t>Total assets increased from ₹148,903 crore in FY2025 to ₹155,967 crore in FY2026. Infosys maintained a substantial cash and investment position.</w:t>
      </w:r>
    </w:p>
    <w:p w14:paraId="109B5281">
      <w:pPr>
        <w:pStyle w:val="2"/>
      </w:pPr>
      <w:r>
        <w:t>5. Key Financial Ratios &amp; Indicators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226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5473BE5B">
            <w:pPr>
              <w:spacing w:after="0" w:line="240" w:lineRule="auto"/>
            </w:pPr>
            <w:r>
              <w:t>Indicator</w:t>
            </w:r>
          </w:p>
        </w:tc>
        <w:tc>
          <w:tcPr>
            <w:tcW w:w="2484" w:type="dxa"/>
          </w:tcPr>
          <w:p w14:paraId="008F89D3">
            <w:pPr>
              <w:spacing w:after="0" w:line="240" w:lineRule="auto"/>
            </w:pPr>
            <w:r>
              <w:t>FY2024</w:t>
            </w:r>
          </w:p>
        </w:tc>
        <w:tc>
          <w:tcPr>
            <w:tcW w:w="2484" w:type="dxa"/>
          </w:tcPr>
          <w:p w14:paraId="7FEF17F8">
            <w:pPr>
              <w:spacing w:after="0" w:line="240" w:lineRule="auto"/>
            </w:pPr>
            <w:r>
              <w:t>FY2025</w:t>
            </w:r>
          </w:p>
        </w:tc>
        <w:tc>
          <w:tcPr>
            <w:tcW w:w="2484" w:type="dxa"/>
          </w:tcPr>
          <w:p w14:paraId="2A2276A7">
            <w:pPr>
              <w:spacing w:after="0" w:line="240" w:lineRule="auto"/>
            </w:pPr>
            <w:r>
              <w:t>FY2026</w:t>
            </w:r>
          </w:p>
        </w:tc>
      </w:tr>
      <w:tr w14:paraId="0197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41DD8C5">
            <w:pPr>
              <w:spacing w:after="0" w:line="240" w:lineRule="auto"/>
            </w:pPr>
            <w:r>
              <w:t>Basic EPS</w:t>
            </w:r>
          </w:p>
        </w:tc>
        <w:tc>
          <w:tcPr>
            <w:tcW w:w="2484" w:type="dxa"/>
          </w:tcPr>
          <w:p w14:paraId="4E8B3D92">
            <w:pPr>
              <w:spacing w:after="0" w:line="240" w:lineRule="auto"/>
            </w:pPr>
            <w:r>
              <w:t>₹63.39</w:t>
            </w:r>
          </w:p>
        </w:tc>
        <w:tc>
          <w:tcPr>
            <w:tcW w:w="2484" w:type="dxa"/>
          </w:tcPr>
          <w:p w14:paraId="022867D6">
            <w:pPr>
              <w:spacing w:after="0" w:line="240" w:lineRule="auto"/>
            </w:pPr>
            <w:r>
              <w:t>₹64.50</w:t>
            </w:r>
          </w:p>
        </w:tc>
        <w:tc>
          <w:tcPr>
            <w:tcW w:w="2484" w:type="dxa"/>
          </w:tcPr>
          <w:p w14:paraId="5E915165">
            <w:pPr>
              <w:spacing w:after="0" w:line="240" w:lineRule="auto"/>
            </w:pPr>
            <w:r>
              <w:t>₹71.58</w:t>
            </w:r>
          </w:p>
        </w:tc>
      </w:tr>
      <w:tr w14:paraId="0DA1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3E4FC06B">
            <w:pPr>
              <w:spacing w:after="0" w:line="240" w:lineRule="auto"/>
            </w:pPr>
            <w:r>
              <w:t>P/E Ratio</w:t>
            </w:r>
          </w:p>
        </w:tc>
        <w:tc>
          <w:tcPr>
            <w:tcW w:w="2484" w:type="dxa"/>
          </w:tcPr>
          <w:p w14:paraId="5676DBF8">
            <w:pPr>
              <w:spacing w:after="0" w:line="240" w:lineRule="auto"/>
            </w:pPr>
            <w:r>
              <w:t>23.6</w:t>
            </w:r>
          </w:p>
        </w:tc>
        <w:tc>
          <w:tcPr>
            <w:tcW w:w="2484" w:type="dxa"/>
          </w:tcPr>
          <w:p w14:paraId="483C3B6A">
            <w:pPr>
              <w:spacing w:after="0" w:line="240" w:lineRule="auto"/>
            </w:pPr>
            <w:r>
              <w:t>24.4</w:t>
            </w:r>
          </w:p>
        </w:tc>
        <w:tc>
          <w:tcPr>
            <w:tcW w:w="2484" w:type="dxa"/>
          </w:tcPr>
          <w:p w14:paraId="15B1A8D2">
            <w:pPr>
              <w:spacing w:after="0" w:line="240" w:lineRule="auto"/>
            </w:pPr>
            <w:r>
              <w:t>17.5</w:t>
            </w:r>
          </w:p>
        </w:tc>
      </w:tr>
      <w:tr w14:paraId="2E8A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261BC4FF">
            <w:pPr>
              <w:spacing w:after="0" w:line="240" w:lineRule="auto"/>
            </w:pPr>
            <w:r>
              <w:t>Book Value per Share</w:t>
            </w:r>
          </w:p>
        </w:tc>
        <w:tc>
          <w:tcPr>
            <w:tcW w:w="2484" w:type="dxa"/>
          </w:tcPr>
          <w:p w14:paraId="68F9A328">
            <w:pPr>
              <w:spacing w:after="0" w:line="240" w:lineRule="auto"/>
            </w:pPr>
            <w:r>
              <w:t>₹213</w:t>
            </w:r>
          </w:p>
        </w:tc>
        <w:tc>
          <w:tcPr>
            <w:tcW w:w="2484" w:type="dxa"/>
          </w:tcPr>
          <w:p w14:paraId="7B82D9BF">
            <w:pPr>
              <w:spacing w:after="0" w:line="240" w:lineRule="auto"/>
            </w:pPr>
            <w:r>
              <w:t>₹231</w:t>
            </w:r>
          </w:p>
        </w:tc>
        <w:tc>
          <w:tcPr>
            <w:tcW w:w="2484" w:type="dxa"/>
          </w:tcPr>
          <w:p w14:paraId="0CD73FD8">
            <w:pPr>
              <w:spacing w:after="0" w:line="240" w:lineRule="auto"/>
            </w:pPr>
            <w:r>
              <w:t>₹229</w:t>
            </w:r>
          </w:p>
        </w:tc>
      </w:tr>
      <w:tr w14:paraId="21E6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47149ADF">
            <w:pPr>
              <w:spacing w:after="0" w:line="240" w:lineRule="auto"/>
            </w:pPr>
            <w:r>
              <w:t>ROE</w:t>
            </w:r>
          </w:p>
        </w:tc>
        <w:tc>
          <w:tcPr>
            <w:tcW w:w="2484" w:type="dxa"/>
          </w:tcPr>
          <w:p w14:paraId="669BBEDD">
            <w:pPr>
              <w:spacing w:after="0" w:line="240" w:lineRule="auto"/>
            </w:pPr>
            <w:r>
              <w:t>32.1%</w:t>
            </w:r>
          </w:p>
        </w:tc>
        <w:tc>
          <w:tcPr>
            <w:tcW w:w="2484" w:type="dxa"/>
          </w:tcPr>
          <w:p w14:paraId="766840F9">
            <w:pPr>
              <w:spacing w:after="0" w:line="240" w:lineRule="auto"/>
            </w:pPr>
            <w:r>
              <w:t>29.0%</w:t>
            </w:r>
          </w:p>
        </w:tc>
        <w:tc>
          <w:tcPr>
            <w:tcW w:w="2484" w:type="dxa"/>
          </w:tcPr>
          <w:p w14:paraId="6D7D512D">
            <w:pPr>
              <w:spacing w:after="0" w:line="240" w:lineRule="auto"/>
            </w:pPr>
            <w:r>
              <w:t>31.6%</w:t>
            </w:r>
          </w:p>
        </w:tc>
      </w:tr>
      <w:tr w14:paraId="3E6F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</w:tcPr>
          <w:p w14:paraId="6555F8E8">
            <w:pPr>
              <w:spacing w:after="0" w:line="240" w:lineRule="auto"/>
            </w:pPr>
            <w:r>
              <w:t>Dividend per Share</w:t>
            </w:r>
          </w:p>
        </w:tc>
        <w:tc>
          <w:tcPr>
            <w:tcW w:w="2484" w:type="dxa"/>
          </w:tcPr>
          <w:p w14:paraId="324FB247">
            <w:pPr>
              <w:spacing w:after="0" w:line="240" w:lineRule="auto"/>
            </w:pPr>
            <w:r>
              <w:t>₹46</w:t>
            </w:r>
          </w:p>
        </w:tc>
        <w:tc>
          <w:tcPr>
            <w:tcW w:w="2484" w:type="dxa"/>
          </w:tcPr>
          <w:p w14:paraId="59890C42">
            <w:pPr>
              <w:spacing w:after="0" w:line="240" w:lineRule="auto"/>
            </w:pPr>
            <w:r>
              <w:t>₹43</w:t>
            </w:r>
          </w:p>
        </w:tc>
        <w:tc>
          <w:tcPr>
            <w:tcW w:w="2484" w:type="dxa"/>
          </w:tcPr>
          <w:p w14:paraId="2AF75EA1">
            <w:pPr>
              <w:spacing w:after="0" w:line="240" w:lineRule="auto"/>
            </w:pPr>
            <w:r>
              <w:t>₹48</w:t>
            </w:r>
          </w:p>
        </w:tc>
      </w:tr>
    </w:tbl>
    <w:p w14:paraId="3D0A80FC">
      <w:pPr>
        <w:pStyle w:val="2"/>
      </w:pPr>
      <w:r>
        <w:t>6. Cash Flow &amp; Liquidity</w:t>
      </w:r>
    </w:p>
    <w:p w14:paraId="3358EDD4">
      <w:r>
        <w:t>Infosys reported FY2026 free cash flow of approximately ₹33,097 crore and free cash flow conversion of 112.3% of net profit. Consolidated cash and investments were approximately ₹43,075 crore, indicating a strong liquidity position.</w:t>
      </w:r>
    </w:p>
    <w:p w14:paraId="59E53975">
      <w:pPr>
        <w:pStyle w:val="2"/>
      </w:pPr>
      <w:r>
        <w:t>7. Debt Position</w:t>
      </w:r>
    </w:p>
    <w:p w14:paraId="662E3AD2">
      <w:r>
        <w:t>The official three-year financial data sheet does not present a standard debt-to-equity ratio for Infosys. Therefore, a ratio is not invented where the required reported figure is unavailable or not applicable in the source data.</w:t>
      </w:r>
    </w:p>
    <w:p w14:paraId="5913E9BF">
      <w:pPr>
        <w:pStyle w:val="2"/>
      </w:pPr>
      <w:r>
        <w:t>8. Key Business Insights</w:t>
      </w:r>
    </w:p>
    <w:p w14:paraId="1BA1D50B">
      <w:pPr>
        <w:pStyle w:val="29"/>
      </w:pPr>
      <w:r>
        <w:t>Revenue grew approximately 9.6% in FY2026.</w:t>
      </w:r>
    </w:p>
    <w:p w14:paraId="4B2B080B">
      <w:pPr>
        <w:pStyle w:val="29"/>
      </w:pPr>
      <w:r>
        <w:t>Net profit attributable to owners grew approximately 10.2%.</w:t>
      </w:r>
    </w:p>
    <w:p w14:paraId="64D5F799">
      <w:pPr>
        <w:pStyle w:val="29"/>
      </w:pPr>
      <w:r>
        <w:t>Basic EPS increased by approximately 11% to ₹71.58.</w:t>
      </w:r>
    </w:p>
    <w:p w14:paraId="197FFB9A">
      <w:pPr>
        <w:pStyle w:val="29"/>
      </w:pPr>
      <w:r>
        <w:t>ROE improved from 29.0% in FY2025 to 31.6% in FY2026.</w:t>
      </w:r>
    </w:p>
    <w:p w14:paraId="64A9D850">
      <w:pPr>
        <w:pStyle w:val="29"/>
      </w:pPr>
      <w:r>
        <w:t>PAT margin remained around 16.5%.</w:t>
      </w:r>
    </w:p>
    <w:p w14:paraId="54714908">
      <w:pPr>
        <w:pStyle w:val="29"/>
      </w:pPr>
      <w:r>
        <w:t>Infosys maintained substantial cash and investments, supporting liquidity.</w:t>
      </w:r>
    </w:p>
    <w:p w14:paraId="0362D540">
      <w:pPr>
        <w:pStyle w:val="29"/>
      </w:pPr>
      <w:r>
        <w:t>Dividend per share increased to ₹48 in FY2026.</w:t>
      </w:r>
    </w:p>
    <w:p w14:paraId="57E124FE">
      <w:pPr>
        <w:pStyle w:val="29"/>
      </w:pPr>
      <w:r>
        <w:t>Reported year-end P/E decreased from 24.4 in FY2025 to 17.5 in FY2026.</w:t>
      </w:r>
    </w:p>
    <w:p w14:paraId="76ADFA75">
      <w:pPr>
        <w:pStyle w:val="2"/>
      </w:pPr>
      <w:r>
        <w:t>9. Conclusion</w:t>
      </w:r>
    </w:p>
    <w:p w14:paraId="0E84D60C">
      <w:r>
        <w:t>The FY2025–26 financial information indicates that Infosys experienced healthy growth in revenue, profit and EPS. Revenue increased by approximately 9.6%, while profit attributable to owners increased by approximately 10.2%. Basic EPS increased to ₹71.58 and ROE improved to 31.6%. The company also maintained substantial liquidity through cash and investments. This analysis demonstrates how financial statements and ratios can be used by a Data Analyst to understand company performance and business trends. This document is prepared for educational and data-analysis purposes and is not investment advice.</w:t>
      </w:r>
    </w:p>
    <w:p w14:paraId="2756AB85">
      <w:pPr>
        <w:pStyle w:val="2"/>
      </w:pPr>
      <w:r>
        <w:t>10. Sources</w:t>
      </w:r>
    </w:p>
    <w:p w14:paraId="2E9AD421">
      <w:r>
        <w:t>Infosys Limited – Annual Report FY2025–26 and official financial data / investor disclosures.</w:t>
      </w:r>
    </w:p>
    <w:p w14:paraId="492D449B">
      <w:r>
        <w:t>Note: Figures are presented in ₹ crore unless otherwise stated. Minor differences may occur due to rounding.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EF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 PB</cp:lastModifiedBy>
  <dcterms:modified xsi:type="dcterms:W3CDTF">2026-08-17T10:49:31Z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AC7593CD850040918E45C4807BDA982D_13</vt:lpwstr>
  </property>
</Properties>
</file>