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160" w:line="276"/>
      </w:pPr>
      <w:r>
        <w:rPr>
          <w:rFonts w:ascii="Arial" w:cs="Arial" w:eastAsia="Arial" w:hAnsi="Arial"/>
          <w:b/>
          <w:bCs/>
          <w:color w:val="DC2626"/>
          <w:sz w:val="20"/>
          <w:szCs w:val="20"/>
        </w:rPr>
        <w:t xml:space="preserve">XENDEX AI</w:t>
      </w:r>
    </w:p>
    <w:p>
      <w:pPr>
        <w:pBdr>
          <w:bottom w:val="single" w:color="DC2626" w:sz="6" w:space="1"/>
        </w:pBdr>
        <w:spacing w:before="200" w:after="0"/>
      </w:pPr>
      <w:r>
        <w:rPr>
          <w:rFonts w:ascii="Arial" w:cs="Arial" w:eastAsia="Arial" w:hAnsi="Arial"/>
          <w:sz w:val="8"/>
          <w:szCs w:val="8"/>
        </w:rPr>
        <w:t xml:space="preserve"> </w:t>
      </w:r>
    </w:p>
    <w:p>
      <w:pPr>
        <w:spacing w:after="200"/>
      </w:pPr>
    </w:p>
    <w:p>
      <w:pPr>
        <w:spacing w:after="160" w:line="276"/>
      </w:pPr>
      <w:r>
        <w:rPr>
          <w:rFonts w:ascii="Arial" w:cs="Arial" w:eastAsia="Arial" w:hAnsi="Arial"/>
          <w:color w:val="64748B"/>
          <w:sz w:val="20"/>
          <w:szCs w:val="20"/>
        </w:rPr>
        <w:t xml:space="preserve">PROJECT SPECIFICATION DOCUMENT</w:t>
      </w:r>
    </w:p>
    <w:p>
      <w:pPr>
        <w:spacing w:after="160" w:line="276"/>
      </w:pPr>
      <w:r>
        <w:rPr>
          <w:rFonts w:ascii="Arial" w:cs="Arial" w:eastAsia="Arial" w:hAnsi="Arial"/>
          <w:b/>
          <w:bCs/>
          <w:color w:val="1E293B"/>
          <w:sz w:val="48"/>
          <w:szCs w:val="48"/>
        </w:rPr>
        <w:t xml:space="preserve">Policy Resolution Layer</w:t>
      </w:r>
    </w:p>
    <w:p>
      <w:pPr>
        <w:spacing w:after="160" w:line="276"/>
      </w:pPr>
      <w:r>
        <w:rPr>
          <w:rFonts w:ascii="Arial" w:cs="Arial" w:eastAsia="Arial" w:hAnsi="Arial"/>
          <w:color w:val="DC2626"/>
          <w:sz w:val="28"/>
          <w:szCs w:val="28"/>
        </w:rPr>
        <w:t xml:space="preserve">Zero Trust NL-to-SQL Security Pipeline</w:t>
      </w:r>
    </w:p>
    <w:p>
      <w:pPr>
        <w:spacing w:after="160" w:line="276"/>
      </w:pPr>
      <w:r>
        <w:rPr>
          <w:rFonts w:ascii="Arial" w:cs="Arial" w:eastAsia="Arial" w:hAnsi="Arial"/>
          <w:color w:val="64748B"/>
          <w:sz w:val="24"/>
          <w:szCs w:val="24"/>
        </w:rPr>
        <w:t xml:space="preserve">Apollo Hospitals Enterprise Implementation</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BD5E1" w:sz="1"/>
              <w:left w:val="single" w:color="CBD5E1" w:sz="1"/>
              <w:bottom w:val="single" w:color="CBD5E1" w:sz="1"/>
              <w:right w:val="single" w:color="CBD5E1" w:sz="1"/>
            </w:tcBorders>
            <w:shd w:fill="DC2626"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6160"/>
            <w:tcBorders>
              <w:top w:val="single" w:color="CBD5E1" w:sz="1"/>
              <w:left w:val="single" w:color="CBD5E1" w:sz="1"/>
              <w:bottom w:val="single" w:color="CBD5E1" w:sz="1"/>
              <w:right w:val="single" w:color="CBD5E1" w:sz="1"/>
            </w:tcBorders>
            <w:shd w:fill="DC2626"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Document ID</w:t>
            </w:r>
          </w:p>
        </w:tc>
        <w:tc>
          <w:tcPr>
            <w:tcW w:type="dxa" w:w="6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XENDEX-ZT-L4-SPEC-001</w:t>
            </w:r>
          </w:p>
        </w:tc>
      </w:tr>
      <w:tr>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76"/>
            </w:pPr>
            <w:r>
              <w:rPr>
                <w:rFonts w:ascii="Arial" w:cs="Arial" w:eastAsia="Arial" w:hAnsi="Arial"/>
                <w:color w:val="1E293B"/>
                <w:sz w:val="20"/>
                <w:szCs w:val="20"/>
              </w:rPr>
              <w:t xml:space="preserve">Layer</w:t>
            </w:r>
          </w:p>
        </w:tc>
        <w:tc>
          <w:tcPr>
            <w:tcW w:type="dxa" w:w="61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76"/>
            </w:pPr>
            <w:r>
              <w:rPr>
                <w:rFonts w:ascii="Arial" w:cs="Arial" w:eastAsia="Arial" w:hAnsi="Arial"/>
                <w:color w:val="1E293B"/>
                <w:sz w:val="20"/>
                <w:szCs w:val="20"/>
              </w:rPr>
              <w:t xml:space="preserve">Layer 4 — Policy Resolution</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Pipeline Position</w:t>
            </w:r>
          </w:p>
        </w:tc>
        <w:tc>
          <w:tcPr>
            <w:tcW w:type="dxa" w:w="6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Between Intelligent Retrieval (L3) and Secure Generation (L5)</w:t>
            </w:r>
          </w:p>
        </w:tc>
      </w:tr>
      <w:tr>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76"/>
            </w:pPr>
            <w:r>
              <w:rPr>
                <w:rFonts w:ascii="Arial" w:cs="Arial" w:eastAsia="Arial" w:hAnsi="Arial"/>
                <w:color w:val="1E293B"/>
                <w:sz w:val="20"/>
                <w:szCs w:val="20"/>
              </w:rPr>
              <w:t xml:space="preserve">Version</w:t>
            </w:r>
          </w:p>
        </w:tc>
        <w:tc>
          <w:tcPr>
            <w:tcW w:type="dxa" w:w="61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76"/>
            </w:pPr>
            <w:r>
              <w:rPr>
                <w:rFonts w:ascii="Arial" w:cs="Arial" w:eastAsia="Arial" w:hAnsi="Arial"/>
                <w:color w:val="1E293B"/>
                <w:sz w:val="20"/>
                <w:szCs w:val="20"/>
              </w:rPr>
              <w:t xml:space="preserve">1.0</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Classification</w:t>
            </w:r>
          </w:p>
        </w:tc>
        <w:tc>
          <w:tcPr>
            <w:tcW w:type="dxa" w:w="6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CONFIDENTIAL — Client Restricted</w:t>
            </w:r>
          </w:p>
        </w:tc>
      </w:tr>
      <w:tr>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76"/>
            </w:pPr>
            <w:r>
              <w:rPr>
                <w:rFonts w:ascii="Arial" w:cs="Arial" w:eastAsia="Arial" w:hAnsi="Arial"/>
                <w:color w:val="1E293B"/>
                <w:sz w:val="20"/>
                <w:szCs w:val="20"/>
              </w:rPr>
              <w:t xml:space="preserve">Last Updated</w:t>
            </w:r>
          </w:p>
        </w:tc>
        <w:tc>
          <w:tcPr>
            <w:tcW w:type="dxa" w:w="61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76"/>
            </w:pPr>
            <w:r>
              <w:rPr>
                <w:rFonts w:ascii="Arial" w:cs="Arial" w:eastAsia="Arial" w:hAnsi="Arial"/>
                <w:color w:val="1E293B"/>
                <w:sz w:val="20"/>
                <w:szCs w:val="20"/>
              </w:rPr>
              <w:t xml:space="preserve">February 2026</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Author</w:t>
            </w:r>
          </w:p>
        </w:tc>
        <w:tc>
          <w:tcPr>
            <w:tcW w:type="dxa" w:w="6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Xendex AI Engineering</w:t>
            </w:r>
          </w:p>
        </w:tc>
      </w:tr>
      <w:tr>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76"/>
            </w:pPr>
            <w:r>
              <w:rPr>
                <w:rFonts w:ascii="Arial" w:cs="Arial" w:eastAsia="Arial" w:hAnsi="Arial"/>
                <w:color w:val="1E293B"/>
                <w:sz w:val="20"/>
                <w:szCs w:val="20"/>
              </w:rPr>
              <w:t xml:space="preserve">Client</w:t>
            </w:r>
          </w:p>
        </w:tc>
        <w:tc>
          <w:tcPr>
            <w:tcW w:type="dxa" w:w="61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76"/>
            </w:pPr>
            <w:r>
              <w:rPr>
                <w:rFonts w:ascii="Arial" w:cs="Arial" w:eastAsia="Arial" w:hAnsi="Arial"/>
                <w:color w:val="1E293B"/>
                <w:sz w:val="20"/>
                <w:szCs w:val="20"/>
              </w:rPr>
              <w:t xml:space="preserve">Apollo Hospitals Enterprise Limited</w:t>
            </w:r>
          </w:p>
        </w:tc>
      </w:tr>
    </w:tbl>
    <w:p>
      <w:r>
        <w:br w:type="page"/>
      </w:r>
    </w:p>
    <w:p>
      <w:pPr>
        <w:pStyle w:val="Heading1"/>
        <w:spacing w:before="360" w:after="200"/>
      </w:pPr>
      <w:r>
        <w:rPr>
          <w:rFonts w:ascii="Arial" w:cs="Arial" w:eastAsia="Arial" w:hAnsi="Arial"/>
          <w:b/>
          <w:bCs/>
          <w:color w:val="DC2626"/>
          <w:sz w:val="32"/>
          <w:szCs w:val="32"/>
        </w:rPr>
        <w:t xml:space="preserve">Table of Contents</w:t>
      </w:r>
    </w:p>
    <w:p>
      <w:pPr>
        <w:spacing w:after="80"/>
      </w:pPr>
    </w:p>
    <w:p>
      <w:pPr>
        <w:spacing w:after="80"/>
      </w:pPr>
      <w:r>
        <w:rPr>
          <w:rFonts w:ascii="Arial" w:cs="Arial" w:eastAsia="Arial" w:hAnsi="Arial"/>
          <w:color w:val="DC2626"/>
          <w:sz w:val="20"/>
          <w:szCs w:val="20"/>
        </w:rPr>
        <w:t xml:space="preserve">1. Executive Summary</w:t>
      </w:r>
    </w:p>
    <w:p>
      <w:pPr>
        <w:spacing w:after="80"/>
      </w:pPr>
      <w:r>
        <w:rPr>
          <w:rFonts w:ascii="Arial" w:cs="Arial" w:eastAsia="Arial" w:hAnsi="Arial"/>
          <w:color w:val="DC2626"/>
          <w:sz w:val="20"/>
          <w:szCs w:val="20"/>
        </w:rPr>
        <w:t xml:space="preserve">2. Layer Purpose &amp; Scope</w:t>
      </w:r>
    </w:p>
    <w:p>
      <w:pPr>
        <w:spacing w:after="80"/>
      </w:pPr>
      <w:r>
        <w:rPr>
          <w:rFonts w:ascii="Arial" w:cs="Arial" w:eastAsia="Arial" w:hAnsi="Arial"/>
          <w:color w:val="DC2626"/>
          <w:sz w:val="20"/>
          <w:szCs w:val="20"/>
        </w:rPr>
        <w:t xml:space="preserve">3. Architectural Context &amp; Position</w:t>
      </w:r>
    </w:p>
    <w:p>
      <w:pPr>
        <w:spacing w:after="80"/>
      </w:pPr>
      <w:r>
        <w:rPr>
          <w:rFonts w:ascii="Arial" w:cs="Arial" w:eastAsia="Arial" w:hAnsi="Arial"/>
          <w:color w:val="DC2626"/>
          <w:sz w:val="20"/>
          <w:szCs w:val="20"/>
        </w:rPr>
        <w:t xml:space="preserve">4. Component Architecture Overview</w:t>
      </w:r>
    </w:p>
    <w:p>
      <w:pPr>
        <w:spacing w:after="80"/>
      </w:pPr>
      <w:r>
        <w:rPr>
          <w:rFonts w:ascii="Arial" w:cs="Arial" w:eastAsia="Arial" w:hAnsi="Arial"/>
          <w:color w:val="DC2626"/>
          <w:sz w:val="20"/>
          <w:szCs w:val="20"/>
        </w:rPr>
        <w:t xml:space="preserve">5. Policy Data Model</w:t>
      </w:r>
    </w:p>
    <w:p>
      <w:pPr>
        <w:spacing w:after="80"/>
      </w:pPr>
      <w:r>
        <w:rPr>
          <w:rFonts w:ascii="Arial" w:cs="Arial" w:eastAsia="Arial" w:hAnsi="Arial"/>
          <w:color w:val="DC2626"/>
          <w:sz w:val="20"/>
          <w:szCs w:val="20"/>
        </w:rPr>
        <w:t xml:space="preserve">6. Effective Policy Collector</w:t>
      </w:r>
    </w:p>
    <w:p>
      <w:pPr>
        <w:spacing w:after="80"/>
      </w:pPr>
      <w:r>
        <w:rPr>
          <w:rFonts w:ascii="Arial" w:cs="Arial" w:eastAsia="Arial" w:hAnsi="Arial"/>
          <w:color w:val="DC2626"/>
          <w:sz w:val="20"/>
          <w:szCs w:val="20"/>
        </w:rPr>
        <w:t xml:space="preserve">7. Conflict Resolution Engine</w:t>
      </w:r>
    </w:p>
    <w:p>
      <w:pPr>
        <w:spacing w:after="80"/>
      </w:pPr>
      <w:r>
        <w:rPr>
          <w:rFonts w:ascii="Arial" w:cs="Arial" w:eastAsia="Arial" w:hAnsi="Arial"/>
          <w:color w:val="DC2626"/>
          <w:sz w:val="20"/>
          <w:szCs w:val="20"/>
        </w:rPr>
        <w:t xml:space="preserve">8. Condition Aggregator</w:t>
      </w:r>
    </w:p>
    <w:p>
      <w:pPr>
        <w:spacing w:after="80"/>
      </w:pPr>
      <w:r>
        <w:rPr>
          <w:rFonts w:ascii="Arial" w:cs="Arial" w:eastAsia="Arial" w:hAnsi="Arial"/>
          <w:color w:val="DC2626"/>
          <w:sz w:val="20"/>
          <w:szCs w:val="20"/>
        </w:rPr>
        <w:t xml:space="preserve">9. Permission Envelope Builder</w:t>
      </w:r>
    </w:p>
    <w:p>
      <w:pPr>
        <w:spacing w:after="80"/>
      </w:pPr>
      <w:r>
        <w:rPr>
          <w:rFonts w:ascii="Arial" w:cs="Arial" w:eastAsia="Arial" w:hAnsi="Arial"/>
          <w:color w:val="DC2626"/>
          <w:sz w:val="20"/>
          <w:szCs w:val="20"/>
        </w:rPr>
        <w:t xml:space="preserve">10. Break-the-Glass Protocol Integration</w:t>
      </w:r>
    </w:p>
    <w:p>
      <w:pPr>
        <w:spacing w:after="80"/>
      </w:pPr>
      <w:r>
        <w:rPr>
          <w:rFonts w:ascii="Arial" w:cs="Arial" w:eastAsia="Arial" w:hAnsi="Arial"/>
          <w:color w:val="DC2626"/>
          <w:sz w:val="20"/>
          <w:szCs w:val="20"/>
        </w:rPr>
        <w:t xml:space="preserve">11. Apollo Hospitals Policy Catalog</w:t>
      </w:r>
    </w:p>
    <w:p>
      <w:pPr>
        <w:spacing w:after="80"/>
      </w:pPr>
      <w:r>
        <w:rPr>
          <w:rFonts w:ascii="Arial" w:cs="Arial" w:eastAsia="Arial" w:hAnsi="Arial"/>
          <w:color w:val="DC2626"/>
          <w:sz w:val="20"/>
          <w:szCs w:val="20"/>
        </w:rPr>
        <w:t xml:space="preserve">12. Policy Resolution Scenarios</w:t>
      </w:r>
    </w:p>
    <w:p>
      <w:pPr>
        <w:spacing w:after="80"/>
      </w:pPr>
      <w:r>
        <w:rPr>
          <w:rFonts w:ascii="Arial" w:cs="Arial" w:eastAsia="Arial" w:hAnsi="Arial"/>
          <w:color w:val="DC2626"/>
          <w:sz w:val="20"/>
          <w:szCs w:val="20"/>
        </w:rPr>
        <w:t xml:space="preserve">13. API Contract</w:t>
      </w:r>
    </w:p>
    <w:p>
      <w:pPr>
        <w:spacing w:after="80"/>
      </w:pPr>
      <w:r>
        <w:rPr>
          <w:rFonts w:ascii="Arial" w:cs="Arial" w:eastAsia="Arial" w:hAnsi="Arial"/>
          <w:color w:val="DC2626"/>
          <w:sz w:val="20"/>
          <w:szCs w:val="20"/>
        </w:rPr>
        <w:t xml:space="preserve">14. Data Flow</w:t>
      </w:r>
    </w:p>
    <w:p>
      <w:pPr>
        <w:spacing w:after="80"/>
      </w:pPr>
      <w:r>
        <w:rPr>
          <w:rFonts w:ascii="Arial" w:cs="Arial" w:eastAsia="Arial" w:hAnsi="Arial"/>
          <w:color w:val="DC2626"/>
          <w:sz w:val="20"/>
          <w:szCs w:val="20"/>
        </w:rPr>
        <w:t xml:space="preserve">15. Deterministic Resolution Algorithm</w:t>
      </w:r>
    </w:p>
    <w:p>
      <w:pPr>
        <w:spacing w:after="80"/>
      </w:pPr>
      <w:r>
        <w:rPr>
          <w:rFonts w:ascii="Arial" w:cs="Arial" w:eastAsia="Arial" w:hAnsi="Arial"/>
          <w:color w:val="DC2626"/>
          <w:sz w:val="20"/>
          <w:szCs w:val="20"/>
        </w:rPr>
        <w:t xml:space="preserve">16. NL Policy Rule Generation</w:t>
      </w:r>
    </w:p>
    <w:p>
      <w:pPr>
        <w:spacing w:after="80"/>
      </w:pPr>
      <w:r>
        <w:rPr>
          <w:rFonts w:ascii="Arial" w:cs="Arial" w:eastAsia="Arial" w:hAnsi="Arial"/>
          <w:color w:val="DC2626"/>
          <w:sz w:val="20"/>
          <w:szCs w:val="20"/>
        </w:rPr>
        <w:t xml:space="preserve">17. Error Handling &amp; Fallback Strategies</w:t>
      </w:r>
    </w:p>
    <w:p>
      <w:pPr>
        <w:spacing w:after="80"/>
      </w:pPr>
      <w:r>
        <w:rPr>
          <w:rFonts w:ascii="Arial" w:cs="Arial" w:eastAsia="Arial" w:hAnsi="Arial"/>
          <w:color w:val="DC2626"/>
          <w:sz w:val="20"/>
          <w:szCs w:val="20"/>
        </w:rPr>
        <w:t xml:space="preserve">18. Caching Strategy</w:t>
      </w:r>
    </w:p>
    <w:p>
      <w:pPr>
        <w:spacing w:after="80"/>
      </w:pPr>
      <w:r>
        <w:rPr>
          <w:rFonts w:ascii="Arial" w:cs="Arial" w:eastAsia="Arial" w:hAnsi="Arial"/>
          <w:color w:val="DC2626"/>
          <w:sz w:val="20"/>
          <w:szCs w:val="20"/>
        </w:rPr>
        <w:t xml:space="preserve">19. Performance Requirements</w:t>
      </w:r>
    </w:p>
    <w:p>
      <w:pPr>
        <w:spacing w:after="80"/>
      </w:pPr>
      <w:r>
        <w:rPr>
          <w:rFonts w:ascii="Arial" w:cs="Arial" w:eastAsia="Arial" w:hAnsi="Arial"/>
          <w:color w:val="DC2626"/>
          <w:sz w:val="20"/>
          <w:szCs w:val="20"/>
        </w:rPr>
        <w:t xml:space="preserve">20. Integration Contracts</w:t>
      </w:r>
    </w:p>
    <w:p>
      <w:pPr>
        <w:spacing w:after="80"/>
      </w:pPr>
      <w:r>
        <w:rPr>
          <w:rFonts w:ascii="Arial" w:cs="Arial" w:eastAsia="Arial" w:hAnsi="Arial"/>
          <w:color w:val="DC2626"/>
          <w:sz w:val="20"/>
          <w:szCs w:val="20"/>
        </w:rPr>
        <w:t xml:space="preserve">21. Technology Stack</w:t>
      </w:r>
    </w:p>
    <w:p>
      <w:pPr>
        <w:spacing w:after="80"/>
      </w:pPr>
      <w:r>
        <w:rPr>
          <w:rFonts w:ascii="Arial" w:cs="Arial" w:eastAsia="Arial" w:hAnsi="Arial"/>
          <w:color w:val="DC2626"/>
          <w:sz w:val="20"/>
          <w:szCs w:val="20"/>
        </w:rPr>
        <w:t xml:space="preserve">22. Testing Strategy</w:t>
      </w:r>
    </w:p>
    <w:p>
      <w:pPr>
        <w:spacing w:after="80"/>
      </w:pPr>
      <w:r>
        <w:rPr>
          <w:rFonts w:ascii="Arial" w:cs="Arial" w:eastAsia="Arial" w:hAnsi="Arial"/>
          <w:color w:val="DC2626"/>
          <w:sz w:val="20"/>
          <w:szCs w:val="20"/>
        </w:rPr>
        <w:t xml:space="preserve">23. Deployment &amp; Configuration</w:t>
      </w:r>
    </w:p>
    <w:p>
      <w:pPr>
        <w:spacing w:after="80"/>
      </w:pPr>
      <w:r>
        <w:rPr>
          <w:rFonts w:ascii="Arial" w:cs="Arial" w:eastAsia="Arial" w:hAnsi="Arial"/>
          <w:color w:val="DC2626"/>
          <w:sz w:val="20"/>
          <w:szCs w:val="20"/>
        </w:rPr>
        <w:t xml:space="preserve">24. Acceptance Criteria</w:t>
      </w:r>
    </w:p>
    <w:p>
      <w:r>
        <w:br w:type="page"/>
      </w:r>
    </w:p>
    <w:p>
      <w:pPr>
        <w:pStyle w:val="Heading1"/>
        <w:spacing w:before="360" w:after="200"/>
      </w:pPr>
      <w:r>
        <w:rPr>
          <w:rFonts w:ascii="Arial" w:cs="Arial" w:eastAsia="Arial" w:hAnsi="Arial"/>
          <w:b/>
          <w:bCs/>
          <w:color w:val="DC2626"/>
          <w:sz w:val="32"/>
          <w:szCs w:val="32"/>
        </w:rPr>
        <w:t xml:space="preserve">1. Executive Summary</w:t>
      </w:r>
    </w:p>
    <w:p>
      <w:pPr>
        <w:spacing w:after="160" w:line="276"/>
      </w:pPr>
      <w:r>
        <w:rPr>
          <w:rFonts w:ascii="Arial" w:cs="Arial" w:eastAsia="Arial" w:hAnsi="Arial"/>
          <w:color w:val="1E293B"/>
          <w:sz w:val="20"/>
          <w:szCs w:val="20"/>
        </w:rPr>
        <w:t xml:space="preserve">The Policy Resolution Layer is the decision engine of the zero-trust pipeline. It answers one question with absolute certainty: for this specific user, on this specific request, what are they allowed to do with each candidate table and column? The answer is a Permission Envelope — a cryptographically signed, tamper-proof artifact that dictates every downstream action.</w:t>
      </w:r>
    </w:p>
    <w:p>
      <w:pPr>
        <w:spacing w:after="160" w:line="276"/>
      </w:pPr>
      <w:r>
        <w:rPr>
          <w:rFonts w:ascii="Arial" w:cs="Arial" w:eastAsia="Arial" w:hAnsi="Arial"/>
          <w:color w:val="1E293B"/>
          <w:sz w:val="20"/>
          <w:szCs w:val="20"/>
        </w:rPr>
        <w:t xml:space="preserve">This layer receives two inputs: the user’s SecurityContext from Layer 1 (who they are, what roles they hold, what department and facility they belong to), and a set of candidate tables from Layer 3 (what they’re asking about). It then traverses the full policy graph in Neo4j, collecting every policy that applies to the user’s effective roles, resolving conflicts using a deterministic priority-based algorithm, aggregating conditions (row filters, aggregation requirements, join restrictions, masking rules), and producing the final Permission Envelope.</w:t>
      </w:r>
    </w:p>
    <w:p>
      <w:pPr>
        <w:spacing w:after="160" w:line="276"/>
      </w:pPr>
      <w:r>
        <w:rPr>
          <w:rFonts w:ascii="Arial" w:cs="Arial" w:eastAsia="Arial" w:hAnsi="Arial"/>
          <w:color w:val="1E293B"/>
          <w:sz w:val="20"/>
          <w:szCs w:val="20"/>
        </w:rPr>
        <w:t xml:space="preserve">The conflict resolution algorithm is the intellectual core of this layer. Healthcare policy is inherently conflicting: an Attending Physician inherits permissions from Resident, RN, CNA, and Front Desk, but also has specific restrictions that override inherited grants. Federal regulations (42 CFR Part 2) override organizational policies. Column-level restrictions override table-level grants. The algorithm resolves all of these deterministically using four ordered rules: (1) DENY beats ALLOW at the same scope, (2) higher priority wins among same-effect policies, (3) column-level scope beats table-level scope, (4) absence of any policy = DENY.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1"/>
              <w:left w:val="single" w:color="DC2626" w:sz="12"/>
              <w:bottom w:val="single" w:color="DC2626" w:sz="1"/>
              <w:right w:val="single" w:color="DC2626" w:sz="1"/>
            </w:tcBorders>
            <w:shd w:fill="FEF2F2" w:val="clear"/>
            <w:tcMar>
              <w:top w:type="dxa" w:w="120"/>
              <w:left w:type="dxa" w:w="200"/>
              <w:bottom w:type="dxa" w:w="120"/>
              <w:right w:type="dxa" w:w="200"/>
            </w:tcMar>
          </w:tcPr>
          <w:p>
            <w:pPr>
              <w:spacing w:after="60"/>
            </w:pPr>
            <w:r>
              <w:rPr>
                <w:rFonts w:ascii="Arial" w:cs="Arial" w:eastAsia="Arial" w:hAnsi="Arial"/>
                <w:b/>
                <w:bCs/>
                <w:color w:val="DC2626"/>
                <w:sz w:val="20"/>
                <w:szCs w:val="20"/>
              </w:rPr>
              <w:t xml:space="preserve">ZERO TRUST PRINCIPLE</w:t>
            </w:r>
          </w:p>
          <w:p>
            <w:pPr>
              <w:spacing w:line="276"/>
            </w:pPr>
            <w:r>
              <w:rPr>
                <w:rFonts w:ascii="Arial" w:cs="Arial" w:eastAsia="Arial" w:hAnsi="Arial"/>
                <w:color w:val="1E293B"/>
                <w:sz w:val="20"/>
                <w:szCs w:val="20"/>
              </w:rPr>
              <w:t xml:space="preserve">Permissions are computed fresh for every request — never cached from a previous session. The Permission Envelope is cryptographically signed (HMAC-SHA256) to prevent tampering between layers. If any downstream layer receives an unsigned or expired envelope, it MUST reject the request.</w:t>
            </w:r>
          </w:p>
        </w:tc>
      </w:tr>
    </w:tbl>
    <w:p>
      <w:pPr>
        <w:spacing w:after="80"/>
      </w:pPr>
    </w:p>
    <w:p>
      <w:r>
        <w:br w:type="page"/>
      </w:r>
    </w:p>
    <w:p>
      <w:pPr>
        <w:pStyle w:val="Heading1"/>
        <w:spacing w:before="360" w:after="200"/>
      </w:pPr>
      <w:r>
        <w:rPr>
          <w:rFonts w:ascii="Arial" w:cs="Arial" w:eastAsia="Arial" w:hAnsi="Arial"/>
          <w:b/>
          <w:bCs/>
          <w:color w:val="DC2626"/>
          <w:sz w:val="32"/>
          <w:szCs w:val="32"/>
        </w:rPr>
        <w:t xml:space="preserve">2. Layer Purpose &amp; Scope</w:t>
      </w:r>
    </w:p>
    <w:p>
      <w:pPr>
        <w:pStyle w:val="Heading2"/>
        <w:spacing w:before="300" w:after="160"/>
      </w:pPr>
      <w:r>
        <w:rPr>
          <w:rFonts w:ascii="Arial" w:cs="Arial" w:eastAsia="Arial" w:hAnsi="Arial"/>
          <w:b/>
          <w:bCs/>
          <w:color w:val="1E293B"/>
          <w:sz w:val="26"/>
          <w:szCs w:val="26"/>
        </w:rPr>
        <w:t xml:space="preserve">2.1 What This Layer Does</w:t>
      </w:r>
    </w:p>
    <w:p>
      <w:pPr>
        <w:pStyle w:val="ListParagraph"/>
        <w:numPr>
          <w:ilvl w:val="0"/>
          <w:numId w:val="2"/>
        </w:numPr>
        <w:spacing w:after="80" w:line="276"/>
      </w:pPr>
      <w:r>
        <w:rPr>
          <w:rFonts w:ascii="Arial" w:cs="Arial" w:eastAsia="Arial" w:hAnsi="Arial"/>
          <w:b/>
          <w:bCs/>
          <w:color w:val="1E293B"/>
          <w:sz w:val="20"/>
          <w:szCs w:val="20"/>
        </w:rPr>
        <w:t xml:space="preserve">Effective Policy Collection: </w:t>
      </w:r>
      <w:r>
        <w:rPr>
          <w:rFonts w:ascii="Arial" w:cs="Arial" w:eastAsia="Arial" w:hAnsi="Arial"/>
          <w:color w:val="1E293B"/>
          <w:sz w:val="20"/>
          <w:szCs w:val="20"/>
        </w:rPr>
        <w:t xml:space="preserve">Traverses the role hierarchy graph for the user’s effective_roles[], collecting every Policy node connected via APPLIES_TO_ROLE relationships. Includes inherited policies from parent roles.</w:t>
      </w:r>
    </w:p>
    <w:p>
      <w:pPr>
        <w:pStyle w:val="ListParagraph"/>
        <w:numPr>
          <w:ilvl w:val="0"/>
          <w:numId w:val="2"/>
        </w:numPr>
        <w:spacing w:after="80" w:line="276"/>
      </w:pPr>
      <w:r>
        <w:rPr>
          <w:rFonts w:ascii="Arial" w:cs="Arial" w:eastAsia="Arial" w:hAnsi="Arial"/>
          <w:b/>
          <w:bCs/>
          <w:color w:val="1E293B"/>
          <w:sz w:val="20"/>
          <w:szCs w:val="20"/>
        </w:rPr>
        <w:t xml:space="preserve">Policy-to-Table Mapping: </w:t>
      </w:r>
      <w:r>
        <w:rPr>
          <w:rFonts w:ascii="Arial" w:cs="Arial" w:eastAsia="Arial" w:hAnsi="Arial"/>
          <w:color w:val="1E293B"/>
          <w:sz w:val="20"/>
          <w:szCs w:val="20"/>
        </w:rPr>
        <w:t xml:space="preserve">For each candidate table from the Retrieval Layer, identifies all policies that target that table (via structured_rule.tables or APPLIES_TO_TABLE relationships), that table’s domain (via APPLIES_TO_DOMAIN), or the table’s regulatory tags.</w:t>
      </w:r>
    </w:p>
    <w:p>
      <w:pPr>
        <w:pStyle w:val="ListParagraph"/>
        <w:numPr>
          <w:ilvl w:val="0"/>
          <w:numId w:val="2"/>
        </w:numPr>
        <w:spacing w:after="80" w:line="276"/>
      </w:pPr>
      <w:r>
        <w:rPr>
          <w:rFonts w:ascii="Arial" w:cs="Arial" w:eastAsia="Arial" w:hAnsi="Arial"/>
          <w:b/>
          <w:bCs/>
          <w:color w:val="1E293B"/>
          <w:sz w:val="20"/>
          <w:szCs w:val="20"/>
        </w:rPr>
        <w:t xml:space="preserve">Deterministic Conflict Resolution: </w:t>
      </w:r>
      <w:r>
        <w:rPr>
          <w:rFonts w:ascii="Arial" w:cs="Arial" w:eastAsia="Arial" w:hAnsi="Arial"/>
          <w:color w:val="1E293B"/>
          <w:sz w:val="20"/>
          <w:szCs w:val="20"/>
        </w:rPr>
        <w:t xml:space="preserve">When multiple policies apply to the same table or column, resolves conflicts using a fixed, auditable priority algorithm. No ambiguity. No probabilistic decisions. The same inputs always produce the same outputs.</w:t>
      </w:r>
    </w:p>
    <w:p>
      <w:pPr>
        <w:pStyle w:val="ListParagraph"/>
        <w:numPr>
          <w:ilvl w:val="0"/>
          <w:numId w:val="2"/>
        </w:numPr>
        <w:spacing w:after="80" w:line="276"/>
      </w:pPr>
      <w:r>
        <w:rPr>
          <w:rFonts w:ascii="Arial" w:cs="Arial" w:eastAsia="Arial" w:hAnsi="Arial"/>
          <w:b/>
          <w:bCs/>
          <w:color w:val="1E293B"/>
          <w:sz w:val="20"/>
          <w:szCs w:val="20"/>
        </w:rPr>
        <w:t xml:space="preserve">Condition Aggregation: </w:t>
      </w:r>
      <w:r>
        <w:rPr>
          <w:rFonts w:ascii="Arial" w:cs="Arial" w:eastAsia="Arial" w:hAnsi="Arial"/>
          <w:color w:val="1E293B"/>
          <w:sz w:val="20"/>
          <w:szCs w:val="20"/>
        </w:rPr>
        <w:t xml:space="preserve">Collects all row filters, aggregation-only requirements, join restrictions, and time-window constraints from applicable policies. Conditions are cumulative (AND logic).</w:t>
      </w:r>
    </w:p>
    <w:p>
      <w:pPr>
        <w:pStyle w:val="ListParagraph"/>
        <w:numPr>
          <w:ilvl w:val="0"/>
          <w:numId w:val="2"/>
        </w:numPr>
        <w:spacing w:after="80" w:line="276"/>
      </w:pPr>
      <w:r>
        <w:rPr>
          <w:rFonts w:ascii="Arial" w:cs="Arial" w:eastAsia="Arial" w:hAnsi="Arial"/>
          <w:b/>
          <w:bCs/>
          <w:color w:val="1E293B"/>
          <w:sz w:val="20"/>
          <w:szCs w:val="20"/>
        </w:rPr>
        <w:t xml:space="preserve">Masking Rule Assembly: </w:t>
      </w:r>
      <w:r>
        <w:rPr>
          <w:rFonts w:ascii="Arial" w:cs="Arial" w:eastAsia="Arial" w:hAnsi="Arial"/>
          <w:color w:val="1E293B"/>
          <w:sz w:val="20"/>
          <w:szCs w:val="20"/>
        </w:rPr>
        <w:t xml:space="preserve">For each column with PII classification, determines the masking strategy based on the user’s role and the column’s sensitivity level. Masking rules are compiled into executable expressions.</w:t>
      </w:r>
    </w:p>
    <w:p>
      <w:pPr>
        <w:pStyle w:val="ListParagraph"/>
        <w:numPr>
          <w:ilvl w:val="0"/>
          <w:numId w:val="2"/>
        </w:numPr>
        <w:spacing w:after="80" w:line="276"/>
      </w:pPr>
      <w:r>
        <w:rPr>
          <w:rFonts w:ascii="Arial" w:cs="Arial" w:eastAsia="Arial" w:hAnsi="Arial"/>
          <w:b/>
          <w:bCs/>
          <w:color w:val="1E293B"/>
          <w:sz w:val="20"/>
          <w:szCs w:val="20"/>
        </w:rPr>
        <w:t xml:space="preserve">Permission Envelope Construction: </w:t>
      </w:r>
      <w:r>
        <w:rPr>
          <w:rFonts w:ascii="Arial" w:cs="Arial" w:eastAsia="Arial" w:hAnsi="Arial"/>
          <w:color w:val="1E293B"/>
          <w:sz w:val="20"/>
          <w:szCs w:val="20"/>
        </w:rPr>
        <w:t xml:space="preserve">Packages all decisions into a signed Permission Envelope that the downstream layers consume without modification.</w:t>
      </w:r>
    </w:p>
    <w:p>
      <w:pPr>
        <w:pStyle w:val="ListParagraph"/>
        <w:numPr>
          <w:ilvl w:val="0"/>
          <w:numId w:val="2"/>
        </w:numPr>
        <w:spacing w:after="80" w:line="276"/>
      </w:pPr>
      <w:r>
        <w:rPr>
          <w:rFonts w:ascii="Arial" w:cs="Arial" w:eastAsia="Arial" w:hAnsi="Arial"/>
          <w:b/>
          <w:bCs/>
          <w:color w:val="1E293B"/>
          <w:sz w:val="20"/>
          <w:szCs w:val="20"/>
        </w:rPr>
        <w:t xml:space="preserve">NL Policy Rule Generation: </w:t>
      </w:r>
      <w:r>
        <w:rPr>
          <w:rFonts w:ascii="Arial" w:cs="Arial" w:eastAsia="Arial" w:hAnsi="Arial"/>
          <w:color w:val="1E293B"/>
          <w:sz w:val="20"/>
          <w:szCs w:val="20"/>
        </w:rPr>
        <w:t xml:space="preserve">Translates the machine-readable permission decisions into human-readable natural language rules that are injected into the LLM prompt by the Secure Generation Layer.</w:t>
      </w:r>
    </w:p>
    <w:p>
      <w:pPr>
        <w:pStyle w:val="Heading2"/>
        <w:spacing w:before="300" w:after="160"/>
      </w:pPr>
      <w:r>
        <w:rPr>
          <w:rFonts w:ascii="Arial" w:cs="Arial" w:eastAsia="Arial" w:hAnsi="Arial"/>
          <w:b/>
          <w:bCs/>
          <w:color w:val="1E293B"/>
          <w:sz w:val="26"/>
          <w:szCs w:val="26"/>
        </w:rPr>
        <w:t xml:space="preserve">2.2 What This Layer Does NOT Do</w:t>
      </w:r>
    </w:p>
    <w:p>
      <w:pPr>
        <w:pStyle w:val="ListParagraph"/>
        <w:numPr>
          <w:ilvl w:val="0"/>
          <w:numId w:val="2"/>
        </w:numPr>
        <w:spacing w:after="80" w:line="276"/>
      </w:pPr>
      <w:r>
        <w:rPr>
          <w:rFonts w:ascii="Arial" w:cs="Arial" w:eastAsia="Arial" w:hAnsi="Arial"/>
          <w:b/>
          <w:bCs/>
          <w:color w:val="1E293B"/>
          <w:sz w:val="20"/>
          <w:szCs w:val="20"/>
        </w:rPr>
        <w:t xml:space="preserve">Does NOT retrieve schema candidates. </w:t>
      </w:r>
      <w:r>
        <w:rPr>
          <w:rFonts w:ascii="Arial" w:cs="Arial" w:eastAsia="Arial" w:hAnsi="Arial"/>
          <w:color w:val="1E293B"/>
          <w:sz w:val="20"/>
          <w:szCs w:val="20"/>
        </w:rPr>
        <w:t xml:space="preserve">That is Layer 3 (Intelligent Retrieval). This layer receives candidates.</w:t>
      </w:r>
    </w:p>
    <w:p>
      <w:pPr>
        <w:pStyle w:val="ListParagraph"/>
        <w:numPr>
          <w:ilvl w:val="0"/>
          <w:numId w:val="2"/>
        </w:numPr>
        <w:spacing w:after="80" w:line="276"/>
      </w:pPr>
      <w:r>
        <w:rPr>
          <w:rFonts w:ascii="Arial" w:cs="Arial" w:eastAsia="Arial" w:hAnsi="Arial"/>
          <w:b/>
          <w:bCs/>
          <w:color w:val="1E293B"/>
          <w:sz w:val="20"/>
          <w:szCs w:val="20"/>
        </w:rPr>
        <w:t xml:space="preserve">Does NOT generate SQL. </w:t>
      </w:r>
      <w:r>
        <w:rPr>
          <w:rFonts w:ascii="Arial" w:cs="Arial" w:eastAsia="Arial" w:hAnsi="Arial"/>
          <w:color w:val="1E293B"/>
          <w:sz w:val="20"/>
          <w:szCs w:val="20"/>
        </w:rPr>
        <w:t xml:space="preserve">That is Layer 5 (Secure Generation). This layer provides the rules.</w:t>
      </w:r>
    </w:p>
    <w:p>
      <w:pPr>
        <w:pStyle w:val="ListParagraph"/>
        <w:numPr>
          <w:ilvl w:val="0"/>
          <w:numId w:val="2"/>
        </w:numPr>
        <w:spacing w:after="80" w:line="276"/>
      </w:pPr>
      <w:r>
        <w:rPr>
          <w:rFonts w:ascii="Arial" w:cs="Arial" w:eastAsia="Arial" w:hAnsi="Arial"/>
          <w:b/>
          <w:bCs/>
          <w:color w:val="1E293B"/>
          <w:sz w:val="20"/>
          <w:szCs w:val="20"/>
        </w:rPr>
        <w:t xml:space="preserve">Does NOT validate SQL. </w:t>
      </w:r>
      <w:r>
        <w:rPr>
          <w:rFonts w:ascii="Arial" w:cs="Arial" w:eastAsia="Arial" w:hAnsi="Arial"/>
          <w:color w:val="1E293B"/>
          <w:sz w:val="20"/>
          <w:szCs w:val="20"/>
        </w:rPr>
        <w:t xml:space="preserve">That is Layer 6 (Multi-Gate Validation). That layer independently re-verifies using the Permission Envelope.</w:t>
      </w:r>
    </w:p>
    <w:p>
      <w:pPr>
        <w:pStyle w:val="ListParagraph"/>
        <w:numPr>
          <w:ilvl w:val="0"/>
          <w:numId w:val="2"/>
        </w:numPr>
        <w:spacing w:after="80" w:line="276"/>
      </w:pPr>
      <w:r>
        <w:rPr>
          <w:rFonts w:ascii="Arial" w:cs="Arial" w:eastAsia="Arial" w:hAnsi="Arial"/>
          <w:b/>
          <w:bCs/>
          <w:color w:val="1E293B"/>
          <w:sz w:val="20"/>
          <w:szCs w:val="20"/>
        </w:rPr>
        <w:t xml:space="preserve">Does NOT create or modify policies. </w:t>
      </w:r>
      <w:r>
        <w:rPr>
          <w:rFonts w:ascii="Arial" w:cs="Arial" w:eastAsia="Arial" w:hAnsi="Arial"/>
          <w:color w:val="1E293B"/>
          <w:sz w:val="20"/>
          <w:szCs w:val="20"/>
        </w:rPr>
        <w:t xml:space="preserve">Policy administration is a separate operational concern with its own admin console and approval workflow.</w:t>
      </w:r>
    </w:p>
    <w:p>
      <w:pPr>
        <w:pStyle w:val="ListParagraph"/>
        <w:numPr>
          <w:ilvl w:val="0"/>
          <w:numId w:val="2"/>
        </w:numPr>
        <w:spacing w:after="80" w:line="276"/>
      </w:pPr>
      <w:r>
        <w:rPr>
          <w:rFonts w:ascii="Arial" w:cs="Arial" w:eastAsia="Arial" w:hAnsi="Arial"/>
          <w:b/>
          <w:bCs/>
          <w:color w:val="1E293B"/>
          <w:sz w:val="20"/>
          <w:szCs w:val="20"/>
        </w:rPr>
        <w:t xml:space="preserve">Does NOT authenticate users. </w:t>
      </w:r>
      <w:r>
        <w:rPr>
          <w:rFonts w:ascii="Arial" w:cs="Arial" w:eastAsia="Arial" w:hAnsi="Arial"/>
          <w:color w:val="1E293B"/>
          <w:sz w:val="20"/>
          <w:szCs w:val="20"/>
        </w:rPr>
        <w:t xml:space="preserve">That is Layer 1. This layer consumes the authenticated SecurityContext.</w:t>
      </w:r>
    </w:p>
    <w:p>
      <w:pPr>
        <w:pStyle w:val="Heading2"/>
        <w:spacing w:before="300" w:after="160"/>
      </w:pPr>
      <w:r>
        <w:rPr>
          <w:rFonts w:ascii="Arial" w:cs="Arial" w:eastAsia="Arial" w:hAnsi="Arial"/>
          <w:b/>
          <w:bCs/>
          <w:color w:val="1E293B"/>
          <w:sz w:val="26"/>
          <w:szCs w:val="26"/>
        </w:rPr>
        <w:t xml:space="preserve">2.3 Scope Boundaries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BD5E1" w:sz="1"/>
              <w:left w:val="single" w:color="CBD5E1" w:sz="1"/>
              <w:bottom w:val="single" w:color="CBD5E1" w:sz="1"/>
              <w:right w:val="single" w:color="CBD5E1" w:sz="1"/>
            </w:tcBorders>
            <w:shd w:fill="DC2626"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3580"/>
            <w:tcBorders>
              <w:top w:val="single" w:color="CBD5E1" w:sz="1"/>
              <w:left w:val="single" w:color="CBD5E1" w:sz="1"/>
              <w:bottom w:val="single" w:color="CBD5E1" w:sz="1"/>
              <w:right w:val="single" w:color="CBD5E1" w:sz="1"/>
            </w:tcBorders>
            <w:shd w:fill="DC2626" w:val="clear"/>
            <w:tcMar>
              <w:top w:type="dxa" w:w="80"/>
              <w:left w:type="dxa" w:w="120"/>
              <w:bottom w:type="dxa" w:w="80"/>
              <w:right w:type="dxa" w:w="120"/>
            </w:tcMar>
          </w:tcPr>
          <w:p>
            <w:r>
              <w:rPr>
                <w:rFonts w:ascii="Arial" w:cs="Arial" w:eastAsia="Arial" w:hAnsi="Arial"/>
                <w:b/>
                <w:bCs/>
                <w:color w:val="FFFFFF"/>
                <w:sz w:val="20"/>
                <w:szCs w:val="20"/>
              </w:rPr>
              <w:t xml:space="preserve">In Scope</w:t>
            </w:r>
          </w:p>
        </w:tc>
        <w:tc>
          <w:tcPr>
            <w:tcW w:type="dxa" w:w="3580"/>
            <w:tcBorders>
              <w:top w:val="single" w:color="CBD5E1" w:sz="1"/>
              <w:left w:val="single" w:color="CBD5E1" w:sz="1"/>
              <w:bottom w:val="single" w:color="CBD5E1" w:sz="1"/>
              <w:right w:val="single" w:color="CBD5E1" w:sz="1"/>
            </w:tcBorders>
            <w:shd w:fill="DC2626" w:val="clear"/>
            <w:tcMar>
              <w:top w:type="dxa" w:w="80"/>
              <w:left w:type="dxa" w:w="120"/>
              <w:bottom w:type="dxa" w:w="80"/>
              <w:right w:type="dxa" w:w="120"/>
            </w:tcMar>
          </w:tcPr>
          <w:p>
            <w:r>
              <w:rPr>
                <w:rFonts w:ascii="Arial" w:cs="Arial" w:eastAsia="Arial" w:hAnsi="Arial"/>
                <w:b/>
                <w:bCs/>
                <w:color w:val="FFFFFF"/>
                <w:sz w:val="20"/>
                <w:szCs w:val="20"/>
              </w:rPr>
              <w:t xml:space="preserve">Out of Scope</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Policy evaluation</w:t>
            </w:r>
          </w:p>
        </w:tc>
        <w:tc>
          <w:tcPr>
            <w:tcW w:type="dxa" w:w="35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Collecting, filtering, and resolving policies for a specific request</w:t>
            </w:r>
          </w:p>
        </w:tc>
        <w:tc>
          <w:tcPr>
            <w:tcW w:type="dxa" w:w="35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Policy creation, editing, approval workflows, versioning</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76"/>
            </w:pPr>
            <w:r>
              <w:rPr>
                <w:rFonts w:ascii="Arial" w:cs="Arial" w:eastAsia="Arial" w:hAnsi="Arial"/>
                <w:color w:val="1E293B"/>
                <w:sz w:val="20"/>
                <w:szCs w:val="20"/>
              </w:rPr>
              <w:t xml:space="preserve">Conflict resolution</w:t>
            </w:r>
          </w:p>
        </w:tc>
        <w:tc>
          <w:tcPr>
            <w:tcW w:type="dxa" w:w="358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76"/>
            </w:pPr>
            <w:r>
              <w:rPr>
                <w:rFonts w:ascii="Arial" w:cs="Arial" w:eastAsia="Arial" w:hAnsi="Arial"/>
                <w:color w:val="1E293B"/>
                <w:sz w:val="20"/>
                <w:szCs w:val="20"/>
              </w:rPr>
              <w:t xml:space="preserve">Deterministic priority-based resolution for ALLOW/DENY/FILTER/MASK conflicts</w:t>
            </w:r>
          </w:p>
        </w:tc>
        <w:tc>
          <w:tcPr>
            <w:tcW w:type="dxa" w:w="358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76"/>
            </w:pPr>
            <w:r>
              <w:rPr>
                <w:rFonts w:ascii="Arial" w:cs="Arial" w:eastAsia="Arial" w:hAnsi="Arial"/>
                <w:color w:val="1E293B"/>
                <w:sz w:val="20"/>
                <w:szCs w:val="20"/>
              </w:rPr>
              <w:t xml:space="preserve">Policy simulation ('what-if' analysis), impact assessment</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Condition assembly</w:t>
            </w:r>
          </w:p>
        </w:tc>
        <w:tc>
          <w:tcPr>
            <w:tcW w:type="dxa" w:w="35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Row filters, aggregation rules, join restrictions, masking rules</w:t>
            </w:r>
          </w:p>
        </w:tc>
        <w:tc>
          <w:tcPr>
            <w:tcW w:type="dxa" w:w="35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SQL generation, query rewriting, result post-processing</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76"/>
            </w:pPr>
            <w:r>
              <w:rPr>
                <w:rFonts w:ascii="Arial" w:cs="Arial" w:eastAsia="Arial" w:hAnsi="Arial"/>
                <w:color w:val="1E293B"/>
                <w:sz w:val="20"/>
                <w:szCs w:val="20"/>
              </w:rPr>
              <w:t xml:space="preserve">Envelope construction</w:t>
            </w:r>
          </w:p>
        </w:tc>
        <w:tc>
          <w:tcPr>
            <w:tcW w:type="dxa" w:w="358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76"/>
            </w:pPr>
            <w:r>
              <w:rPr>
                <w:rFonts w:ascii="Arial" w:cs="Arial" w:eastAsia="Arial" w:hAnsi="Arial"/>
                <w:color w:val="1E293B"/>
                <w:sz w:val="20"/>
                <w:szCs w:val="20"/>
              </w:rPr>
              <w:t xml:space="preserve">Signed Permission Envelope with structured + NL rules</w:t>
            </w:r>
          </w:p>
        </w:tc>
        <w:tc>
          <w:tcPr>
            <w:tcW w:type="dxa" w:w="358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76"/>
            </w:pPr>
            <w:r>
              <w:rPr>
                <w:rFonts w:ascii="Arial" w:cs="Arial" w:eastAsia="Arial" w:hAnsi="Arial"/>
                <w:color w:val="1E293B"/>
                <w:sz w:val="20"/>
                <w:szCs w:val="20"/>
              </w:rPr>
              <w:t xml:space="preserve">Envelope caching across sessions, envelope forwarding to external systems</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Break-the-glass</w:t>
            </w:r>
          </w:p>
        </w:tc>
        <w:tc>
          <w:tcPr>
            <w:tcW w:type="dxa" w:w="35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Evaluating active BTG tokens and applying emergency overrides</w:t>
            </w:r>
          </w:p>
        </w:tc>
        <w:tc>
          <w:tcPr>
            <w:tcW w:type="dxa" w:w="35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BTG initiation, approval, justification collection, retrospective review</w:t>
            </w:r>
          </w:p>
        </w:tc>
      </w:tr>
    </w:tbl>
    <w:p>
      <w:pPr>
        <w:spacing w:after="80"/>
      </w:pPr>
    </w:p>
    <w:p>
      <w:r>
        <w:br w:type="page"/>
      </w:r>
    </w:p>
    <w:p>
      <w:pPr>
        <w:pStyle w:val="Heading1"/>
        <w:spacing w:before="360" w:after="200"/>
      </w:pPr>
      <w:r>
        <w:rPr>
          <w:rFonts w:ascii="Arial" w:cs="Arial" w:eastAsia="Arial" w:hAnsi="Arial"/>
          <w:b/>
          <w:bCs/>
          <w:color w:val="DC2626"/>
          <w:sz w:val="32"/>
          <w:szCs w:val="32"/>
        </w:rPr>
        <w:t xml:space="preserve">3. Architectural Context &amp; Position</w:t>
      </w:r>
    </w:p>
    <w:p>
      <w:pPr>
        <w:pStyle w:val="Heading2"/>
        <w:spacing w:before="300" w:after="160"/>
      </w:pPr>
      <w:r>
        <w:rPr>
          <w:rFonts w:ascii="Arial" w:cs="Arial" w:eastAsia="Arial" w:hAnsi="Arial"/>
          <w:b/>
          <w:bCs/>
          <w:color w:val="1E293B"/>
          <w:sz w:val="26"/>
          <w:szCs w:val="26"/>
        </w:rPr>
        <w:t xml:space="preserve">3.1 Pipeline Position</w:t>
      </w:r>
    </w:p>
    <w:p>
      <w:pPr>
        <w:spacing w:after="160" w:line="276"/>
      </w:pPr>
      <w:r>
        <w:rPr>
          <w:rFonts w:ascii="Arial" w:cs="Arial" w:eastAsia="Arial" w:hAnsi="Arial"/>
          <w:color w:val="1E293B"/>
          <w:sz w:val="20"/>
          <w:szCs w:val="20"/>
        </w:rPr>
        <w:t xml:space="preserve">The Policy Resolution Layer sits at position 4 in the 8-layer pipeline. It is tightly coupled with the Retrieval Layer (L3): the Retrieval Layer calls L4 synchronously during Phase 2 (RBAC pre-filter) and Phase 3 (full policy resolution) of its pipeline. The L3–L4 interaction happens within a single HTTP request lifecycle.</w:t>
      </w:r>
    </w:p>
    <w:p>
      <w:pPr>
        <w:spacing w:after="160" w:line="276"/>
      </w:pPr>
      <w:r>
        <w:rPr>
          <w:rFonts w:ascii="Arial" w:cs="Arial" w:eastAsia="Arial" w:hAnsi="Arial"/>
          <w:b/>
          <w:bCs/>
          <w:color w:val="1E293B"/>
          <w:sz w:val="20"/>
          <w:szCs w:val="20"/>
        </w:rPr>
        <w:t xml:space="preserve">Architectural significance: </w:t>
      </w:r>
      <w:r>
        <w:rPr>
          <w:rFonts w:ascii="Arial" w:cs="Arial" w:eastAsia="Arial" w:hAnsi="Arial"/>
          <w:color w:val="1E293B"/>
          <w:sz w:val="20"/>
          <w:szCs w:val="20"/>
        </w:rPr>
        <w:t xml:space="preserve">This layer is the single source of truth for access decisions. No other layer makes independent authorization decisions. The Retrieval Layer uses the Permission Envelope to filter schema. The Secure Generation Layer uses it to assemble the LLM prompt. The Multi-Gate Validation Layer uses it to verify the generated SQL. All three consume the same signed envelope — ensuring consistency across the entire pipeline.</w:t>
      </w:r>
    </w:p>
    <w:p>
      <w:pPr>
        <w:pStyle w:val="Heading2"/>
        <w:spacing w:before="300" w:after="160"/>
      </w:pPr>
      <w:r>
        <w:rPr>
          <w:rFonts w:ascii="Arial" w:cs="Arial" w:eastAsia="Arial" w:hAnsi="Arial"/>
          <w:b/>
          <w:bCs/>
          <w:color w:val="1E293B"/>
          <w:sz w:val="26"/>
          <w:szCs w:val="26"/>
        </w:rPr>
        <w:t xml:space="preserve">3.2 Upstream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BD5E1" w:sz="1"/>
              <w:left w:val="single" w:color="CBD5E1" w:sz="1"/>
              <w:bottom w:val="single" w:color="CBD5E1" w:sz="1"/>
              <w:right w:val="single" w:color="CBD5E1" w:sz="1"/>
            </w:tcBorders>
            <w:shd w:fill="DC2626"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580"/>
            <w:tcBorders>
              <w:top w:val="single" w:color="CBD5E1" w:sz="1"/>
              <w:left w:val="single" w:color="CBD5E1" w:sz="1"/>
              <w:bottom w:val="single" w:color="CBD5E1" w:sz="1"/>
              <w:right w:val="single" w:color="CBD5E1" w:sz="1"/>
            </w:tcBorders>
            <w:shd w:fill="DC2626" w:val="clear"/>
            <w:tcMar>
              <w:top w:type="dxa" w:w="80"/>
              <w:left w:type="dxa" w:w="120"/>
              <w:bottom w:type="dxa" w:w="80"/>
              <w:right w:type="dxa" w:w="120"/>
            </w:tcMar>
          </w:tcPr>
          <w:p>
            <w:r>
              <w:rPr>
                <w:rFonts w:ascii="Arial" w:cs="Arial" w:eastAsia="Arial" w:hAnsi="Arial"/>
                <w:b/>
                <w:bCs/>
                <w:color w:val="FFFFFF"/>
                <w:sz w:val="20"/>
                <w:szCs w:val="20"/>
              </w:rPr>
              <w:t xml:space="preserve">What It Provides</w:t>
            </w:r>
          </w:p>
        </w:tc>
        <w:tc>
          <w:tcPr>
            <w:tcW w:type="dxa" w:w="3580"/>
            <w:tcBorders>
              <w:top w:val="single" w:color="CBD5E1" w:sz="1"/>
              <w:left w:val="single" w:color="CBD5E1" w:sz="1"/>
              <w:bottom w:val="single" w:color="CBD5E1" w:sz="1"/>
              <w:right w:val="single" w:color="CBD5E1" w:sz="1"/>
            </w:tcBorders>
            <w:shd w:fill="DC2626" w:val="clear"/>
            <w:tcMar>
              <w:top w:type="dxa" w:w="80"/>
              <w:left w:type="dxa" w:w="120"/>
              <w:bottom w:type="dxa" w:w="80"/>
              <w:right w:type="dxa" w:w="120"/>
            </w:tcMar>
          </w:tcPr>
          <w:p>
            <w:r>
              <w:rPr>
                <w:rFonts w:ascii="Arial" w:cs="Arial" w:eastAsia="Arial" w:hAnsi="Arial"/>
                <w:b/>
                <w:bCs/>
                <w:color w:val="FFFFFF"/>
                <w:sz w:val="20"/>
                <w:szCs w:val="20"/>
              </w:rPr>
              <w:t xml:space="preserve">How Policy Resolution Consumes It</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L1: Identity &amp; Context</w:t>
            </w:r>
          </w:p>
        </w:tc>
        <w:tc>
          <w:tcPr>
            <w:tcW w:type="dxa" w:w="35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SecurityContext: user_id, effective_roles[], department, unit_id, provider_id, facility_id, clearance_level, session_id, btg_token (if active)</w:t>
            </w:r>
          </w:p>
        </w:tc>
        <w:tc>
          <w:tcPr>
            <w:tcW w:type="dxa" w:w="35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Used for role-based policy lookup, row filter parameter injection (provider_id, unit_id), clearance-based sensitivity filtering, and BTG token validation</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76"/>
            </w:pPr>
            <w:r>
              <w:rPr>
                <w:rFonts w:ascii="Arial" w:cs="Arial" w:eastAsia="Arial" w:hAnsi="Arial"/>
                <w:color w:val="1E293B"/>
                <w:sz w:val="20"/>
                <w:szCs w:val="20"/>
              </w:rPr>
              <w:t xml:space="preserve">L2: Knowledge Graph</w:t>
            </w:r>
          </w:p>
        </w:tc>
        <w:tc>
          <w:tcPr>
            <w:tcW w:type="dxa" w:w="358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76"/>
            </w:pPr>
            <w:r>
              <w:rPr>
                <w:rFonts w:ascii="Arial" w:cs="Arial" w:eastAsia="Arial" w:hAnsi="Arial"/>
                <w:color w:val="1E293B"/>
                <w:sz w:val="20"/>
                <w:szCs w:val="20"/>
              </w:rPr>
              <w:t xml:space="preserve">Policy graph in Neo4j: Policy nodes with structured_rule + nl_description, APPLIES_TO_ROLE / APPLIES_TO_TABLE / APPLIES_TO_DOMAIN relationships, role hierarchy with INHERITS_FROM edges, data classification nodes (sensitivity levels, PII types, masking strategies)</w:t>
            </w:r>
          </w:p>
        </w:tc>
        <w:tc>
          <w:tcPr>
            <w:tcW w:type="dxa" w:w="358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76"/>
            </w:pPr>
            <w:r>
              <w:rPr>
                <w:rFonts w:ascii="Arial" w:cs="Arial" w:eastAsia="Arial" w:hAnsi="Arial"/>
                <w:color w:val="1E293B"/>
                <w:sz w:val="20"/>
                <w:szCs w:val="20"/>
              </w:rPr>
              <w:t xml:space="preserve">Primary data source. All policy evaluation happens by traversing this graph via Cypher queries.</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L3: Intelligent Retrieval</w:t>
            </w:r>
          </w:p>
        </w:tc>
        <w:tc>
          <w:tcPr>
            <w:tcW w:type="dxa" w:w="35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Candidate table IDs: the set of semantically relevant tables identified by vector search (5–10 tables after RBAC domain pre-filter)</w:t>
            </w:r>
          </w:p>
        </w:tc>
        <w:tc>
          <w:tcPr>
            <w:tcW w:type="dxa" w:w="35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The scope of policy evaluation. L4 only evaluates policies for candidate tables, not the entire 200-table schema. This keeps resolution fast and focused.</w:t>
            </w:r>
          </w:p>
        </w:tc>
      </w:tr>
    </w:tbl>
    <w:p>
      <w:pPr>
        <w:pStyle w:val="Heading2"/>
        <w:spacing w:before="300" w:after="160"/>
      </w:pPr>
      <w:r>
        <w:rPr>
          <w:rFonts w:ascii="Arial" w:cs="Arial" w:eastAsia="Arial" w:hAnsi="Arial"/>
          <w:b/>
          <w:bCs/>
          <w:color w:val="1E293B"/>
          <w:sz w:val="26"/>
          <w:szCs w:val="26"/>
        </w:rPr>
        <w:t xml:space="preserve">3.3 Downstream Consumers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BD5E1" w:sz="1"/>
              <w:left w:val="single" w:color="CBD5E1" w:sz="1"/>
              <w:bottom w:val="single" w:color="CBD5E1" w:sz="1"/>
              <w:right w:val="single" w:color="CBD5E1" w:sz="1"/>
            </w:tcBorders>
            <w:shd w:fill="DC2626"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580"/>
            <w:tcBorders>
              <w:top w:val="single" w:color="CBD5E1" w:sz="1"/>
              <w:left w:val="single" w:color="CBD5E1" w:sz="1"/>
              <w:bottom w:val="single" w:color="CBD5E1" w:sz="1"/>
              <w:right w:val="single" w:color="CBD5E1" w:sz="1"/>
            </w:tcBorders>
            <w:shd w:fill="DC2626" w:val="clear"/>
            <w:tcMar>
              <w:top w:type="dxa" w:w="80"/>
              <w:left w:type="dxa" w:w="120"/>
              <w:bottom w:type="dxa" w:w="80"/>
              <w:right w:type="dxa" w:w="120"/>
            </w:tcMar>
          </w:tcPr>
          <w:p>
            <w:r>
              <w:rPr>
                <w:rFonts w:ascii="Arial" w:cs="Arial" w:eastAsia="Arial" w:hAnsi="Arial"/>
                <w:b/>
                <w:bCs/>
                <w:color w:val="FFFFFF"/>
                <w:sz w:val="20"/>
                <w:szCs w:val="20"/>
              </w:rPr>
              <w:t xml:space="preserve">What It Receives</w:t>
            </w:r>
          </w:p>
        </w:tc>
        <w:tc>
          <w:tcPr>
            <w:tcW w:type="dxa" w:w="3580"/>
            <w:tcBorders>
              <w:top w:val="single" w:color="CBD5E1" w:sz="1"/>
              <w:left w:val="single" w:color="CBD5E1" w:sz="1"/>
              <w:bottom w:val="single" w:color="CBD5E1" w:sz="1"/>
              <w:right w:val="single" w:color="CBD5E1" w:sz="1"/>
            </w:tcBorders>
            <w:shd w:fill="DC2626" w:val="clear"/>
            <w:tcMar>
              <w:top w:type="dxa" w:w="80"/>
              <w:left w:type="dxa" w:w="120"/>
              <w:bottom w:type="dxa" w:w="80"/>
              <w:right w:type="dxa" w:w="120"/>
            </w:tcMar>
          </w:tcPr>
          <w:p>
            <w:r>
              <w:rPr>
                <w:rFonts w:ascii="Arial" w:cs="Arial" w:eastAsia="Arial" w:hAnsi="Arial"/>
                <w:b/>
                <w:bCs/>
                <w:color w:val="FFFFFF"/>
                <w:sz w:val="20"/>
                <w:szCs w:val="20"/>
              </w:rPr>
              <w:t xml:space="preserve">How It Uses the Envelope</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L3: Intelligent Retrieval</w:t>
            </w:r>
          </w:p>
        </w:tc>
        <w:tc>
          <w:tcPr>
            <w:tcW w:type="dxa" w:w="35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Permission Envelope (table decisions, column classifications, row filters, masking rules)</w:t>
            </w:r>
          </w:p>
        </w:tc>
        <w:tc>
          <w:tcPr>
            <w:tcW w:type="dxa" w:w="35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Applies column-level scoping: strips denied columns, flags masked columns, generates DDL fragments. Constructs filtered join graph.</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76"/>
            </w:pPr>
            <w:r>
              <w:rPr>
                <w:rFonts w:ascii="Arial" w:cs="Arial" w:eastAsia="Arial" w:hAnsi="Arial"/>
                <w:color w:val="1E293B"/>
                <w:sz w:val="20"/>
                <w:szCs w:val="20"/>
              </w:rPr>
              <w:t xml:space="preserve">L5: Secure Generation</w:t>
            </w:r>
          </w:p>
        </w:tc>
        <w:tc>
          <w:tcPr>
            <w:tcW w:type="dxa" w:w="358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76"/>
            </w:pPr>
            <w:r>
              <w:rPr>
                <w:rFonts w:ascii="Arial" w:cs="Arial" w:eastAsia="Arial" w:hAnsi="Arial"/>
                <w:color w:val="1E293B"/>
                <w:sz w:val="20"/>
                <w:szCs w:val="20"/>
              </w:rPr>
              <w:t xml:space="preserve">Permission Envelope (nl_rules[] and structured decisions)</w:t>
            </w:r>
          </w:p>
        </w:tc>
        <w:tc>
          <w:tcPr>
            <w:tcW w:type="dxa" w:w="358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76"/>
            </w:pPr>
            <w:r>
              <w:rPr>
                <w:rFonts w:ascii="Arial" w:cs="Arial" w:eastAsia="Arial" w:hAnsi="Arial"/>
                <w:color w:val="1E293B"/>
                <w:sz w:val="20"/>
                <w:szCs w:val="20"/>
              </w:rPr>
              <w:t xml:space="preserve">Injects NL policy rules into the LLM prompt. Ensures the LLM is explicitly told what it can and cannot include in the SQL.</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L6: Multi-Gate Validation</w:t>
            </w:r>
          </w:p>
        </w:tc>
        <w:tc>
          <w:tcPr>
            <w:tcW w:type="dxa" w:w="35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Permission Envelope (full structured decisions)</w:t>
            </w:r>
          </w:p>
        </w:tc>
        <w:tc>
          <w:tcPr>
            <w:tcW w:type="dxa" w:w="35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Independent re-verification: Gate 1 (structural validation) checks every table, column, and join in the generated SQL against the envelope. The validator trusts nothing from upstream.</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76"/>
            </w:pPr>
            <w:r>
              <w:rPr>
                <w:rFonts w:ascii="Arial" w:cs="Arial" w:eastAsia="Arial" w:hAnsi="Arial"/>
                <w:color w:val="1E293B"/>
                <w:sz w:val="20"/>
                <w:szCs w:val="20"/>
              </w:rPr>
              <w:t xml:space="preserve">L8: Audit &amp; Anomaly</w:t>
            </w:r>
          </w:p>
        </w:tc>
        <w:tc>
          <w:tcPr>
            <w:tcW w:type="dxa" w:w="358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76"/>
            </w:pPr>
            <w:r>
              <w:rPr>
                <w:rFonts w:ascii="Arial" w:cs="Arial" w:eastAsia="Arial" w:hAnsi="Arial"/>
                <w:color w:val="1E293B"/>
                <w:sz w:val="20"/>
                <w:szCs w:val="20"/>
              </w:rPr>
              <w:t xml:space="preserve">Permission Envelope (complete, including denied_tables and denial reasons)</w:t>
            </w:r>
          </w:p>
        </w:tc>
        <w:tc>
          <w:tcPr>
            <w:tcW w:type="dxa" w:w="358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76"/>
            </w:pPr>
            <w:r>
              <w:rPr>
                <w:rFonts w:ascii="Arial" w:cs="Arial" w:eastAsia="Arial" w:hAnsi="Arial"/>
                <w:color w:val="1E293B"/>
                <w:sz w:val="20"/>
                <w:szCs w:val="20"/>
              </w:rPr>
              <w:t xml:space="preserve">Logs every policy decision for compliance audit trail. Flags anomalies: unexpected denials, BTG activations, sensitivity-5 access attempts.</w:t>
            </w:r>
          </w:p>
        </w:tc>
      </w:tr>
    </w:tbl>
    <w:p>
      <w:pPr>
        <w:spacing w:after="80"/>
      </w:pPr>
    </w:p>
    <w:p>
      <w:r>
        <w:br w:type="page"/>
      </w:r>
    </w:p>
    <w:p>
      <w:pPr>
        <w:pStyle w:val="Heading1"/>
        <w:spacing w:before="360" w:after="200"/>
      </w:pPr>
      <w:r>
        <w:rPr>
          <w:rFonts w:ascii="Arial" w:cs="Arial" w:eastAsia="Arial" w:hAnsi="Arial"/>
          <w:b/>
          <w:bCs/>
          <w:color w:val="DC2626"/>
          <w:sz w:val="32"/>
          <w:szCs w:val="32"/>
        </w:rPr>
        <w:t xml:space="preserve">4. Component Architecture Overview</w:t>
      </w:r>
    </w:p>
    <w:p>
      <w:pPr>
        <w:spacing w:after="160" w:line="276"/>
      </w:pPr>
      <w:r>
        <w:rPr>
          <w:rFonts w:ascii="Arial" w:cs="Arial" w:eastAsia="Arial" w:hAnsi="Arial"/>
          <w:color w:val="1E293B"/>
          <w:sz w:val="20"/>
          <w:szCs w:val="20"/>
        </w:rPr>
        <w:t xml:space="preserve">The Policy Resolution Layer consists of five internal components that execute in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1800"/>
        <w:gridCol w:w="1800"/>
        <w:gridCol w:w="1760"/>
      </w:tblGrid>
      <w:tr>
        <w:tc>
          <w:tcPr>
            <w:tcW w:type="dxa" w:w="1800"/>
            <w:tcBorders>
              <w:top w:val="single" w:color="CBD5E1" w:sz="1"/>
              <w:left w:val="single" w:color="CBD5E1" w:sz="1"/>
              <w:bottom w:val="single" w:color="CBD5E1" w:sz="1"/>
              <w:right w:val="single" w:color="CBD5E1" w:sz="1"/>
            </w:tcBorders>
            <w:shd w:fill="DC2626"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200"/>
            <w:tcBorders>
              <w:top w:val="single" w:color="CBD5E1" w:sz="1"/>
              <w:left w:val="single" w:color="CBD5E1" w:sz="1"/>
              <w:bottom w:val="single" w:color="CBD5E1" w:sz="1"/>
              <w:right w:val="single" w:color="CBD5E1" w:sz="1"/>
            </w:tcBorders>
            <w:shd w:fill="DC2626"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c>
          <w:tcPr>
            <w:tcW w:type="dxa" w:w="1800"/>
            <w:tcBorders>
              <w:top w:val="single" w:color="CBD5E1" w:sz="1"/>
              <w:left w:val="single" w:color="CBD5E1" w:sz="1"/>
              <w:bottom w:val="single" w:color="CBD5E1" w:sz="1"/>
              <w:right w:val="single" w:color="CBD5E1" w:sz="1"/>
            </w:tcBorders>
            <w:shd w:fill="DC2626" w:val="clear"/>
            <w:tcMar>
              <w:top w:type="dxa" w:w="80"/>
              <w:left w:type="dxa" w:w="120"/>
              <w:bottom w:type="dxa" w:w="80"/>
              <w:right w:type="dxa" w:w="120"/>
            </w:tcMar>
          </w:tcPr>
          <w:p>
            <w:r>
              <w:rPr>
                <w:rFonts w:ascii="Arial" w:cs="Arial" w:eastAsia="Arial" w:hAnsi="Arial"/>
                <w:b/>
                <w:bCs/>
                <w:color w:val="FFFFFF"/>
                <w:sz w:val="20"/>
                <w:szCs w:val="20"/>
              </w:rPr>
              <w:t xml:space="preserve">Input</w:t>
            </w:r>
          </w:p>
        </w:tc>
        <w:tc>
          <w:tcPr>
            <w:tcW w:type="dxa" w:w="1800"/>
            <w:tcBorders>
              <w:top w:val="single" w:color="CBD5E1" w:sz="1"/>
              <w:left w:val="single" w:color="CBD5E1" w:sz="1"/>
              <w:bottom w:val="single" w:color="CBD5E1" w:sz="1"/>
              <w:right w:val="single" w:color="CBD5E1" w:sz="1"/>
            </w:tcBorders>
            <w:shd w:fill="DC2626" w:val="clear"/>
            <w:tcMar>
              <w:top w:type="dxa" w:w="80"/>
              <w:left w:type="dxa" w:w="120"/>
              <w:bottom w:type="dxa" w:w="80"/>
              <w:right w:type="dxa" w:w="120"/>
            </w:tcMar>
          </w:tcPr>
          <w:p>
            <w:r>
              <w:rPr>
                <w:rFonts w:ascii="Arial" w:cs="Arial" w:eastAsia="Arial" w:hAnsi="Arial"/>
                <w:b/>
                <w:bCs/>
                <w:color w:val="FFFFFF"/>
                <w:sz w:val="20"/>
                <w:szCs w:val="20"/>
              </w:rPr>
              <w:t xml:space="preserve">Output</w:t>
            </w:r>
          </w:p>
        </w:tc>
        <w:tc>
          <w:tcPr>
            <w:tcW w:type="dxa" w:w="1760"/>
            <w:tcBorders>
              <w:top w:val="single" w:color="CBD5E1" w:sz="1"/>
              <w:left w:val="single" w:color="CBD5E1" w:sz="1"/>
              <w:bottom w:val="single" w:color="CBD5E1" w:sz="1"/>
              <w:right w:val="single" w:color="CBD5E1" w:sz="1"/>
            </w:tcBorders>
            <w:shd w:fill="DC2626" w:val="clear"/>
            <w:tcMar>
              <w:top w:type="dxa" w:w="80"/>
              <w:left w:type="dxa" w:w="120"/>
              <w:bottom w:type="dxa" w:w="80"/>
              <w:right w:type="dxa" w:w="120"/>
            </w:tcMar>
          </w:tcPr>
          <w:p>
            <w:r>
              <w:rPr>
                <w:rFonts w:ascii="Arial" w:cs="Arial" w:eastAsia="Arial" w:hAnsi="Arial"/>
                <w:b/>
                <w:bCs/>
                <w:color w:val="FFFFFF"/>
                <w:sz w:val="20"/>
                <w:szCs w:val="20"/>
              </w:rPr>
              <w:t xml:space="preserve">Latency Budget</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Effective Policy Collector</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Traverse role hierarchy, collect all applicable policies for effective_roles[] scoped to candidate tables</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effective_roles[], candidate_table_ids[]</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PolicySet: all matching Policy nodes with their targets and structured_rules</w:t>
            </w:r>
          </w:p>
        </w:tc>
        <w:tc>
          <w:tcPr>
            <w:tcW w:type="dxa" w:w="1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5–10ms</w:t>
            </w:r>
          </w:p>
        </w:tc>
      </w:tr>
      <w:tr>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76"/>
            </w:pPr>
            <w:r>
              <w:rPr>
                <w:rFonts w:ascii="Arial" w:cs="Arial" w:eastAsia="Arial" w:hAnsi="Arial"/>
                <w:color w:val="1E293B"/>
                <w:sz w:val="20"/>
                <w:szCs w:val="20"/>
              </w:rPr>
              <w:t xml:space="preserve">Conflict Resolution Engine</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76"/>
            </w:pPr>
            <w:r>
              <w:rPr>
                <w:rFonts w:ascii="Arial" w:cs="Arial" w:eastAsia="Arial" w:hAnsi="Arial"/>
                <w:color w:val="1E293B"/>
                <w:sz w:val="20"/>
                <w:szCs w:val="20"/>
              </w:rPr>
              <w:t xml:space="preserve">Apply deterministic priority algorithm to resolve ALLOW/DENY/FILTER/MASK conflicts per table and per column</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76"/>
            </w:pPr>
            <w:r>
              <w:rPr>
                <w:rFonts w:ascii="Arial" w:cs="Arial" w:eastAsia="Arial" w:hAnsi="Arial"/>
                <w:color w:val="1E293B"/>
                <w:sz w:val="20"/>
                <w:szCs w:val="20"/>
              </w:rPr>
              <w:t xml:space="preserve">PolicySet</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76"/>
            </w:pPr>
            <w:r>
              <w:rPr>
                <w:rFonts w:ascii="Arial" w:cs="Arial" w:eastAsia="Arial" w:hAnsi="Arial"/>
                <w:color w:val="1E293B"/>
                <w:sz w:val="20"/>
                <w:szCs w:val="20"/>
              </w:rPr>
              <w:t xml:space="preserve">ResolvedDecisions: per-table effect (ALLOW/DENY), per-column classification (VISIBLE/MASKED/HIDDEN)</w:t>
            </w:r>
          </w:p>
        </w:tc>
        <w:tc>
          <w:tcPr>
            <w:tcW w:type="dxa" w:w="17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76"/>
            </w:pPr>
            <w:r>
              <w:rPr>
                <w:rFonts w:ascii="Arial" w:cs="Arial" w:eastAsia="Arial" w:hAnsi="Arial"/>
                <w:color w:val="1E293B"/>
                <w:sz w:val="20"/>
                <w:szCs w:val="20"/>
              </w:rPr>
              <w:t xml:space="preserve">2–5ms</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Condition Aggregator</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Collect and merge all row filters, aggregation requirements, join restrictions, max_rows, and time constraints</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PolicySet + ResolvedDecisions</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ConditionSet: row_filters[], join_restrictions[], aggregation_flags{}, max_rows{}</w:t>
            </w:r>
          </w:p>
        </w:tc>
        <w:tc>
          <w:tcPr>
            <w:tcW w:type="dxa" w:w="1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1–3ms</w:t>
            </w:r>
          </w:p>
        </w:tc>
      </w:tr>
      <w:tr>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76"/>
            </w:pPr>
            <w:r>
              <w:rPr>
                <w:rFonts w:ascii="Arial" w:cs="Arial" w:eastAsia="Arial" w:hAnsi="Arial"/>
                <w:color w:val="1E293B"/>
                <w:sz w:val="20"/>
                <w:szCs w:val="20"/>
              </w:rPr>
              <w:t xml:space="preserve">NL Rule Generator</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76"/>
            </w:pPr>
            <w:r>
              <w:rPr>
                <w:rFonts w:ascii="Arial" w:cs="Arial" w:eastAsia="Arial" w:hAnsi="Arial"/>
                <w:color w:val="1E293B"/>
                <w:sz w:val="20"/>
                <w:szCs w:val="20"/>
              </w:rPr>
              <w:t xml:space="preserve">Convert machine-readable decisions into natural language rules for LLM prompt injection</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76"/>
            </w:pPr>
            <w:r>
              <w:rPr>
                <w:rFonts w:ascii="Arial" w:cs="Arial" w:eastAsia="Arial" w:hAnsi="Arial"/>
                <w:color w:val="1E293B"/>
                <w:sz w:val="20"/>
                <w:szCs w:val="20"/>
              </w:rPr>
              <w:t xml:space="preserve">ResolvedDecisions + ConditionSet</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76"/>
            </w:pPr>
            <w:r>
              <w:rPr>
                <w:rFonts w:ascii="Arial" w:cs="Arial" w:eastAsia="Arial" w:hAnsi="Arial"/>
                <w:color w:val="1E293B"/>
                <w:sz w:val="20"/>
                <w:szCs w:val="20"/>
              </w:rPr>
              <w:t xml:space="preserve">nl_rules[]: array of human-readable policy statements</w:t>
            </w:r>
          </w:p>
        </w:tc>
        <w:tc>
          <w:tcPr>
            <w:tcW w:type="dxa" w:w="17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76"/>
            </w:pPr>
            <w:r>
              <w:rPr>
                <w:rFonts w:ascii="Arial" w:cs="Arial" w:eastAsia="Arial" w:hAnsi="Arial"/>
                <w:color w:val="1E293B"/>
                <w:sz w:val="20"/>
                <w:szCs w:val="20"/>
              </w:rPr>
              <w:t xml:space="preserve">1–2ms</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Permission Envelope Builder</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Package all decisions, conditions, and rules into a signed, versioned envelope</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ResolvedDecisions + ConditionSet + nl_rules[]</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Signed PermissionEnvelope object</w:t>
            </w:r>
          </w:p>
        </w:tc>
        <w:tc>
          <w:tcPr>
            <w:tcW w:type="dxa" w:w="1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1–2ms</w:t>
            </w:r>
          </w:p>
        </w:tc>
      </w:tr>
    </w:tbl>
    <w:p>
      <w:pPr>
        <w:spacing w:after="160" w:line="276"/>
      </w:pPr>
      <w:r>
        <w:rPr>
          <w:rFonts w:ascii="Arial" w:cs="Arial" w:eastAsia="Arial" w:hAnsi="Arial"/>
          <w:b/>
          <w:bCs/>
          <w:color w:val="1E293B"/>
          <w:sz w:val="20"/>
          <w:szCs w:val="20"/>
        </w:rPr>
        <w:t xml:space="preserve">Total target latency: </w:t>
      </w:r>
      <w:r>
        <w:rPr>
          <w:rFonts w:ascii="Arial" w:cs="Arial" w:eastAsia="Arial" w:hAnsi="Arial"/>
          <w:color w:val="1E293B"/>
          <w:sz w:val="20"/>
          <w:szCs w:val="20"/>
        </w:rPr>
        <w:t xml:space="preserve">&lt; 30ms P95 for the complete policy resolution pipeline. This is the latency budget allocated by the Retrieval Layer (L3), which calls L4 synchronously.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1"/>
              <w:left w:val="single" w:color="DC2626" w:sz="12"/>
              <w:bottom w:val="single" w:color="DC2626" w:sz="1"/>
              <w:right w:val="single" w:color="DC2626" w:sz="1"/>
            </w:tcBorders>
            <w:shd w:fill="FEF2F2" w:val="clear"/>
            <w:tcMar>
              <w:top w:type="dxa" w:w="120"/>
              <w:left w:type="dxa" w:w="200"/>
              <w:bottom w:type="dxa" w:w="120"/>
              <w:right w:type="dxa" w:w="200"/>
            </w:tcMar>
          </w:tcPr>
          <w:p>
            <w:pPr>
              <w:spacing w:after="60"/>
            </w:pPr>
            <w:r>
              <w:rPr>
                <w:rFonts w:ascii="Arial" w:cs="Arial" w:eastAsia="Arial" w:hAnsi="Arial"/>
                <w:b/>
                <w:bCs/>
                <w:color w:val="DC2626"/>
                <w:sz w:val="20"/>
                <w:szCs w:val="20"/>
              </w:rPr>
              <w:t xml:space="preserve">DETERMINISM GUARANTEE</w:t>
            </w:r>
          </w:p>
          <w:p>
            <w:pPr>
              <w:spacing w:line="276"/>
            </w:pPr>
            <w:r>
              <w:rPr>
                <w:rFonts w:ascii="Arial" w:cs="Arial" w:eastAsia="Arial" w:hAnsi="Arial"/>
                <w:color w:val="1E293B"/>
                <w:sz w:val="20"/>
                <w:szCs w:val="20"/>
              </w:rPr>
              <w:t xml:space="preserve">The Policy Resolution Engine is 100% deterministic. Given the same SecurityContext, the same candidate tables, and the same policy graph state, it will ALWAYS produce the same Permission Envelope. There is no randomness, no probabilistic logic, and no LLM involvement in policy decisions. This is auditable, reproducible, and legally defensible.</w:t>
            </w:r>
          </w:p>
        </w:tc>
      </w:tr>
    </w:tbl>
    <w:p>
      <w:pPr>
        <w:spacing w:after="80"/>
      </w:pPr>
    </w:p>
    <w:p>
      <w:r>
        <w:br w:type="page"/>
      </w:r>
    </w:p>
    <w:p>
      <w:pPr>
        <w:pStyle w:val="Heading1"/>
        <w:spacing w:before="360" w:after="200"/>
      </w:pPr>
      <w:r>
        <w:rPr>
          <w:rFonts w:ascii="Arial" w:cs="Arial" w:eastAsia="Arial" w:hAnsi="Arial"/>
          <w:b/>
          <w:bCs/>
          <w:color w:val="DC2626"/>
          <w:sz w:val="32"/>
          <w:szCs w:val="32"/>
        </w:rPr>
        <w:t xml:space="preserve">5. Policy Data Model</w:t>
      </w:r>
    </w:p>
    <w:p>
      <w:pPr>
        <w:pStyle w:val="Heading2"/>
        <w:spacing w:before="300" w:after="160"/>
      </w:pPr>
      <w:r>
        <w:rPr>
          <w:rFonts w:ascii="Arial" w:cs="Arial" w:eastAsia="Arial" w:hAnsi="Arial"/>
          <w:b/>
          <w:bCs/>
          <w:color w:val="1E293B"/>
          <w:sz w:val="26"/>
          <w:szCs w:val="26"/>
        </w:rPr>
        <w:t xml:space="preserve">5.1 Policy Node Structure</w:t>
      </w:r>
    </w:p>
    <w:p>
      <w:pPr>
        <w:spacing w:after="160" w:line="276"/>
      </w:pPr>
      <w:r>
        <w:rPr>
          <w:rFonts w:ascii="Arial" w:cs="Arial" w:eastAsia="Arial" w:hAnsi="Arial"/>
          <w:color w:val="1E293B"/>
          <w:sz w:val="20"/>
          <w:szCs w:val="20"/>
        </w:rPr>
        <w:t xml:space="preserve">Every policy in the Knowledge Graph is represented as a Policy node with the following properties:</w:t>
      </w:r>
    </w:p>
    <w:p>
      <w:pPr>
        <w:spacing w:after="20"/>
      </w:pPr>
      <w:r>
        <w:rPr>
          <w:rFonts w:ascii="Courier New" w:cs="Courier New" w:eastAsia="Courier New" w:hAnsi="Courier New"/>
          <w:color w:val="DC2626"/>
          <w:sz w:val="18"/>
          <w:szCs w:val="18"/>
        </w:rPr>
        <w:t xml:space="preserve">(:Policy {</w:t>
      </w:r>
    </w:p>
    <w:p>
      <w:pPr>
        <w:spacing w:after="20"/>
      </w:pPr>
      <w:r>
        <w:rPr>
          <w:rFonts w:ascii="Courier New" w:cs="Courier New" w:eastAsia="Courier New" w:hAnsi="Courier New"/>
          <w:color w:val="DC2626"/>
          <w:sz w:val="18"/>
          <w:szCs w:val="18"/>
        </w:rPr>
        <w:t xml:space="preserve">  policy_id: STRING,          // Unique identifier (e.g., 'HIPAA-001')</w:t>
      </w:r>
    </w:p>
    <w:p>
      <w:pPr>
        <w:spacing w:after="20"/>
      </w:pPr>
      <w:r>
        <w:rPr>
          <w:rFonts w:ascii="Courier New" w:cs="Courier New" w:eastAsia="Courier New" w:hAnsi="Courier New"/>
          <w:color w:val="DC2626"/>
          <w:sz w:val="18"/>
          <w:szCs w:val="18"/>
        </w:rPr>
        <w:t xml:space="preserve">  name: STRING,               // Human-readable name</w:t>
      </w:r>
    </w:p>
    <w:p>
      <w:pPr>
        <w:spacing w:after="20"/>
      </w:pPr>
      <w:r>
        <w:rPr>
          <w:rFonts w:ascii="Courier New" w:cs="Courier New" w:eastAsia="Courier New" w:hAnsi="Courier New"/>
          <w:color w:val="DC2626"/>
          <w:sz w:val="18"/>
          <w:szCs w:val="18"/>
        </w:rPr>
        <w:t xml:space="preserve">  effect: ENUM,               // ALLOW | DENY | FILTER | MASK</w:t>
      </w:r>
    </w:p>
    <w:p>
      <w:pPr>
        <w:spacing w:after="20"/>
      </w:pPr>
      <w:r>
        <w:rPr>
          <w:rFonts w:ascii="Courier New" w:cs="Courier New" w:eastAsia="Courier New" w:hAnsi="Courier New"/>
          <w:color w:val="DC2626"/>
          <w:sz w:val="18"/>
          <w:szCs w:val="18"/>
        </w:rPr>
        <w:t xml:space="preserve">  priority: INTEGER,          // 0–300, higher = stronger</w:t>
      </w:r>
    </w:p>
    <w:p>
      <w:pPr>
        <w:spacing w:after="20"/>
      </w:pPr>
      <w:r>
        <w:rPr>
          <w:rFonts w:ascii="Courier New" w:cs="Courier New" w:eastAsia="Courier New" w:hAnsi="Courier New"/>
          <w:color w:val="DC2626"/>
          <w:sz w:val="18"/>
          <w:szCs w:val="18"/>
        </w:rPr>
        <w:t xml:space="preserve">  regulation: STRING | NULL,  // Regulatory source (HIPAA, 42_CFR_PART_2, DEA, etc.)</w:t>
      </w:r>
    </w:p>
    <w:p>
      <w:pPr>
        <w:spacing w:after="20"/>
      </w:pPr>
      <w:r>
        <w:rPr>
          <w:rFonts w:ascii="Courier New" w:cs="Courier New" w:eastAsia="Courier New" w:hAnsi="Courier New"/>
          <w:color w:val="DC2626"/>
          <w:sz w:val="18"/>
          <w:szCs w:val="18"/>
        </w:rPr>
        <w:t xml:space="preserve">  nl_description: TEXT,       // NL explanation for LLM prompt injection</w:t>
      </w:r>
    </w:p>
    <w:p>
      <w:pPr>
        <w:spacing w:after="20"/>
      </w:pPr>
      <w:r>
        <w:rPr>
          <w:rFonts w:ascii="Courier New" w:cs="Courier New" w:eastAsia="Courier New" w:hAnsi="Courier New"/>
          <w:color w:val="DC2626"/>
          <w:sz w:val="18"/>
          <w:szCs w:val="18"/>
        </w:rPr>
        <w:t xml:space="preserve">  structured_rule: JSON,      // Machine-readable rule definition</w:t>
      </w:r>
    </w:p>
    <w:p>
      <w:pPr>
        <w:spacing w:after="20"/>
      </w:pPr>
      <w:r>
        <w:rPr>
          <w:rFonts w:ascii="Courier New" w:cs="Courier New" w:eastAsia="Courier New" w:hAnsi="Courier New"/>
          <w:color w:val="DC2626"/>
          <w:sz w:val="18"/>
          <w:szCs w:val="18"/>
        </w:rPr>
        <w:t xml:space="preserve">  is_active: BOOLEAN,         // Soft delete / deactivation</w:t>
      </w:r>
    </w:p>
    <w:p>
      <w:pPr>
        <w:spacing w:after="20"/>
      </w:pPr>
      <w:r>
        <w:rPr>
          <w:rFonts w:ascii="Courier New" w:cs="Courier New" w:eastAsia="Courier New" w:hAnsi="Courier New"/>
          <w:color w:val="DC2626"/>
          <w:sz w:val="18"/>
          <w:szCs w:val="18"/>
        </w:rPr>
        <w:t xml:space="preserve">  effective_from: DATETIME,   // Policy activation date</w:t>
      </w:r>
    </w:p>
    <w:p>
      <w:pPr>
        <w:spacing w:after="20"/>
      </w:pPr>
      <w:r>
        <w:rPr>
          <w:rFonts w:ascii="Courier New" w:cs="Courier New" w:eastAsia="Courier New" w:hAnsi="Courier New"/>
          <w:color w:val="DC2626"/>
          <w:sz w:val="18"/>
          <w:szCs w:val="18"/>
        </w:rPr>
        <w:t xml:space="preserve">  effective_until: DATETIME | NULL, // Expiry (null = no expiry)</w:t>
      </w:r>
    </w:p>
    <w:p>
      <w:pPr>
        <w:spacing w:after="20"/>
      </w:pPr>
      <w:r>
        <w:rPr>
          <w:rFonts w:ascii="Courier New" w:cs="Courier New" w:eastAsia="Courier New" w:hAnsi="Courier New"/>
          <w:color w:val="DC2626"/>
          <w:sz w:val="18"/>
          <w:szCs w:val="18"/>
        </w:rPr>
        <w:t xml:space="preserve">  created_by: STRING,         // Admin who created the policy</w:t>
      </w:r>
    </w:p>
    <w:p>
      <w:pPr>
        <w:spacing w:after="20"/>
      </w:pPr>
      <w:r>
        <w:rPr>
          <w:rFonts w:ascii="Courier New" w:cs="Courier New" w:eastAsia="Courier New" w:hAnsi="Courier New"/>
          <w:color w:val="DC2626"/>
          <w:sz w:val="18"/>
          <w:szCs w:val="18"/>
        </w:rPr>
        <w:t xml:space="preserve">  version: INTEGER            // Policy version for audit trail</w:t>
      </w:r>
    </w:p>
    <w:p>
      <w:pPr>
        <w:spacing w:after="80"/>
      </w:pPr>
      <w:r>
        <w:rPr>
          <w:rFonts w:ascii="Courier New" w:cs="Courier New" w:eastAsia="Courier New" w:hAnsi="Courier New"/>
          <w:color w:val="DC2626"/>
          <w:sz w:val="18"/>
          <w:szCs w:val="18"/>
        </w:rPr>
        <w:t xml:space="preserve">})</w:t>
      </w:r>
    </w:p>
    <w:p>
      <w:pPr>
        <w:pStyle w:val="Heading2"/>
        <w:spacing w:before="300" w:after="160"/>
      </w:pPr>
      <w:r>
        <w:rPr>
          <w:rFonts w:ascii="Arial" w:cs="Arial" w:eastAsia="Arial" w:hAnsi="Arial"/>
          <w:b/>
          <w:bCs/>
          <w:color w:val="1E293B"/>
          <w:sz w:val="26"/>
          <w:szCs w:val="26"/>
        </w:rPr>
        <w:t xml:space="preserve">5.2 Policy Effects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1800"/>
        <w:gridCol w:w="3160"/>
      </w:tblGrid>
      <w:tr>
        <w:tc>
          <w:tcPr>
            <w:tcW w:type="dxa" w:w="1200"/>
            <w:tcBorders>
              <w:top w:val="single" w:color="CBD5E1" w:sz="1"/>
              <w:left w:val="single" w:color="CBD5E1" w:sz="1"/>
              <w:bottom w:val="single" w:color="CBD5E1" w:sz="1"/>
              <w:right w:val="single" w:color="CBD5E1" w:sz="1"/>
            </w:tcBorders>
            <w:shd w:fill="DC2626" w:val="clear"/>
            <w:tcMar>
              <w:top w:type="dxa" w:w="80"/>
              <w:left w:type="dxa" w:w="120"/>
              <w:bottom w:type="dxa" w:w="80"/>
              <w:right w:type="dxa" w:w="120"/>
            </w:tcMar>
          </w:tcPr>
          <w:p>
            <w:r>
              <w:rPr>
                <w:rFonts w:ascii="Arial" w:cs="Arial" w:eastAsia="Arial" w:hAnsi="Arial"/>
                <w:b/>
                <w:bCs/>
                <w:color w:val="FFFFFF"/>
                <w:sz w:val="20"/>
                <w:szCs w:val="20"/>
              </w:rPr>
              <w:t xml:space="preserve">Effect</w:t>
            </w:r>
          </w:p>
        </w:tc>
        <w:tc>
          <w:tcPr>
            <w:tcW w:type="dxa" w:w="3200"/>
            <w:tcBorders>
              <w:top w:val="single" w:color="CBD5E1" w:sz="1"/>
              <w:left w:val="single" w:color="CBD5E1" w:sz="1"/>
              <w:bottom w:val="single" w:color="CBD5E1" w:sz="1"/>
              <w:right w:val="single" w:color="CBD5E1" w:sz="1"/>
            </w:tcBorders>
            <w:shd w:fill="DC2626" w:val="clear"/>
            <w:tcMar>
              <w:top w:type="dxa" w:w="80"/>
              <w:left w:type="dxa" w:w="120"/>
              <w:bottom w:type="dxa" w:w="80"/>
              <w:right w:type="dxa" w:w="120"/>
            </w:tcMar>
          </w:tcPr>
          <w:p>
            <w:r>
              <w:rPr>
                <w:rFonts w:ascii="Arial" w:cs="Arial" w:eastAsia="Arial" w:hAnsi="Arial"/>
                <w:b/>
                <w:bCs/>
                <w:color w:val="FFFFFF"/>
                <w:sz w:val="20"/>
                <w:szCs w:val="20"/>
              </w:rPr>
              <w:t xml:space="preserve">Meaning</w:t>
            </w:r>
          </w:p>
        </w:tc>
        <w:tc>
          <w:tcPr>
            <w:tcW w:type="dxa" w:w="1800"/>
            <w:tcBorders>
              <w:top w:val="single" w:color="CBD5E1" w:sz="1"/>
              <w:left w:val="single" w:color="CBD5E1" w:sz="1"/>
              <w:bottom w:val="single" w:color="CBD5E1" w:sz="1"/>
              <w:right w:val="single" w:color="CBD5E1" w:sz="1"/>
            </w:tcBorders>
            <w:shd w:fill="DC2626" w:val="clear"/>
            <w:tcMar>
              <w:top w:type="dxa" w:w="80"/>
              <w:left w:type="dxa" w:w="120"/>
              <w:bottom w:type="dxa" w:w="80"/>
              <w:right w:type="dxa" w:w="120"/>
            </w:tcMar>
          </w:tcPr>
          <w:p>
            <w:r>
              <w:rPr>
                <w:rFonts w:ascii="Arial" w:cs="Arial" w:eastAsia="Arial" w:hAnsi="Arial"/>
                <w:b/>
                <w:bCs/>
                <w:color w:val="FFFFFF"/>
                <w:sz w:val="20"/>
                <w:szCs w:val="20"/>
              </w:rPr>
              <w:t xml:space="preserve">Priority Range</w:t>
            </w:r>
          </w:p>
        </w:tc>
        <w:tc>
          <w:tcPr>
            <w:tcW w:type="dxa" w:w="3160"/>
            <w:tcBorders>
              <w:top w:val="single" w:color="CBD5E1" w:sz="1"/>
              <w:left w:val="single" w:color="CBD5E1" w:sz="1"/>
              <w:bottom w:val="single" w:color="CBD5E1" w:sz="1"/>
              <w:right w:val="single" w:color="CBD5E1" w:sz="1"/>
            </w:tcBorders>
            <w:shd w:fill="DC2626"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ALLOW</w:t>
            </w:r>
          </w:p>
        </w:tc>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Grants access to specified tables/columns. This is the only effect that opens access. Without an ALLOW, the table/column is invisible.</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10–70</w:t>
            </w:r>
          </w:p>
        </w:tc>
        <w:tc>
          <w:tcPr>
            <w:tcW w:type="dxa" w:w="3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BIZ-001: Billing staff can access patient demographics and encounter codes for claims processing</w:t>
            </w:r>
          </w:p>
        </w:tc>
      </w:tr>
      <w:tr>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76"/>
            </w:pPr>
            <w:r>
              <w:rPr>
                <w:rFonts w:ascii="Arial" w:cs="Arial" w:eastAsia="Arial" w:hAnsi="Arial"/>
                <w:color w:val="1E293B"/>
                <w:sz w:val="20"/>
                <w:szCs w:val="20"/>
              </w:rPr>
              <w:t xml:space="preserve">DENY</w:t>
            </w:r>
          </w:p>
        </w:tc>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76"/>
            </w:pPr>
            <w:r>
              <w:rPr>
                <w:rFonts w:ascii="Arial" w:cs="Arial" w:eastAsia="Arial" w:hAnsi="Arial"/>
                <w:color w:val="1E293B"/>
                <w:sz w:val="20"/>
                <w:szCs w:val="20"/>
              </w:rPr>
              <w:t xml:space="preserve">Explicitly blocks access. Overrides ALLOW at the same or lower priority. Used for regulatory hard blocks and security boundaries.</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76"/>
            </w:pPr>
            <w:r>
              <w:rPr>
                <w:rFonts w:ascii="Arial" w:cs="Arial" w:eastAsia="Arial" w:hAnsi="Arial"/>
                <w:color w:val="1E293B"/>
                <w:sz w:val="20"/>
                <w:szCs w:val="20"/>
              </w:rPr>
              <w:t xml:space="preserve">100–200</w:t>
            </w:r>
          </w:p>
        </w:tc>
        <w:tc>
          <w:tcPr>
            <w:tcW w:type="dxa" w:w="31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76"/>
            </w:pPr>
            <w:r>
              <w:rPr>
                <w:rFonts w:ascii="Arial" w:cs="Arial" w:eastAsia="Arial" w:hAnsi="Arial"/>
                <w:color w:val="1E293B"/>
                <w:sz w:val="20"/>
                <w:szCs w:val="20"/>
              </w:rPr>
              <w:t xml:space="preserve">FED-001: 42 CFR Part 2 substance abuse records denied for ALL roles via NL query system</w:t>
            </w:r>
          </w:p>
        </w:tc>
      </w:tr>
      <w:tr>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FILTER</w:t>
            </w:r>
          </w:p>
        </w:tc>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Restricts the scope of access by requiring mandatory WHERE clauses. The user can access the table but only rows matching the filter expression.</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80–100</w:t>
            </w:r>
          </w:p>
        </w:tc>
        <w:tc>
          <w:tcPr>
            <w:tcW w:type="dxa" w:w="3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CLIN-001: Physicians can only access records WHERE treating_provider_id = user.provider_id</w:t>
            </w:r>
          </w:p>
        </w:tc>
      </w:tr>
      <w:tr>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76"/>
            </w:pPr>
            <w:r>
              <w:rPr>
                <w:rFonts w:ascii="Arial" w:cs="Arial" w:eastAsia="Arial" w:hAnsi="Arial"/>
                <w:color w:val="1E293B"/>
                <w:sz w:val="20"/>
                <w:szCs w:val="20"/>
              </w:rPr>
              <w:t xml:space="preserve">MASK</w:t>
            </w:r>
          </w:p>
        </w:tc>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76"/>
            </w:pPr>
            <w:r>
              <w:rPr>
                <w:rFonts w:ascii="Arial" w:cs="Arial" w:eastAsia="Arial" w:hAnsi="Arial"/>
                <w:color w:val="1E293B"/>
                <w:sz w:val="20"/>
                <w:szCs w:val="20"/>
              </w:rPr>
              <w:t xml:space="preserve">Allows column access but requires data transformation before display. Used for PII columns where the user needs partial information.</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76"/>
            </w:pPr>
            <w:r>
              <w:rPr>
                <w:rFonts w:ascii="Arial" w:cs="Arial" w:eastAsia="Arial" w:hAnsi="Arial"/>
                <w:color w:val="1E293B"/>
                <w:sz w:val="20"/>
                <w:szCs w:val="20"/>
              </w:rPr>
              <w:t xml:space="preserve">40–60</w:t>
            </w:r>
          </w:p>
        </w:tc>
        <w:tc>
          <w:tcPr>
            <w:tcW w:type="dxa" w:w="31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76"/>
            </w:pPr>
            <w:r>
              <w:rPr>
                <w:rFonts w:ascii="Arial" w:cs="Arial" w:eastAsia="Arial" w:hAnsi="Arial"/>
                <w:color w:val="1E293B"/>
                <w:sz w:val="20"/>
                <w:szCs w:val="20"/>
              </w:rPr>
              <w:t xml:space="preserve">HIPAA-003: Patient SSN masked to '***-**-XXXX' format for billing staff</w:t>
            </w:r>
          </w:p>
        </w:tc>
      </w:tr>
    </w:tbl>
    <w:p>
      <w:pPr>
        <w:pStyle w:val="Heading2"/>
        <w:spacing w:before="300" w:after="160"/>
      </w:pPr>
      <w:r>
        <w:rPr>
          <w:rFonts w:ascii="Arial" w:cs="Arial" w:eastAsia="Arial" w:hAnsi="Arial"/>
          <w:b/>
          <w:bCs/>
          <w:color w:val="1E293B"/>
          <w:sz w:val="26"/>
          <w:szCs w:val="26"/>
        </w:rPr>
        <w:t xml:space="preserve">5.3 Priority Tiers</w:t>
      </w:r>
    </w:p>
    <w:p>
      <w:pPr>
        <w:spacing w:after="160" w:line="276"/>
      </w:pPr>
      <w:r>
        <w:rPr>
          <w:rFonts w:ascii="Arial" w:cs="Arial" w:eastAsia="Arial" w:hAnsi="Arial"/>
          <w:color w:val="1E293B"/>
          <w:sz w:val="20"/>
          <w:szCs w:val="20"/>
        </w:rPr>
        <w:t xml:space="preserve">Priorities are organized into tiers that reflect the authority of the policy source: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000"/>
        <w:gridCol w:w="2000"/>
        <w:gridCol w:w="2400"/>
        <w:gridCol w:w="2360"/>
      </w:tblGrid>
      <w:tr>
        <w:tc>
          <w:tcPr>
            <w:tcW w:type="dxa" w:w="1600"/>
            <w:tcBorders>
              <w:top w:val="single" w:color="CBD5E1" w:sz="1"/>
              <w:left w:val="single" w:color="CBD5E1" w:sz="1"/>
              <w:bottom w:val="single" w:color="CBD5E1" w:sz="1"/>
              <w:right w:val="single" w:color="CBD5E1" w:sz="1"/>
            </w:tcBorders>
            <w:shd w:fill="DC2626"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1000"/>
            <w:tcBorders>
              <w:top w:val="single" w:color="CBD5E1" w:sz="1"/>
              <w:left w:val="single" w:color="CBD5E1" w:sz="1"/>
              <w:bottom w:val="single" w:color="CBD5E1" w:sz="1"/>
              <w:right w:val="single" w:color="CBD5E1" w:sz="1"/>
            </w:tcBorders>
            <w:shd w:fill="DC2626" w:val="clear"/>
            <w:tcMar>
              <w:top w:type="dxa" w:w="80"/>
              <w:left w:type="dxa" w:w="120"/>
              <w:bottom w:type="dxa" w:w="80"/>
              <w:right w:type="dxa" w:w="120"/>
            </w:tcMar>
          </w:tcPr>
          <w:p>
            <w:r>
              <w:rPr>
                <w:rFonts w:ascii="Arial" w:cs="Arial" w:eastAsia="Arial" w:hAnsi="Arial"/>
                <w:b/>
                <w:bCs/>
                <w:color w:val="FFFFFF"/>
                <w:sz w:val="20"/>
                <w:szCs w:val="20"/>
              </w:rPr>
              <w:t xml:space="preserve">Range</w:t>
            </w:r>
          </w:p>
        </w:tc>
        <w:tc>
          <w:tcPr>
            <w:tcW w:type="dxa" w:w="2000"/>
            <w:tcBorders>
              <w:top w:val="single" w:color="CBD5E1" w:sz="1"/>
              <w:left w:val="single" w:color="CBD5E1" w:sz="1"/>
              <w:bottom w:val="single" w:color="CBD5E1" w:sz="1"/>
              <w:right w:val="single" w:color="CBD5E1" w:sz="1"/>
            </w:tcBorders>
            <w:shd w:fill="DC2626"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2400"/>
            <w:tcBorders>
              <w:top w:val="single" w:color="CBD5E1" w:sz="1"/>
              <w:left w:val="single" w:color="CBD5E1" w:sz="1"/>
              <w:bottom w:val="single" w:color="CBD5E1" w:sz="1"/>
              <w:right w:val="single" w:color="CBD5E1" w:sz="1"/>
            </w:tcBorders>
            <w:shd w:fill="DC2626" w:val="clear"/>
            <w:tcMar>
              <w:top w:type="dxa" w:w="80"/>
              <w:left w:type="dxa" w:w="120"/>
              <w:bottom w:type="dxa" w:w="80"/>
              <w:right w:type="dxa" w:w="120"/>
            </w:tcMar>
          </w:tcPr>
          <w:p>
            <w:r>
              <w:rPr>
                <w:rFonts w:ascii="Arial" w:cs="Arial" w:eastAsia="Arial" w:hAnsi="Arial"/>
                <w:b/>
                <w:bCs/>
                <w:color w:val="FFFFFF"/>
                <w:sz w:val="20"/>
                <w:szCs w:val="20"/>
              </w:rPr>
              <w:t xml:space="preserve">Override Behavior</w:t>
            </w:r>
          </w:p>
        </w:tc>
        <w:tc>
          <w:tcPr>
            <w:tcW w:type="dxa" w:w="2360"/>
            <w:tcBorders>
              <w:top w:val="single" w:color="CBD5E1" w:sz="1"/>
              <w:left w:val="single" w:color="CBD5E1" w:sz="1"/>
              <w:bottom w:val="single" w:color="CBD5E1" w:sz="1"/>
              <w:right w:val="single" w:color="CBD5E1" w:sz="1"/>
            </w:tcBorders>
            <w:shd w:fill="DC2626" w:val="clear"/>
            <w:tcMar>
              <w:top w:type="dxa" w:w="80"/>
              <w:left w:type="dxa" w:w="120"/>
              <w:bottom w:type="dxa" w:w="80"/>
              <w:right w:type="dxa" w:w="120"/>
            </w:tcMar>
          </w:tcPr>
          <w:p>
            <w:r>
              <w:rPr>
                <w:rFonts w:ascii="Arial" w:cs="Arial" w:eastAsia="Arial" w:hAnsi="Arial"/>
                <w:b/>
                <w:bCs/>
                <w:color w:val="FFFFFF"/>
                <w:sz w:val="20"/>
                <w:szCs w:val="20"/>
              </w:rPr>
              <w:t xml:space="preserve">Apollo Examples</w:t>
            </w:r>
          </w:p>
        </w:tc>
      </w:tr>
      <w:tr>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Emergency</w:t>
            </w:r>
          </w:p>
        </w:tc>
        <w:tc>
          <w:tcPr>
            <w:tcW w:type="dxa" w:w="1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300</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Break-the-glass protocol</w:t>
            </w:r>
          </w:p>
        </w:tc>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Overrides everything EXCEPT 42 CFR Part 2 substance abuse records</w:t>
            </w:r>
          </w:p>
        </w:tc>
        <w:tc>
          <w:tcPr>
            <w:tcW w:type="dxa" w:w="2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EMER-001: Emergency clinical access</w:t>
            </w:r>
          </w:p>
        </w:tc>
      </w:tr>
      <w:tr>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76"/>
            </w:pPr>
            <w:r>
              <w:rPr>
                <w:rFonts w:ascii="Arial" w:cs="Arial" w:eastAsia="Arial" w:hAnsi="Arial"/>
                <w:color w:val="1E293B"/>
                <w:sz w:val="20"/>
                <w:szCs w:val="20"/>
              </w:rPr>
              <w:t xml:space="preserve">Federal Regulatory</w:t>
            </w:r>
          </w:p>
        </w:tc>
        <w:tc>
          <w:tcPr>
            <w:tcW w:type="dxa" w:w="10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76"/>
            </w:pPr>
            <w:r>
              <w:rPr>
                <w:rFonts w:ascii="Arial" w:cs="Arial" w:eastAsia="Arial" w:hAnsi="Arial"/>
                <w:color w:val="1E293B"/>
                <w:sz w:val="20"/>
                <w:szCs w:val="20"/>
              </w:rPr>
              <w:t xml:space="preserve">200</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76"/>
            </w:pPr>
            <w:r>
              <w:rPr>
                <w:rFonts w:ascii="Arial" w:cs="Arial" w:eastAsia="Arial" w:hAnsi="Arial"/>
                <w:color w:val="1E293B"/>
                <w:sz w:val="20"/>
                <w:szCs w:val="20"/>
              </w:rPr>
              <w:t xml:space="preserve">Federal law (HIPAA, 42 CFR, DEA, HITECH)</w:t>
            </w:r>
          </w:p>
        </w:tc>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76"/>
            </w:pPr>
            <w:r>
              <w:rPr>
                <w:rFonts w:ascii="Arial" w:cs="Arial" w:eastAsia="Arial" w:hAnsi="Arial"/>
                <w:color w:val="1E293B"/>
                <w:sz w:val="20"/>
                <w:szCs w:val="20"/>
              </w:rPr>
              <w:t xml:space="preserve">Overrides all organizational and business policies</w:t>
            </w:r>
          </w:p>
        </w:tc>
        <w:tc>
          <w:tcPr>
            <w:tcW w:type="dxa" w:w="23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76"/>
            </w:pPr>
            <w:r>
              <w:rPr>
                <w:rFonts w:ascii="Arial" w:cs="Arial" w:eastAsia="Arial" w:hAnsi="Arial"/>
                <w:color w:val="1E293B"/>
                <w:sz w:val="20"/>
                <w:szCs w:val="20"/>
              </w:rPr>
              <w:t xml:space="preserve">FED-001: 42 CFR Part 2 DENY, HIPAA-005: Psychotherapy notes DENY</w:t>
            </w:r>
          </w:p>
        </w:tc>
      </w:tr>
      <w:tr>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Security Boundary</w:t>
            </w:r>
          </w:p>
        </w:tc>
        <w:tc>
          <w:tcPr>
            <w:tcW w:type="dxa" w:w="1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140–160</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Cross-domain security policies</w:t>
            </w:r>
          </w:p>
        </w:tc>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Overrides role-based grants when domains conflict</w:t>
            </w:r>
          </w:p>
        </w:tc>
        <w:tc>
          <w:tcPr>
            <w:tcW w:type="dxa" w:w="2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SEC-001: No Clinical-HR cross join, SEC-002: No Payer-Salary cross join</w:t>
            </w:r>
          </w:p>
        </w:tc>
      </w:tr>
      <w:tr>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76"/>
            </w:pPr>
            <w:r>
              <w:rPr>
                <w:rFonts w:ascii="Arial" w:cs="Arial" w:eastAsia="Arial" w:hAnsi="Arial"/>
                <w:color w:val="1E293B"/>
                <w:sz w:val="20"/>
                <w:szCs w:val="20"/>
              </w:rPr>
              <w:t xml:space="preserve">Regulatory Compliance</w:t>
            </w:r>
          </w:p>
        </w:tc>
        <w:tc>
          <w:tcPr>
            <w:tcW w:type="dxa" w:w="10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76"/>
            </w:pPr>
            <w:r>
              <w:rPr>
                <w:rFonts w:ascii="Arial" w:cs="Arial" w:eastAsia="Arial" w:hAnsi="Arial"/>
                <w:color w:val="1E293B"/>
                <w:sz w:val="20"/>
                <w:szCs w:val="20"/>
              </w:rPr>
              <w:t xml:space="preserve">80–100</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76"/>
            </w:pPr>
            <w:r>
              <w:rPr>
                <w:rFonts w:ascii="Arial" w:cs="Arial" w:eastAsia="Arial" w:hAnsi="Arial"/>
                <w:color w:val="1E293B"/>
                <w:sz w:val="20"/>
                <w:szCs w:val="20"/>
              </w:rPr>
              <w:t xml:space="preserve">HIPAA minimum necessary, treatment relationship</w:t>
            </w:r>
          </w:p>
        </w:tc>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76"/>
            </w:pPr>
            <w:r>
              <w:rPr>
                <w:rFonts w:ascii="Arial" w:cs="Arial" w:eastAsia="Arial" w:hAnsi="Arial"/>
                <w:color w:val="1E293B"/>
                <w:sz w:val="20"/>
                <w:szCs w:val="20"/>
              </w:rPr>
              <w:t xml:space="preserve">Sets constraints on otherwise-allowed access</w:t>
            </w:r>
          </w:p>
        </w:tc>
        <w:tc>
          <w:tcPr>
            <w:tcW w:type="dxa" w:w="23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76"/>
            </w:pPr>
            <w:r>
              <w:rPr>
                <w:rFonts w:ascii="Arial" w:cs="Arial" w:eastAsia="Arial" w:hAnsi="Arial"/>
                <w:color w:val="1E293B"/>
                <w:sz w:val="20"/>
                <w:szCs w:val="20"/>
              </w:rPr>
              <w:t xml:space="preserve">HIPAA-001: Must-have-WHERE-clause, CLIN-001: Treatment relationship filter</w:t>
            </w:r>
          </w:p>
        </w:tc>
      </w:tr>
      <w:tr>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Role-Based Grant</w:t>
            </w:r>
          </w:p>
        </w:tc>
        <w:tc>
          <w:tcPr>
            <w:tcW w:type="dxa" w:w="1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40–70</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Organizational role definitions</w:t>
            </w:r>
          </w:p>
        </w:tc>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Base-level access grants that higher tiers can restrict</w:t>
            </w:r>
          </w:p>
        </w:tc>
        <w:tc>
          <w:tcPr>
            <w:tcW w:type="dxa" w:w="2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BIZ-001: Billing access, CLIN-005: Pharmacist access, CLIN-010: CNA access</w:t>
            </w:r>
          </w:p>
        </w:tc>
      </w:tr>
      <w:tr>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76"/>
            </w:pPr>
            <w:r>
              <w:rPr>
                <w:rFonts w:ascii="Arial" w:cs="Arial" w:eastAsia="Arial" w:hAnsi="Arial"/>
                <w:color w:val="1E293B"/>
                <w:sz w:val="20"/>
                <w:szCs w:val="20"/>
              </w:rPr>
              <w:t xml:space="preserve">Default</w:t>
            </w:r>
          </w:p>
        </w:tc>
        <w:tc>
          <w:tcPr>
            <w:tcW w:type="dxa" w:w="10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76"/>
            </w:pPr>
            <w:r>
              <w:rPr>
                <w:rFonts w:ascii="Arial" w:cs="Arial" w:eastAsia="Arial" w:hAnsi="Arial"/>
                <w:color w:val="1E293B"/>
                <w:sz w:val="20"/>
                <w:szCs w:val="20"/>
              </w:rPr>
              <w:t xml:space="preserve">0–10</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76"/>
            </w:pPr>
            <w:r>
              <w:rPr>
                <w:rFonts w:ascii="Arial" w:cs="Arial" w:eastAsia="Arial" w:hAnsi="Arial"/>
                <w:color w:val="1E293B"/>
                <w:sz w:val="20"/>
                <w:szCs w:val="20"/>
              </w:rPr>
              <w:t xml:space="preserve">System defaults</w:t>
            </w:r>
          </w:p>
        </w:tc>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76"/>
            </w:pPr>
            <w:r>
              <w:rPr>
                <w:rFonts w:ascii="Arial" w:cs="Arial" w:eastAsia="Arial" w:hAnsi="Arial"/>
                <w:color w:val="1E293B"/>
                <w:sz w:val="20"/>
                <w:szCs w:val="20"/>
              </w:rPr>
              <w:t xml:space="preserve">Lowest priority, overridden by everything</w:t>
            </w:r>
          </w:p>
        </w:tc>
        <w:tc>
          <w:tcPr>
            <w:tcW w:type="dxa" w:w="23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76"/>
            </w:pPr>
            <w:r>
              <w:rPr>
                <w:rFonts w:ascii="Arial" w:cs="Arial" w:eastAsia="Arial" w:hAnsi="Arial"/>
                <w:color w:val="1E293B"/>
                <w:sz w:val="20"/>
                <w:szCs w:val="20"/>
              </w:rPr>
              <w:t xml:space="preserve">SYS-001: Default deny for unmatched tables</w:t>
            </w:r>
          </w:p>
        </w:tc>
      </w:tr>
    </w:tbl>
    <w:p>
      <w:pPr>
        <w:pStyle w:val="Heading2"/>
        <w:spacing w:before="300" w:after="160"/>
      </w:pPr>
      <w:r>
        <w:rPr>
          <w:rFonts w:ascii="Arial" w:cs="Arial" w:eastAsia="Arial" w:hAnsi="Arial"/>
          <w:b/>
          <w:bCs/>
          <w:color w:val="1E293B"/>
          <w:sz w:val="26"/>
          <w:szCs w:val="26"/>
        </w:rPr>
        <w:t xml:space="preserve">5.4 Structured Rule Types</w:t>
      </w:r>
    </w:p>
    <w:p>
      <w:pPr>
        <w:spacing w:after="160" w:line="276"/>
      </w:pPr>
      <w:r>
        <w:rPr>
          <w:rFonts w:ascii="Arial" w:cs="Arial" w:eastAsia="Arial" w:hAnsi="Arial"/>
          <w:color w:val="1E293B"/>
          <w:sz w:val="20"/>
          <w:szCs w:val="20"/>
        </w:rPr>
        <w:t xml:space="preserve">The structured_rule JSON field contains machine-readable rule definitions. The Policy Resolution Layer supports six rule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CBD5E1" w:sz="1"/>
              <w:left w:val="single" w:color="CBD5E1" w:sz="1"/>
              <w:bottom w:val="single" w:color="CBD5E1" w:sz="1"/>
              <w:right w:val="single" w:color="CBD5E1" w:sz="1"/>
            </w:tcBorders>
            <w:shd w:fill="DC2626" w:val="clear"/>
            <w:tcMar>
              <w:top w:type="dxa" w:w="80"/>
              <w:left w:type="dxa" w:w="120"/>
              <w:bottom w:type="dxa" w:w="80"/>
              <w:right w:type="dxa" w:w="120"/>
            </w:tcMar>
          </w:tcPr>
          <w:p>
            <w:r>
              <w:rPr>
                <w:rFonts w:ascii="Arial" w:cs="Arial" w:eastAsia="Arial" w:hAnsi="Arial"/>
                <w:b/>
                <w:bCs/>
                <w:color w:val="FFFFFF"/>
                <w:sz w:val="20"/>
                <w:szCs w:val="20"/>
              </w:rPr>
              <w:t xml:space="preserve">Rule Type</w:t>
            </w:r>
          </w:p>
        </w:tc>
        <w:tc>
          <w:tcPr>
            <w:tcW w:type="dxa" w:w="3000"/>
            <w:tcBorders>
              <w:top w:val="single" w:color="CBD5E1" w:sz="1"/>
              <w:left w:val="single" w:color="CBD5E1" w:sz="1"/>
              <w:bottom w:val="single" w:color="CBD5E1" w:sz="1"/>
              <w:right w:val="single" w:color="CBD5E1" w:sz="1"/>
            </w:tcBorders>
            <w:shd w:fill="DC262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4160"/>
            <w:tcBorders>
              <w:top w:val="single" w:color="CBD5E1" w:sz="1"/>
              <w:left w:val="single" w:color="CBD5E1" w:sz="1"/>
              <w:bottom w:val="single" w:color="CBD5E1" w:sz="1"/>
              <w:right w:val="single" w:color="CBD5E1" w:sz="1"/>
            </w:tcBorders>
            <w:shd w:fill="DC2626" w:val="clear"/>
            <w:tcMar>
              <w:top w:type="dxa" w:w="80"/>
              <w:left w:type="dxa" w:w="120"/>
              <w:bottom w:type="dxa" w:w="80"/>
              <w:right w:type="dxa" w:w="120"/>
            </w:tcMar>
          </w:tcPr>
          <w:p>
            <w:r>
              <w:rPr>
                <w:rFonts w:ascii="Arial" w:cs="Arial" w:eastAsia="Arial" w:hAnsi="Arial"/>
                <w:b/>
                <w:bCs/>
                <w:color w:val="FFFFFF"/>
                <w:sz w:val="20"/>
                <w:szCs w:val="20"/>
              </w:rPr>
              <w:t xml:space="preserve">JSON Structure (simplified)</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TABLE_ALLOW</w:t>
            </w:r>
          </w:p>
        </w:tc>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Grants access to one or more tables, optionally restricting to specific columns</w:t>
            </w:r>
          </w:p>
        </w:tc>
        <w:tc>
          <w:tcPr>
            <w:tcW w:type="dxa" w:w="4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{"type":"TABLE_ALLOW", "tables":["prescriptions","dispensing_records"], "column_overrides":{"patients":["mrn","full_name","dob"]}}</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76"/>
            </w:pPr>
            <w:r>
              <w:rPr>
                <w:rFonts w:ascii="Arial" w:cs="Arial" w:eastAsia="Arial" w:hAnsi="Arial"/>
                <w:color w:val="1E293B"/>
                <w:sz w:val="20"/>
                <w:szCs w:val="20"/>
              </w:rPr>
              <w:t xml:space="preserve">TABLE_DENY</w:t>
            </w:r>
          </w:p>
        </w:tc>
        <w:tc>
          <w:tcPr>
            <w:tcW w:type="dxa" w:w="30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76"/>
            </w:pPr>
            <w:r>
              <w:rPr>
                <w:rFonts w:ascii="Arial" w:cs="Arial" w:eastAsia="Arial" w:hAnsi="Arial"/>
                <w:color w:val="1E293B"/>
                <w:sz w:val="20"/>
                <w:szCs w:val="20"/>
              </w:rPr>
              <w:t xml:space="preserve">Blocks access to one or more tables entirely. No column-level access.</w:t>
            </w:r>
          </w:p>
        </w:tc>
        <w:tc>
          <w:tcPr>
            <w:tcW w:type="dxa" w:w="41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76"/>
            </w:pPr>
            <w:r>
              <w:rPr>
                <w:rFonts w:ascii="Arial" w:cs="Arial" w:eastAsia="Arial" w:hAnsi="Arial"/>
                <w:color w:val="1E293B"/>
                <w:sz w:val="20"/>
                <w:szCs w:val="20"/>
              </w:rPr>
              <w:t xml:space="preserve">{"type":"TABLE_DENY", "tables":["substance_abuse_records"], "exception":"NONE_VIA_QUERY_SYSTEM"}</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COLUMN_ALLOW</w:t>
            </w:r>
          </w:p>
        </w:tc>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Grants access to specific columns per table. Columns not listed are denied.</w:t>
            </w:r>
          </w:p>
        </w:tc>
        <w:tc>
          <w:tcPr>
            <w:tcW w:type="dxa" w:w="4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{"type":"COLUMN_ALLOW", "tables":{"patients":["mrn","full_name","dob","insurance_id"], "encounters":["*"]}}</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76"/>
            </w:pPr>
            <w:r>
              <w:rPr>
                <w:rFonts w:ascii="Arial" w:cs="Arial" w:eastAsia="Arial" w:hAnsi="Arial"/>
                <w:color w:val="1E293B"/>
                <w:sz w:val="20"/>
                <w:szCs w:val="20"/>
              </w:rPr>
              <w:t xml:space="preserve">ROW_FILTER</w:t>
            </w:r>
          </w:p>
        </w:tc>
        <w:tc>
          <w:tcPr>
            <w:tcW w:type="dxa" w:w="30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76"/>
            </w:pPr>
            <w:r>
              <w:rPr>
                <w:rFonts w:ascii="Arial" w:cs="Arial" w:eastAsia="Arial" w:hAnsi="Arial"/>
                <w:color w:val="1E293B"/>
                <w:sz w:val="20"/>
                <w:szCs w:val="20"/>
              </w:rPr>
              <w:t xml:space="preserve">Requires mandatory WHERE clause on specified tables using user context parameters</w:t>
            </w:r>
          </w:p>
        </w:tc>
        <w:tc>
          <w:tcPr>
            <w:tcW w:type="dxa" w:w="41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76"/>
            </w:pPr>
            <w:r>
              <w:rPr>
                <w:rFonts w:ascii="Arial" w:cs="Arial" w:eastAsia="Arial" w:hAnsi="Arial"/>
                <w:color w:val="1E293B"/>
                <w:sz w:val="20"/>
                <w:szCs w:val="20"/>
              </w:rPr>
              <w:t xml:space="preserve">{"type":"ROW_FILTER", "tables":["encounters","clinical_notes"], "filter":"treating_provider_id = {{user.provider_id}}"}</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AGGREGATION_ONLY</w:t>
            </w:r>
          </w:p>
        </w:tc>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Allows table access but requires GROUP BY with aggregate functions. Denies patient identifiers in SELECT.</w:t>
            </w:r>
          </w:p>
        </w:tc>
        <w:tc>
          <w:tcPr>
            <w:tcW w:type="dxa" w:w="4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{"type":"AGGREGATION_ONLY", "tables":["encounters","claims"], "denied_in_select":["mrn","full_name","ssn"]}</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76"/>
            </w:pPr>
            <w:r>
              <w:rPr>
                <w:rFonts w:ascii="Arial" w:cs="Arial" w:eastAsia="Arial" w:hAnsi="Arial"/>
                <w:color w:val="1E293B"/>
                <w:sz w:val="20"/>
                <w:szCs w:val="20"/>
              </w:rPr>
              <w:t xml:space="preserve">JOIN_RESTRICTION</w:t>
            </w:r>
          </w:p>
        </w:tc>
        <w:tc>
          <w:tcPr>
            <w:tcW w:type="dxa" w:w="30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76"/>
            </w:pPr>
            <w:r>
              <w:rPr>
                <w:rFonts w:ascii="Arial" w:cs="Arial" w:eastAsia="Arial" w:hAnsi="Arial"/>
                <w:color w:val="1E293B"/>
                <w:sz w:val="20"/>
                <w:szCs w:val="20"/>
              </w:rPr>
              <w:t xml:space="preserve">Blocks cross-domain or cross-table joins</w:t>
            </w:r>
          </w:p>
        </w:tc>
        <w:tc>
          <w:tcPr>
            <w:tcW w:type="dxa" w:w="41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76"/>
            </w:pPr>
            <w:r>
              <w:rPr>
                <w:rFonts w:ascii="Arial" w:cs="Arial" w:eastAsia="Arial" w:hAnsi="Arial"/>
                <w:color w:val="1E293B"/>
                <w:sz w:val="20"/>
                <w:szCs w:val="20"/>
              </w:rPr>
              <w:t xml:space="preserve">{"type":"JOIN_RESTRICTION", "from_domain":"Clinical", "to_domain":"HR", "exception":"NONE"}</w:t>
            </w:r>
          </w:p>
        </w:tc>
      </w:tr>
    </w:tbl>
    <w:p>
      <w:pPr>
        <w:pStyle w:val="Heading2"/>
        <w:spacing w:before="300" w:after="160"/>
      </w:pPr>
      <w:r>
        <w:rPr>
          <w:rFonts w:ascii="Arial" w:cs="Arial" w:eastAsia="Arial" w:hAnsi="Arial"/>
          <w:b/>
          <w:bCs/>
          <w:color w:val="1E293B"/>
          <w:sz w:val="26"/>
          <w:szCs w:val="26"/>
        </w:rPr>
        <w:t xml:space="preserve">5.5 Policy Relationships in Neo4j</w:t>
      </w:r>
    </w:p>
    <w:p>
      <w:pPr>
        <w:spacing w:after="160" w:line="276"/>
      </w:pPr>
      <w:r>
        <w:rPr>
          <w:rFonts w:ascii="Arial" w:cs="Arial" w:eastAsia="Arial" w:hAnsi="Arial"/>
          <w:color w:val="1E293B"/>
          <w:sz w:val="20"/>
          <w:szCs w:val="20"/>
        </w:rPr>
        <w:t xml:space="preserve">Policies are connected to their targets via typed relationships:</w:t>
      </w:r>
    </w:p>
    <w:p>
      <w:pPr>
        <w:spacing w:after="20"/>
      </w:pPr>
      <w:r>
        <w:rPr>
          <w:rFonts w:ascii="Courier New" w:cs="Courier New" w:eastAsia="Courier New" w:hAnsi="Courier New"/>
          <w:color w:val="DC2626"/>
          <w:sz w:val="18"/>
          <w:szCs w:val="18"/>
        </w:rPr>
        <w:t xml:space="preserve">(:Policy)-[:APPLIES_TO_ROLE]-&gt;(:Role)</w:t>
      </w:r>
    </w:p>
    <w:p>
      <w:pPr>
        <w:spacing w:after="20"/>
      </w:pPr>
      <w:r>
        <w:rPr>
          <w:rFonts w:ascii="Courier New" w:cs="Courier New" w:eastAsia="Courier New" w:hAnsi="Courier New"/>
          <w:color w:val="DC2626"/>
          <w:sz w:val="18"/>
          <w:szCs w:val="18"/>
        </w:rPr>
        <w:t xml:space="preserve">(:Policy)-[:APPLIES_TO_TABLE]-&gt;(:Table)    // Direct table targeting</w:t>
      </w:r>
    </w:p>
    <w:p>
      <w:pPr>
        <w:spacing w:after="20"/>
      </w:pPr>
      <w:r>
        <w:rPr>
          <w:rFonts w:ascii="Courier New" w:cs="Courier New" w:eastAsia="Courier New" w:hAnsi="Courier New"/>
          <w:color w:val="DC2626"/>
          <w:sz w:val="18"/>
          <w:szCs w:val="18"/>
        </w:rPr>
        <w:t xml:space="preserve">(:Policy)-[:APPLIES_TO_DOMAIN]-&gt;(:Domain)  // Domain-wide policies</w:t>
      </w:r>
    </w:p>
    <w:p>
      <w:pPr>
        <w:spacing w:after="20"/>
      </w:pPr>
      <w:r>
        <w:rPr>
          <w:rFonts w:ascii="Courier New" w:cs="Courier New" w:eastAsia="Courier New" w:hAnsi="Courier New"/>
          <w:color w:val="DC2626"/>
          <w:sz w:val="18"/>
          <w:szCs w:val="18"/>
        </w:rPr>
        <w:t xml:space="preserve">(:Policy)-[:APPLIES_TO_COLUMN]-&gt;(:Column)  // Column-specific masking/deny</w:t>
      </w:r>
    </w:p>
    <w:p>
      <w:pPr>
        <w:spacing w:after="20"/>
      </w:pPr>
      <w:r>
        <w:rPr>
          <w:rFonts w:ascii="Courier New" w:cs="Courier New" w:eastAsia="Courier New" w:hAnsi="Courier New"/>
          <w:color w:val="DC2626"/>
          <w:sz w:val="18"/>
          <w:szCs w:val="18"/>
        </w:rPr>
        <w:t xml:space="preserve">(:Policy)-[:SUPERSEDES]-&gt;(:Policy)          // Explicit override chain</w:t>
      </w:r>
    </w:p>
    <w:p>
      <w:pPr>
        <w:spacing w:after="80"/>
      </w:pPr>
      <w:r>
        <w:rPr>
          <w:rFonts w:ascii="Courier New" w:cs="Courier New" w:eastAsia="Courier New" w:hAnsi="Courier New"/>
          <w:color w:val="DC2626"/>
          <w:sz w:val="18"/>
          <w:szCs w:val="18"/>
        </w:rPr>
        <w:t xml:space="preserve">(:Policy)-[:DERIVED_FROM]-&gt;(:Regulation)    // Regulatory source linkage</w:t>
      </w:r>
    </w:p>
    <w:p>
      <w:pPr>
        <w:spacing w:after="80"/>
      </w:pPr>
    </w:p>
    <w:p>
      <w:r>
        <w:br w:type="page"/>
      </w:r>
    </w:p>
    <w:p>
      <w:pPr>
        <w:pStyle w:val="Heading1"/>
        <w:spacing w:before="360" w:after="200"/>
      </w:pPr>
      <w:r>
        <w:rPr>
          <w:rFonts w:ascii="Arial" w:cs="Arial" w:eastAsia="Arial" w:hAnsi="Arial"/>
          <w:b/>
          <w:bCs/>
          <w:color w:val="DC2626"/>
          <w:sz w:val="32"/>
          <w:szCs w:val="32"/>
        </w:rPr>
        <w:t xml:space="preserve">6. Effective Policy Collector</w:t>
      </w:r>
    </w:p>
    <w:p>
      <w:pPr>
        <w:pStyle w:val="Heading2"/>
        <w:spacing w:before="300" w:after="160"/>
      </w:pPr>
      <w:r>
        <w:rPr>
          <w:rFonts w:ascii="Arial" w:cs="Arial" w:eastAsia="Arial" w:hAnsi="Arial"/>
          <w:b/>
          <w:bCs/>
          <w:color w:val="1E293B"/>
          <w:sz w:val="26"/>
          <w:szCs w:val="26"/>
        </w:rPr>
        <w:t xml:space="preserve">6.1 Purpose</w:t>
      </w:r>
    </w:p>
    <w:p>
      <w:pPr>
        <w:spacing w:after="160" w:line="276"/>
      </w:pPr>
      <w:r>
        <w:rPr>
          <w:rFonts w:ascii="Arial" w:cs="Arial" w:eastAsia="Arial" w:hAnsi="Arial"/>
          <w:color w:val="1E293B"/>
          <w:sz w:val="20"/>
          <w:szCs w:val="20"/>
        </w:rPr>
        <w:t xml:space="preserve">The Effective Policy Collector is the first component in the resolution pipeline. It answers: which policies are potentially relevant to this specific request? It casts a wide net, collecting all policies that apply to any of the user’s effective roles and target any of the candidate tables. Filtering and conflict resolution happen downstream.</w:t>
      </w:r>
    </w:p>
    <w:p>
      <w:pPr>
        <w:pStyle w:val="Heading2"/>
        <w:spacing w:before="300" w:after="160"/>
      </w:pPr>
      <w:r>
        <w:rPr>
          <w:rFonts w:ascii="Arial" w:cs="Arial" w:eastAsia="Arial" w:hAnsi="Arial"/>
          <w:b/>
          <w:bCs/>
          <w:color w:val="1E293B"/>
          <w:sz w:val="26"/>
          <w:szCs w:val="26"/>
        </w:rPr>
        <w:t xml:space="preserve">6.2 Collection Algorithm</w:t>
      </w:r>
    </w:p>
    <w:p>
      <w:pPr>
        <w:pStyle w:val="ListParagraph"/>
        <w:numPr>
          <w:ilvl w:val="0"/>
          <w:numId w:val="3"/>
        </w:numPr>
        <w:spacing w:after="80" w:line="276"/>
      </w:pPr>
      <w:r>
        <w:rPr>
          <w:rFonts w:ascii="Arial" w:cs="Arial" w:eastAsia="Arial" w:hAnsi="Arial"/>
          <w:b/>
          <w:bCs/>
          <w:color w:val="1E293B"/>
          <w:sz w:val="20"/>
          <w:szCs w:val="20"/>
        </w:rPr>
        <w:t xml:space="preserve">Expand role hierarchy: </w:t>
      </w:r>
      <w:r>
        <w:rPr>
          <w:rFonts w:ascii="Arial" w:cs="Arial" w:eastAsia="Arial" w:hAnsi="Arial"/>
          <w:color w:val="1E293B"/>
          <w:sz w:val="20"/>
          <w:szCs w:val="20"/>
        </w:rPr>
        <w:t xml:space="preserve">Starting from the user’s effective_roles[] (already expanded by Layer 1 to include inherited roles), query the Knowledge Graph for all Policy nodes connected via APPLIES_TO_ROLE relationships to any of these roles.</w:t>
      </w:r>
    </w:p>
    <w:p>
      <w:pPr>
        <w:pStyle w:val="ListParagraph"/>
        <w:numPr>
          <w:ilvl w:val="0"/>
          <w:numId w:val="3"/>
        </w:numPr>
        <w:spacing w:after="80" w:line="276"/>
      </w:pPr>
      <w:r>
        <w:rPr>
          <w:rFonts w:ascii="Arial" w:cs="Arial" w:eastAsia="Arial" w:hAnsi="Arial"/>
          <w:b/>
          <w:bCs/>
          <w:color w:val="1E293B"/>
          <w:sz w:val="20"/>
          <w:szCs w:val="20"/>
        </w:rPr>
        <w:t xml:space="preserve">Filter by table targets: </w:t>
      </w:r>
      <w:r>
        <w:rPr>
          <w:rFonts w:ascii="Arial" w:cs="Arial" w:eastAsia="Arial" w:hAnsi="Arial"/>
          <w:color w:val="1E293B"/>
          <w:sz w:val="20"/>
          <w:szCs w:val="20"/>
        </w:rPr>
        <w:t xml:space="preserve">From the collected policies, retain only those whose structured_rule.tables include at least one of the candidate_table_ids. Also retain domain-wide policies (APPLIES_TO_DOMAIN) where the domain matches any candidate table’s domain_tags.</w:t>
      </w:r>
    </w:p>
    <w:p>
      <w:pPr>
        <w:pStyle w:val="ListParagraph"/>
        <w:numPr>
          <w:ilvl w:val="0"/>
          <w:numId w:val="3"/>
        </w:numPr>
        <w:spacing w:after="80" w:line="276"/>
      </w:pPr>
      <w:r>
        <w:rPr>
          <w:rFonts w:ascii="Arial" w:cs="Arial" w:eastAsia="Arial" w:hAnsi="Arial"/>
          <w:b/>
          <w:bCs/>
          <w:color w:val="1E293B"/>
          <w:sz w:val="20"/>
          <w:szCs w:val="20"/>
        </w:rPr>
        <w:t xml:space="preserve">Filter by temporal validity: </w:t>
      </w:r>
      <w:r>
        <w:rPr>
          <w:rFonts w:ascii="Arial" w:cs="Arial" w:eastAsia="Arial" w:hAnsi="Arial"/>
          <w:color w:val="1E293B"/>
          <w:sz w:val="20"/>
          <w:szCs w:val="20"/>
        </w:rPr>
        <w:t xml:space="preserve">Remove policies where effective_from &gt; NOW() or effective_until &lt; NOW(). Only currently active policies participate in resolution.</w:t>
      </w:r>
    </w:p>
    <w:p>
      <w:pPr>
        <w:pStyle w:val="ListParagraph"/>
        <w:numPr>
          <w:ilvl w:val="0"/>
          <w:numId w:val="3"/>
        </w:numPr>
        <w:spacing w:after="80" w:line="276"/>
      </w:pPr>
      <w:r>
        <w:rPr>
          <w:rFonts w:ascii="Arial" w:cs="Arial" w:eastAsia="Arial" w:hAnsi="Arial"/>
          <w:b/>
          <w:bCs/>
          <w:color w:val="1E293B"/>
          <w:sz w:val="20"/>
          <w:szCs w:val="20"/>
        </w:rPr>
        <w:t xml:space="preserve">Include universal policies: </w:t>
      </w:r>
      <w:r>
        <w:rPr>
          <w:rFonts w:ascii="Arial" w:cs="Arial" w:eastAsia="Arial" w:hAnsi="Arial"/>
          <w:color w:val="1E293B"/>
          <w:sz w:val="20"/>
          <w:szCs w:val="20"/>
        </w:rPr>
        <w:t xml:space="preserve">Add any policies that apply to ALL roles (e.g., FED-001: 42 CFR Part 2 applies universally). These are identified by having APPLIES_TO_ROLE edges to every role in the hierarchy or a special 'ALL_ROLES' flag.</w:t>
      </w:r>
    </w:p>
    <w:p>
      <w:pPr>
        <w:pStyle w:val="ListParagraph"/>
        <w:numPr>
          <w:ilvl w:val="0"/>
          <w:numId w:val="3"/>
        </w:numPr>
        <w:spacing w:after="80" w:line="276"/>
      </w:pPr>
      <w:r>
        <w:rPr>
          <w:rFonts w:ascii="Arial" w:cs="Arial" w:eastAsia="Arial" w:hAnsi="Arial"/>
          <w:b/>
          <w:bCs/>
          <w:color w:val="1E293B"/>
          <w:sz w:val="20"/>
          <w:szCs w:val="20"/>
        </w:rPr>
        <w:t xml:space="preserve">Include regulatory policies: </w:t>
      </w:r>
      <w:r>
        <w:rPr>
          <w:rFonts w:ascii="Arial" w:cs="Arial" w:eastAsia="Arial" w:hAnsi="Arial"/>
          <w:color w:val="1E293B"/>
          <w:sz w:val="20"/>
          <w:szCs w:val="20"/>
        </w:rPr>
        <w:t xml:space="preserve">For each candidate table that has regulatory_flags (e.g., HIPAA, 42_CFR_PART_2, DEA), include all policies DERIVED_FROM those regulations, regardless of role linkage.</w:t>
      </w:r>
    </w:p>
    <w:p>
      <w:pPr>
        <w:pStyle w:val="Heading2"/>
        <w:spacing w:before="300" w:after="160"/>
      </w:pPr>
      <w:r>
        <w:rPr>
          <w:rFonts w:ascii="Arial" w:cs="Arial" w:eastAsia="Arial" w:hAnsi="Arial"/>
          <w:b/>
          <w:bCs/>
          <w:color w:val="1E293B"/>
          <w:sz w:val="26"/>
          <w:szCs w:val="26"/>
        </w:rPr>
        <w:t xml:space="preserve">6.3 Primary Cypher Query</w:t>
      </w:r>
    </w:p>
    <w:p>
      <w:pPr>
        <w:spacing w:after="20"/>
      </w:pPr>
      <w:r>
        <w:rPr>
          <w:rFonts w:ascii="Courier New" w:cs="Courier New" w:eastAsia="Courier New" w:hAnsi="Courier New"/>
          <w:color w:val="DC2626"/>
          <w:sz w:val="18"/>
          <w:szCs w:val="18"/>
        </w:rPr>
        <w:t xml:space="preserve">// Collect all policies for user's roles targeting candidate tables</w:t>
      </w:r>
    </w:p>
    <w:p>
      <w:pPr>
        <w:spacing w:after="20"/>
      </w:pPr>
      <w:r>
        <w:rPr>
          <w:rFonts w:ascii="Courier New" w:cs="Courier New" w:eastAsia="Courier New" w:hAnsi="Courier New"/>
          <w:color w:val="DC2626"/>
          <w:sz w:val="18"/>
          <w:szCs w:val="18"/>
        </w:rPr>
        <w:t xml:space="preserve">MATCH (p:Policy)-[:APPLIES_TO_ROLE]-&gt;(r:Role)</w:t>
      </w:r>
    </w:p>
    <w:p>
      <w:pPr>
        <w:spacing w:after="20"/>
      </w:pPr>
      <w:r>
        <w:rPr>
          <w:rFonts w:ascii="Courier New" w:cs="Courier New" w:eastAsia="Courier New" w:hAnsi="Courier New"/>
          <w:color w:val="DC2626"/>
          <w:sz w:val="18"/>
          <w:szCs w:val="18"/>
        </w:rPr>
        <w:t xml:space="preserve">WHERE r.name IN $effective_roles</w:t>
      </w:r>
    </w:p>
    <w:p>
      <w:pPr>
        <w:spacing w:after="20"/>
      </w:pPr>
      <w:r>
        <w:rPr>
          <w:rFonts w:ascii="Courier New" w:cs="Courier New" w:eastAsia="Courier New" w:hAnsi="Courier New"/>
          <w:color w:val="DC2626"/>
          <w:sz w:val="18"/>
          <w:szCs w:val="18"/>
        </w:rPr>
        <w:t xml:space="preserve">  AND p.is_active = true</w:t>
      </w:r>
    </w:p>
    <w:p>
      <w:pPr>
        <w:spacing w:after="20"/>
      </w:pPr>
      <w:r>
        <w:rPr>
          <w:rFonts w:ascii="Courier New" w:cs="Courier New" w:eastAsia="Courier New" w:hAnsi="Courier New"/>
          <w:color w:val="DC2626"/>
          <w:sz w:val="18"/>
          <w:szCs w:val="18"/>
        </w:rPr>
        <w:t xml:space="preserve">  AND (p.effective_from IS NULL OR p.effective_from &lt;= datetime())</w:t>
      </w:r>
    </w:p>
    <w:p>
      <w:pPr>
        <w:spacing w:after="20"/>
      </w:pPr>
      <w:r>
        <w:rPr>
          <w:rFonts w:ascii="Courier New" w:cs="Courier New" w:eastAsia="Courier New" w:hAnsi="Courier New"/>
          <w:color w:val="DC2626"/>
          <w:sz w:val="18"/>
          <w:szCs w:val="18"/>
        </w:rPr>
        <w:t xml:space="preserve">  AND (p.effective_until IS NULL OR p.effective_until &gt;= datetime())</w:t>
      </w:r>
    </w:p>
    <w:p>
      <w:pPr>
        <w:spacing w:after="20"/>
      </w:pPr>
      <w:r>
        <w:rPr>
          <w:rFonts w:ascii="Courier New" w:cs="Courier New" w:eastAsia="Courier New" w:hAnsi="Courier New"/>
          <w:color w:val="DC2626"/>
          <w:sz w:val="18"/>
          <w:szCs w:val="18"/>
        </w:rPr>
        <w:t xml:space="preserve">WITH COLLECT(DISTINCT p) AS role_policies</w:t>
      </w:r>
    </w:p>
    <w:p>
      <w:pPr>
        <w:spacing w:after="20"/>
      </w:pPr>
      <w:r>
        <w:rPr>
          <w:rFonts w:ascii="Courier New" w:cs="Courier New" w:eastAsia="Courier New" w:hAnsi="Courier New"/>
          <w:color w:val="DC2626"/>
          <w:sz w:val="18"/>
          <w:szCs w:val="18"/>
        </w:rPr>
        <w:t xml:space="preserve"/>
      </w:r>
    </w:p>
    <w:p>
      <w:pPr>
        <w:spacing w:after="20"/>
      </w:pPr>
      <w:r>
        <w:rPr>
          <w:rFonts w:ascii="Courier New" w:cs="Courier New" w:eastAsia="Courier New" w:hAnsi="Courier New"/>
          <w:color w:val="DC2626"/>
          <w:sz w:val="18"/>
          <w:szCs w:val="18"/>
        </w:rPr>
        <w:t xml:space="preserve">// Add domain-wide policies</w:t>
      </w:r>
    </w:p>
    <w:p>
      <w:pPr>
        <w:spacing w:after="20"/>
      </w:pPr>
      <w:r>
        <w:rPr>
          <w:rFonts w:ascii="Courier New" w:cs="Courier New" w:eastAsia="Courier New" w:hAnsi="Courier New"/>
          <w:color w:val="DC2626"/>
          <w:sz w:val="18"/>
          <w:szCs w:val="18"/>
        </w:rPr>
        <w:t xml:space="preserve">MATCH (p2:Policy)-[:APPLIES_TO_DOMAIN]-&gt;(d:Domain)</w:t>
      </w:r>
    </w:p>
    <w:p>
      <w:pPr>
        <w:spacing w:after="20"/>
      </w:pPr>
      <w:r>
        <w:rPr>
          <w:rFonts w:ascii="Courier New" w:cs="Courier New" w:eastAsia="Courier New" w:hAnsi="Courier New"/>
          <w:color w:val="DC2626"/>
          <w:sz w:val="18"/>
          <w:szCs w:val="18"/>
        </w:rPr>
        <w:t xml:space="preserve">WHERE d.name IN $candidate_domains</w:t>
      </w:r>
    </w:p>
    <w:p>
      <w:pPr>
        <w:spacing w:after="20"/>
      </w:pPr>
      <w:r>
        <w:rPr>
          <w:rFonts w:ascii="Courier New" w:cs="Courier New" w:eastAsia="Courier New" w:hAnsi="Courier New"/>
          <w:color w:val="DC2626"/>
          <w:sz w:val="18"/>
          <w:szCs w:val="18"/>
        </w:rPr>
        <w:t xml:space="preserve">  AND p2.is_active = true</w:t>
      </w:r>
    </w:p>
    <w:p>
      <w:pPr>
        <w:spacing w:after="20"/>
      </w:pPr>
      <w:r>
        <w:rPr>
          <w:rFonts w:ascii="Courier New" w:cs="Courier New" w:eastAsia="Courier New" w:hAnsi="Courier New"/>
          <w:color w:val="DC2626"/>
          <w:sz w:val="18"/>
          <w:szCs w:val="18"/>
        </w:rPr>
        <w:t xml:space="preserve">WITH role_policies + COLLECT(DISTINCT p2) AS all_policies</w:t>
      </w:r>
    </w:p>
    <w:p>
      <w:pPr>
        <w:spacing w:after="20"/>
      </w:pPr>
      <w:r>
        <w:rPr>
          <w:rFonts w:ascii="Courier New" w:cs="Courier New" w:eastAsia="Courier New" w:hAnsi="Courier New"/>
          <w:color w:val="DC2626"/>
          <w:sz w:val="18"/>
          <w:szCs w:val="18"/>
        </w:rPr>
        <w:t xml:space="preserve"/>
      </w:r>
    </w:p>
    <w:p>
      <w:pPr>
        <w:spacing w:after="20"/>
      </w:pPr>
      <w:r>
        <w:rPr>
          <w:rFonts w:ascii="Courier New" w:cs="Courier New" w:eastAsia="Courier New" w:hAnsi="Courier New"/>
          <w:color w:val="DC2626"/>
          <w:sz w:val="18"/>
          <w:szCs w:val="18"/>
        </w:rPr>
        <w:t xml:space="preserve">// Add regulatory policies for flagged tables</w:t>
      </w:r>
    </w:p>
    <w:p>
      <w:pPr>
        <w:spacing w:after="20"/>
      </w:pPr>
      <w:r>
        <w:rPr>
          <w:rFonts w:ascii="Courier New" w:cs="Courier New" w:eastAsia="Courier New" w:hAnsi="Courier New"/>
          <w:color w:val="DC2626"/>
          <w:sz w:val="18"/>
          <w:szCs w:val="18"/>
        </w:rPr>
        <w:t xml:space="preserve">MATCH (p3:Policy)-[:DERIVED_FROM]-&gt;(reg:Regulation)</w:t>
      </w:r>
    </w:p>
    <w:p>
      <w:pPr>
        <w:spacing w:after="20"/>
      </w:pPr>
      <w:r>
        <w:rPr>
          <w:rFonts w:ascii="Courier New" w:cs="Courier New" w:eastAsia="Courier New" w:hAnsi="Courier New"/>
          <w:color w:val="DC2626"/>
          <w:sz w:val="18"/>
          <w:szCs w:val="18"/>
        </w:rPr>
        <w:t xml:space="preserve">WHERE reg.name IN $candidate_regulatory_flags</w:t>
      </w:r>
    </w:p>
    <w:p>
      <w:pPr>
        <w:spacing w:after="20"/>
      </w:pPr>
      <w:r>
        <w:rPr>
          <w:rFonts w:ascii="Courier New" w:cs="Courier New" w:eastAsia="Courier New" w:hAnsi="Courier New"/>
          <w:color w:val="DC2626"/>
          <w:sz w:val="18"/>
          <w:szCs w:val="18"/>
        </w:rPr>
        <w:t xml:space="preserve">  AND p3.is_active = true</w:t>
      </w:r>
    </w:p>
    <w:p>
      <w:pPr>
        <w:spacing w:after="20"/>
      </w:pPr>
      <w:r>
        <w:rPr>
          <w:rFonts w:ascii="Courier New" w:cs="Courier New" w:eastAsia="Courier New" w:hAnsi="Courier New"/>
          <w:color w:val="DC2626"/>
          <w:sz w:val="18"/>
          <w:szCs w:val="18"/>
        </w:rPr>
        <w:t xml:space="preserve">WITH all_policies + COLLECT(DISTINCT p3) AS final_policies</w:t>
      </w:r>
    </w:p>
    <w:p>
      <w:pPr>
        <w:spacing w:after="20"/>
      </w:pPr>
      <w:r>
        <w:rPr>
          <w:rFonts w:ascii="Courier New" w:cs="Courier New" w:eastAsia="Courier New" w:hAnsi="Courier New"/>
          <w:color w:val="DC2626"/>
          <w:sz w:val="18"/>
          <w:szCs w:val="18"/>
        </w:rPr>
        <w:t xml:space="preserve"/>
      </w:r>
    </w:p>
    <w:p>
      <w:pPr>
        <w:spacing w:after="20"/>
      </w:pPr>
      <w:r>
        <w:rPr>
          <w:rFonts w:ascii="Courier New" w:cs="Courier New" w:eastAsia="Courier New" w:hAnsi="Courier New"/>
          <w:color w:val="DC2626"/>
          <w:sz w:val="18"/>
          <w:szCs w:val="18"/>
        </w:rPr>
        <w:t xml:space="preserve">UNWIND final_policies AS pol</w:t>
      </w:r>
    </w:p>
    <w:p>
      <w:pPr>
        <w:spacing w:after="20"/>
      </w:pPr>
      <w:r>
        <w:rPr>
          <w:rFonts w:ascii="Courier New" w:cs="Courier New" w:eastAsia="Courier New" w:hAnsi="Courier New"/>
          <w:color w:val="DC2626"/>
          <w:sz w:val="18"/>
          <w:szCs w:val="18"/>
        </w:rPr>
        <w:t xml:space="preserve">RETURN DISTINCT pol.policy_id, pol.name, pol.effect, pol.priority,</w:t>
      </w:r>
    </w:p>
    <w:p>
      <w:pPr>
        <w:spacing w:after="20"/>
      </w:pPr>
      <w:r>
        <w:rPr>
          <w:rFonts w:ascii="Courier New" w:cs="Courier New" w:eastAsia="Courier New" w:hAnsi="Courier New"/>
          <w:color w:val="DC2626"/>
          <w:sz w:val="18"/>
          <w:szCs w:val="18"/>
        </w:rPr>
        <w:t xml:space="preserve">       pol.regulation, pol.nl_description, pol.structured_rule</w:t>
      </w:r>
    </w:p>
    <w:p>
      <w:pPr>
        <w:spacing w:after="80"/>
      </w:pPr>
      <w:r>
        <w:rPr>
          <w:rFonts w:ascii="Courier New" w:cs="Courier New" w:eastAsia="Courier New" w:hAnsi="Courier New"/>
          <w:color w:val="DC2626"/>
          <w:sz w:val="18"/>
          <w:szCs w:val="18"/>
        </w:rPr>
        <w:t xml:space="preserve">ORDER BY pol.priority DESC</w:t>
      </w:r>
    </w:p>
    <w:p>
      <w:pPr>
        <w:pStyle w:val="Heading2"/>
        <w:spacing w:before="300" w:after="160"/>
      </w:pPr>
      <w:r>
        <w:rPr>
          <w:rFonts w:ascii="Arial" w:cs="Arial" w:eastAsia="Arial" w:hAnsi="Arial"/>
          <w:b/>
          <w:bCs/>
          <w:color w:val="1E293B"/>
          <w:sz w:val="26"/>
          <w:szCs w:val="26"/>
        </w:rPr>
        <w:t xml:space="preserve">6.4 Expected Output</w:t>
      </w:r>
    </w:p>
    <w:p>
      <w:pPr>
        <w:spacing w:after="160" w:line="276"/>
      </w:pPr>
      <w:r>
        <w:rPr>
          <w:rFonts w:ascii="Arial" w:cs="Arial" w:eastAsia="Arial" w:hAnsi="Arial"/>
          <w:color w:val="1E293B"/>
          <w:sz w:val="20"/>
          <w:szCs w:val="20"/>
        </w:rPr>
        <w:t xml:space="preserve">For a typical request (5–10 candidate tables, user with 3–5 effective roles), the collector returns 10–25 applicable policies. This is the PolicySet that feeds into conflict resolution.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c>
          <w:tcPr>
            <w:tcW w:type="dxa" w:w="3200"/>
            <w:tcBorders>
              <w:top w:val="single" w:color="CBD5E1" w:sz="1"/>
              <w:left w:val="single" w:color="CBD5E1" w:sz="1"/>
              <w:bottom w:val="single" w:color="CBD5E1" w:sz="1"/>
              <w:right w:val="single" w:color="CBD5E1" w:sz="1"/>
            </w:tcBorders>
            <w:shd w:fill="DC2626"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400"/>
            <w:tcBorders>
              <w:top w:val="single" w:color="CBD5E1" w:sz="1"/>
              <w:left w:val="single" w:color="CBD5E1" w:sz="1"/>
              <w:bottom w:val="single" w:color="CBD5E1" w:sz="1"/>
              <w:right w:val="single" w:color="CBD5E1" w:sz="1"/>
            </w:tcBorders>
            <w:shd w:fill="DC2626" w:val="clear"/>
            <w:tcMar>
              <w:top w:type="dxa" w:w="80"/>
              <w:left w:type="dxa" w:w="120"/>
              <w:bottom w:type="dxa" w:w="80"/>
              <w:right w:type="dxa" w:w="120"/>
            </w:tcMar>
          </w:tcPr>
          <w:p>
            <w:r>
              <w:rPr>
                <w:rFonts w:ascii="Arial" w:cs="Arial" w:eastAsia="Arial" w:hAnsi="Arial"/>
                <w:b/>
                <w:bCs/>
                <w:color w:val="FFFFFF"/>
                <w:sz w:val="20"/>
                <w:szCs w:val="20"/>
              </w:rPr>
              <w:t xml:space="preserve">Expected Value</w:t>
            </w:r>
          </w:p>
        </w:tc>
        <w:tc>
          <w:tcPr>
            <w:tcW w:type="dxa" w:w="3760"/>
            <w:tcBorders>
              <w:top w:val="single" w:color="CBD5E1" w:sz="1"/>
              <w:left w:val="single" w:color="CBD5E1" w:sz="1"/>
              <w:bottom w:val="single" w:color="CBD5E1" w:sz="1"/>
              <w:right w:val="single" w:color="CBD5E1" w:sz="1"/>
            </w:tcBorders>
            <w:shd w:fill="DC2626"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Policies collected (typical)</w:t>
            </w:r>
          </w:p>
        </w:tc>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10–25</w:t>
            </w:r>
          </w:p>
        </w:tc>
        <w:tc>
          <w:tcPr>
            <w:tcW w:type="dxa" w:w="3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Higher for senior clinical roles (more inherited policies)</w:t>
            </w:r>
          </w:p>
        </w:tc>
      </w:tr>
      <w:tr>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76"/>
            </w:pPr>
            <w:r>
              <w:rPr>
                <w:rFonts w:ascii="Arial" w:cs="Arial" w:eastAsia="Arial" w:hAnsi="Arial"/>
                <w:color w:val="1E293B"/>
                <w:sz w:val="20"/>
                <w:szCs w:val="20"/>
              </w:rPr>
              <w:t xml:space="preserve">Policies collected (max)</w:t>
            </w:r>
          </w:p>
        </w:tc>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76"/>
            </w:pPr>
            <w:r>
              <w:rPr>
                <w:rFonts w:ascii="Arial" w:cs="Arial" w:eastAsia="Arial" w:hAnsi="Arial"/>
                <w:color w:val="1E293B"/>
                <w:sz w:val="20"/>
                <w:szCs w:val="20"/>
              </w:rPr>
              <w:t xml:space="preserve">40–50</w:t>
            </w:r>
          </w:p>
        </w:tc>
        <w:tc>
          <w:tcPr>
            <w:tcW w:type="dxa" w:w="37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76"/>
            </w:pPr>
            <w:r>
              <w:rPr>
                <w:rFonts w:ascii="Arial" w:cs="Arial" w:eastAsia="Arial" w:hAnsi="Arial"/>
                <w:color w:val="1E293B"/>
                <w:sz w:val="20"/>
                <w:szCs w:val="20"/>
              </w:rPr>
              <w:t xml:space="preserve">Clinical Director with BTG active + cross-domain query</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Cypher query latency</w:t>
            </w:r>
          </w:p>
        </w:tc>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5–10ms</w:t>
            </w:r>
          </w:p>
        </w:tc>
        <w:tc>
          <w:tcPr>
            <w:tcW w:type="dxa" w:w="3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Single composite query, not multiple round trips</w:t>
            </w:r>
          </w:p>
        </w:tc>
      </w:tr>
      <w:tr>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76"/>
            </w:pPr>
            <w:r>
              <w:rPr>
                <w:rFonts w:ascii="Arial" w:cs="Arial" w:eastAsia="Arial" w:hAnsi="Arial"/>
                <w:color w:val="1E293B"/>
                <w:sz w:val="20"/>
                <w:szCs w:val="20"/>
              </w:rPr>
              <w:t xml:space="preserve">Cache consideration</w:t>
            </w:r>
          </w:p>
        </w:tc>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76"/>
            </w:pPr>
            <w:r>
              <w:rPr>
                <w:rFonts w:ascii="Arial" w:cs="Arial" w:eastAsia="Arial" w:hAnsi="Arial"/>
                <w:color w:val="1E293B"/>
                <w:sz w:val="20"/>
                <w:szCs w:val="20"/>
              </w:rPr>
              <w:t xml:space="preserve">Role-policy map cached 5 min</w:t>
            </w:r>
          </w:p>
        </w:tc>
        <w:tc>
          <w:tcPr>
            <w:tcW w:type="dxa" w:w="37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76"/>
            </w:pPr>
            <w:r>
              <w:rPr>
                <w:rFonts w:ascii="Arial" w:cs="Arial" w:eastAsia="Arial" w:hAnsi="Arial"/>
                <w:color w:val="1E293B"/>
                <w:sz w:val="20"/>
                <w:szCs w:val="20"/>
              </w:rPr>
              <w:t xml:space="preserve">Policy changes invalidate cache via Neo4j trigger</w:t>
            </w:r>
          </w:p>
        </w:tc>
      </w:tr>
    </w:tbl>
    <w:p>
      <w:pPr>
        <w:spacing w:after="80"/>
      </w:pPr>
    </w:p>
    <w:p>
      <w:r>
        <w:br w:type="page"/>
      </w:r>
    </w:p>
    <w:p>
      <w:pPr>
        <w:pStyle w:val="Heading1"/>
        <w:spacing w:before="360" w:after="200"/>
      </w:pPr>
      <w:r>
        <w:rPr>
          <w:rFonts w:ascii="Arial" w:cs="Arial" w:eastAsia="Arial" w:hAnsi="Arial"/>
          <w:b/>
          <w:bCs/>
          <w:color w:val="DC2626"/>
          <w:sz w:val="32"/>
          <w:szCs w:val="32"/>
        </w:rPr>
        <w:t xml:space="preserve">7. Conflict Resolution Engine</w:t>
      </w:r>
    </w:p>
    <w:p>
      <w:pPr>
        <w:pStyle w:val="Heading2"/>
        <w:spacing w:before="300" w:after="160"/>
      </w:pPr>
      <w:r>
        <w:rPr>
          <w:rFonts w:ascii="Arial" w:cs="Arial" w:eastAsia="Arial" w:hAnsi="Arial"/>
          <w:b/>
          <w:bCs/>
          <w:color w:val="1E293B"/>
          <w:sz w:val="26"/>
          <w:szCs w:val="26"/>
        </w:rPr>
        <w:t xml:space="preserve">7.1 Purpose</w:t>
      </w:r>
    </w:p>
    <w:p>
      <w:pPr>
        <w:spacing w:after="160" w:line="276"/>
      </w:pPr>
      <w:r>
        <w:rPr>
          <w:rFonts w:ascii="Arial" w:cs="Arial" w:eastAsia="Arial" w:hAnsi="Arial"/>
          <w:color w:val="1E293B"/>
          <w:sz w:val="20"/>
          <w:szCs w:val="20"/>
        </w:rPr>
        <w:t xml:space="preserve">The Conflict Resolution Engine is the intellectual core of the Policy Resolution Layer. When multiple policies target the same table or column with conflicting effects, this engine deterministically resolves the conflict to produce a single, unambiguous decision.</w:t>
      </w:r>
    </w:p>
    <w:p>
      <w:pPr>
        <w:pStyle w:val="Heading2"/>
        <w:spacing w:before="300" w:after="160"/>
      </w:pPr>
      <w:r>
        <w:rPr>
          <w:rFonts w:ascii="Arial" w:cs="Arial" w:eastAsia="Arial" w:hAnsi="Arial"/>
          <w:b/>
          <w:bCs/>
          <w:color w:val="1E293B"/>
          <w:sz w:val="26"/>
          <w:szCs w:val="26"/>
        </w:rPr>
        <w:t xml:space="preserve">7.2 Resolution Rules (Ordered by Precedence)</w:t>
      </w:r>
    </w:p>
    <w:p>
      <w:pPr>
        <w:spacing w:after="160" w:line="276"/>
      </w:pPr>
      <w:r>
        <w:rPr>
          <w:rFonts w:ascii="Arial" w:cs="Arial" w:eastAsia="Arial" w:hAnsi="Arial"/>
          <w:color w:val="1E293B"/>
          <w:sz w:val="20"/>
          <w:szCs w:val="20"/>
        </w:rPr>
        <w:t xml:space="preserve">The four resolution rules are applied in strict order. Each rule is a complete, unambiguous decision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3560"/>
        <w:gridCol w:w="2800"/>
      </w:tblGrid>
      <w:tr>
        <w:tc>
          <w:tcPr>
            <w:tcW w:type="dxa" w:w="800"/>
            <w:tcBorders>
              <w:top w:val="single" w:color="CBD5E1" w:sz="1"/>
              <w:left w:val="single" w:color="CBD5E1" w:sz="1"/>
              <w:bottom w:val="single" w:color="CBD5E1" w:sz="1"/>
              <w:right w:val="single" w:color="CBD5E1" w:sz="1"/>
            </w:tcBorders>
            <w:shd w:fill="DC2626" w:val="clear"/>
            <w:tcMar>
              <w:top w:type="dxa" w:w="80"/>
              <w:left w:type="dxa" w:w="120"/>
              <w:bottom w:type="dxa" w:w="80"/>
              <w:right w:type="dxa" w:w="120"/>
            </w:tcMar>
          </w:tcPr>
          <w:p>
            <w:r>
              <w:rPr>
                <w:rFonts w:ascii="Arial" w:cs="Arial" w:eastAsia="Arial" w:hAnsi="Arial"/>
                <w:b/>
                <w:bCs/>
                <w:color w:val="FFFFFF"/>
                <w:sz w:val="20"/>
                <w:szCs w:val="20"/>
              </w:rPr>
              <w:t xml:space="preserve">Rule #</w:t>
            </w:r>
          </w:p>
        </w:tc>
        <w:tc>
          <w:tcPr>
            <w:tcW w:type="dxa" w:w="2200"/>
            <w:tcBorders>
              <w:top w:val="single" w:color="CBD5E1" w:sz="1"/>
              <w:left w:val="single" w:color="CBD5E1" w:sz="1"/>
              <w:bottom w:val="single" w:color="CBD5E1" w:sz="1"/>
              <w:right w:val="single" w:color="CBD5E1" w:sz="1"/>
            </w:tcBorders>
            <w:shd w:fill="DC2626" w:val="clear"/>
            <w:tcMar>
              <w:top w:type="dxa" w:w="80"/>
              <w:left w:type="dxa" w:w="120"/>
              <w:bottom w:type="dxa" w:w="80"/>
              <w:right w:type="dxa" w:w="120"/>
            </w:tcMar>
          </w:tcPr>
          <w:p>
            <w:r>
              <w:rPr>
                <w:rFonts w:ascii="Arial" w:cs="Arial" w:eastAsia="Arial" w:hAnsi="Arial"/>
                <w:b/>
                <w:bCs/>
                <w:color w:val="FFFFFF"/>
                <w:sz w:val="20"/>
                <w:szCs w:val="20"/>
              </w:rPr>
              <w:t xml:space="preserve">Rule Name</w:t>
            </w:r>
          </w:p>
        </w:tc>
        <w:tc>
          <w:tcPr>
            <w:tcW w:type="dxa" w:w="3560"/>
            <w:tcBorders>
              <w:top w:val="single" w:color="CBD5E1" w:sz="1"/>
              <w:left w:val="single" w:color="CBD5E1" w:sz="1"/>
              <w:bottom w:val="single" w:color="CBD5E1" w:sz="1"/>
              <w:right w:val="single" w:color="CBD5E1" w:sz="1"/>
            </w:tcBorders>
            <w:shd w:fill="DC2626" w:val="clear"/>
            <w:tcMar>
              <w:top w:type="dxa" w:w="80"/>
              <w:left w:type="dxa" w:w="120"/>
              <w:bottom w:type="dxa" w:w="80"/>
              <w:right w:type="dxa" w:w="120"/>
            </w:tcMar>
          </w:tcPr>
          <w:p>
            <w:r>
              <w:rPr>
                <w:rFonts w:ascii="Arial" w:cs="Arial" w:eastAsia="Arial" w:hAnsi="Arial"/>
                <w:b/>
                <w:bCs/>
                <w:color w:val="FFFFFF"/>
                <w:sz w:val="20"/>
                <w:szCs w:val="20"/>
              </w:rPr>
              <w:t xml:space="preserve">Statement</w:t>
            </w:r>
          </w:p>
        </w:tc>
        <w:tc>
          <w:tcPr>
            <w:tcW w:type="dxa" w:w="2800"/>
            <w:tcBorders>
              <w:top w:val="single" w:color="CBD5E1" w:sz="1"/>
              <w:left w:val="single" w:color="CBD5E1" w:sz="1"/>
              <w:bottom w:val="single" w:color="CBD5E1" w:sz="1"/>
              <w:right w:val="single" w:color="CBD5E1" w:sz="1"/>
            </w:tcBorders>
            <w:shd w:fill="DC2626"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1</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DENY Beats ALLOW (Same Scope)</w:t>
            </w:r>
          </w:p>
        </w:tc>
        <w:tc>
          <w:tcPr>
            <w:tcW w:type="dxa" w:w="3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If both DENY and ALLOW policies target the same table or column at the same scope level, DENY wins. Always.</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FED-001 (DENY substance_abuse_records, priority 200) beats any ALLOW policy, even EMER-001 (BTG, priority 300) — because FED-001 has a special 'no exception' flag for 42 CFR Part 2</w:t>
            </w:r>
          </w:p>
        </w:tc>
      </w:tr>
      <w:tr>
        <w:tc>
          <w:tcPr>
            <w:tcW w:type="dxa" w:w="8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76"/>
            </w:pPr>
            <w:r>
              <w:rPr>
                <w:rFonts w:ascii="Arial" w:cs="Arial" w:eastAsia="Arial" w:hAnsi="Arial"/>
                <w:color w:val="1E293B"/>
                <w:sz w:val="20"/>
                <w:szCs w:val="20"/>
              </w:rPr>
              <w:t xml:space="preserve">2</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76"/>
            </w:pPr>
            <w:r>
              <w:rPr>
                <w:rFonts w:ascii="Arial" w:cs="Arial" w:eastAsia="Arial" w:hAnsi="Arial"/>
                <w:color w:val="1E293B"/>
                <w:sz w:val="20"/>
                <w:szCs w:val="20"/>
              </w:rPr>
              <w:t xml:space="preserve">Higher Priority Wins (Same Effect)</w:t>
            </w:r>
          </w:p>
        </w:tc>
        <w:tc>
          <w:tcPr>
            <w:tcW w:type="dxa" w:w="35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76"/>
            </w:pPr>
            <w:r>
              <w:rPr>
                <w:rFonts w:ascii="Arial" w:cs="Arial" w:eastAsia="Arial" w:hAnsi="Arial"/>
                <w:color w:val="1E293B"/>
                <w:sz w:val="20"/>
                <w:szCs w:val="20"/>
              </w:rPr>
              <w:t xml:space="preserve">Among policies with the same effect (e.g., two ALLOW policies), the one with the higher priority value determines the terms. Lower-priority policies of the same effect are ignored.</w:t>
            </w:r>
          </w:p>
        </w:tc>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76"/>
            </w:pPr>
            <w:r>
              <w:rPr>
                <w:rFonts w:ascii="Arial" w:cs="Arial" w:eastAsia="Arial" w:hAnsi="Arial"/>
                <w:color w:val="1E293B"/>
                <w:sz w:val="20"/>
                <w:szCs w:val="20"/>
              </w:rPr>
              <w:t xml:space="preserve">CLIN-001 (FILTER, priority 90) overrides CLIN-010 (ALLOW, priority 40) for encounter table access. The physician gets filtered access, not CNA’s unrestricted access.</w:t>
            </w:r>
          </w:p>
        </w:tc>
      </w:tr>
      <w:tr>
        <w:tc>
          <w:tcPr>
            <w:tcW w:type="dxa" w:w="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3</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Column Scope Beats Table Scope</w:t>
            </w:r>
          </w:p>
        </w:tc>
        <w:tc>
          <w:tcPr>
            <w:tcW w:type="dxa" w:w="3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A column-specific policy overrides a table-wide policy, regardless of priority (within 20 points). This allows fine-grained exceptions to broad grants.</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BIZ-001 (ALLOW patients, priority 50) grants table access, but HIPAA-003 (MASK patients.ssn, priority 60) masks the SSN column specifically. Column-level masking applies on top of table-level grant.</w:t>
            </w:r>
          </w:p>
        </w:tc>
      </w:tr>
      <w:tr>
        <w:tc>
          <w:tcPr>
            <w:tcW w:type="dxa" w:w="8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76"/>
            </w:pPr>
            <w:r>
              <w:rPr>
                <w:rFonts w:ascii="Arial" w:cs="Arial" w:eastAsia="Arial" w:hAnsi="Arial"/>
                <w:color w:val="1E293B"/>
                <w:sz w:val="20"/>
                <w:szCs w:val="20"/>
              </w:rPr>
              <w:t xml:space="preserve">4</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76"/>
            </w:pPr>
            <w:r>
              <w:rPr>
                <w:rFonts w:ascii="Arial" w:cs="Arial" w:eastAsia="Arial" w:hAnsi="Arial"/>
                <w:color w:val="1E293B"/>
                <w:sz w:val="20"/>
                <w:szCs w:val="20"/>
              </w:rPr>
              <w:t xml:space="preserve">No Policy = DENY</w:t>
            </w:r>
          </w:p>
        </w:tc>
        <w:tc>
          <w:tcPr>
            <w:tcW w:type="dxa" w:w="35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76"/>
            </w:pPr>
            <w:r>
              <w:rPr>
                <w:rFonts w:ascii="Arial" w:cs="Arial" w:eastAsia="Arial" w:hAnsi="Arial"/>
                <w:color w:val="1E293B"/>
                <w:sz w:val="20"/>
                <w:szCs w:val="20"/>
              </w:rPr>
              <w:t xml:space="preserve">If no policy grants ALLOW for a table or column, it is DENIED by default. There is no implicit access. This is the deny-by-default posture.</w:t>
            </w:r>
          </w:p>
        </w:tc>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76"/>
            </w:pPr>
            <w:r>
              <w:rPr>
                <w:rFonts w:ascii="Arial" w:cs="Arial" w:eastAsia="Arial" w:hAnsi="Arial"/>
                <w:color w:val="1E293B"/>
                <w:sz w:val="20"/>
                <w:szCs w:val="20"/>
              </w:rPr>
              <w:t xml:space="preserve">A researcher with no clinical role asks about patients table. No policy in their PolicySet grants access to patients. Result: DENIED.</w:t>
            </w:r>
          </w:p>
        </w:tc>
      </w:tr>
    </w:tbl>
    <w:p>
      <w:pPr>
        <w:pStyle w:val="Heading2"/>
        <w:spacing w:before="300" w:after="160"/>
      </w:pPr>
      <w:r>
        <w:rPr>
          <w:rFonts w:ascii="Arial" w:cs="Arial" w:eastAsia="Arial" w:hAnsi="Arial"/>
          <w:b/>
          <w:bCs/>
          <w:color w:val="1E293B"/>
          <w:sz w:val="26"/>
          <w:szCs w:val="26"/>
        </w:rPr>
        <w:t xml:space="preserve">7.3 Resolution Algorithm (Pseudocode)</w:t>
      </w:r>
    </w:p>
    <w:p>
      <w:pPr>
        <w:spacing w:after="20"/>
      </w:pPr>
      <w:r>
        <w:rPr>
          <w:rFonts w:ascii="Courier New" w:cs="Courier New" w:eastAsia="Courier New" w:hAnsi="Courier New"/>
          <w:color w:val="DC2626"/>
          <w:sz w:val="18"/>
          <w:szCs w:val="18"/>
        </w:rPr>
        <w:t xml:space="preserve">function resolve_table(table_id, policy_set):</w:t>
      </w:r>
    </w:p>
    <w:p>
      <w:pPr>
        <w:spacing w:after="20"/>
      </w:pPr>
      <w:r>
        <w:rPr>
          <w:rFonts w:ascii="Courier New" w:cs="Courier New" w:eastAsia="Courier New" w:hAnsi="Courier New"/>
          <w:color w:val="DC2626"/>
          <w:sz w:val="18"/>
          <w:szCs w:val="18"/>
        </w:rPr>
        <w:t xml:space="preserve">  // Step 1: Collect all policies targeting this table</w:t>
      </w:r>
    </w:p>
    <w:p>
      <w:pPr>
        <w:spacing w:after="20"/>
      </w:pPr>
      <w:r>
        <w:rPr>
          <w:rFonts w:ascii="Courier New" w:cs="Courier New" w:eastAsia="Courier New" w:hAnsi="Courier New"/>
          <w:color w:val="DC2626"/>
          <w:sz w:val="18"/>
          <w:szCs w:val="18"/>
        </w:rPr>
        <w:t xml:space="preserve">  table_policies = filter(policy_set, targets(table_id))</w:t>
      </w:r>
    </w:p>
    <w:p>
      <w:pPr>
        <w:spacing w:after="20"/>
      </w:pPr>
      <w:r>
        <w:rPr>
          <w:rFonts w:ascii="Courier New" w:cs="Courier New" w:eastAsia="Courier New" w:hAnsi="Courier New"/>
          <w:color w:val="DC2626"/>
          <w:sz w:val="18"/>
          <w:szCs w:val="18"/>
        </w:rPr>
        <w:t xml:space="preserve"/>
      </w:r>
    </w:p>
    <w:p>
      <w:pPr>
        <w:spacing w:after="20"/>
      </w:pPr>
      <w:r>
        <w:rPr>
          <w:rFonts w:ascii="Courier New" w:cs="Courier New" w:eastAsia="Courier New" w:hAnsi="Courier New"/>
          <w:color w:val="DC2626"/>
          <w:sz w:val="18"/>
          <w:szCs w:val="18"/>
        </w:rPr>
        <w:t xml:space="preserve">  // Step 2: Check for hard DENY (priority &gt;= 200, no exception)</w:t>
      </w:r>
    </w:p>
    <w:p>
      <w:pPr>
        <w:spacing w:after="20"/>
      </w:pPr>
      <w:r>
        <w:rPr>
          <w:rFonts w:ascii="Courier New" w:cs="Courier New" w:eastAsia="Courier New" w:hAnsi="Courier New"/>
          <w:color w:val="DC2626"/>
          <w:sz w:val="18"/>
          <w:szCs w:val="18"/>
        </w:rPr>
        <w:t xml:space="preserve">  hard_denies = filter(table_policies,</w:t>
      </w:r>
    </w:p>
    <w:p>
      <w:pPr>
        <w:spacing w:after="20"/>
      </w:pPr>
      <w:r>
        <w:rPr>
          <w:rFonts w:ascii="Courier New" w:cs="Courier New" w:eastAsia="Courier New" w:hAnsi="Courier New"/>
          <w:color w:val="DC2626"/>
          <w:sz w:val="18"/>
          <w:szCs w:val="18"/>
        </w:rPr>
        <w:t xml:space="preserve">    effect=DENY AND priority &gt;= 200 AND exception=NONE)</w:t>
      </w:r>
    </w:p>
    <w:p>
      <w:pPr>
        <w:spacing w:after="20"/>
      </w:pPr>
      <w:r>
        <w:rPr>
          <w:rFonts w:ascii="Courier New" w:cs="Courier New" w:eastAsia="Courier New" w:hAnsi="Courier New"/>
          <w:color w:val="DC2626"/>
          <w:sz w:val="18"/>
          <w:szCs w:val="18"/>
        </w:rPr>
        <w:t xml:space="preserve">  if hard_denies is not empty:</w:t>
      </w:r>
    </w:p>
    <w:p>
      <w:pPr>
        <w:spacing w:after="20"/>
      </w:pPr>
      <w:r>
        <w:rPr>
          <w:rFonts w:ascii="Courier New" w:cs="Courier New" w:eastAsia="Courier New" w:hAnsi="Courier New"/>
          <w:color w:val="DC2626"/>
          <w:sz w:val="18"/>
          <w:szCs w:val="18"/>
        </w:rPr>
        <w:t xml:space="preserve">    return DENIED(reason=hard_denies[0].policy_id)</w:t>
      </w:r>
    </w:p>
    <w:p>
      <w:pPr>
        <w:spacing w:after="20"/>
      </w:pPr>
      <w:r>
        <w:rPr>
          <w:rFonts w:ascii="Courier New" w:cs="Courier New" w:eastAsia="Courier New" w:hAnsi="Courier New"/>
          <w:color w:val="DC2626"/>
          <w:sz w:val="18"/>
          <w:szCs w:val="18"/>
        </w:rPr>
        <w:t xml:space="preserve"/>
      </w:r>
    </w:p>
    <w:p>
      <w:pPr>
        <w:spacing w:after="20"/>
      </w:pPr>
      <w:r>
        <w:rPr>
          <w:rFonts w:ascii="Courier New" w:cs="Courier New" w:eastAsia="Courier New" w:hAnsi="Courier New"/>
          <w:color w:val="DC2626"/>
          <w:sz w:val="18"/>
          <w:szCs w:val="18"/>
        </w:rPr>
        <w:t xml:space="preserve">  // Step 3: Check for BTG override</w:t>
      </w:r>
    </w:p>
    <w:p>
      <w:pPr>
        <w:spacing w:after="20"/>
      </w:pPr>
      <w:r>
        <w:rPr>
          <w:rFonts w:ascii="Courier New" w:cs="Courier New" w:eastAsia="Courier New" w:hAnsi="Courier New"/>
          <w:color w:val="DC2626"/>
          <w:sz w:val="18"/>
          <w:szCs w:val="18"/>
        </w:rPr>
        <w:t xml:space="preserve">  if btg_token is active AND table not in btg_exclusions:</w:t>
      </w:r>
    </w:p>
    <w:p>
      <w:pPr>
        <w:spacing w:after="20"/>
      </w:pPr>
      <w:r>
        <w:rPr>
          <w:rFonts w:ascii="Courier New" w:cs="Courier New" w:eastAsia="Courier New" w:hAnsi="Courier New"/>
          <w:color w:val="DC2626"/>
          <w:sz w:val="18"/>
          <w:szCs w:val="18"/>
        </w:rPr>
        <w:t xml:space="preserve">    return ALLOWED(btg=true, audit_flag=EMERGENCY)</w:t>
      </w:r>
    </w:p>
    <w:p>
      <w:pPr>
        <w:spacing w:after="20"/>
      </w:pPr>
      <w:r>
        <w:rPr>
          <w:rFonts w:ascii="Courier New" w:cs="Courier New" w:eastAsia="Courier New" w:hAnsi="Courier New"/>
          <w:color w:val="DC2626"/>
          <w:sz w:val="18"/>
          <w:szCs w:val="18"/>
        </w:rPr>
        <w:t xml:space="preserve"/>
      </w:r>
    </w:p>
    <w:p>
      <w:pPr>
        <w:spacing w:after="20"/>
      </w:pPr>
      <w:r>
        <w:rPr>
          <w:rFonts w:ascii="Courier New" w:cs="Courier New" w:eastAsia="Courier New" w:hAnsi="Courier New"/>
          <w:color w:val="DC2626"/>
          <w:sz w:val="18"/>
          <w:szCs w:val="18"/>
        </w:rPr>
        <w:t xml:space="preserve">  // Step 4: Separate DENY and ALLOW policies</w:t>
      </w:r>
    </w:p>
    <w:p>
      <w:pPr>
        <w:spacing w:after="20"/>
      </w:pPr>
      <w:r>
        <w:rPr>
          <w:rFonts w:ascii="Courier New" w:cs="Courier New" w:eastAsia="Courier New" w:hAnsi="Courier New"/>
          <w:color w:val="DC2626"/>
          <w:sz w:val="18"/>
          <w:szCs w:val="18"/>
        </w:rPr>
        <w:t xml:space="preserve">  denies = sort(filter(table_policies, effect=DENY),</w:t>
      </w:r>
    </w:p>
    <w:p>
      <w:pPr>
        <w:spacing w:after="20"/>
      </w:pPr>
      <w:r>
        <w:rPr>
          <w:rFonts w:ascii="Courier New" w:cs="Courier New" w:eastAsia="Courier New" w:hAnsi="Courier New"/>
          <w:color w:val="DC2626"/>
          <w:sz w:val="18"/>
          <w:szCs w:val="18"/>
        </w:rPr>
        <w:t xml:space="preserve">                key=priority, desc)</w:t>
      </w:r>
    </w:p>
    <w:p>
      <w:pPr>
        <w:spacing w:after="20"/>
      </w:pPr>
      <w:r>
        <w:rPr>
          <w:rFonts w:ascii="Courier New" w:cs="Courier New" w:eastAsia="Courier New" w:hAnsi="Courier New"/>
          <w:color w:val="DC2626"/>
          <w:sz w:val="18"/>
          <w:szCs w:val="18"/>
        </w:rPr>
        <w:t xml:space="preserve">  allows = sort(filter(table_policies, effect=ALLOW),</w:t>
      </w:r>
    </w:p>
    <w:p>
      <w:pPr>
        <w:spacing w:after="20"/>
      </w:pPr>
      <w:r>
        <w:rPr>
          <w:rFonts w:ascii="Courier New" w:cs="Courier New" w:eastAsia="Courier New" w:hAnsi="Courier New"/>
          <w:color w:val="DC2626"/>
          <w:sz w:val="18"/>
          <w:szCs w:val="18"/>
        </w:rPr>
        <w:t xml:space="preserve">                key=priority, desc)</w:t>
      </w:r>
    </w:p>
    <w:p>
      <w:pPr>
        <w:spacing w:after="20"/>
      </w:pPr>
      <w:r>
        <w:rPr>
          <w:rFonts w:ascii="Courier New" w:cs="Courier New" w:eastAsia="Courier New" w:hAnsi="Courier New"/>
          <w:color w:val="DC2626"/>
          <w:sz w:val="18"/>
          <w:szCs w:val="18"/>
        </w:rPr>
        <w:t xml:space="preserve"/>
      </w:r>
    </w:p>
    <w:p>
      <w:pPr>
        <w:spacing w:after="20"/>
      </w:pPr>
      <w:r>
        <w:rPr>
          <w:rFonts w:ascii="Courier New" w:cs="Courier New" w:eastAsia="Courier New" w:hAnsi="Courier New"/>
          <w:color w:val="DC2626"/>
          <w:sz w:val="18"/>
          <w:szCs w:val="18"/>
        </w:rPr>
        <w:t xml:space="preserve">  // Step 5: DENY beats ALLOW at same scope</w:t>
      </w:r>
    </w:p>
    <w:p>
      <w:pPr>
        <w:spacing w:after="20"/>
      </w:pPr>
      <w:r>
        <w:rPr>
          <w:rFonts w:ascii="Courier New" w:cs="Courier New" w:eastAsia="Courier New" w:hAnsi="Courier New"/>
          <w:color w:val="DC2626"/>
          <w:sz w:val="18"/>
          <w:szCs w:val="18"/>
        </w:rPr>
        <w:t xml:space="preserve">  if denies is not empty:</w:t>
      </w:r>
    </w:p>
    <w:p>
      <w:pPr>
        <w:spacing w:after="20"/>
      </w:pPr>
      <w:r>
        <w:rPr>
          <w:rFonts w:ascii="Courier New" w:cs="Courier New" w:eastAsia="Courier New" w:hAnsi="Courier New"/>
          <w:color w:val="DC2626"/>
          <w:sz w:val="18"/>
          <w:szCs w:val="18"/>
        </w:rPr>
        <w:t xml:space="preserve">    if allows is empty OR denies[0].priority &gt;= allows[0].priority:</w:t>
      </w:r>
    </w:p>
    <w:p>
      <w:pPr>
        <w:spacing w:after="20"/>
      </w:pPr>
      <w:r>
        <w:rPr>
          <w:rFonts w:ascii="Courier New" w:cs="Courier New" w:eastAsia="Courier New" w:hAnsi="Courier New"/>
          <w:color w:val="DC2626"/>
          <w:sz w:val="18"/>
          <w:szCs w:val="18"/>
        </w:rPr>
        <w:t xml:space="preserve">      return DENIED(reason=denies[0].policy_id)</w:t>
      </w:r>
    </w:p>
    <w:p>
      <w:pPr>
        <w:spacing w:after="20"/>
      </w:pPr>
      <w:r>
        <w:rPr>
          <w:rFonts w:ascii="Courier New" w:cs="Courier New" w:eastAsia="Courier New" w:hAnsi="Courier New"/>
          <w:color w:val="DC2626"/>
          <w:sz w:val="18"/>
          <w:szCs w:val="18"/>
        </w:rPr>
        <w:t xml:space="preserve"/>
      </w:r>
    </w:p>
    <w:p>
      <w:pPr>
        <w:spacing w:after="20"/>
      </w:pPr>
      <w:r>
        <w:rPr>
          <w:rFonts w:ascii="Courier New" w:cs="Courier New" w:eastAsia="Courier New" w:hAnsi="Courier New"/>
          <w:color w:val="DC2626"/>
          <w:sz w:val="18"/>
          <w:szCs w:val="18"/>
        </w:rPr>
        <w:t xml:space="preserve">  // Step 6: Apply highest-priority ALLOW</w:t>
      </w:r>
    </w:p>
    <w:p>
      <w:pPr>
        <w:spacing w:after="20"/>
      </w:pPr>
      <w:r>
        <w:rPr>
          <w:rFonts w:ascii="Courier New" w:cs="Courier New" w:eastAsia="Courier New" w:hAnsi="Courier New"/>
          <w:color w:val="DC2626"/>
          <w:sz w:val="18"/>
          <w:szCs w:val="18"/>
        </w:rPr>
        <w:t xml:space="preserve">  if allows is not empty:</w:t>
      </w:r>
    </w:p>
    <w:p>
      <w:pPr>
        <w:spacing w:after="20"/>
      </w:pPr>
      <w:r>
        <w:rPr>
          <w:rFonts w:ascii="Courier New" w:cs="Courier New" w:eastAsia="Courier New" w:hAnsi="Courier New"/>
          <w:color w:val="DC2626"/>
          <w:sz w:val="18"/>
          <w:szCs w:val="18"/>
        </w:rPr>
        <w:t xml:space="preserve">    winning_allow = allows[0]</w:t>
      </w:r>
    </w:p>
    <w:p>
      <w:pPr>
        <w:spacing w:after="20"/>
      </w:pPr>
      <w:r>
        <w:rPr>
          <w:rFonts w:ascii="Courier New" w:cs="Courier New" w:eastAsia="Courier New" w:hAnsi="Courier New"/>
          <w:color w:val="DC2626"/>
          <w:sz w:val="18"/>
          <w:szCs w:val="18"/>
        </w:rPr>
        <w:t xml:space="preserve">    columns = resolve_columns(table_id, table_policies)</w:t>
      </w:r>
    </w:p>
    <w:p>
      <w:pPr>
        <w:spacing w:after="20"/>
      </w:pPr>
      <w:r>
        <w:rPr>
          <w:rFonts w:ascii="Courier New" w:cs="Courier New" w:eastAsia="Courier New" w:hAnsi="Courier New"/>
          <w:color w:val="DC2626"/>
          <w:sz w:val="18"/>
          <w:szCs w:val="18"/>
        </w:rPr>
        <w:t xml:space="preserve">    filters = collect_row_filters(table_id, table_policies)</w:t>
      </w:r>
    </w:p>
    <w:p>
      <w:pPr>
        <w:spacing w:after="20"/>
      </w:pPr>
      <w:r>
        <w:rPr>
          <w:rFonts w:ascii="Courier New" w:cs="Courier New" w:eastAsia="Courier New" w:hAnsi="Courier New"/>
          <w:color w:val="DC2626"/>
          <w:sz w:val="18"/>
          <w:szCs w:val="18"/>
        </w:rPr>
        <w:t xml:space="preserve">    return ALLOWED(policy=winning_allow, columns, filters)</w:t>
      </w:r>
    </w:p>
    <w:p>
      <w:pPr>
        <w:spacing w:after="20"/>
      </w:pPr>
      <w:r>
        <w:rPr>
          <w:rFonts w:ascii="Courier New" w:cs="Courier New" w:eastAsia="Courier New" w:hAnsi="Courier New"/>
          <w:color w:val="DC2626"/>
          <w:sz w:val="18"/>
          <w:szCs w:val="18"/>
        </w:rPr>
        <w:t xml:space="preserve"/>
      </w:r>
    </w:p>
    <w:p>
      <w:pPr>
        <w:spacing w:after="20"/>
      </w:pPr>
      <w:r>
        <w:rPr>
          <w:rFonts w:ascii="Courier New" w:cs="Courier New" w:eastAsia="Courier New" w:hAnsi="Courier New"/>
          <w:color w:val="DC2626"/>
          <w:sz w:val="18"/>
          <w:szCs w:val="18"/>
        </w:rPr>
        <w:t xml:space="preserve">  // Step 7: No policy = DENY (default)</w:t>
      </w:r>
    </w:p>
    <w:p>
      <w:pPr>
        <w:spacing w:after="80"/>
      </w:pPr>
      <w:r>
        <w:rPr>
          <w:rFonts w:ascii="Courier New" w:cs="Courier New" w:eastAsia="Courier New" w:hAnsi="Courier New"/>
          <w:color w:val="DC2626"/>
          <w:sz w:val="18"/>
          <w:szCs w:val="18"/>
        </w:rPr>
        <w:t xml:space="preserve">  return DENIED(reason='NO_POLICY')</w:t>
      </w:r>
    </w:p>
    <w:p>
      <w:pPr>
        <w:pStyle w:val="Heading2"/>
        <w:spacing w:before="300" w:after="160"/>
      </w:pPr>
      <w:r>
        <w:rPr>
          <w:rFonts w:ascii="Arial" w:cs="Arial" w:eastAsia="Arial" w:hAnsi="Arial"/>
          <w:b/>
          <w:bCs/>
          <w:color w:val="1E293B"/>
          <w:sz w:val="26"/>
          <w:szCs w:val="26"/>
        </w:rPr>
        <w:t xml:space="preserve">7.4 Column-Level Resolution</w:t>
      </w:r>
    </w:p>
    <w:p>
      <w:pPr>
        <w:spacing w:after="160" w:line="276"/>
      </w:pPr>
      <w:r>
        <w:rPr>
          <w:rFonts w:ascii="Arial" w:cs="Arial" w:eastAsia="Arial" w:hAnsi="Arial"/>
          <w:color w:val="1E293B"/>
          <w:sz w:val="20"/>
          <w:szCs w:val="20"/>
        </w:rPr>
        <w:t xml:space="preserve">After a table-level ALLOW decision, each column is individually resolved:</w:t>
      </w:r>
    </w:p>
    <w:p>
      <w:pPr>
        <w:pStyle w:val="ListParagraph"/>
        <w:numPr>
          <w:ilvl w:val="0"/>
          <w:numId w:val="4"/>
        </w:numPr>
        <w:spacing w:after="80" w:line="276"/>
      </w:pPr>
      <w:r>
        <w:rPr>
          <w:rFonts w:ascii="Arial" w:cs="Arial" w:eastAsia="Arial" w:hAnsi="Arial"/>
          <w:b/>
          <w:bCs/>
          <w:color w:val="1E293B"/>
          <w:sz w:val="20"/>
          <w:szCs w:val="20"/>
        </w:rPr>
        <w:t xml:space="preserve">Column explicitly allowed: </w:t>
      </w:r>
      <w:r>
        <w:rPr>
          <w:rFonts w:ascii="Arial" w:cs="Arial" w:eastAsia="Arial" w:hAnsi="Arial"/>
          <w:color w:val="1E293B"/>
          <w:sz w:val="20"/>
          <w:szCs w:val="20"/>
        </w:rPr>
        <w:t xml:space="preserve">If the winning ALLOW policy’s structured_rule lists specific columns (COLUMN_ALLOW), only those columns are VISIBLE. All others are HIDDEN.</w:t>
      </w:r>
    </w:p>
    <w:p>
      <w:pPr>
        <w:pStyle w:val="ListParagraph"/>
        <w:numPr>
          <w:ilvl w:val="0"/>
          <w:numId w:val="4"/>
        </w:numPr>
        <w:spacing w:after="80" w:line="276"/>
      </w:pPr>
      <w:r>
        <w:rPr>
          <w:rFonts w:ascii="Arial" w:cs="Arial" w:eastAsia="Arial" w:hAnsi="Arial"/>
          <w:b/>
          <w:bCs/>
          <w:color w:val="1E293B"/>
          <w:sz w:val="20"/>
          <w:szCs w:val="20"/>
        </w:rPr>
        <w:t xml:space="preserve">Column explicitly denied: </w:t>
      </w:r>
      <w:r>
        <w:rPr>
          <w:rFonts w:ascii="Arial" w:cs="Arial" w:eastAsia="Arial" w:hAnsi="Arial"/>
          <w:color w:val="1E293B"/>
          <w:sz w:val="20"/>
          <w:szCs w:val="20"/>
        </w:rPr>
        <w:t xml:space="preserve">If any DENY policy targets a specific column (e.g., HIPAA-003 denies patients.ssn for billing), that column is HIDDEN regardless of the table-level ALLOW.</w:t>
      </w:r>
    </w:p>
    <w:p>
      <w:pPr>
        <w:pStyle w:val="ListParagraph"/>
        <w:numPr>
          <w:ilvl w:val="0"/>
          <w:numId w:val="4"/>
        </w:numPr>
        <w:spacing w:after="80" w:line="276"/>
      </w:pPr>
      <w:r>
        <w:rPr>
          <w:rFonts w:ascii="Arial" w:cs="Arial" w:eastAsia="Arial" w:hAnsi="Arial"/>
          <w:b/>
          <w:bCs/>
          <w:color w:val="1E293B"/>
          <w:sz w:val="20"/>
          <w:szCs w:val="20"/>
        </w:rPr>
        <w:t xml:space="preserve">Column requires masking: </w:t>
      </w:r>
      <w:r>
        <w:rPr>
          <w:rFonts w:ascii="Arial" w:cs="Arial" w:eastAsia="Arial" w:hAnsi="Arial"/>
          <w:color w:val="1E293B"/>
          <w:sz w:val="20"/>
          <w:szCs w:val="20"/>
        </w:rPr>
        <w:t xml:space="preserve">If a MASK policy targets the column (based on PII type + role), the column is MASKED with the specified strategy (FULL, PARTIAL, HASH, YEAR_ONLY, REDACT).</w:t>
      </w:r>
    </w:p>
    <w:p>
      <w:pPr>
        <w:pStyle w:val="ListParagraph"/>
        <w:numPr>
          <w:ilvl w:val="0"/>
          <w:numId w:val="4"/>
        </w:numPr>
        <w:spacing w:after="80" w:line="276"/>
      </w:pPr>
      <w:r>
        <w:rPr>
          <w:rFonts w:ascii="Arial" w:cs="Arial" w:eastAsia="Arial" w:hAnsi="Arial"/>
          <w:b/>
          <w:bCs/>
          <w:color w:val="1E293B"/>
          <w:sz w:val="20"/>
          <w:szCs w:val="20"/>
        </w:rPr>
        <w:t xml:space="preserve">Wildcard grant: </w:t>
      </w:r>
      <w:r>
        <w:rPr>
          <w:rFonts w:ascii="Arial" w:cs="Arial" w:eastAsia="Arial" w:hAnsi="Arial"/>
          <w:color w:val="1E293B"/>
          <w:sz w:val="20"/>
          <w:szCs w:val="20"/>
        </w:rPr>
        <w:t xml:space="preserve">If the ALLOW policy uses '*' for a table (e.g., claims: ['*']), all columns are VISIBLE unless individually denied or masked by other policies.</w:t>
      </w:r>
    </w:p>
    <w:p>
      <w:pPr>
        <w:pStyle w:val="ListParagraph"/>
        <w:numPr>
          <w:ilvl w:val="0"/>
          <w:numId w:val="4"/>
        </w:numPr>
        <w:spacing w:after="80" w:line="276"/>
      </w:pPr>
      <w:r>
        <w:rPr>
          <w:rFonts w:ascii="Arial" w:cs="Arial" w:eastAsia="Arial" w:hAnsi="Arial"/>
          <w:b/>
          <w:bCs/>
          <w:color w:val="1E293B"/>
          <w:sz w:val="20"/>
          <w:szCs w:val="20"/>
        </w:rPr>
        <w:t xml:space="preserve">Sensitivity override: </w:t>
      </w:r>
      <w:r>
        <w:rPr>
          <w:rFonts w:ascii="Arial" w:cs="Arial" w:eastAsia="Arial" w:hAnsi="Arial"/>
          <w:color w:val="1E293B"/>
          <w:sz w:val="20"/>
          <w:szCs w:val="20"/>
        </w:rPr>
        <w:t xml:space="preserve">If a column’s sensitivity_level exceeds the user’s clearance_level, the column is HIDDEN regardless of policy grants. This is a hard ceiling that no ALLOW can override (except BTG).</w:t>
      </w:r>
    </w:p>
    <w:p>
      <w:pPr>
        <w:spacing w:after="80"/>
      </w:pPr>
    </w:p>
    <w:p>
      <w:r>
        <w:br w:type="page"/>
      </w:r>
    </w:p>
    <w:p>
      <w:pPr>
        <w:pStyle w:val="Heading1"/>
        <w:spacing w:before="360" w:after="200"/>
      </w:pPr>
      <w:r>
        <w:rPr>
          <w:rFonts w:ascii="Arial" w:cs="Arial" w:eastAsia="Arial" w:hAnsi="Arial"/>
          <w:b/>
          <w:bCs/>
          <w:color w:val="DC2626"/>
          <w:sz w:val="32"/>
          <w:szCs w:val="32"/>
        </w:rPr>
        <w:t xml:space="preserve">8. Condition Aggregator</w:t>
      </w:r>
    </w:p>
    <w:p>
      <w:pPr>
        <w:pStyle w:val="Heading2"/>
        <w:spacing w:before="300" w:after="160"/>
      </w:pPr>
      <w:r>
        <w:rPr>
          <w:rFonts w:ascii="Arial" w:cs="Arial" w:eastAsia="Arial" w:hAnsi="Arial"/>
          <w:b/>
          <w:bCs/>
          <w:color w:val="1E293B"/>
          <w:sz w:val="26"/>
          <w:szCs w:val="26"/>
        </w:rPr>
        <w:t xml:space="preserve">8.1 Purpose</w:t>
      </w:r>
    </w:p>
    <w:p>
      <w:pPr>
        <w:spacing w:after="160" w:line="276"/>
      </w:pPr>
      <w:r>
        <w:rPr>
          <w:rFonts w:ascii="Arial" w:cs="Arial" w:eastAsia="Arial" w:hAnsi="Arial"/>
          <w:color w:val="1E293B"/>
          <w:sz w:val="20"/>
          <w:szCs w:val="20"/>
        </w:rPr>
        <w:t xml:space="preserve">The Condition Aggregator collects all non-binary constraints from applicable policies. While the Conflict Resolution Engine handles binary ALLOW/DENY decisions, many policies impose conditions on how data is accessed even when access is granted. These conditions are cumulative — they stack using AND logic.</w:t>
      </w:r>
    </w:p>
    <w:p>
      <w:pPr>
        <w:pStyle w:val="Heading2"/>
        <w:spacing w:before="300" w:after="160"/>
      </w:pPr>
      <w:r>
        <w:rPr>
          <w:rFonts w:ascii="Arial" w:cs="Arial" w:eastAsia="Arial" w:hAnsi="Arial"/>
          <w:b/>
          <w:bCs/>
          <w:color w:val="1E293B"/>
          <w:sz w:val="26"/>
          <w:szCs w:val="26"/>
        </w:rPr>
        <w:t xml:space="preserve">8.2 Condition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800"/>
        <w:gridCol w:w="2760"/>
      </w:tblGrid>
      <w:tr>
        <w:tc>
          <w:tcPr>
            <w:tcW w:type="dxa" w:w="1800"/>
            <w:tcBorders>
              <w:top w:val="single" w:color="CBD5E1" w:sz="1"/>
              <w:left w:val="single" w:color="CBD5E1" w:sz="1"/>
              <w:bottom w:val="single" w:color="CBD5E1" w:sz="1"/>
              <w:right w:val="single" w:color="CBD5E1" w:sz="1"/>
            </w:tcBorders>
            <w:shd w:fill="DC2626" w:val="clear"/>
            <w:tcMar>
              <w:top w:type="dxa" w:w="80"/>
              <w:left w:type="dxa" w:w="120"/>
              <w:bottom w:type="dxa" w:w="80"/>
              <w:right w:type="dxa" w:w="120"/>
            </w:tcMar>
          </w:tcPr>
          <w:p>
            <w:r>
              <w:rPr>
                <w:rFonts w:ascii="Arial" w:cs="Arial" w:eastAsia="Arial" w:hAnsi="Arial"/>
                <w:b/>
                <w:bCs/>
                <w:color w:val="FFFFFF"/>
                <w:sz w:val="20"/>
                <w:szCs w:val="20"/>
              </w:rPr>
              <w:t xml:space="preserve">Condition Type</w:t>
            </w:r>
          </w:p>
        </w:tc>
        <w:tc>
          <w:tcPr>
            <w:tcW w:type="dxa" w:w="2000"/>
            <w:tcBorders>
              <w:top w:val="single" w:color="CBD5E1" w:sz="1"/>
              <w:left w:val="single" w:color="CBD5E1" w:sz="1"/>
              <w:bottom w:val="single" w:color="CBD5E1" w:sz="1"/>
              <w:right w:val="single" w:color="CBD5E1" w:sz="1"/>
            </w:tcBorders>
            <w:shd w:fill="DC2626" w:val="clear"/>
            <w:tcMar>
              <w:top w:type="dxa" w:w="80"/>
              <w:left w:type="dxa" w:w="120"/>
              <w:bottom w:type="dxa" w:w="80"/>
              <w:right w:type="dxa" w:w="120"/>
            </w:tcMar>
          </w:tcPr>
          <w:p>
            <w:r>
              <w:rPr>
                <w:rFonts w:ascii="Arial" w:cs="Arial" w:eastAsia="Arial" w:hAnsi="Arial"/>
                <w:b/>
                <w:bCs/>
                <w:color w:val="FFFFFF"/>
                <w:sz w:val="20"/>
                <w:szCs w:val="20"/>
              </w:rPr>
              <w:t xml:space="preserve">Source Policy Types</w:t>
            </w:r>
          </w:p>
        </w:tc>
        <w:tc>
          <w:tcPr>
            <w:tcW w:type="dxa" w:w="2800"/>
            <w:tcBorders>
              <w:top w:val="single" w:color="CBD5E1" w:sz="1"/>
              <w:left w:val="single" w:color="CBD5E1" w:sz="1"/>
              <w:bottom w:val="single" w:color="CBD5E1" w:sz="1"/>
              <w:right w:val="single" w:color="CBD5E1" w:sz="1"/>
            </w:tcBorders>
            <w:shd w:fill="DC2626" w:val="clear"/>
            <w:tcMar>
              <w:top w:type="dxa" w:w="80"/>
              <w:left w:type="dxa" w:w="120"/>
              <w:bottom w:type="dxa" w:w="80"/>
              <w:right w:type="dxa" w:w="120"/>
            </w:tcMar>
          </w:tcPr>
          <w:p>
            <w:r>
              <w:rPr>
                <w:rFonts w:ascii="Arial" w:cs="Arial" w:eastAsia="Arial" w:hAnsi="Arial"/>
                <w:b/>
                <w:bCs/>
                <w:color w:val="FFFFFF"/>
                <w:sz w:val="20"/>
                <w:szCs w:val="20"/>
              </w:rPr>
              <w:t xml:space="preserve">How Aggregated</w:t>
            </w:r>
          </w:p>
        </w:tc>
        <w:tc>
          <w:tcPr>
            <w:tcW w:type="dxa" w:w="2760"/>
            <w:tcBorders>
              <w:top w:val="single" w:color="CBD5E1" w:sz="1"/>
              <w:left w:val="single" w:color="CBD5E1" w:sz="1"/>
              <w:bottom w:val="single" w:color="CBD5E1" w:sz="1"/>
              <w:right w:val="single" w:color="CBD5E1" w:sz="1"/>
            </w:tcBorders>
            <w:shd w:fill="DC2626" w:val="clear"/>
            <w:tcMar>
              <w:top w:type="dxa" w:w="80"/>
              <w:left w:type="dxa" w:w="120"/>
              <w:bottom w:type="dxa" w:w="80"/>
              <w:right w:type="dxa" w:w="120"/>
            </w:tcMar>
          </w:tcPr>
          <w:p>
            <w:r>
              <w:rPr>
                <w:rFonts w:ascii="Arial" w:cs="Arial" w:eastAsia="Arial" w:hAnsi="Arial"/>
                <w:b/>
                <w:bCs/>
                <w:color w:val="FFFFFF"/>
                <w:sz w:val="20"/>
                <w:szCs w:val="20"/>
              </w:rPr>
              <w:t xml:space="preserve">Apollo Example</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Row Filters</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ROW_FILTER policies</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Multiple filters for the same table are combined with AND. Each filter is a SQL WHERE clause fragment with user context variable injection.</w:t>
            </w:r>
          </w:p>
        </w:tc>
        <w:tc>
          <w:tcPr>
            <w:tcW w:type="dxa" w:w="2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CLIN-001: encounters WHERE treating_provider_id = 'DR-4521' AND CLIN-010: vital_signs WHERE unit_id = '3B'. Both filters apply simultaneously.</w:t>
            </w:r>
          </w:p>
        </w:tc>
      </w:tr>
      <w:tr>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76"/>
            </w:pPr>
            <w:r>
              <w:rPr>
                <w:rFonts w:ascii="Arial" w:cs="Arial" w:eastAsia="Arial" w:hAnsi="Arial"/>
                <w:color w:val="1E293B"/>
                <w:sz w:val="20"/>
                <w:szCs w:val="20"/>
              </w:rPr>
              <w:t xml:space="preserve">Aggregation Requirements</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76"/>
            </w:pPr>
            <w:r>
              <w:rPr>
                <w:rFonts w:ascii="Arial" w:cs="Arial" w:eastAsia="Arial" w:hAnsi="Arial"/>
                <w:color w:val="1E293B"/>
                <w:sz w:val="20"/>
                <w:szCs w:val="20"/>
              </w:rPr>
              <w:t xml:space="preserve">AGGREGATION_ONLY policies</w:t>
            </w:r>
          </w:p>
        </w:tc>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76"/>
            </w:pPr>
            <w:r>
              <w:rPr>
                <w:rFonts w:ascii="Arial" w:cs="Arial" w:eastAsia="Arial" w:hAnsi="Arial"/>
                <w:color w:val="1E293B"/>
                <w:sz w:val="20"/>
                <w:szCs w:val="20"/>
              </w:rPr>
              <w:t xml:space="preserve">If ANY policy for a table specifies aggregation_only, it applies. Denied-in-SELECT columns from all such policies are merged.</w:t>
            </w:r>
          </w:p>
        </w:tc>
        <w:tc>
          <w:tcPr>
            <w:tcW w:type="dxa" w:w="27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76"/>
            </w:pPr>
            <w:r>
              <w:rPr>
                <w:rFonts w:ascii="Arial" w:cs="Arial" w:eastAsia="Arial" w:hAnsi="Arial"/>
                <w:color w:val="1E293B"/>
                <w:sz w:val="20"/>
                <w:szCs w:val="20"/>
              </w:rPr>
              <w:t xml:space="preserve">BIZ-010: Revenue Cycle Manager must use GROUP BY on encounters + claims. Cannot SELECT mrn, full_name, ssn, dob.</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Join Restrictions</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JOIN_RESTRICTION policies</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All join restrictions are collected as-is. Any restricted domain pair or table pair is flagged. Restrictions never cancel each other.</w:t>
            </w:r>
          </w:p>
        </w:tc>
        <w:tc>
          <w:tcPr>
            <w:tcW w:type="dxa" w:w="2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SEC-001: Clinical↔HR join blocked. SEC-002: payer_contracts↔HR join blocked.</w:t>
            </w:r>
          </w:p>
        </w:tc>
      </w:tr>
      <w:tr>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76"/>
            </w:pPr>
            <w:r>
              <w:rPr>
                <w:rFonts w:ascii="Arial" w:cs="Arial" w:eastAsia="Arial" w:hAnsi="Arial"/>
                <w:color w:val="1E293B"/>
                <w:sz w:val="20"/>
                <w:szCs w:val="20"/>
              </w:rPr>
              <w:t xml:space="preserve">Maximum Row Limits</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76"/>
            </w:pPr>
            <w:r>
              <w:rPr>
                <w:rFonts w:ascii="Arial" w:cs="Arial" w:eastAsia="Arial" w:hAnsi="Arial"/>
                <w:color w:val="1E293B"/>
                <w:sz w:val="20"/>
                <w:szCs w:val="20"/>
              </w:rPr>
              <w:t xml:space="preserve">QUERY_SCOPE policies</w:t>
            </w:r>
          </w:p>
        </w:tc>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76"/>
            </w:pPr>
            <w:r>
              <w:rPr>
                <w:rFonts w:ascii="Arial" w:cs="Arial" w:eastAsia="Arial" w:hAnsi="Arial"/>
                <w:color w:val="1E293B"/>
                <w:sz w:val="20"/>
                <w:szCs w:val="20"/>
              </w:rPr>
              <w:t xml:space="preserve">If multiple max_rows values apply, the MOST RESTRICTIVE (lowest) wins.</w:t>
            </w:r>
          </w:p>
        </w:tc>
        <w:tc>
          <w:tcPr>
            <w:tcW w:type="dxa" w:w="27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76"/>
            </w:pPr>
            <w:r>
              <w:rPr>
                <w:rFonts w:ascii="Arial" w:cs="Arial" w:eastAsia="Arial" w:hAnsi="Arial"/>
                <w:color w:val="1E293B"/>
                <w:sz w:val="20"/>
                <w:szCs w:val="20"/>
              </w:rPr>
              <w:t xml:space="preserve">HIPAA-001: Max 1000 unbounded rows. Department policy: Max 500 rows for Front Desk. Front Desk gets 500.</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Time Window Constraints</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TIME_SCOPE policies (future)</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Restricts data access to records within a time window (e.g., last 12 months only)</w:t>
            </w:r>
          </w:p>
        </w:tc>
        <w:tc>
          <w:tcPr>
            <w:tcW w:type="dxa" w:w="2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Not currently implemented for Apollo. Reserved for future regulatory requirements.</w:t>
            </w:r>
          </w:p>
        </w:tc>
      </w:tr>
      <w:tr>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76"/>
            </w:pPr>
            <w:r>
              <w:rPr>
                <w:rFonts w:ascii="Arial" w:cs="Arial" w:eastAsia="Arial" w:hAnsi="Arial"/>
                <w:color w:val="1E293B"/>
                <w:sz w:val="20"/>
                <w:szCs w:val="20"/>
              </w:rPr>
              <w:t xml:space="preserve">Masking Rules</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76"/>
            </w:pPr>
            <w:r>
              <w:rPr>
                <w:rFonts w:ascii="Arial" w:cs="Arial" w:eastAsia="Arial" w:hAnsi="Arial"/>
                <w:color w:val="1E293B"/>
                <w:sz w:val="20"/>
                <w:szCs w:val="20"/>
              </w:rPr>
              <w:t xml:space="preserve">MASK policies + Data Classification</w:t>
            </w:r>
          </w:p>
        </w:tc>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76"/>
            </w:pPr>
            <w:r>
              <w:rPr>
                <w:rFonts w:ascii="Arial" w:cs="Arial" w:eastAsia="Arial" w:hAnsi="Arial"/>
                <w:color w:val="1E293B"/>
                <w:sz w:val="20"/>
                <w:szCs w:val="20"/>
              </w:rPr>
              <w:t xml:space="preserve">Each column’s masking strategy is determined by the most restrictive applicable masking level for the user’s role</w:t>
            </w:r>
          </w:p>
        </w:tc>
        <w:tc>
          <w:tcPr>
            <w:tcW w:type="dxa" w:w="27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76"/>
            </w:pPr>
            <w:r>
              <w:rPr>
                <w:rFonts w:ascii="Arial" w:cs="Arial" w:eastAsia="Arial" w:hAnsi="Arial"/>
                <w:color w:val="1E293B"/>
                <w:sz w:val="20"/>
                <w:szCs w:val="20"/>
              </w:rPr>
              <w:t xml:space="preserve">patients.full_name: PARTIAL for RN (first initial + last name), FULL for Front Desk ('*****'), NONE for Attending</w:t>
            </w:r>
          </w:p>
        </w:tc>
      </w:tr>
    </w:tbl>
    <w:p>
      <w:pPr>
        <w:pStyle w:val="Heading2"/>
        <w:spacing w:before="300" w:after="160"/>
      </w:pPr>
      <w:r>
        <w:rPr>
          <w:rFonts w:ascii="Arial" w:cs="Arial" w:eastAsia="Arial" w:hAnsi="Arial"/>
          <w:b/>
          <w:bCs/>
          <w:color w:val="1E293B"/>
          <w:sz w:val="26"/>
          <w:szCs w:val="26"/>
        </w:rPr>
        <w:t xml:space="preserve">8.3 Row Filter Variable Injection</w:t>
      </w:r>
    </w:p>
    <w:p>
      <w:pPr>
        <w:spacing w:after="160" w:line="276"/>
      </w:pPr>
      <w:r>
        <w:rPr>
          <w:rFonts w:ascii="Arial" w:cs="Arial" w:eastAsia="Arial" w:hAnsi="Arial"/>
          <w:color w:val="1E293B"/>
          <w:sz w:val="20"/>
          <w:szCs w:val="20"/>
        </w:rPr>
        <w:t xml:space="preserve">Row filters contain template variables (e.g., {{user.provider_id}}) that must be resolved with values from the SecurityContext before inclusion in the Permission Envelope. The resolution is strict:</w:t>
      </w:r>
    </w:p>
    <w:p>
      <w:pPr>
        <w:pStyle w:val="ListParagraph"/>
        <w:numPr>
          <w:ilvl w:val="0"/>
          <w:numId w:val="2"/>
        </w:numPr>
        <w:spacing w:after="80" w:line="276"/>
      </w:pPr>
      <w:r>
        <w:rPr>
          <w:rFonts w:ascii="Arial" w:cs="Arial" w:eastAsia="Arial" w:hAnsi="Arial"/>
          <w:b/>
          <w:bCs/>
          <w:color w:val="1E293B"/>
          <w:sz w:val="20"/>
          <w:szCs w:val="20"/>
        </w:rPr>
        <w:t xml:space="preserve">Supported variables: </w:t>
      </w:r>
      <w:r>
        <w:rPr>
          <w:rFonts w:ascii="Arial" w:cs="Arial" w:eastAsia="Arial" w:hAnsi="Arial"/>
          <w:color w:val="1E293B"/>
          <w:sz w:val="20"/>
          <w:szCs w:val="20"/>
        </w:rPr>
        <w:t xml:space="preserve">{{user.provider_id}}, {{user.unit_id}}, {{user.department}}, {{user.facility_id}}, {{user.user_id}}. These are the ONLY variables allowed in row filter templates.</w:t>
      </w:r>
    </w:p>
    <w:p>
      <w:pPr>
        <w:pStyle w:val="ListParagraph"/>
        <w:numPr>
          <w:ilvl w:val="0"/>
          <w:numId w:val="2"/>
        </w:numPr>
        <w:spacing w:after="80" w:line="276"/>
      </w:pPr>
      <w:r>
        <w:rPr>
          <w:rFonts w:ascii="Arial" w:cs="Arial" w:eastAsia="Arial" w:hAnsi="Arial"/>
          <w:b/>
          <w:bCs/>
          <w:color w:val="1E293B"/>
          <w:sz w:val="20"/>
          <w:szCs w:val="20"/>
        </w:rPr>
        <w:t xml:space="preserve">Unsupported variables: </w:t>
      </w:r>
      <w:r>
        <w:rPr>
          <w:rFonts w:ascii="Arial" w:cs="Arial" w:eastAsia="Arial" w:hAnsi="Arial"/>
          <w:color w:val="1E293B"/>
          <w:sz w:val="20"/>
          <w:szCs w:val="20"/>
        </w:rPr>
        <w:t xml:space="preserve">Any template variable not in the supported list is treated as a policy error. The filter is invalidated, and the table access is DENIED (fail-secure).</w:t>
      </w:r>
    </w:p>
    <w:p>
      <w:pPr>
        <w:pStyle w:val="ListParagraph"/>
        <w:numPr>
          <w:ilvl w:val="0"/>
          <w:numId w:val="2"/>
        </w:numPr>
        <w:spacing w:after="80" w:line="276"/>
      </w:pPr>
      <w:r>
        <w:rPr>
          <w:rFonts w:ascii="Arial" w:cs="Arial" w:eastAsia="Arial" w:hAnsi="Arial"/>
          <w:b/>
          <w:bCs/>
          <w:color w:val="1E293B"/>
          <w:sz w:val="20"/>
          <w:szCs w:val="20"/>
        </w:rPr>
        <w:t xml:space="preserve">SQL injection prevention: </w:t>
      </w:r>
      <w:r>
        <w:rPr>
          <w:rFonts w:ascii="Arial" w:cs="Arial" w:eastAsia="Arial" w:hAnsi="Arial"/>
          <w:color w:val="1E293B"/>
          <w:sz w:val="20"/>
          <w:szCs w:val="20"/>
        </w:rPr>
        <w:t xml:space="preserve">Injected values are ALWAYS parameterized. The row filter template is converted to a prepared statement pattern, not string-concatenated. Example: 'treating_provider_id = {{user.provider_id}}' becomes 'treating_provider_id = $1' with $1 = 'DR-4521'.</w:t>
      </w:r>
    </w:p>
    <w:p>
      <w:pPr>
        <w:pStyle w:val="Heading2"/>
        <w:spacing w:before="300" w:after="160"/>
      </w:pPr>
      <w:r>
        <w:rPr>
          <w:rFonts w:ascii="Arial" w:cs="Arial" w:eastAsia="Arial" w:hAnsi="Arial"/>
          <w:b/>
          <w:bCs/>
          <w:color w:val="1E293B"/>
          <w:sz w:val="26"/>
          <w:szCs w:val="26"/>
        </w:rPr>
        <w:t xml:space="preserve">8.4 Masking Strategy Resolution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3160"/>
        <w:gridCol w:w="2200"/>
      </w:tblGrid>
      <w:tr>
        <w:tc>
          <w:tcPr>
            <w:tcW w:type="dxa" w:w="1600"/>
            <w:tcBorders>
              <w:top w:val="single" w:color="CBD5E1" w:sz="1"/>
              <w:left w:val="single" w:color="CBD5E1" w:sz="1"/>
              <w:bottom w:val="single" w:color="CBD5E1" w:sz="1"/>
              <w:right w:val="single" w:color="CBD5E1" w:sz="1"/>
            </w:tcBorders>
            <w:shd w:fill="DC2626" w:val="clear"/>
            <w:tcMar>
              <w:top w:type="dxa" w:w="80"/>
              <w:left w:type="dxa" w:w="120"/>
              <w:bottom w:type="dxa" w:w="80"/>
              <w:right w:type="dxa" w:w="120"/>
            </w:tcMar>
          </w:tcPr>
          <w:p>
            <w:r>
              <w:rPr>
                <w:rFonts w:ascii="Arial" w:cs="Arial" w:eastAsia="Arial" w:hAnsi="Arial"/>
                <w:b/>
                <w:bCs/>
                <w:color w:val="FFFFFF"/>
                <w:sz w:val="20"/>
                <w:szCs w:val="20"/>
              </w:rPr>
              <w:t xml:space="preserve">Strategy</w:t>
            </w:r>
          </w:p>
        </w:tc>
        <w:tc>
          <w:tcPr>
            <w:tcW w:type="dxa" w:w="2400"/>
            <w:tcBorders>
              <w:top w:val="single" w:color="CBD5E1" w:sz="1"/>
              <w:left w:val="single" w:color="CBD5E1" w:sz="1"/>
              <w:bottom w:val="single" w:color="CBD5E1" w:sz="1"/>
              <w:right w:val="single" w:color="CBD5E1" w:sz="1"/>
            </w:tcBorders>
            <w:shd w:fill="DC262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160"/>
            <w:tcBorders>
              <w:top w:val="single" w:color="CBD5E1" w:sz="1"/>
              <w:left w:val="single" w:color="CBD5E1" w:sz="1"/>
              <w:bottom w:val="single" w:color="CBD5E1" w:sz="1"/>
              <w:right w:val="single" w:color="CBD5E1" w:sz="1"/>
            </w:tcBorders>
            <w:shd w:fill="DC2626" w:val="clear"/>
            <w:tcMar>
              <w:top w:type="dxa" w:w="80"/>
              <w:left w:type="dxa" w:w="120"/>
              <w:bottom w:type="dxa" w:w="80"/>
              <w:right w:type="dxa" w:w="120"/>
            </w:tcMar>
          </w:tcPr>
          <w:p>
            <w:r>
              <w:rPr>
                <w:rFonts w:ascii="Arial" w:cs="Arial" w:eastAsia="Arial" w:hAnsi="Arial"/>
                <w:b/>
                <w:bCs/>
                <w:color w:val="FFFFFF"/>
                <w:sz w:val="20"/>
                <w:szCs w:val="20"/>
              </w:rPr>
              <w:t xml:space="preserve">SQL Rewrite Pattern</w:t>
            </w:r>
          </w:p>
        </w:tc>
        <w:tc>
          <w:tcPr>
            <w:tcW w:type="dxa" w:w="2200"/>
            <w:tcBorders>
              <w:top w:val="single" w:color="CBD5E1" w:sz="1"/>
              <w:left w:val="single" w:color="CBD5E1" w:sz="1"/>
              <w:bottom w:val="single" w:color="CBD5E1" w:sz="1"/>
              <w:right w:val="single" w:color="CBD5E1" w:sz="1"/>
            </w:tcBorders>
            <w:shd w:fill="DC2626" w:val="clear"/>
            <w:tcMar>
              <w:top w:type="dxa" w:w="80"/>
              <w:left w:type="dxa" w:w="120"/>
              <w:bottom w:type="dxa" w:w="80"/>
              <w:right w:type="dxa" w:w="120"/>
            </w:tcMar>
          </w:tcPr>
          <w:p>
            <w:r>
              <w:rPr>
                <w:rFonts w:ascii="Arial" w:cs="Arial" w:eastAsia="Arial" w:hAnsi="Arial"/>
                <w:b/>
                <w:bCs/>
                <w:color w:val="FFFFFF"/>
                <w:sz w:val="20"/>
                <w:szCs w:val="20"/>
              </w:rPr>
              <w:t xml:space="preserve">Example Output</w:t>
            </w:r>
          </w:p>
        </w:tc>
      </w:tr>
      <w:tr>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NONE</w:t>
            </w:r>
          </w:p>
        </w:tc>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Column displayed as-is. No masking.</w:t>
            </w:r>
          </w:p>
        </w:tc>
        <w:tc>
          <w:tcPr>
            <w:tcW w:type="dxa" w:w="3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No rewrite</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Srinivasan Krishnan</w:t>
            </w:r>
          </w:p>
        </w:tc>
      </w:tr>
      <w:tr>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76"/>
            </w:pPr>
            <w:r>
              <w:rPr>
                <w:rFonts w:ascii="Arial" w:cs="Arial" w:eastAsia="Arial" w:hAnsi="Arial"/>
                <w:color w:val="1E293B"/>
                <w:sz w:val="20"/>
                <w:szCs w:val="20"/>
              </w:rPr>
              <w:t xml:space="preserve">PARTIAL</w:t>
            </w:r>
          </w:p>
        </w:tc>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76"/>
            </w:pPr>
            <w:r>
              <w:rPr>
                <w:rFonts w:ascii="Arial" w:cs="Arial" w:eastAsia="Arial" w:hAnsi="Arial"/>
                <w:color w:val="1E293B"/>
                <w:sz w:val="20"/>
                <w:szCs w:val="20"/>
              </w:rPr>
              <w:t xml:space="preserve">First character(s) visible, rest masked.</w:t>
            </w:r>
          </w:p>
        </w:tc>
        <w:tc>
          <w:tcPr>
            <w:tcW w:type="dxa" w:w="31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76"/>
            </w:pPr>
            <w:r>
              <w:rPr>
                <w:rFonts w:ascii="Arial" w:cs="Arial" w:eastAsia="Arial" w:hAnsi="Arial"/>
                <w:color w:val="1E293B"/>
                <w:sz w:val="20"/>
                <w:szCs w:val="20"/>
              </w:rPr>
              <w:t xml:space="preserve">LEFT(col, 1) || '.' || ' ' || SPLIT_PART(col, ' ', -1)</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76"/>
            </w:pPr>
            <w:r>
              <w:rPr>
                <w:rFonts w:ascii="Arial" w:cs="Arial" w:eastAsia="Arial" w:hAnsi="Arial"/>
                <w:color w:val="1E293B"/>
                <w:sz w:val="20"/>
                <w:szCs w:val="20"/>
              </w:rPr>
              <w:t xml:space="preserve">S. Krishnan</w:t>
            </w:r>
          </w:p>
        </w:tc>
      </w:tr>
      <w:tr>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FULL</w:t>
            </w:r>
          </w:p>
        </w:tc>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Entire value replaced with mask string.</w:t>
            </w:r>
          </w:p>
        </w:tc>
        <w:tc>
          <w:tcPr>
            <w:tcW w:type="dxa" w:w="3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'[REDACTED]' AS col_name</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[REDACTED]</w:t>
            </w:r>
          </w:p>
        </w:tc>
      </w:tr>
      <w:tr>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76"/>
            </w:pPr>
            <w:r>
              <w:rPr>
                <w:rFonts w:ascii="Arial" w:cs="Arial" w:eastAsia="Arial" w:hAnsi="Arial"/>
                <w:color w:val="1E293B"/>
                <w:sz w:val="20"/>
                <w:szCs w:val="20"/>
              </w:rPr>
              <w:t xml:space="preserve">HASH</w:t>
            </w:r>
          </w:p>
        </w:tc>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76"/>
            </w:pPr>
            <w:r>
              <w:rPr>
                <w:rFonts w:ascii="Arial" w:cs="Arial" w:eastAsia="Arial" w:hAnsi="Arial"/>
                <w:color w:val="1E293B"/>
                <w:sz w:val="20"/>
                <w:szCs w:val="20"/>
              </w:rPr>
              <w:t xml:space="preserve">Value replaced with irreversible hash (for linkage without disclosure).</w:t>
            </w:r>
          </w:p>
        </w:tc>
        <w:tc>
          <w:tcPr>
            <w:tcW w:type="dxa" w:w="31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76"/>
            </w:pPr>
            <w:r>
              <w:rPr>
                <w:rFonts w:ascii="Arial" w:cs="Arial" w:eastAsia="Arial" w:hAnsi="Arial"/>
                <w:color w:val="1E293B"/>
                <w:sz w:val="20"/>
                <w:szCs w:val="20"/>
              </w:rPr>
              <w:t xml:space="preserve">MD5(col) AS col_name</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76"/>
            </w:pPr>
            <w:r>
              <w:rPr>
                <w:rFonts w:ascii="Arial" w:cs="Arial" w:eastAsia="Arial" w:hAnsi="Arial"/>
                <w:color w:val="1E293B"/>
                <w:sz w:val="20"/>
                <w:szCs w:val="20"/>
              </w:rPr>
              <w:t xml:space="preserve">a1b2c3d4e5f6...</w:t>
            </w:r>
          </w:p>
        </w:tc>
      </w:tr>
      <w:tr>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YEAR_ONLY</w:t>
            </w:r>
          </w:p>
        </w:tc>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For dates, extract only the year.</w:t>
            </w:r>
          </w:p>
        </w:tc>
        <w:tc>
          <w:tcPr>
            <w:tcW w:type="dxa" w:w="3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EXTRACT(YEAR FROM col) AS col_name</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1985</w:t>
            </w:r>
          </w:p>
        </w:tc>
      </w:tr>
      <w:tr>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76"/>
            </w:pPr>
            <w:r>
              <w:rPr>
                <w:rFonts w:ascii="Arial" w:cs="Arial" w:eastAsia="Arial" w:hAnsi="Arial"/>
                <w:color w:val="1E293B"/>
                <w:sz w:val="20"/>
                <w:szCs w:val="20"/>
              </w:rPr>
              <w:t xml:space="preserve">LAST_4</w:t>
            </w:r>
          </w:p>
        </w:tc>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76"/>
            </w:pPr>
            <w:r>
              <w:rPr>
                <w:rFonts w:ascii="Arial" w:cs="Arial" w:eastAsia="Arial" w:hAnsi="Arial"/>
                <w:color w:val="1E293B"/>
                <w:sz w:val="20"/>
                <w:szCs w:val="20"/>
              </w:rPr>
              <w:t xml:space="preserve">Show only last 4 characters (for IDs, phone numbers).</w:t>
            </w:r>
          </w:p>
        </w:tc>
        <w:tc>
          <w:tcPr>
            <w:tcW w:type="dxa" w:w="31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76"/>
            </w:pPr>
            <w:r>
              <w:rPr>
                <w:rFonts w:ascii="Arial" w:cs="Arial" w:eastAsia="Arial" w:hAnsi="Arial"/>
                <w:color w:val="1E293B"/>
                <w:sz w:val="20"/>
                <w:szCs w:val="20"/>
              </w:rPr>
              <w:t xml:space="preserve">REGEXP_REPLACE(col, '.(?=.{4})', '*') AS col_name</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76"/>
            </w:pPr>
            <w:r>
              <w:rPr>
                <w:rFonts w:ascii="Arial" w:cs="Arial" w:eastAsia="Arial" w:hAnsi="Arial"/>
                <w:color w:val="1E293B"/>
                <w:sz w:val="20"/>
                <w:szCs w:val="20"/>
              </w:rPr>
              <w:t xml:space="preserve">****5678</w:t>
            </w:r>
          </w:p>
        </w:tc>
      </w:tr>
      <w:tr>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REDACT</w:t>
            </w:r>
          </w:p>
        </w:tc>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Column exists in schema but value is always NULL in results.</w:t>
            </w:r>
          </w:p>
        </w:tc>
        <w:tc>
          <w:tcPr>
            <w:tcW w:type="dxa" w:w="3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NULL::col_type AS col_name</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NULL</w:t>
            </w:r>
          </w:p>
        </w:tc>
      </w:tr>
    </w:tbl>
    <w:p>
      <w:pPr>
        <w:spacing w:after="80"/>
      </w:pPr>
    </w:p>
    <w:p>
      <w:r>
        <w:br w:type="page"/>
      </w:r>
    </w:p>
    <w:p>
      <w:pPr>
        <w:pStyle w:val="Heading1"/>
        <w:spacing w:before="360" w:after="200"/>
      </w:pPr>
      <w:r>
        <w:rPr>
          <w:rFonts w:ascii="Arial" w:cs="Arial" w:eastAsia="Arial" w:hAnsi="Arial"/>
          <w:b/>
          <w:bCs/>
          <w:color w:val="DC2626"/>
          <w:sz w:val="32"/>
          <w:szCs w:val="32"/>
        </w:rPr>
        <w:t xml:space="preserve">9. Permission Envelope Builder</w:t>
      </w:r>
    </w:p>
    <w:p>
      <w:pPr>
        <w:pStyle w:val="Heading2"/>
        <w:spacing w:before="300" w:after="160"/>
      </w:pPr>
      <w:r>
        <w:rPr>
          <w:rFonts w:ascii="Arial" w:cs="Arial" w:eastAsia="Arial" w:hAnsi="Arial"/>
          <w:b/>
          <w:bCs/>
          <w:color w:val="1E293B"/>
          <w:sz w:val="26"/>
          <w:szCs w:val="26"/>
        </w:rPr>
        <w:t xml:space="preserve">9.1 Purpose</w:t>
      </w:r>
    </w:p>
    <w:p>
      <w:pPr>
        <w:spacing w:after="160" w:line="276"/>
      </w:pPr>
      <w:r>
        <w:rPr>
          <w:rFonts w:ascii="Arial" w:cs="Arial" w:eastAsia="Arial" w:hAnsi="Arial"/>
          <w:color w:val="1E293B"/>
          <w:sz w:val="20"/>
          <w:szCs w:val="20"/>
        </w:rPr>
        <w:t xml:space="preserve">The Permission Envelope Builder is the final assembly step. It packages all resolved decisions, aggregated conditions, and generated NL rules into a single, signed object that downstream layers consume without modification. The envelope is immutable after construction — no layer may alter it.</w:t>
      </w:r>
    </w:p>
    <w:p>
      <w:pPr>
        <w:pStyle w:val="Heading2"/>
        <w:spacing w:before="300" w:after="160"/>
      </w:pPr>
      <w:r>
        <w:rPr>
          <w:rFonts w:ascii="Arial" w:cs="Arial" w:eastAsia="Arial" w:hAnsi="Arial"/>
          <w:b/>
          <w:bCs/>
          <w:color w:val="1E293B"/>
          <w:sz w:val="26"/>
          <w:szCs w:val="26"/>
        </w:rPr>
        <w:t xml:space="preserve">9.2 Complete Envelope Structure</w:t>
      </w:r>
    </w:p>
    <w:p>
      <w:pPr>
        <w:spacing w:after="20"/>
      </w:pPr>
      <w:r>
        <w:rPr>
          <w:rFonts w:ascii="Courier New" w:cs="Courier New" w:eastAsia="Courier New" w:hAnsi="Courier New"/>
          <w:color w:val="DC2626"/>
          <w:sz w:val="18"/>
          <w:szCs w:val="18"/>
        </w:rPr>
        <w:t xml:space="preserve">PermissionEnvelope {</w:t>
      </w:r>
    </w:p>
    <w:p>
      <w:pPr>
        <w:spacing w:after="20"/>
      </w:pPr>
      <w:r>
        <w:rPr>
          <w:rFonts w:ascii="Courier New" w:cs="Courier New" w:eastAsia="Courier New" w:hAnsi="Courier New"/>
          <w:color w:val="DC2626"/>
          <w:sz w:val="18"/>
          <w:szCs w:val="18"/>
        </w:rPr>
        <w:t xml:space="preserve">  // ── Metadata ──</w:t>
      </w:r>
    </w:p>
    <w:p>
      <w:pPr>
        <w:spacing w:after="20"/>
      </w:pPr>
      <w:r>
        <w:rPr>
          <w:rFonts w:ascii="Courier New" w:cs="Courier New" w:eastAsia="Courier New" w:hAnsi="Courier New"/>
          <w:color w:val="DC2626"/>
          <w:sz w:val="18"/>
          <w:szCs w:val="18"/>
        </w:rPr>
        <w:t xml:space="preserve">  envelope_id: UUID,</w:t>
      </w:r>
    </w:p>
    <w:p>
      <w:pPr>
        <w:spacing w:after="20"/>
      </w:pPr>
      <w:r>
        <w:rPr>
          <w:rFonts w:ascii="Courier New" w:cs="Courier New" w:eastAsia="Courier New" w:hAnsi="Courier New"/>
          <w:color w:val="DC2626"/>
          <w:sz w:val="18"/>
          <w:szCs w:val="18"/>
        </w:rPr>
        <w:t xml:space="preserve">  request_id: UUID,          // Links to the parent request</w:t>
      </w:r>
    </w:p>
    <w:p>
      <w:pPr>
        <w:spacing w:after="20"/>
      </w:pPr>
      <w:r>
        <w:rPr>
          <w:rFonts w:ascii="Courier New" w:cs="Courier New" w:eastAsia="Courier New" w:hAnsi="Courier New"/>
          <w:color w:val="DC2626"/>
          <w:sz w:val="18"/>
          <w:szCs w:val="18"/>
        </w:rPr>
        <w:t xml:space="preserve">  user_id: STRING,</w:t>
      </w:r>
    </w:p>
    <w:p>
      <w:pPr>
        <w:spacing w:after="20"/>
      </w:pPr>
      <w:r>
        <w:rPr>
          <w:rFonts w:ascii="Courier New" w:cs="Courier New" w:eastAsia="Courier New" w:hAnsi="Courier New"/>
          <w:color w:val="DC2626"/>
          <w:sz w:val="18"/>
          <w:szCs w:val="18"/>
        </w:rPr>
        <w:t xml:space="preserve">  effective_roles: STRING[],</w:t>
      </w:r>
    </w:p>
    <w:p>
      <w:pPr>
        <w:spacing w:after="20"/>
      </w:pPr>
      <w:r>
        <w:rPr>
          <w:rFonts w:ascii="Courier New" w:cs="Courier New" w:eastAsia="Courier New" w:hAnsi="Courier New"/>
          <w:color w:val="DC2626"/>
          <w:sz w:val="18"/>
          <w:szCs w:val="18"/>
        </w:rPr>
        <w:t xml:space="preserve">  computed_at: TIMESTAMP,    // ISO 8601</w:t>
      </w:r>
    </w:p>
    <w:p>
      <w:pPr>
        <w:spacing w:after="20"/>
      </w:pPr>
      <w:r>
        <w:rPr>
          <w:rFonts w:ascii="Courier New" w:cs="Courier New" w:eastAsia="Courier New" w:hAnsi="Courier New"/>
          <w:color w:val="DC2626"/>
          <w:sz w:val="18"/>
          <w:szCs w:val="18"/>
        </w:rPr>
        <w:t xml:space="preserve">  expires_at: TIMESTAMP,     // computed_at + 60 seconds</w:t>
      </w:r>
    </w:p>
    <w:p>
      <w:pPr>
        <w:spacing w:after="20"/>
      </w:pPr>
      <w:r>
        <w:rPr>
          <w:rFonts w:ascii="Courier New" w:cs="Courier New" w:eastAsia="Courier New" w:hAnsi="Courier New"/>
          <w:color w:val="DC2626"/>
          <w:sz w:val="18"/>
          <w:szCs w:val="18"/>
        </w:rPr>
        <w:t xml:space="preserve">  policy_graph_version: STRING, // Neo4j graph version hash</w:t>
      </w:r>
    </w:p>
    <w:p>
      <w:pPr>
        <w:spacing w:after="20"/>
      </w:pPr>
      <w:r>
        <w:rPr>
          <w:rFonts w:ascii="Courier New" w:cs="Courier New" w:eastAsia="Courier New" w:hAnsi="Courier New"/>
          <w:color w:val="DC2626"/>
          <w:sz w:val="18"/>
          <w:szCs w:val="18"/>
        </w:rPr>
        <w:t xml:space="preserve">  btg_active: BOOLEAN,</w:t>
      </w:r>
    </w:p>
    <w:p>
      <w:pPr>
        <w:spacing w:after="20"/>
      </w:pPr>
      <w:r>
        <w:rPr>
          <w:rFonts w:ascii="Courier New" w:cs="Courier New" w:eastAsia="Courier New" w:hAnsi="Courier New"/>
          <w:color w:val="DC2626"/>
          <w:sz w:val="18"/>
          <w:szCs w:val="18"/>
        </w:rPr>
        <w:t xml:space="preserve">  signature: STRING,          // HMAC-SHA256 of envelope contents</w:t>
      </w:r>
    </w:p>
    <w:p>
      <w:pPr>
        <w:spacing w:after="20"/>
      </w:pPr>
      <w:r>
        <w:rPr>
          <w:rFonts w:ascii="Courier New" w:cs="Courier New" w:eastAsia="Courier New" w:hAnsi="Courier New"/>
          <w:color w:val="DC2626"/>
          <w:sz w:val="18"/>
          <w:szCs w:val="18"/>
        </w:rPr>
        <w:t xml:space="preserve"/>
      </w:r>
    </w:p>
    <w:p>
      <w:pPr>
        <w:spacing w:after="20"/>
      </w:pPr>
      <w:r>
        <w:rPr>
          <w:rFonts w:ascii="Courier New" w:cs="Courier New" w:eastAsia="Courier New" w:hAnsi="Courier New"/>
          <w:color w:val="DC2626"/>
          <w:sz w:val="18"/>
          <w:szCs w:val="18"/>
        </w:rPr>
        <w:t xml:space="preserve">  // ── Table Decisions ──</w:t>
      </w:r>
    </w:p>
    <w:p>
      <w:pPr>
        <w:spacing w:after="20"/>
      </w:pPr>
      <w:r>
        <w:rPr>
          <w:rFonts w:ascii="Courier New" w:cs="Courier New" w:eastAsia="Courier New" w:hAnsi="Courier New"/>
          <w:color w:val="DC2626"/>
          <w:sz w:val="18"/>
          <w:szCs w:val="18"/>
        </w:rPr>
        <w:t xml:space="preserve">  table_decisions: {</w:t>
      </w:r>
    </w:p>
    <w:p>
      <w:pPr>
        <w:spacing w:after="20"/>
      </w:pPr>
      <w:r>
        <w:rPr>
          <w:rFonts w:ascii="Courier New" w:cs="Courier New" w:eastAsia="Courier New" w:hAnsi="Courier New"/>
          <w:color w:val="DC2626"/>
          <w:sz w:val="18"/>
          <w:szCs w:val="18"/>
        </w:rPr>
        <w:t xml:space="preserve">    [table_id: UUID]: {</w:t>
      </w:r>
    </w:p>
    <w:p>
      <w:pPr>
        <w:spacing w:after="20"/>
      </w:pPr>
      <w:r>
        <w:rPr>
          <w:rFonts w:ascii="Courier New" w:cs="Courier New" w:eastAsia="Courier New" w:hAnsi="Courier New"/>
          <w:color w:val="DC2626"/>
          <w:sz w:val="18"/>
          <w:szCs w:val="18"/>
        </w:rPr>
        <w:t xml:space="preserve">      effect: ALLOW | DENY,</w:t>
      </w:r>
    </w:p>
    <w:p>
      <w:pPr>
        <w:spacing w:after="20"/>
      </w:pPr>
      <w:r>
        <w:rPr>
          <w:rFonts w:ascii="Courier New" w:cs="Courier New" w:eastAsia="Courier New" w:hAnsi="Courier New"/>
          <w:color w:val="DC2626"/>
          <w:sz w:val="18"/>
          <w:szCs w:val="18"/>
        </w:rPr>
        <w:t xml:space="preserve">      decided_by: STRING,    // policy_id that made the decision</w:t>
      </w:r>
    </w:p>
    <w:p>
      <w:pPr>
        <w:spacing w:after="20"/>
      </w:pPr>
      <w:r>
        <w:rPr>
          <w:rFonts w:ascii="Courier New" w:cs="Courier New" w:eastAsia="Courier New" w:hAnsi="Courier New"/>
          <w:color w:val="DC2626"/>
          <w:sz w:val="18"/>
          <w:szCs w:val="18"/>
        </w:rPr>
        <w:t xml:space="preserve">      policies_considered: STRING[], // all policy_ids evaluated</w:t>
      </w:r>
    </w:p>
    <w:p>
      <w:pPr>
        <w:spacing w:after="20"/>
      </w:pPr>
      <w:r>
        <w:rPr>
          <w:rFonts w:ascii="Courier New" w:cs="Courier New" w:eastAsia="Courier New" w:hAnsi="Courier New"/>
          <w:color w:val="DC2626"/>
          <w:sz w:val="18"/>
          <w:szCs w:val="18"/>
        </w:rPr>
        <w:t xml:space="preserve">      allowed_columns: ColumnDef[],</w:t>
      </w:r>
    </w:p>
    <w:p>
      <w:pPr>
        <w:spacing w:after="20"/>
      </w:pPr>
      <w:r>
        <w:rPr>
          <w:rFonts w:ascii="Courier New" w:cs="Courier New" w:eastAsia="Courier New" w:hAnsi="Courier New"/>
          <w:color w:val="DC2626"/>
          <w:sz w:val="18"/>
          <w:szCs w:val="18"/>
        </w:rPr>
        <w:t xml:space="preserve">      denied_columns: STRING[],  // column names only, for audit</w:t>
      </w:r>
    </w:p>
    <w:p>
      <w:pPr>
        <w:spacing w:after="20"/>
      </w:pPr>
      <w:r>
        <w:rPr>
          <w:rFonts w:ascii="Courier New" w:cs="Courier New" w:eastAsia="Courier New" w:hAnsi="Courier New"/>
          <w:color w:val="DC2626"/>
          <w:sz w:val="18"/>
          <w:szCs w:val="18"/>
        </w:rPr>
        <w:t xml:space="preserve">      masked_columns: {</w:t>
      </w:r>
    </w:p>
    <w:p>
      <w:pPr>
        <w:spacing w:after="20"/>
      </w:pPr>
      <w:r>
        <w:rPr>
          <w:rFonts w:ascii="Courier New" w:cs="Courier New" w:eastAsia="Courier New" w:hAnsi="Courier New"/>
          <w:color w:val="DC2626"/>
          <w:sz w:val="18"/>
          <w:szCs w:val="18"/>
        </w:rPr>
        <w:t xml:space="preserve">        [column_name]: {</w:t>
      </w:r>
    </w:p>
    <w:p>
      <w:pPr>
        <w:spacing w:after="20"/>
      </w:pPr>
      <w:r>
        <w:rPr>
          <w:rFonts w:ascii="Courier New" w:cs="Courier New" w:eastAsia="Courier New" w:hAnsi="Courier New"/>
          <w:color w:val="DC2626"/>
          <w:sz w:val="18"/>
          <w:szCs w:val="18"/>
        </w:rPr>
        <w:t xml:space="preserve">          strategy: NONE|PARTIAL|FULL|HASH|YEAR_ONLY|LAST_4|REDACT,</w:t>
      </w:r>
    </w:p>
    <w:p>
      <w:pPr>
        <w:spacing w:after="20"/>
      </w:pPr>
      <w:r>
        <w:rPr>
          <w:rFonts w:ascii="Courier New" w:cs="Courier New" w:eastAsia="Courier New" w:hAnsi="Courier New"/>
          <w:color w:val="DC2626"/>
          <w:sz w:val="18"/>
          <w:szCs w:val="18"/>
        </w:rPr>
        <w:t xml:space="preserve">          sql_rewrite: STRING,  // Prepared SQL expression</w:t>
      </w:r>
    </w:p>
    <w:p>
      <w:pPr>
        <w:spacing w:after="20"/>
      </w:pPr>
      <w:r>
        <w:rPr>
          <w:rFonts w:ascii="Courier New" w:cs="Courier New" w:eastAsia="Courier New" w:hAnsi="Courier New"/>
          <w:color w:val="DC2626"/>
          <w:sz w:val="18"/>
          <w:szCs w:val="18"/>
        </w:rPr>
        <w:t xml:space="preserve">          display_format: STRING // Human-readable description</w:t>
      </w:r>
    </w:p>
    <w:p>
      <w:pPr>
        <w:spacing w:after="20"/>
      </w:pPr>
      <w:r>
        <w:rPr>
          <w:rFonts w:ascii="Courier New" w:cs="Courier New" w:eastAsia="Courier New" w:hAnsi="Courier New"/>
          <w:color w:val="DC2626"/>
          <w:sz w:val="18"/>
          <w:szCs w:val="18"/>
        </w:rPr>
        <w:t xml:space="preserve">        }</w:t>
      </w:r>
    </w:p>
    <w:p>
      <w:pPr>
        <w:spacing w:after="20"/>
      </w:pPr>
      <w:r>
        <w:rPr>
          <w:rFonts w:ascii="Courier New" w:cs="Courier New" w:eastAsia="Courier New" w:hAnsi="Courier New"/>
          <w:color w:val="DC2626"/>
          <w:sz w:val="18"/>
          <w:szCs w:val="18"/>
        </w:rPr>
        <w:t xml:space="preserve">      },</w:t>
      </w:r>
    </w:p>
    <w:p>
      <w:pPr>
        <w:spacing w:after="20"/>
      </w:pPr>
      <w:r>
        <w:rPr>
          <w:rFonts w:ascii="Courier New" w:cs="Courier New" w:eastAsia="Courier New" w:hAnsi="Courier New"/>
          <w:color w:val="DC2626"/>
          <w:sz w:val="18"/>
          <w:szCs w:val="18"/>
        </w:rPr>
        <w:t xml:space="preserve">      row_filters: STRING[],    // Parameterized WHERE clauses</w:t>
      </w:r>
    </w:p>
    <w:p>
      <w:pPr>
        <w:spacing w:after="20"/>
      </w:pPr>
      <w:r>
        <w:rPr>
          <w:rFonts w:ascii="Courier New" w:cs="Courier New" w:eastAsia="Courier New" w:hAnsi="Courier New"/>
          <w:color w:val="DC2626"/>
          <w:sz w:val="18"/>
          <w:szCs w:val="18"/>
        </w:rPr>
        <w:t xml:space="preserve">      aggregation_only: BOOLEAN,</w:t>
      </w:r>
    </w:p>
    <w:p>
      <w:pPr>
        <w:spacing w:after="20"/>
      </w:pPr>
      <w:r>
        <w:rPr>
          <w:rFonts w:ascii="Courier New" w:cs="Courier New" w:eastAsia="Courier New" w:hAnsi="Courier New"/>
          <w:color w:val="DC2626"/>
          <w:sz w:val="18"/>
          <w:szCs w:val="18"/>
        </w:rPr>
        <w:t xml:space="preserve">      denied_in_select: STRING[], // Columns banned from SELECT</w:t>
      </w:r>
    </w:p>
    <w:p>
      <w:pPr>
        <w:spacing w:after="20"/>
      </w:pPr>
      <w:r>
        <w:rPr>
          <w:rFonts w:ascii="Courier New" w:cs="Courier New" w:eastAsia="Courier New" w:hAnsi="Courier New"/>
          <w:color w:val="DC2626"/>
          <w:sz w:val="18"/>
          <w:szCs w:val="18"/>
        </w:rPr>
        <w:t xml:space="preserve">      max_rows: INTEGER | NULL</w:t>
      </w:r>
    </w:p>
    <w:p>
      <w:pPr>
        <w:spacing w:after="20"/>
      </w:pPr>
      <w:r>
        <w:rPr>
          <w:rFonts w:ascii="Courier New" w:cs="Courier New" w:eastAsia="Courier New" w:hAnsi="Courier New"/>
          <w:color w:val="DC2626"/>
          <w:sz w:val="18"/>
          <w:szCs w:val="18"/>
        </w:rPr>
        <w:t xml:space="preserve">    }</w:t>
      </w:r>
    </w:p>
    <w:p>
      <w:pPr>
        <w:spacing w:after="20"/>
      </w:pPr>
      <w:r>
        <w:rPr>
          <w:rFonts w:ascii="Courier New" w:cs="Courier New" w:eastAsia="Courier New" w:hAnsi="Courier New"/>
          <w:color w:val="DC2626"/>
          <w:sz w:val="18"/>
          <w:szCs w:val="18"/>
        </w:rPr>
        <w:t xml:space="preserve">  },</w:t>
      </w:r>
    </w:p>
    <w:p>
      <w:pPr>
        <w:spacing w:after="20"/>
      </w:pPr>
      <w:r>
        <w:rPr>
          <w:rFonts w:ascii="Courier New" w:cs="Courier New" w:eastAsia="Courier New" w:hAnsi="Courier New"/>
          <w:color w:val="DC2626"/>
          <w:sz w:val="18"/>
          <w:szCs w:val="18"/>
        </w:rPr>
        <w:t xml:space="preserve"/>
      </w:r>
    </w:p>
    <w:p>
      <w:pPr>
        <w:spacing w:after="20"/>
      </w:pPr>
      <w:r>
        <w:rPr>
          <w:rFonts w:ascii="Courier New" w:cs="Courier New" w:eastAsia="Courier New" w:hAnsi="Courier New"/>
          <w:color w:val="DC2626"/>
          <w:sz w:val="18"/>
          <w:szCs w:val="18"/>
        </w:rPr>
        <w:t xml:space="preserve">  // ── Join Restrictions ──</w:t>
      </w:r>
    </w:p>
    <w:p>
      <w:pPr>
        <w:spacing w:after="20"/>
      </w:pPr>
      <w:r>
        <w:rPr>
          <w:rFonts w:ascii="Courier New" w:cs="Courier New" w:eastAsia="Courier New" w:hAnsi="Courier New"/>
          <w:color w:val="DC2626"/>
          <w:sz w:val="18"/>
          <w:szCs w:val="18"/>
        </w:rPr>
        <w:t xml:space="preserve">  join_restrictions: [</w:t>
      </w:r>
    </w:p>
    <w:p>
      <w:pPr>
        <w:spacing w:after="20"/>
      </w:pPr>
      <w:r>
        <w:rPr>
          <w:rFonts w:ascii="Courier New" w:cs="Courier New" w:eastAsia="Courier New" w:hAnsi="Courier New"/>
          <w:color w:val="DC2626"/>
          <w:sz w:val="18"/>
          <w:szCs w:val="18"/>
        </w:rPr>
        <w:t xml:space="preserve">    {from_domain, to_domain, policy_id, reason}</w:t>
      </w:r>
    </w:p>
    <w:p>
      <w:pPr>
        <w:spacing w:after="20"/>
      </w:pPr>
      <w:r>
        <w:rPr>
          <w:rFonts w:ascii="Courier New" w:cs="Courier New" w:eastAsia="Courier New" w:hAnsi="Courier New"/>
          <w:color w:val="DC2626"/>
          <w:sz w:val="18"/>
          <w:szCs w:val="18"/>
        </w:rPr>
        <w:t xml:space="preserve">  ],</w:t>
      </w:r>
    </w:p>
    <w:p>
      <w:pPr>
        <w:spacing w:after="20"/>
      </w:pPr>
      <w:r>
        <w:rPr>
          <w:rFonts w:ascii="Courier New" w:cs="Courier New" w:eastAsia="Courier New" w:hAnsi="Courier New"/>
          <w:color w:val="DC2626"/>
          <w:sz w:val="18"/>
          <w:szCs w:val="18"/>
        </w:rPr>
        <w:t xml:space="preserve"/>
      </w:r>
    </w:p>
    <w:p>
      <w:pPr>
        <w:spacing w:after="20"/>
      </w:pPr>
      <w:r>
        <w:rPr>
          <w:rFonts w:ascii="Courier New" w:cs="Courier New" w:eastAsia="Courier New" w:hAnsi="Courier New"/>
          <w:color w:val="DC2626"/>
          <w:sz w:val="18"/>
          <w:szCs w:val="18"/>
        </w:rPr>
        <w:t xml:space="preserve">  // ── Natural Language Rules ──</w:t>
      </w:r>
    </w:p>
    <w:p>
      <w:pPr>
        <w:spacing w:after="20"/>
      </w:pPr>
      <w:r>
        <w:rPr>
          <w:rFonts w:ascii="Courier New" w:cs="Courier New" w:eastAsia="Courier New" w:hAnsi="Courier New"/>
          <w:color w:val="DC2626"/>
          <w:sz w:val="18"/>
          <w:szCs w:val="18"/>
        </w:rPr>
        <w:t xml:space="preserve">  nl_rules: STRING[],         // Injected into LLM prompt by L5</w:t>
      </w:r>
    </w:p>
    <w:p>
      <w:pPr>
        <w:spacing w:after="20"/>
      </w:pPr>
      <w:r>
        <w:rPr>
          <w:rFonts w:ascii="Courier New" w:cs="Courier New" w:eastAsia="Courier New" w:hAnsi="Courier New"/>
          <w:color w:val="DC2626"/>
          <w:sz w:val="18"/>
          <w:szCs w:val="18"/>
        </w:rPr>
        <w:t xml:space="preserve"/>
      </w:r>
    </w:p>
    <w:p>
      <w:pPr>
        <w:spacing w:after="20"/>
      </w:pPr>
      <w:r>
        <w:rPr>
          <w:rFonts w:ascii="Courier New" w:cs="Courier New" w:eastAsia="Courier New" w:hAnsi="Courier New"/>
          <w:color w:val="DC2626"/>
          <w:sz w:val="18"/>
          <w:szCs w:val="18"/>
        </w:rPr>
        <w:t xml:space="preserve">  // ── Audit Fields ──</w:t>
      </w:r>
    </w:p>
    <w:p>
      <w:pPr>
        <w:spacing w:after="20"/>
      </w:pPr>
      <w:r>
        <w:rPr>
          <w:rFonts w:ascii="Courier New" w:cs="Courier New" w:eastAsia="Courier New" w:hAnsi="Courier New"/>
          <w:color w:val="DC2626"/>
          <w:sz w:val="18"/>
          <w:szCs w:val="18"/>
        </w:rPr>
        <w:t xml:space="preserve">  total_policies_evaluated: INTEGER,</w:t>
      </w:r>
    </w:p>
    <w:p>
      <w:pPr>
        <w:spacing w:after="20"/>
      </w:pPr>
      <w:r>
        <w:rPr>
          <w:rFonts w:ascii="Courier New" w:cs="Courier New" w:eastAsia="Courier New" w:hAnsi="Courier New"/>
          <w:color w:val="DC2626"/>
          <w:sz w:val="18"/>
          <w:szCs w:val="18"/>
        </w:rPr>
        <w:t xml:space="preserve">  total_tables_allowed: INTEGER,</w:t>
      </w:r>
    </w:p>
    <w:p>
      <w:pPr>
        <w:spacing w:after="20"/>
      </w:pPr>
      <w:r>
        <w:rPr>
          <w:rFonts w:ascii="Courier New" w:cs="Courier New" w:eastAsia="Courier New" w:hAnsi="Courier New"/>
          <w:color w:val="DC2626"/>
          <w:sz w:val="18"/>
          <w:szCs w:val="18"/>
        </w:rPr>
        <w:t xml:space="preserve">  total_tables_denied: INTEGER,</w:t>
      </w:r>
    </w:p>
    <w:p>
      <w:pPr>
        <w:spacing w:after="20"/>
      </w:pPr>
      <w:r>
        <w:rPr>
          <w:rFonts w:ascii="Courier New" w:cs="Courier New" w:eastAsia="Courier New" w:hAnsi="Courier New"/>
          <w:color w:val="DC2626"/>
          <w:sz w:val="18"/>
          <w:szCs w:val="18"/>
        </w:rPr>
        <w:t xml:space="preserve">  resolution_latency_ms: FLOAT</w:t>
      </w:r>
    </w:p>
    <w:p>
      <w:pPr>
        <w:spacing w:after="80"/>
      </w:pPr>
      <w:r>
        <w:rPr>
          <w:rFonts w:ascii="Courier New" w:cs="Courier New" w:eastAsia="Courier New" w:hAnsi="Courier New"/>
          <w:color w:val="DC2626"/>
          <w:sz w:val="18"/>
          <w:szCs w:val="18"/>
        </w:rPr>
        <w:t xml:space="preserve">}</w:t>
      </w:r>
    </w:p>
    <w:p>
      <w:pPr>
        <w:pStyle w:val="Heading2"/>
        <w:spacing w:before="300" w:after="160"/>
      </w:pPr>
      <w:r>
        <w:rPr>
          <w:rFonts w:ascii="Arial" w:cs="Arial" w:eastAsia="Arial" w:hAnsi="Arial"/>
          <w:b/>
          <w:bCs/>
          <w:color w:val="1E293B"/>
          <w:sz w:val="26"/>
          <w:szCs w:val="26"/>
        </w:rPr>
        <w:t xml:space="preserve">9.3 Envelope Signing</w:t>
      </w:r>
    </w:p>
    <w:p>
      <w:pPr>
        <w:pStyle w:val="ListParagraph"/>
        <w:numPr>
          <w:ilvl w:val="0"/>
          <w:numId w:val="2"/>
        </w:numPr>
        <w:spacing w:after="80" w:line="276"/>
      </w:pPr>
      <w:r>
        <w:rPr>
          <w:rFonts w:ascii="Arial" w:cs="Arial" w:eastAsia="Arial" w:hAnsi="Arial"/>
          <w:b/>
          <w:bCs/>
          <w:color w:val="1E293B"/>
          <w:sz w:val="20"/>
          <w:szCs w:val="20"/>
        </w:rPr>
        <w:t xml:space="preserve">Algorithm: </w:t>
      </w:r>
      <w:r>
        <w:rPr>
          <w:rFonts w:ascii="Arial" w:cs="Arial" w:eastAsia="Arial" w:hAnsi="Arial"/>
          <w:color w:val="1E293B"/>
          <w:sz w:val="20"/>
          <w:szCs w:val="20"/>
        </w:rPr>
        <w:t xml:space="preserve">HMAC-SHA256</w:t>
      </w:r>
    </w:p>
    <w:p>
      <w:pPr>
        <w:pStyle w:val="ListParagraph"/>
        <w:numPr>
          <w:ilvl w:val="0"/>
          <w:numId w:val="2"/>
        </w:numPr>
        <w:spacing w:after="80" w:line="276"/>
      </w:pPr>
      <w:r>
        <w:rPr>
          <w:rFonts w:ascii="Arial" w:cs="Arial" w:eastAsia="Arial" w:hAnsi="Arial"/>
          <w:b/>
          <w:bCs/>
          <w:color w:val="1E293B"/>
          <w:sz w:val="20"/>
          <w:szCs w:val="20"/>
        </w:rPr>
        <w:t xml:space="preserve">Key: </w:t>
      </w:r>
      <w:r>
        <w:rPr>
          <w:rFonts w:ascii="Arial" w:cs="Arial" w:eastAsia="Arial" w:hAnsi="Arial"/>
          <w:color w:val="1E293B"/>
          <w:sz w:val="20"/>
          <w:szCs w:val="20"/>
        </w:rPr>
        <w:t xml:space="preserve">256-bit symmetric key stored in HashiCorp Vault. Rotated monthly. Key ID embedded in envelope for rotation support.</w:t>
      </w:r>
    </w:p>
    <w:p>
      <w:pPr>
        <w:pStyle w:val="ListParagraph"/>
        <w:numPr>
          <w:ilvl w:val="0"/>
          <w:numId w:val="2"/>
        </w:numPr>
        <w:spacing w:after="80" w:line="276"/>
      </w:pPr>
      <w:r>
        <w:rPr>
          <w:rFonts w:ascii="Arial" w:cs="Arial" w:eastAsia="Arial" w:hAnsi="Arial"/>
          <w:b/>
          <w:bCs/>
          <w:color w:val="1E293B"/>
          <w:sz w:val="20"/>
          <w:szCs w:val="20"/>
        </w:rPr>
        <w:t xml:space="preserve">Signed payload: </w:t>
      </w:r>
      <w:r>
        <w:rPr>
          <w:rFonts w:ascii="Arial" w:cs="Arial" w:eastAsia="Arial" w:hAnsi="Arial"/>
          <w:color w:val="1E293B"/>
          <w:sz w:val="20"/>
          <w:szCs w:val="20"/>
        </w:rPr>
        <w:t xml:space="preserve">JSON-serialized envelope contents (excluding the signature field itself). Canonical JSON serialization (sorted keys, no whitespace) ensures deterministic hashing.</w:t>
      </w:r>
    </w:p>
    <w:p>
      <w:pPr>
        <w:pStyle w:val="ListParagraph"/>
        <w:numPr>
          <w:ilvl w:val="0"/>
          <w:numId w:val="2"/>
        </w:numPr>
        <w:spacing w:after="80" w:line="276"/>
      </w:pPr>
      <w:r>
        <w:rPr>
          <w:rFonts w:ascii="Arial" w:cs="Arial" w:eastAsia="Arial" w:hAnsi="Arial"/>
          <w:b/>
          <w:bCs/>
          <w:color w:val="1E293B"/>
          <w:sz w:val="20"/>
          <w:szCs w:val="20"/>
        </w:rPr>
        <w:t xml:space="preserve">Verification: </w:t>
      </w:r>
      <w:r>
        <w:rPr>
          <w:rFonts w:ascii="Arial" w:cs="Arial" w:eastAsia="Arial" w:hAnsi="Arial"/>
          <w:color w:val="1E293B"/>
          <w:sz w:val="20"/>
          <w:szCs w:val="20"/>
        </w:rPr>
        <w:t xml:space="preserve">Every downstream layer (L5, L6, L8) verifies the signature before using the envelope. Verification failure = immediate request rejection with HTTP 403 and TAMPERED_ENVELOPE audit event.</w:t>
      </w:r>
    </w:p>
    <w:p>
      <w:pPr>
        <w:pStyle w:val="ListParagraph"/>
        <w:numPr>
          <w:ilvl w:val="0"/>
          <w:numId w:val="2"/>
        </w:numPr>
        <w:spacing w:after="80" w:line="276"/>
      </w:pPr>
      <w:r>
        <w:rPr>
          <w:rFonts w:ascii="Arial" w:cs="Arial" w:eastAsia="Arial" w:hAnsi="Arial"/>
          <w:b/>
          <w:bCs/>
          <w:color w:val="1E293B"/>
          <w:sz w:val="20"/>
          <w:szCs w:val="20"/>
        </w:rPr>
        <w:t xml:space="preserve">Expiry: </w:t>
      </w:r>
      <w:r>
        <w:rPr>
          <w:rFonts w:ascii="Arial" w:cs="Arial" w:eastAsia="Arial" w:hAnsi="Arial"/>
          <w:color w:val="1E293B"/>
          <w:sz w:val="20"/>
          <w:szCs w:val="20"/>
        </w:rPr>
        <w:t xml:space="preserve">Envelopes expire 60 seconds after creation. This prevents replay attacks where a cached envelope from a previous request is reused after policy changes.</w:t>
      </w:r>
    </w:p>
    <w:p>
      <w:pPr>
        <w:spacing w:after="80"/>
      </w:pPr>
    </w:p>
    <w:p>
      <w:r>
        <w:br w:type="page"/>
      </w:r>
    </w:p>
    <w:p>
      <w:pPr>
        <w:pStyle w:val="Heading1"/>
        <w:spacing w:before="360" w:after="200"/>
      </w:pPr>
      <w:r>
        <w:rPr>
          <w:rFonts w:ascii="Arial" w:cs="Arial" w:eastAsia="Arial" w:hAnsi="Arial"/>
          <w:b/>
          <w:bCs/>
          <w:color w:val="DC2626"/>
          <w:sz w:val="32"/>
          <w:szCs w:val="32"/>
        </w:rPr>
        <w:t xml:space="preserve">10. Break-the-Glass Protocol Integration</w:t>
      </w:r>
    </w:p>
    <w:p>
      <w:pPr>
        <w:pStyle w:val="Heading2"/>
        <w:spacing w:before="300" w:after="160"/>
      </w:pPr>
      <w:r>
        <w:rPr>
          <w:rFonts w:ascii="Arial" w:cs="Arial" w:eastAsia="Arial" w:hAnsi="Arial"/>
          <w:b/>
          <w:bCs/>
          <w:color w:val="1E293B"/>
          <w:sz w:val="26"/>
          <w:szCs w:val="26"/>
        </w:rPr>
        <w:t xml:space="preserve">10.1 Overview</w:t>
      </w:r>
    </w:p>
    <w:p>
      <w:pPr>
        <w:spacing w:after="160" w:line="276"/>
      </w:pPr>
      <w:r>
        <w:rPr>
          <w:rFonts w:ascii="Arial" w:cs="Arial" w:eastAsia="Arial" w:hAnsi="Arial"/>
          <w:color w:val="1E293B"/>
          <w:sz w:val="20"/>
          <w:szCs w:val="20"/>
        </w:rPr>
        <w:t xml:space="preserve">Healthcare has a unique requirement: emergency access. A physician in a clinical emergency may need records outside their normal scope — a patient transferring from another unit, an unconscious patient with unknown allergies, a drug interaction emergency requiring full medication history. The Break-the-Glass (BTG) protocol grants temporary elevated access with extreme auditing.</w:t>
      </w:r>
    </w:p>
    <w:p>
      <w:pPr>
        <w:pStyle w:val="Heading2"/>
        <w:spacing w:before="300" w:after="160"/>
      </w:pPr>
      <w:r>
        <w:rPr>
          <w:rFonts w:ascii="Arial" w:cs="Arial" w:eastAsia="Arial" w:hAnsi="Arial"/>
          <w:b/>
          <w:bCs/>
          <w:color w:val="1E293B"/>
          <w:sz w:val="26"/>
          <w:szCs w:val="26"/>
        </w:rPr>
        <w:t xml:space="preserve">10.2 BTG Token Structure</w:t>
      </w:r>
    </w:p>
    <w:p>
      <w:pPr>
        <w:spacing w:after="20"/>
      </w:pPr>
      <w:r>
        <w:rPr>
          <w:rFonts w:ascii="Courier New" w:cs="Courier New" w:eastAsia="Courier New" w:hAnsi="Courier New"/>
          <w:color w:val="DC2626"/>
          <w:sz w:val="18"/>
          <w:szCs w:val="18"/>
        </w:rPr>
        <w:t xml:space="preserve">BreakTheGlassToken {</w:t>
      </w:r>
    </w:p>
    <w:p>
      <w:pPr>
        <w:spacing w:after="20"/>
      </w:pPr>
      <w:r>
        <w:rPr>
          <w:rFonts w:ascii="Courier New" w:cs="Courier New" w:eastAsia="Courier New" w:hAnsi="Courier New"/>
          <w:color w:val="DC2626"/>
          <w:sz w:val="18"/>
          <w:szCs w:val="18"/>
        </w:rPr>
        <w:t xml:space="preserve">  token_id: UUID,</w:t>
      </w:r>
    </w:p>
    <w:p>
      <w:pPr>
        <w:spacing w:after="20"/>
      </w:pPr>
      <w:r>
        <w:rPr>
          <w:rFonts w:ascii="Courier New" w:cs="Courier New" w:eastAsia="Courier New" w:hAnsi="Courier New"/>
          <w:color w:val="DC2626"/>
          <w:sz w:val="18"/>
          <w:szCs w:val="18"/>
        </w:rPr>
        <w:t xml:space="preserve">  user_id: STRING,</w:t>
      </w:r>
    </w:p>
    <w:p>
      <w:pPr>
        <w:spacing w:after="20"/>
      </w:pPr>
      <w:r>
        <w:rPr>
          <w:rFonts w:ascii="Courier New" w:cs="Courier New" w:eastAsia="Courier New" w:hAnsi="Courier New"/>
          <w:color w:val="DC2626"/>
          <w:sz w:val="18"/>
          <w:szCs w:val="18"/>
        </w:rPr>
        <w:t xml:space="preserve">  patient_mrn: STRING,          // Specific patient (if applicable)</w:t>
      </w:r>
    </w:p>
    <w:p>
      <w:pPr>
        <w:spacing w:after="20"/>
      </w:pPr>
      <w:r>
        <w:rPr>
          <w:rFonts w:ascii="Courier New" w:cs="Courier New" w:eastAsia="Courier New" w:hAnsi="Courier New"/>
          <w:color w:val="DC2626"/>
          <w:sz w:val="18"/>
          <w:szCs w:val="18"/>
        </w:rPr>
        <w:t xml:space="preserve">  reason: STRING,               // Free text justification</w:t>
      </w:r>
    </w:p>
    <w:p>
      <w:pPr>
        <w:spacing w:after="20"/>
      </w:pPr>
      <w:r>
        <w:rPr>
          <w:rFonts w:ascii="Courier New" w:cs="Courier New" w:eastAsia="Courier New" w:hAnsi="Courier New"/>
          <w:color w:val="DC2626"/>
          <w:sz w:val="18"/>
          <w:szCs w:val="18"/>
        </w:rPr>
        <w:t xml:space="preserve">  emergency_level: ENUM,        // CLINICAL_EMERGENCY | SAFETY_CONCERN | ADMINISTRATIVE</w:t>
      </w:r>
    </w:p>
    <w:p>
      <w:pPr>
        <w:spacing w:after="20"/>
      </w:pPr>
      <w:r>
        <w:rPr>
          <w:rFonts w:ascii="Courier New" w:cs="Courier New" w:eastAsia="Courier New" w:hAnsi="Courier New"/>
          <w:color w:val="DC2626"/>
          <w:sz w:val="18"/>
          <w:szCs w:val="18"/>
        </w:rPr>
        <w:t xml:space="preserve">  granted_at: TIMESTAMP,</w:t>
      </w:r>
    </w:p>
    <w:p>
      <w:pPr>
        <w:spacing w:after="20"/>
      </w:pPr>
      <w:r>
        <w:rPr>
          <w:rFonts w:ascii="Courier New" w:cs="Courier New" w:eastAsia="Courier New" w:hAnsi="Courier New"/>
          <w:color w:val="DC2626"/>
          <w:sz w:val="18"/>
          <w:szCs w:val="18"/>
        </w:rPr>
        <w:t xml:space="preserve">  expires_at: TIMESTAMP,        // granted_at + 4 hours</w:t>
      </w:r>
    </w:p>
    <w:p>
      <w:pPr>
        <w:spacing w:after="20"/>
      </w:pPr>
      <w:r>
        <w:rPr>
          <w:rFonts w:ascii="Courier New" w:cs="Courier New" w:eastAsia="Courier New" w:hAnsi="Courier New"/>
          <w:color w:val="DC2626"/>
          <w:sz w:val="18"/>
          <w:szCs w:val="18"/>
        </w:rPr>
        <w:t xml:space="preserve">  granted_by: STRING,           // Supervisor or self (with post-hoc review)</w:t>
      </w:r>
    </w:p>
    <w:p>
      <w:pPr>
        <w:spacing w:after="20"/>
      </w:pPr>
      <w:r>
        <w:rPr>
          <w:rFonts w:ascii="Courier New" w:cs="Courier New" w:eastAsia="Courier New" w:hAnsi="Courier New"/>
          <w:color w:val="DC2626"/>
          <w:sz w:val="18"/>
          <w:szCs w:val="18"/>
        </w:rPr>
        <w:t xml:space="preserve">  still_denied: STRING[],       // Tables that remain denied even under BTG</w:t>
      </w:r>
    </w:p>
    <w:p>
      <w:pPr>
        <w:spacing w:after="20"/>
      </w:pPr>
      <w:r>
        <w:rPr>
          <w:rFonts w:ascii="Courier New" w:cs="Courier New" w:eastAsia="Courier New" w:hAnsi="Courier New"/>
          <w:color w:val="DC2626"/>
          <w:sz w:val="18"/>
          <w:szCs w:val="18"/>
        </w:rPr>
        <w:t xml:space="preserve">  signature: HMAC-SHA256</w:t>
      </w:r>
    </w:p>
    <w:p>
      <w:pPr>
        <w:spacing w:after="80"/>
      </w:pPr>
      <w:r>
        <w:rPr>
          <w:rFonts w:ascii="Courier New" w:cs="Courier New" w:eastAsia="Courier New" w:hAnsi="Courier New"/>
          <w:color w:val="DC2626"/>
          <w:sz w:val="18"/>
          <w:szCs w:val="18"/>
        </w:rPr>
        <w:t xml:space="preserve">}</w:t>
      </w:r>
    </w:p>
    <w:p>
      <w:pPr>
        <w:pStyle w:val="Heading2"/>
        <w:spacing w:before="300" w:after="160"/>
      </w:pPr>
      <w:r>
        <w:rPr>
          <w:rFonts w:ascii="Arial" w:cs="Arial" w:eastAsia="Arial" w:hAnsi="Arial"/>
          <w:b/>
          <w:bCs/>
          <w:color w:val="1E293B"/>
          <w:sz w:val="26"/>
          <w:szCs w:val="26"/>
        </w:rPr>
        <w:t xml:space="preserve">10.3 BTG Resolution Rules</w:t>
      </w:r>
    </w:p>
    <w:p>
      <w:pPr>
        <w:pStyle w:val="ListParagraph"/>
        <w:numPr>
          <w:ilvl w:val="0"/>
          <w:numId w:val="2"/>
        </w:numPr>
        <w:spacing w:after="80" w:line="276"/>
      </w:pPr>
      <w:r>
        <w:rPr>
          <w:rFonts w:ascii="Arial" w:cs="Arial" w:eastAsia="Arial" w:hAnsi="Arial"/>
          <w:b/>
          <w:bCs/>
          <w:color w:val="1E293B"/>
          <w:sz w:val="20"/>
          <w:szCs w:val="20"/>
        </w:rPr>
        <w:t xml:space="preserve">BTG overrides normal DENY: </w:t>
      </w:r>
      <w:r>
        <w:rPr>
          <w:rFonts w:ascii="Arial" w:cs="Arial" w:eastAsia="Arial" w:hAnsi="Arial"/>
          <w:color w:val="1E293B"/>
          <w:sz w:val="20"/>
          <w:szCs w:val="20"/>
        </w:rPr>
        <w:t xml:space="preserve">When a BTG token is active and valid, all DENY policies with priority &lt; 200 are overridden. The user gains elevated access to clinical tables they would normally be denied.</w:t>
      </w:r>
    </w:p>
    <w:p>
      <w:pPr>
        <w:pStyle w:val="ListParagraph"/>
        <w:numPr>
          <w:ilvl w:val="0"/>
          <w:numId w:val="2"/>
        </w:numPr>
        <w:spacing w:after="80" w:line="276"/>
      </w:pPr>
      <w:r>
        <w:rPr>
          <w:rFonts w:ascii="Arial" w:cs="Arial" w:eastAsia="Arial" w:hAnsi="Arial"/>
          <w:b/>
          <w:bCs/>
          <w:color w:val="1E293B"/>
          <w:sz w:val="20"/>
          <w:szCs w:val="20"/>
        </w:rPr>
        <w:t xml:space="preserve">42 CFR Part 2 is NEVER overridden: </w:t>
      </w:r>
      <w:r>
        <w:rPr>
          <w:rFonts w:ascii="Arial" w:cs="Arial" w:eastAsia="Arial" w:hAnsi="Arial"/>
          <w:color w:val="1E293B"/>
          <w:sz w:val="20"/>
          <w:szCs w:val="20"/>
        </w:rPr>
        <w:t xml:space="preserve">Substance abuse records (FED-001, priority 200, exception=NONE) remain DENIED even under BTG. This is federal law with no emergency exception via electronic query systems.</w:t>
      </w:r>
    </w:p>
    <w:p>
      <w:pPr>
        <w:pStyle w:val="ListParagraph"/>
        <w:numPr>
          <w:ilvl w:val="0"/>
          <w:numId w:val="2"/>
        </w:numPr>
        <w:spacing w:after="80" w:line="276"/>
      </w:pPr>
      <w:r>
        <w:rPr>
          <w:rFonts w:ascii="Arial" w:cs="Arial" w:eastAsia="Arial" w:hAnsi="Arial"/>
          <w:b/>
          <w:bCs/>
          <w:color w:val="1E293B"/>
          <w:sz w:val="20"/>
          <w:szCs w:val="20"/>
        </w:rPr>
        <w:t xml:space="preserve">BTG tables are flagged: </w:t>
      </w:r>
      <w:r>
        <w:rPr>
          <w:rFonts w:ascii="Arial" w:cs="Arial" w:eastAsia="Arial" w:hAnsi="Arial"/>
          <w:color w:val="1E293B"/>
          <w:sz w:val="20"/>
          <w:szCs w:val="20"/>
        </w:rPr>
        <w:t xml:space="preserve">Tables accessed under BTG are marked with btg_access=true in the Permission Envelope. The Audit Layer logs these with EMERGENCY_ACCESS flag and triggers immediate HIPAA Officer notification.</w:t>
      </w:r>
    </w:p>
    <w:p>
      <w:pPr>
        <w:pStyle w:val="ListParagraph"/>
        <w:numPr>
          <w:ilvl w:val="0"/>
          <w:numId w:val="2"/>
        </w:numPr>
        <w:spacing w:after="80" w:line="276"/>
      </w:pPr>
      <w:r>
        <w:rPr>
          <w:rFonts w:ascii="Arial" w:cs="Arial" w:eastAsia="Arial" w:hAnsi="Arial"/>
          <w:b/>
          <w:bCs/>
          <w:color w:val="1E293B"/>
          <w:sz w:val="20"/>
          <w:szCs w:val="20"/>
        </w:rPr>
        <w:t xml:space="preserve">BTG is time-limited: </w:t>
      </w:r>
      <w:r>
        <w:rPr>
          <w:rFonts w:ascii="Arial" w:cs="Arial" w:eastAsia="Arial" w:hAnsi="Arial"/>
          <w:color w:val="1E293B"/>
          <w:sz w:val="20"/>
          <w:szCs w:val="20"/>
        </w:rPr>
        <w:t xml:space="preserve">The token expires 4 hours after issuance. The physician must provide written justification within 24 hours. A retrospective review is automatically scheduled.</w:t>
      </w:r>
    </w:p>
    <w:p>
      <w:pPr>
        <w:pStyle w:val="ListParagraph"/>
        <w:numPr>
          <w:ilvl w:val="0"/>
          <w:numId w:val="2"/>
        </w:numPr>
        <w:spacing w:after="80" w:line="276"/>
      </w:pPr>
      <w:r>
        <w:rPr>
          <w:rFonts w:ascii="Arial" w:cs="Arial" w:eastAsia="Arial" w:hAnsi="Arial"/>
          <w:b/>
          <w:bCs/>
          <w:color w:val="1E293B"/>
          <w:sz w:val="20"/>
          <w:szCs w:val="20"/>
        </w:rPr>
        <w:t xml:space="preserve">BTG scope: </w:t>
      </w:r>
      <w:r>
        <w:rPr>
          <w:rFonts w:ascii="Arial" w:cs="Arial" w:eastAsia="Arial" w:hAnsi="Arial"/>
          <w:color w:val="1E293B"/>
          <w:sz w:val="20"/>
          <w:szCs w:val="20"/>
        </w:rPr>
        <w:t xml:space="preserve">If the BTG token specifies a patient_mrn, the elevated access applies only to records for that patient. The row filter becomes: 'mrn = $btg_patient_mrn'. If no patient is specified, the elevated access is broader but heavily audited.</w:t>
      </w:r>
    </w:p>
    <w:p>
      <w:pPr>
        <w:pStyle w:val="Heading2"/>
        <w:spacing w:before="300" w:after="160"/>
      </w:pPr>
      <w:r>
        <w:rPr>
          <w:rFonts w:ascii="Arial" w:cs="Arial" w:eastAsia="Arial" w:hAnsi="Arial"/>
          <w:b/>
          <w:bCs/>
          <w:color w:val="1E293B"/>
          <w:sz w:val="26"/>
          <w:szCs w:val="26"/>
        </w:rPr>
        <w:t xml:space="preserve">10.4 Policy Resolution with BTG Active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c>
          <w:tcPr>
            <w:tcW w:type="dxa" w:w="3200"/>
            <w:tcBorders>
              <w:top w:val="single" w:color="CBD5E1" w:sz="1"/>
              <w:left w:val="single" w:color="CBD5E1" w:sz="1"/>
              <w:bottom w:val="single" w:color="CBD5E1" w:sz="1"/>
              <w:right w:val="single" w:color="CBD5E1" w:sz="1"/>
            </w:tcBorders>
            <w:shd w:fill="DC2626" w:val="clear"/>
            <w:tcMar>
              <w:top w:type="dxa" w:w="80"/>
              <w:left w:type="dxa" w:w="120"/>
              <w:bottom w:type="dxa" w:w="80"/>
              <w:right w:type="dxa" w:w="120"/>
            </w:tcMar>
          </w:tcPr>
          <w:p>
            <w:r>
              <w:rPr>
                <w:rFonts w:ascii="Arial" w:cs="Arial" w:eastAsia="Arial" w:hAnsi="Arial"/>
                <w:b/>
                <w:bCs/>
                <w:color w:val="FFFFFF"/>
                <w:sz w:val="20"/>
                <w:szCs w:val="20"/>
              </w:rPr>
              <w:t xml:space="preserve">Normal Decision</w:t>
            </w:r>
          </w:p>
        </w:tc>
        <w:tc>
          <w:tcPr>
            <w:tcW w:type="dxa" w:w="3200"/>
            <w:tcBorders>
              <w:top w:val="single" w:color="CBD5E1" w:sz="1"/>
              <w:left w:val="single" w:color="CBD5E1" w:sz="1"/>
              <w:bottom w:val="single" w:color="CBD5E1" w:sz="1"/>
              <w:right w:val="single" w:color="CBD5E1" w:sz="1"/>
            </w:tcBorders>
            <w:shd w:fill="DC2626" w:val="clear"/>
            <w:tcMar>
              <w:top w:type="dxa" w:w="80"/>
              <w:left w:type="dxa" w:w="120"/>
              <w:bottom w:type="dxa" w:w="80"/>
              <w:right w:type="dxa" w:w="120"/>
            </w:tcMar>
          </w:tcPr>
          <w:p>
            <w:r>
              <w:rPr>
                <w:rFonts w:ascii="Arial" w:cs="Arial" w:eastAsia="Arial" w:hAnsi="Arial"/>
                <w:b/>
                <w:bCs/>
                <w:color w:val="FFFFFF"/>
                <w:sz w:val="20"/>
                <w:szCs w:val="20"/>
              </w:rPr>
              <w:t xml:space="preserve">BTG Override</w:t>
            </w:r>
          </w:p>
        </w:tc>
        <w:tc>
          <w:tcPr>
            <w:tcW w:type="dxa" w:w="2960"/>
            <w:tcBorders>
              <w:top w:val="single" w:color="CBD5E1" w:sz="1"/>
              <w:left w:val="single" w:color="CBD5E1" w:sz="1"/>
              <w:bottom w:val="single" w:color="CBD5E1" w:sz="1"/>
              <w:right w:val="single" w:color="CBD5E1" w:sz="1"/>
            </w:tcBorders>
            <w:shd w:fill="DC2626" w:val="clear"/>
            <w:tcMar>
              <w:top w:type="dxa" w:w="80"/>
              <w:left w:type="dxa" w:w="120"/>
              <w:bottom w:type="dxa" w:w="80"/>
              <w:right w:type="dxa" w:w="120"/>
            </w:tcMar>
          </w:tcPr>
          <w:p>
            <w:r>
              <w:rPr>
                <w:rFonts w:ascii="Arial" w:cs="Arial" w:eastAsia="Arial" w:hAnsi="Arial"/>
                <w:b/>
                <w:bCs/>
                <w:color w:val="FFFFFF"/>
                <w:sz w:val="20"/>
                <w:szCs w:val="20"/>
              </w:rPr>
              <w:t xml:space="preserve">Result</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encounters DENIED (wrong unit)</w:t>
            </w:r>
          </w:p>
        </w:tc>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BTG overrides DENY</w:t>
            </w:r>
          </w:p>
        </w:tc>
        <w:tc>
          <w:tcPr>
            <w:tcW w:type="dxa" w:w="2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ALLOWED with btg_access=true, EMERGENCY audit flag</w:t>
            </w:r>
          </w:p>
        </w:tc>
      </w:tr>
      <w:tr>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76"/>
            </w:pPr>
            <w:r>
              <w:rPr>
                <w:rFonts w:ascii="Arial" w:cs="Arial" w:eastAsia="Arial" w:hAnsi="Arial"/>
                <w:color w:val="1E293B"/>
                <w:sz w:val="20"/>
                <w:szCs w:val="20"/>
              </w:rPr>
              <w:t xml:space="preserve">clinical_notes DENIED (billing role)</w:t>
            </w:r>
          </w:p>
        </w:tc>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76"/>
            </w:pPr>
            <w:r>
              <w:rPr>
                <w:rFonts w:ascii="Arial" w:cs="Arial" w:eastAsia="Arial" w:hAnsi="Arial"/>
                <w:color w:val="1E293B"/>
                <w:sz w:val="20"/>
                <w:szCs w:val="20"/>
              </w:rPr>
              <w:t xml:space="preserve">BTG overrides DENY</w:t>
            </w:r>
          </w:p>
        </w:tc>
        <w:tc>
          <w:tcPr>
            <w:tcW w:type="dxa" w:w="29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76"/>
            </w:pPr>
            <w:r>
              <w:rPr>
                <w:rFonts w:ascii="Arial" w:cs="Arial" w:eastAsia="Arial" w:hAnsi="Arial"/>
                <w:color w:val="1E293B"/>
                <w:sz w:val="20"/>
                <w:szCs w:val="20"/>
              </w:rPr>
              <w:t xml:space="preserve">ALLOWED with btg_access=true (only if user has clinical license)</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substance_abuse_records DENIED (FED-001)</w:t>
            </w:r>
          </w:p>
        </w:tc>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BTG CANNOT override FED-001</w:t>
            </w:r>
          </w:p>
        </w:tc>
        <w:tc>
          <w:tcPr>
            <w:tcW w:type="dxa" w:w="2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DENIED. Federal law. No exception.</w:t>
            </w:r>
          </w:p>
        </w:tc>
      </w:tr>
      <w:tr>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76"/>
            </w:pPr>
            <w:r>
              <w:rPr>
                <w:rFonts w:ascii="Arial" w:cs="Arial" w:eastAsia="Arial" w:hAnsi="Arial"/>
                <w:color w:val="1E293B"/>
                <w:sz w:val="20"/>
                <w:szCs w:val="20"/>
              </w:rPr>
              <w:t xml:space="preserve">patients ALLOWED (normal access)</w:t>
            </w:r>
          </w:p>
        </w:tc>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76"/>
            </w:pPr>
            <w:r>
              <w:rPr>
                <w:rFonts w:ascii="Arial" w:cs="Arial" w:eastAsia="Arial" w:hAnsi="Arial"/>
                <w:color w:val="1E293B"/>
                <w:sz w:val="20"/>
                <w:szCs w:val="20"/>
              </w:rPr>
              <w:t xml:space="preserve">BTG does not change ALLOW</w:t>
            </w:r>
          </w:p>
        </w:tc>
        <w:tc>
          <w:tcPr>
            <w:tcW w:type="dxa" w:w="29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76"/>
            </w:pPr>
            <w:r>
              <w:rPr>
                <w:rFonts w:ascii="Arial" w:cs="Arial" w:eastAsia="Arial" w:hAnsi="Arial"/>
                <w:color w:val="1E293B"/>
                <w:sz w:val="20"/>
                <w:szCs w:val="20"/>
              </w:rPr>
              <w:t xml:space="preserve">ALLOWED (normal). BTG flag not set.</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mental_health_records DENIED (priority 200)</w:t>
            </w:r>
          </w:p>
        </w:tc>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BTG overrides if user has behavioral health credential</w:t>
            </w:r>
          </w:p>
        </w:tc>
        <w:tc>
          <w:tcPr>
            <w:tcW w:type="dxa" w:w="2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CONDITIONALLY ALLOWED based on credential check</w:t>
            </w:r>
          </w:p>
        </w:tc>
      </w:tr>
    </w:tbl>
    <w:p>
      <w:pPr>
        <w:spacing w:after="80"/>
      </w:pPr>
    </w:p>
    <w:p>
      <w:r>
        <w:br w:type="page"/>
      </w:r>
    </w:p>
    <w:p>
      <w:pPr>
        <w:pStyle w:val="Heading1"/>
        <w:spacing w:before="360" w:after="200"/>
      </w:pPr>
      <w:r>
        <w:rPr>
          <w:rFonts w:ascii="Arial" w:cs="Arial" w:eastAsia="Arial" w:hAnsi="Arial"/>
          <w:b/>
          <w:bCs/>
          <w:color w:val="DC2626"/>
          <w:sz w:val="32"/>
          <w:szCs w:val="32"/>
        </w:rPr>
        <w:t xml:space="preserve">11. Apollo Hospitals Policy Catalog</w:t>
      </w:r>
    </w:p>
    <w:p>
      <w:pPr>
        <w:spacing w:after="160" w:line="276"/>
      </w:pPr>
      <w:r>
        <w:rPr>
          <w:rFonts w:ascii="Arial" w:cs="Arial" w:eastAsia="Arial" w:hAnsi="Arial"/>
          <w:color w:val="1E293B"/>
          <w:sz w:val="20"/>
          <w:szCs w:val="20"/>
        </w:rPr>
        <w:t xml:space="preserve">The following is the complete policy catalog for the Apollo Hospitals implementation, organized by regulation source:</w:t>
      </w:r>
    </w:p>
    <w:p>
      <w:pPr>
        <w:pStyle w:val="Heading2"/>
        <w:spacing w:before="300" w:after="160"/>
      </w:pPr>
      <w:r>
        <w:rPr>
          <w:rFonts w:ascii="Arial" w:cs="Arial" w:eastAsia="Arial" w:hAnsi="Arial"/>
          <w:b/>
          <w:bCs/>
          <w:color w:val="1E293B"/>
          <w:sz w:val="26"/>
          <w:szCs w:val="26"/>
        </w:rPr>
        <w:t xml:space="preserve">11.1 Federal Regulatory Policies (Priority 200)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1000"/>
        <w:gridCol w:w="2200"/>
        <w:gridCol w:w="2760"/>
      </w:tblGrid>
      <w:tr>
        <w:tc>
          <w:tcPr>
            <w:tcW w:type="dxa" w:w="1200"/>
            <w:tcBorders>
              <w:top w:val="single" w:color="CBD5E1" w:sz="1"/>
              <w:left w:val="single" w:color="CBD5E1" w:sz="1"/>
              <w:bottom w:val="single" w:color="CBD5E1" w:sz="1"/>
              <w:right w:val="single" w:color="CBD5E1" w:sz="1"/>
            </w:tcBorders>
            <w:shd w:fill="DC2626" w:val="clear"/>
            <w:tcMar>
              <w:top w:type="dxa" w:w="80"/>
              <w:left w:type="dxa" w:w="120"/>
              <w:bottom w:type="dxa" w:w="80"/>
              <w:right w:type="dxa" w:w="120"/>
            </w:tcMar>
          </w:tcPr>
          <w:p>
            <w:r>
              <w:rPr>
                <w:rFonts w:ascii="Arial" w:cs="Arial" w:eastAsia="Arial" w:hAnsi="Arial"/>
                <w:b/>
                <w:bCs/>
                <w:color w:val="FFFFFF"/>
                <w:sz w:val="20"/>
                <w:szCs w:val="20"/>
              </w:rPr>
              <w:t xml:space="preserve">Policy ID</w:t>
            </w:r>
          </w:p>
        </w:tc>
        <w:tc>
          <w:tcPr>
            <w:tcW w:type="dxa" w:w="2200"/>
            <w:tcBorders>
              <w:top w:val="single" w:color="CBD5E1" w:sz="1"/>
              <w:left w:val="single" w:color="CBD5E1" w:sz="1"/>
              <w:bottom w:val="single" w:color="CBD5E1" w:sz="1"/>
              <w:right w:val="single" w:color="CBD5E1" w:sz="1"/>
            </w:tcBorders>
            <w:shd w:fill="DC2626"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1000"/>
            <w:tcBorders>
              <w:top w:val="single" w:color="CBD5E1" w:sz="1"/>
              <w:left w:val="single" w:color="CBD5E1" w:sz="1"/>
              <w:bottom w:val="single" w:color="CBD5E1" w:sz="1"/>
              <w:right w:val="single" w:color="CBD5E1" w:sz="1"/>
            </w:tcBorders>
            <w:shd w:fill="DC2626" w:val="clear"/>
            <w:tcMar>
              <w:top w:type="dxa" w:w="80"/>
              <w:left w:type="dxa" w:w="120"/>
              <w:bottom w:type="dxa" w:w="80"/>
              <w:right w:type="dxa" w:w="120"/>
            </w:tcMar>
          </w:tcPr>
          <w:p>
            <w:r>
              <w:rPr>
                <w:rFonts w:ascii="Arial" w:cs="Arial" w:eastAsia="Arial" w:hAnsi="Arial"/>
                <w:b/>
                <w:bCs/>
                <w:color w:val="FFFFFF"/>
                <w:sz w:val="20"/>
                <w:szCs w:val="20"/>
              </w:rPr>
              <w:t xml:space="preserve">Effect</w:t>
            </w:r>
          </w:p>
        </w:tc>
        <w:tc>
          <w:tcPr>
            <w:tcW w:type="dxa" w:w="2200"/>
            <w:tcBorders>
              <w:top w:val="single" w:color="CBD5E1" w:sz="1"/>
              <w:left w:val="single" w:color="CBD5E1" w:sz="1"/>
              <w:bottom w:val="single" w:color="CBD5E1" w:sz="1"/>
              <w:right w:val="single" w:color="CBD5E1" w:sz="1"/>
            </w:tcBorders>
            <w:shd w:fill="DC2626" w:val="clear"/>
            <w:tcMar>
              <w:top w:type="dxa" w:w="80"/>
              <w:left w:type="dxa" w:w="120"/>
              <w:bottom w:type="dxa" w:w="80"/>
              <w:right w:type="dxa" w:w="120"/>
            </w:tcMar>
          </w:tcPr>
          <w:p>
            <w:r>
              <w:rPr>
                <w:rFonts w:ascii="Arial" w:cs="Arial" w:eastAsia="Arial" w:hAnsi="Arial"/>
                <w:b/>
                <w:bCs/>
                <w:color w:val="FFFFFF"/>
                <w:sz w:val="20"/>
                <w:szCs w:val="20"/>
              </w:rPr>
              <w:t xml:space="preserve">Scope</w:t>
            </w:r>
          </w:p>
        </w:tc>
        <w:tc>
          <w:tcPr>
            <w:tcW w:type="dxa" w:w="2760"/>
            <w:tcBorders>
              <w:top w:val="single" w:color="CBD5E1" w:sz="1"/>
              <w:left w:val="single" w:color="CBD5E1" w:sz="1"/>
              <w:bottom w:val="single" w:color="CBD5E1" w:sz="1"/>
              <w:right w:val="single" w:color="CBD5E1" w:sz="1"/>
            </w:tcBorders>
            <w:shd w:fill="DC2626" w:val="clear"/>
            <w:tcMar>
              <w:top w:type="dxa" w:w="80"/>
              <w:left w:type="dxa" w:w="120"/>
              <w:bottom w:type="dxa" w:w="80"/>
              <w:right w:type="dxa" w:w="120"/>
            </w:tcMar>
          </w:tcPr>
          <w:p>
            <w:r>
              <w:rPr>
                <w:rFonts w:ascii="Arial" w:cs="Arial" w:eastAsia="Arial" w:hAnsi="Arial"/>
                <w:b/>
                <w:bCs/>
                <w:color w:val="FFFFFF"/>
                <w:sz w:val="20"/>
                <w:szCs w:val="20"/>
              </w:rPr>
              <w:t xml:space="preserve">Key Rule</w:t>
            </w:r>
          </w:p>
        </w:tc>
      </w:tr>
      <w:tr>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FED-001</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42 CFR Part 2 Substance Abuse Protection</w:t>
            </w:r>
          </w:p>
        </w:tc>
        <w:tc>
          <w:tcPr>
            <w:tcW w:type="dxa" w:w="1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DENY</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substance_abuse_records table; columns tagged substance_abuse</w:t>
            </w:r>
          </w:p>
        </w:tc>
        <w:tc>
          <w:tcPr>
            <w:tcW w:type="dxa" w:w="2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TABLE_DENY. Applies to ALL roles. Exception: NONE_VIA_QUERY_SYSTEM. Requires explicit written patient consent per disclosure.</w:t>
            </w:r>
          </w:p>
        </w:tc>
      </w:tr>
      <w:tr>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76"/>
            </w:pPr>
            <w:r>
              <w:rPr>
                <w:rFonts w:ascii="Arial" w:cs="Arial" w:eastAsia="Arial" w:hAnsi="Arial"/>
                <w:color w:val="1E293B"/>
                <w:sz w:val="20"/>
                <w:szCs w:val="20"/>
              </w:rPr>
              <w:t xml:space="preserve">HIPAA-005</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76"/>
            </w:pPr>
            <w:r>
              <w:rPr>
                <w:rFonts w:ascii="Arial" w:cs="Arial" w:eastAsia="Arial" w:hAnsi="Arial"/>
                <w:color w:val="1E293B"/>
                <w:sz w:val="20"/>
                <w:szCs w:val="20"/>
              </w:rPr>
              <w:t xml:space="preserve">Psychotherapy Notes Protection</w:t>
            </w:r>
          </w:p>
        </w:tc>
        <w:tc>
          <w:tcPr>
            <w:tcW w:type="dxa" w:w="10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76"/>
            </w:pPr>
            <w:r>
              <w:rPr>
                <w:rFonts w:ascii="Arial" w:cs="Arial" w:eastAsia="Arial" w:hAnsi="Arial"/>
                <w:color w:val="1E293B"/>
                <w:sz w:val="20"/>
                <w:szCs w:val="20"/>
              </w:rPr>
              <w:t xml:space="preserve">DENY</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76"/>
            </w:pPr>
            <w:r>
              <w:rPr>
                <w:rFonts w:ascii="Arial" w:cs="Arial" w:eastAsia="Arial" w:hAnsi="Arial"/>
                <w:color w:val="1E293B"/>
                <w:sz w:val="20"/>
                <w:szCs w:val="20"/>
              </w:rPr>
              <w:t xml:space="preserve">mental_health_records WHERE note_type = PSYCHOTHERAPY</w:t>
            </w:r>
          </w:p>
        </w:tc>
        <w:tc>
          <w:tcPr>
            <w:tcW w:type="dxa" w:w="27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76"/>
            </w:pPr>
            <w:r>
              <w:rPr>
                <w:rFonts w:ascii="Arial" w:cs="Arial" w:eastAsia="Arial" w:hAnsi="Arial"/>
                <w:color w:val="1E293B"/>
                <w:sz w:val="20"/>
                <w:szCs w:val="20"/>
              </w:rPr>
              <w:t xml:space="preserve">TABLE_DENY with column filter. Exception: AUTHORING_PROVIDER_ONLY (handled by separate EMR module, not NL query).</w:t>
            </w:r>
          </w:p>
        </w:tc>
      </w:tr>
    </w:tbl>
    <w:p>
      <w:pPr>
        <w:pStyle w:val="Heading2"/>
        <w:spacing w:before="300" w:after="160"/>
      </w:pPr>
      <w:r>
        <w:rPr>
          <w:rFonts w:ascii="Arial" w:cs="Arial" w:eastAsia="Arial" w:hAnsi="Arial"/>
          <w:b/>
          <w:bCs/>
          <w:color w:val="1E293B"/>
          <w:sz w:val="26"/>
          <w:szCs w:val="26"/>
        </w:rPr>
        <w:t xml:space="preserve">11.2 Security Boundary Policies (Priority 140–160)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1000"/>
        <w:gridCol w:w="2200"/>
        <w:gridCol w:w="2760"/>
      </w:tblGrid>
      <w:tr>
        <w:tc>
          <w:tcPr>
            <w:tcW w:type="dxa" w:w="1200"/>
            <w:tcBorders>
              <w:top w:val="single" w:color="CBD5E1" w:sz="1"/>
              <w:left w:val="single" w:color="CBD5E1" w:sz="1"/>
              <w:bottom w:val="single" w:color="CBD5E1" w:sz="1"/>
              <w:right w:val="single" w:color="CBD5E1" w:sz="1"/>
            </w:tcBorders>
            <w:shd w:fill="DC2626" w:val="clear"/>
            <w:tcMar>
              <w:top w:type="dxa" w:w="80"/>
              <w:left w:type="dxa" w:w="120"/>
              <w:bottom w:type="dxa" w:w="80"/>
              <w:right w:type="dxa" w:w="120"/>
            </w:tcMar>
          </w:tcPr>
          <w:p>
            <w:r>
              <w:rPr>
                <w:rFonts w:ascii="Arial" w:cs="Arial" w:eastAsia="Arial" w:hAnsi="Arial"/>
                <w:b/>
                <w:bCs/>
                <w:color w:val="FFFFFF"/>
                <w:sz w:val="20"/>
                <w:szCs w:val="20"/>
              </w:rPr>
              <w:t xml:space="preserve">Policy ID</w:t>
            </w:r>
          </w:p>
        </w:tc>
        <w:tc>
          <w:tcPr>
            <w:tcW w:type="dxa" w:w="2200"/>
            <w:tcBorders>
              <w:top w:val="single" w:color="CBD5E1" w:sz="1"/>
              <w:left w:val="single" w:color="CBD5E1" w:sz="1"/>
              <w:bottom w:val="single" w:color="CBD5E1" w:sz="1"/>
              <w:right w:val="single" w:color="CBD5E1" w:sz="1"/>
            </w:tcBorders>
            <w:shd w:fill="DC2626"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1000"/>
            <w:tcBorders>
              <w:top w:val="single" w:color="CBD5E1" w:sz="1"/>
              <w:left w:val="single" w:color="CBD5E1" w:sz="1"/>
              <w:bottom w:val="single" w:color="CBD5E1" w:sz="1"/>
              <w:right w:val="single" w:color="CBD5E1" w:sz="1"/>
            </w:tcBorders>
            <w:shd w:fill="DC2626" w:val="clear"/>
            <w:tcMar>
              <w:top w:type="dxa" w:w="80"/>
              <w:left w:type="dxa" w:w="120"/>
              <w:bottom w:type="dxa" w:w="80"/>
              <w:right w:type="dxa" w:w="120"/>
            </w:tcMar>
          </w:tcPr>
          <w:p>
            <w:r>
              <w:rPr>
                <w:rFonts w:ascii="Arial" w:cs="Arial" w:eastAsia="Arial" w:hAnsi="Arial"/>
                <w:b/>
                <w:bCs/>
                <w:color w:val="FFFFFF"/>
                <w:sz w:val="20"/>
                <w:szCs w:val="20"/>
              </w:rPr>
              <w:t xml:space="preserve">Effect</w:t>
            </w:r>
          </w:p>
        </w:tc>
        <w:tc>
          <w:tcPr>
            <w:tcW w:type="dxa" w:w="2200"/>
            <w:tcBorders>
              <w:top w:val="single" w:color="CBD5E1" w:sz="1"/>
              <w:left w:val="single" w:color="CBD5E1" w:sz="1"/>
              <w:bottom w:val="single" w:color="CBD5E1" w:sz="1"/>
              <w:right w:val="single" w:color="CBD5E1" w:sz="1"/>
            </w:tcBorders>
            <w:shd w:fill="DC2626" w:val="clear"/>
            <w:tcMar>
              <w:top w:type="dxa" w:w="80"/>
              <w:left w:type="dxa" w:w="120"/>
              <w:bottom w:type="dxa" w:w="80"/>
              <w:right w:type="dxa" w:w="120"/>
            </w:tcMar>
          </w:tcPr>
          <w:p>
            <w:r>
              <w:rPr>
                <w:rFonts w:ascii="Arial" w:cs="Arial" w:eastAsia="Arial" w:hAnsi="Arial"/>
                <w:b/>
                <w:bCs/>
                <w:color w:val="FFFFFF"/>
                <w:sz w:val="20"/>
                <w:szCs w:val="20"/>
              </w:rPr>
              <w:t xml:space="preserve">Scope</w:t>
            </w:r>
          </w:p>
        </w:tc>
        <w:tc>
          <w:tcPr>
            <w:tcW w:type="dxa" w:w="2760"/>
            <w:tcBorders>
              <w:top w:val="single" w:color="CBD5E1" w:sz="1"/>
              <w:left w:val="single" w:color="CBD5E1" w:sz="1"/>
              <w:bottom w:val="single" w:color="CBD5E1" w:sz="1"/>
              <w:right w:val="single" w:color="CBD5E1" w:sz="1"/>
            </w:tcBorders>
            <w:shd w:fill="DC2626" w:val="clear"/>
            <w:tcMar>
              <w:top w:type="dxa" w:w="80"/>
              <w:left w:type="dxa" w:w="120"/>
              <w:bottom w:type="dxa" w:w="80"/>
              <w:right w:type="dxa" w:w="120"/>
            </w:tcMar>
          </w:tcPr>
          <w:p>
            <w:r>
              <w:rPr>
                <w:rFonts w:ascii="Arial" w:cs="Arial" w:eastAsia="Arial" w:hAnsi="Arial"/>
                <w:b/>
                <w:bCs/>
                <w:color w:val="FFFFFF"/>
                <w:sz w:val="20"/>
                <w:szCs w:val="20"/>
              </w:rPr>
              <w:t xml:space="preserve">Key Rule</w:t>
            </w:r>
          </w:p>
        </w:tc>
      </w:tr>
      <w:tr>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SEC-001</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No Clinical-HR Cross Join</w:t>
            </w:r>
          </w:p>
        </w:tc>
        <w:tc>
          <w:tcPr>
            <w:tcW w:type="dxa" w:w="1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DENY</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JOIN between Clinical and HR domains</w:t>
            </w:r>
          </w:p>
        </w:tc>
        <w:tc>
          <w:tcPr>
            <w:tcW w:type="dxa" w:w="2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JOIN_RESTRICTION. Prevents correlation of patient outcomes with staff performance. Exception: NONE.</w:t>
            </w:r>
          </w:p>
        </w:tc>
      </w:tr>
      <w:tr>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76"/>
            </w:pPr>
            <w:r>
              <w:rPr>
                <w:rFonts w:ascii="Arial" w:cs="Arial" w:eastAsia="Arial" w:hAnsi="Arial"/>
                <w:color w:val="1E293B"/>
                <w:sz w:val="20"/>
                <w:szCs w:val="20"/>
              </w:rPr>
              <w:t xml:space="preserve">SEC-002</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76"/>
            </w:pPr>
            <w:r>
              <w:rPr>
                <w:rFonts w:ascii="Arial" w:cs="Arial" w:eastAsia="Arial" w:hAnsi="Arial"/>
                <w:color w:val="1E293B"/>
                <w:sz w:val="20"/>
                <w:szCs w:val="20"/>
              </w:rPr>
              <w:t xml:space="preserve">No Payer Contract-Salary Cross Join</w:t>
            </w:r>
          </w:p>
        </w:tc>
        <w:tc>
          <w:tcPr>
            <w:tcW w:type="dxa" w:w="10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76"/>
            </w:pPr>
            <w:r>
              <w:rPr>
                <w:rFonts w:ascii="Arial" w:cs="Arial" w:eastAsia="Arial" w:hAnsi="Arial"/>
                <w:color w:val="1E293B"/>
                <w:sz w:val="20"/>
                <w:szCs w:val="20"/>
              </w:rPr>
              <w:t xml:space="preserve">DENY</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76"/>
            </w:pPr>
            <w:r>
              <w:rPr>
                <w:rFonts w:ascii="Arial" w:cs="Arial" w:eastAsia="Arial" w:hAnsi="Arial"/>
                <w:color w:val="1E293B"/>
                <w:sz w:val="20"/>
                <w:szCs w:val="20"/>
              </w:rPr>
              <w:t xml:space="preserve">JOIN between payer_contracts and HR domain</w:t>
            </w:r>
          </w:p>
        </w:tc>
        <w:tc>
          <w:tcPr>
            <w:tcW w:type="dxa" w:w="27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76"/>
            </w:pPr>
            <w:r>
              <w:rPr>
                <w:rFonts w:ascii="Arial" w:cs="Arial" w:eastAsia="Arial" w:hAnsi="Arial"/>
                <w:color w:val="1E293B"/>
                <w:sz w:val="20"/>
                <w:szCs w:val="20"/>
              </w:rPr>
              <w:t xml:space="preserve">JOIN_RESTRICTION. Prevents exposure of negotiated rates alongside compensation. Exception: NONE.</w:t>
            </w:r>
          </w:p>
        </w:tc>
      </w:tr>
      <w:tr>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SEC-003</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No Genetic-Insurance Cross Join</w:t>
            </w:r>
          </w:p>
        </w:tc>
        <w:tc>
          <w:tcPr>
            <w:tcW w:type="dxa" w:w="1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DENY</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JOIN between genetic_records and Billing/Insurance domain</w:t>
            </w:r>
          </w:p>
        </w:tc>
        <w:tc>
          <w:tcPr>
            <w:tcW w:type="dxa" w:w="2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JOIN_RESTRICTION. GINA compliance. Prevents genetic information disclosure to insurers.</w:t>
            </w:r>
          </w:p>
        </w:tc>
      </w:tr>
    </w:tbl>
    <w:p>
      <w:pPr>
        <w:pStyle w:val="Heading2"/>
        <w:spacing w:before="300" w:after="160"/>
      </w:pPr>
      <w:r>
        <w:rPr>
          <w:rFonts w:ascii="Arial" w:cs="Arial" w:eastAsia="Arial" w:hAnsi="Arial"/>
          <w:b/>
          <w:bCs/>
          <w:color w:val="1E293B"/>
          <w:sz w:val="26"/>
          <w:szCs w:val="26"/>
        </w:rPr>
        <w:t xml:space="preserve">11.3 HIPAA Compliance Policies (Priority 80–100)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1000"/>
        <w:gridCol w:w="1000"/>
        <w:gridCol w:w="4560"/>
      </w:tblGrid>
      <w:tr>
        <w:tc>
          <w:tcPr>
            <w:tcW w:type="dxa" w:w="1200"/>
            <w:tcBorders>
              <w:top w:val="single" w:color="CBD5E1" w:sz="1"/>
              <w:left w:val="single" w:color="CBD5E1" w:sz="1"/>
              <w:bottom w:val="single" w:color="CBD5E1" w:sz="1"/>
              <w:right w:val="single" w:color="CBD5E1" w:sz="1"/>
            </w:tcBorders>
            <w:shd w:fill="DC2626" w:val="clear"/>
            <w:tcMar>
              <w:top w:type="dxa" w:w="80"/>
              <w:left w:type="dxa" w:w="120"/>
              <w:bottom w:type="dxa" w:w="80"/>
              <w:right w:type="dxa" w:w="120"/>
            </w:tcMar>
          </w:tcPr>
          <w:p>
            <w:r>
              <w:rPr>
                <w:rFonts w:ascii="Arial" w:cs="Arial" w:eastAsia="Arial" w:hAnsi="Arial"/>
                <w:b/>
                <w:bCs/>
                <w:color w:val="FFFFFF"/>
                <w:sz w:val="20"/>
                <w:szCs w:val="20"/>
              </w:rPr>
              <w:t xml:space="preserve">Policy ID</w:t>
            </w:r>
          </w:p>
        </w:tc>
        <w:tc>
          <w:tcPr>
            <w:tcW w:type="dxa" w:w="2200"/>
            <w:tcBorders>
              <w:top w:val="single" w:color="CBD5E1" w:sz="1"/>
              <w:left w:val="single" w:color="CBD5E1" w:sz="1"/>
              <w:bottom w:val="single" w:color="CBD5E1" w:sz="1"/>
              <w:right w:val="single" w:color="CBD5E1" w:sz="1"/>
            </w:tcBorders>
            <w:shd w:fill="DC2626"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1000"/>
            <w:tcBorders>
              <w:top w:val="single" w:color="CBD5E1" w:sz="1"/>
              <w:left w:val="single" w:color="CBD5E1" w:sz="1"/>
              <w:bottom w:val="single" w:color="CBD5E1" w:sz="1"/>
              <w:right w:val="single" w:color="CBD5E1" w:sz="1"/>
            </w:tcBorders>
            <w:shd w:fill="DC2626" w:val="clear"/>
            <w:tcMar>
              <w:top w:type="dxa" w:w="80"/>
              <w:left w:type="dxa" w:w="120"/>
              <w:bottom w:type="dxa" w:w="80"/>
              <w:right w:type="dxa" w:w="120"/>
            </w:tcMar>
          </w:tcPr>
          <w:p>
            <w:r>
              <w:rPr>
                <w:rFonts w:ascii="Arial" w:cs="Arial" w:eastAsia="Arial" w:hAnsi="Arial"/>
                <w:b/>
                <w:bCs/>
                <w:color w:val="FFFFFF"/>
                <w:sz w:val="20"/>
                <w:szCs w:val="20"/>
              </w:rPr>
              <w:t xml:space="preserve">Effect</w:t>
            </w:r>
          </w:p>
        </w:tc>
        <w:tc>
          <w:tcPr>
            <w:tcW w:type="dxa" w:w="1000"/>
            <w:tcBorders>
              <w:top w:val="single" w:color="CBD5E1" w:sz="1"/>
              <w:left w:val="single" w:color="CBD5E1" w:sz="1"/>
              <w:bottom w:val="single" w:color="CBD5E1" w:sz="1"/>
              <w:right w:val="single" w:color="CBD5E1" w:sz="1"/>
            </w:tcBorders>
            <w:shd w:fill="DC2626"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4560"/>
            <w:tcBorders>
              <w:top w:val="single" w:color="CBD5E1" w:sz="1"/>
              <w:left w:val="single" w:color="CBD5E1" w:sz="1"/>
              <w:bottom w:val="single" w:color="CBD5E1" w:sz="1"/>
              <w:right w:val="single" w:color="CBD5E1" w:sz="1"/>
            </w:tcBorders>
            <w:shd w:fill="DC2626" w:val="clear"/>
            <w:tcMar>
              <w:top w:type="dxa" w:w="80"/>
              <w:left w:type="dxa" w:w="120"/>
              <w:bottom w:type="dxa" w:w="80"/>
              <w:right w:type="dxa" w:w="120"/>
            </w:tcMar>
          </w:tcPr>
          <w:p>
            <w:r>
              <w:rPr>
                <w:rFonts w:ascii="Arial" w:cs="Arial" w:eastAsia="Arial" w:hAnsi="Arial"/>
                <w:b/>
                <w:bCs/>
                <w:color w:val="FFFFFF"/>
                <w:sz w:val="20"/>
                <w:szCs w:val="20"/>
              </w:rPr>
              <w:t xml:space="preserve">Key Rule</w:t>
            </w:r>
          </w:p>
        </w:tc>
      </w:tr>
      <w:tr>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HIPAA-001</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Minimum Necessary Standard</w:t>
            </w:r>
          </w:p>
        </w:tc>
        <w:tc>
          <w:tcPr>
            <w:tcW w:type="dxa" w:w="1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FILTER</w:t>
            </w:r>
          </w:p>
        </w:tc>
        <w:tc>
          <w:tcPr>
            <w:tcW w:type="dxa" w:w="1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100</w:t>
            </w:r>
          </w:p>
        </w:tc>
        <w:tc>
          <w:tcPr>
            <w:tcW w:type="dxa" w:w="4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QUERY_SCOPE: Must have WHERE clause. Max 1000 unbounded rows. Applies to all roles.</w:t>
            </w:r>
          </w:p>
        </w:tc>
      </w:tr>
      <w:tr>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76"/>
            </w:pPr>
            <w:r>
              <w:rPr>
                <w:rFonts w:ascii="Arial" w:cs="Arial" w:eastAsia="Arial" w:hAnsi="Arial"/>
                <w:color w:val="1E293B"/>
                <w:sz w:val="20"/>
                <w:szCs w:val="20"/>
              </w:rPr>
              <w:t xml:space="preserve">CLIN-001</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76"/>
            </w:pPr>
            <w:r>
              <w:rPr>
                <w:rFonts w:ascii="Arial" w:cs="Arial" w:eastAsia="Arial" w:hAnsi="Arial"/>
                <w:color w:val="1E293B"/>
                <w:sz w:val="20"/>
                <w:szCs w:val="20"/>
              </w:rPr>
              <w:t xml:space="preserve">Treatment Relationship Required</w:t>
            </w:r>
          </w:p>
        </w:tc>
        <w:tc>
          <w:tcPr>
            <w:tcW w:type="dxa" w:w="10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76"/>
            </w:pPr>
            <w:r>
              <w:rPr>
                <w:rFonts w:ascii="Arial" w:cs="Arial" w:eastAsia="Arial" w:hAnsi="Arial"/>
                <w:color w:val="1E293B"/>
                <w:sz w:val="20"/>
                <w:szCs w:val="20"/>
              </w:rPr>
              <w:t xml:space="preserve">FILTER</w:t>
            </w:r>
          </w:p>
        </w:tc>
        <w:tc>
          <w:tcPr>
            <w:tcW w:type="dxa" w:w="10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76"/>
            </w:pPr>
            <w:r>
              <w:rPr>
                <w:rFonts w:ascii="Arial" w:cs="Arial" w:eastAsia="Arial" w:hAnsi="Arial"/>
                <w:color w:val="1E293B"/>
                <w:sz w:val="20"/>
                <w:szCs w:val="20"/>
              </w:rPr>
              <w:t xml:space="preserve">90</w:t>
            </w:r>
          </w:p>
        </w:tc>
        <w:tc>
          <w:tcPr>
            <w:tcW w:type="dxa" w:w="45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76"/>
            </w:pPr>
            <w:r>
              <w:rPr>
                <w:rFonts w:ascii="Arial" w:cs="Arial" w:eastAsia="Arial" w:hAnsi="Arial"/>
                <w:color w:val="1E293B"/>
                <w:sz w:val="20"/>
                <w:szCs w:val="20"/>
              </w:rPr>
              <w:t xml:space="preserve">ROW_FILTER: encounters, clinical_notes, vital_signs, lab_results WHERE treating_provider_id = user.provider_id OR unit_id = user.unit_id. Applies to physicians and nurses.</w:t>
            </w:r>
          </w:p>
        </w:tc>
      </w:tr>
      <w:tr>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HIPAA-003</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SSN Protection</w:t>
            </w:r>
          </w:p>
        </w:tc>
        <w:tc>
          <w:tcPr>
            <w:tcW w:type="dxa" w:w="1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MASK</w:t>
            </w:r>
          </w:p>
        </w:tc>
        <w:tc>
          <w:tcPr>
            <w:tcW w:type="dxa" w:w="1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90</w:t>
            </w:r>
          </w:p>
        </w:tc>
        <w:tc>
          <w:tcPr>
            <w:tcW w:type="dxa" w:w="4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Column MASK: patients.ssn, employees.ssn. Strategy: FULL for all roles (SSN never displayed in NL query results).</w:t>
            </w:r>
          </w:p>
        </w:tc>
      </w:tr>
      <w:tr>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76"/>
            </w:pPr>
            <w:r>
              <w:rPr>
                <w:rFonts w:ascii="Arial" w:cs="Arial" w:eastAsia="Arial" w:hAnsi="Arial"/>
                <w:color w:val="1E293B"/>
                <w:sz w:val="20"/>
                <w:szCs w:val="20"/>
              </w:rPr>
              <w:t xml:space="preserve">HIPAA-004</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76"/>
            </w:pPr>
            <w:r>
              <w:rPr>
                <w:rFonts w:ascii="Arial" w:cs="Arial" w:eastAsia="Arial" w:hAnsi="Arial"/>
                <w:color w:val="1E293B"/>
                <w:sz w:val="20"/>
                <w:szCs w:val="20"/>
              </w:rPr>
              <w:t xml:space="preserve">PII Default Masking</w:t>
            </w:r>
          </w:p>
        </w:tc>
        <w:tc>
          <w:tcPr>
            <w:tcW w:type="dxa" w:w="10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76"/>
            </w:pPr>
            <w:r>
              <w:rPr>
                <w:rFonts w:ascii="Arial" w:cs="Arial" w:eastAsia="Arial" w:hAnsi="Arial"/>
                <w:color w:val="1E293B"/>
                <w:sz w:val="20"/>
                <w:szCs w:val="20"/>
              </w:rPr>
              <w:t xml:space="preserve">MASK</w:t>
            </w:r>
          </w:p>
        </w:tc>
        <w:tc>
          <w:tcPr>
            <w:tcW w:type="dxa" w:w="10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76"/>
            </w:pPr>
            <w:r>
              <w:rPr>
                <w:rFonts w:ascii="Arial" w:cs="Arial" w:eastAsia="Arial" w:hAnsi="Arial"/>
                <w:color w:val="1E293B"/>
                <w:sz w:val="20"/>
                <w:szCs w:val="20"/>
              </w:rPr>
              <w:t xml:space="preserve">80</w:t>
            </w:r>
          </w:p>
        </w:tc>
        <w:tc>
          <w:tcPr>
            <w:tcW w:type="dxa" w:w="45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76"/>
            </w:pPr>
            <w:r>
              <w:rPr>
                <w:rFonts w:ascii="Arial" w:cs="Arial" w:eastAsia="Arial" w:hAnsi="Arial"/>
                <w:color w:val="1E293B"/>
                <w:sz w:val="20"/>
                <w:szCs w:val="20"/>
              </w:rPr>
              <w:t xml:space="preserve">Column MASK: Applies masking strategies based on column PII type and user role. Phone: LAST_4. Email: PARTIAL. Address: REDACT. DOB: YEAR_ONLY (for non-clinical roles).</w:t>
            </w:r>
          </w:p>
        </w:tc>
      </w:tr>
    </w:tbl>
    <w:p>
      <w:pPr>
        <w:pStyle w:val="Heading2"/>
        <w:spacing w:before="300" w:after="160"/>
      </w:pPr>
      <w:r>
        <w:rPr>
          <w:rFonts w:ascii="Arial" w:cs="Arial" w:eastAsia="Arial" w:hAnsi="Arial"/>
          <w:b/>
          <w:bCs/>
          <w:color w:val="1E293B"/>
          <w:sz w:val="26"/>
          <w:szCs w:val="26"/>
        </w:rPr>
        <w:t xml:space="preserve">11.4 Role-Based Access Policies (Priority 40–70)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1000"/>
        <w:gridCol w:w="1800"/>
        <w:gridCol w:w="3160"/>
      </w:tblGrid>
      <w:tr>
        <w:tc>
          <w:tcPr>
            <w:tcW w:type="dxa" w:w="1200"/>
            <w:tcBorders>
              <w:top w:val="single" w:color="CBD5E1" w:sz="1"/>
              <w:left w:val="single" w:color="CBD5E1" w:sz="1"/>
              <w:bottom w:val="single" w:color="CBD5E1" w:sz="1"/>
              <w:right w:val="single" w:color="CBD5E1" w:sz="1"/>
            </w:tcBorders>
            <w:shd w:fill="DC2626" w:val="clear"/>
            <w:tcMar>
              <w:top w:type="dxa" w:w="80"/>
              <w:left w:type="dxa" w:w="120"/>
              <w:bottom w:type="dxa" w:w="80"/>
              <w:right w:type="dxa" w:w="120"/>
            </w:tcMar>
          </w:tcPr>
          <w:p>
            <w:r>
              <w:rPr>
                <w:rFonts w:ascii="Arial" w:cs="Arial" w:eastAsia="Arial" w:hAnsi="Arial"/>
                <w:b/>
                <w:bCs/>
                <w:color w:val="FFFFFF"/>
                <w:sz w:val="20"/>
                <w:szCs w:val="20"/>
              </w:rPr>
              <w:t xml:space="preserve">Policy ID</w:t>
            </w:r>
          </w:p>
        </w:tc>
        <w:tc>
          <w:tcPr>
            <w:tcW w:type="dxa" w:w="2200"/>
            <w:tcBorders>
              <w:top w:val="single" w:color="CBD5E1" w:sz="1"/>
              <w:left w:val="single" w:color="CBD5E1" w:sz="1"/>
              <w:bottom w:val="single" w:color="CBD5E1" w:sz="1"/>
              <w:right w:val="single" w:color="CBD5E1" w:sz="1"/>
            </w:tcBorders>
            <w:shd w:fill="DC2626"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1000"/>
            <w:tcBorders>
              <w:top w:val="single" w:color="CBD5E1" w:sz="1"/>
              <w:left w:val="single" w:color="CBD5E1" w:sz="1"/>
              <w:bottom w:val="single" w:color="CBD5E1" w:sz="1"/>
              <w:right w:val="single" w:color="CBD5E1" w:sz="1"/>
            </w:tcBorders>
            <w:shd w:fill="DC2626" w:val="clear"/>
            <w:tcMar>
              <w:top w:type="dxa" w:w="80"/>
              <w:left w:type="dxa" w:w="120"/>
              <w:bottom w:type="dxa" w:w="80"/>
              <w:right w:type="dxa" w:w="120"/>
            </w:tcMar>
          </w:tcPr>
          <w:p>
            <w:r>
              <w:rPr>
                <w:rFonts w:ascii="Arial" w:cs="Arial" w:eastAsia="Arial" w:hAnsi="Arial"/>
                <w:b/>
                <w:bCs/>
                <w:color w:val="FFFFFF"/>
                <w:sz w:val="20"/>
                <w:szCs w:val="20"/>
              </w:rPr>
              <w:t xml:space="preserve">Effect</w:t>
            </w:r>
          </w:p>
        </w:tc>
        <w:tc>
          <w:tcPr>
            <w:tcW w:type="dxa" w:w="1800"/>
            <w:tcBorders>
              <w:top w:val="single" w:color="CBD5E1" w:sz="1"/>
              <w:left w:val="single" w:color="CBD5E1" w:sz="1"/>
              <w:bottom w:val="single" w:color="CBD5E1" w:sz="1"/>
              <w:right w:val="single" w:color="CBD5E1" w:sz="1"/>
            </w:tcBorders>
            <w:shd w:fill="DC2626" w:val="clear"/>
            <w:tcMar>
              <w:top w:type="dxa" w:w="80"/>
              <w:left w:type="dxa" w:w="120"/>
              <w:bottom w:type="dxa" w:w="80"/>
              <w:right w:type="dxa" w:w="120"/>
            </w:tcMar>
          </w:tcPr>
          <w:p>
            <w:r>
              <w:rPr>
                <w:rFonts w:ascii="Arial" w:cs="Arial" w:eastAsia="Arial" w:hAnsi="Arial"/>
                <w:b/>
                <w:bCs/>
                <w:color w:val="FFFFFF"/>
                <w:sz w:val="20"/>
                <w:szCs w:val="20"/>
              </w:rPr>
              <w:t xml:space="preserve">Roles</w:t>
            </w:r>
          </w:p>
        </w:tc>
        <w:tc>
          <w:tcPr>
            <w:tcW w:type="dxa" w:w="3160"/>
            <w:tcBorders>
              <w:top w:val="single" w:color="CBD5E1" w:sz="1"/>
              <w:left w:val="single" w:color="CBD5E1" w:sz="1"/>
              <w:bottom w:val="single" w:color="CBD5E1" w:sz="1"/>
              <w:right w:val="single" w:color="CBD5E1" w:sz="1"/>
            </w:tcBorders>
            <w:shd w:fill="DC2626" w:val="clear"/>
            <w:tcMar>
              <w:top w:type="dxa" w:w="80"/>
              <w:left w:type="dxa" w:w="120"/>
              <w:bottom w:type="dxa" w:w="80"/>
              <w:right w:type="dxa" w:w="120"/>
            </w:tcMar>
          </w:tcPr>
          <w:p>
            <w:r>
              <w:rPr>
                <w:rFonts w:ascii="Arial" w:cs="Arial" w:eastAsia="Arial" w:hAnsi="Arial"/>
                <w:b/>
                <w:bCs/>
                <w:color w:val="FFFFFF"/>
                <w:sz w:val="20"/>
                <w:szCs w:val="20"/>
              </w:rPr>
              <w:t xml:space="preserve">Key Rule</w:t>
            </w:r>
          </w:p>
        </w:tc>
      </w:tr>
      <w:tr>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BIZ-001</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Billing Minimum Clinical Access</w:t>
            </w:r>
          </w:p>
        </w:tc>
        <w:tc>
          <w:tcPr>
            <w:tcW w:type="dxa" w:w="1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ALLOW</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Billing_Staff</w:t>
            </w:r>
          </w:p>
        </w:tc>
        <w:tc>
          <w:tcPr>
            <w:tcW w:type="dxa" w:w="3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COLUMN_ALLOW: patients(mrn, full_name, dob, insurance_id, insurance_group), encounters(encounter_id, mrn, date_of_service, discharge_date, facility_id), claims(*), patient_billing(*). Denies: clinical_notes, vital_signs, lab_results, prescriptions, imaging_results.</w:t>
            </w:r>
          </w:p>
        </w:tc>
      </w:tr>
      <w:tr>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76"/>
            </w:pPr>
            <w:r>
              <w:rPr>
                <w:rFonts w:ascii="Arial" w:cs="Arial" w:eastAsia="Arial" w:hAnsi="Arial"/>
                <w:color w:val="1E293B"/>
                <w:sz w:val="20"/>
                <w:szCs w:val="20"/>
              </w:rPr>
              <w:t xml:space="preserve">BIZ-002</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76"/>
            </w:pPr>
            <w:r>
              <w:rPr>
                <w:rFonts w:ascii="Arial" w:cs="Arial" w:eastAsia="Arial" w:hAnsi="Arial"/>
                <w:color w:val="1E293B"/>
                <w:sz w:val="20"/>
                <w:szCs w:val="20"/>
              </w:rPr>
              <w:t xml:space="preserve">Front Desk Limited Access</w:t>
            </w:r>
          </w:p>
        </w:tc>
        <w:tc>
          <w:tcPr>
            <w:tcW w:type="dxa" w:w="10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76"/>
            </w:pPr>
            <w:r>
              <w:rPr>
                <w:rFonts w:ascii="Arial" w:cs="Arial" w:eastAsia="Arial" w:hAnsi="Arial"/>
                <w:color w:val="1E293B"/>
                <w:sz w:val="20"/>
                <w:szCs w:val="20"/>
              </w:rPr>
              <w:t xml:space="preserve">ALLOW</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76"/>
            </w:pPr>
            <w:r>
              <w:rPr>
                <w:rFonts w:ascii="Arial" w:cs="Arial" w:eastAsia="Arial" w:hAnsi="Arial"/>
                <w:color w:val="1E293B"/>
                <w:sz w:val="20"/>
                <w:szCs w:val="20"/>
              </w:rPr>
              <w:t xml:space="preserve">Front_Desk</w:t>
            </w:r>
          </w:p>
        </w:tc>
        <w:tc>
          <w:tcPr>
            <w:tcW w:type="dxa" w:w="31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76"/>
            </w:pPr>
            <w:r>
              <w:rPr>
                <w:rFonts w:ascii="Arial" w:cs="Arial" w:eastAsia="Arial" w:hAnsi="Arial"/>
                <w:color w:val="1E293B"/>
                <w:sz w:val="20"/>
                <w:szCs w:val="20"/>
              </w:rPr>
              <w:t xml:space="preserve">COLUMN_ALLOW: patients(mrn, full_name, phone, email, insurance_id), appointments(*), staff_schedules(*). No clinical, billing dollar, or medication access.</w:t>
            </w:r>
          </w:p>
        </w:tc>
      </w:tr>
      <w:tr>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CLIN-005</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Pharmacist Medication Access</w:t>
            </w:r>
          </w:p>
        </w:tc>
        <w:tc>
          <w:tcPr>
            <w:tcW w:type="dxa" w:w="1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ALLOW</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Pharmacist</w:t>
            </w:r>
          </w:p>
        </w:tc>
        <w:tc>
          <w:tcPr>
            <w:tcW w:type="dxa" w:w="3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TABLE_ALLOW: prescriptions, dispensing_records, drug_interactions, controlled_substances, medication_inventory, allergies, patients(mrn, full_name, dob). No clinical notes, lab results, or billing.</w:t>
            </w:r>
          </w:p>
        </w:tc>
      </w:tr>
      <w:tr>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76"/>
            </w:pPr>
            <w:r>
              <w:rPr>
                <w:rFonts w:ascii="Arial" w:cs="Arial" w:eastAsia="Arial" w:hAnsi="Arial"/>
                <w:color w:val="1E293B"/>
                <w:sz w:val="20"/>
                <w:szCs w:val="20"/>
              </w:rPr>
              <w:t xml:space="preserve">CLIN-010</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76"/>
            </w:pPr>
            <w:r>
              <w:rPr>
                <w:rFonts w:ascii="Arial" w:cs="Arial" w:eastAsia="Arial" w:hAnsi="Arial"/>
                <w:color w:val="1E293B"/>
                <w:sz w:val="20"/>
                <w:szCs w:val="20"/>
              </w:rPr>
              <w:t xml:space="preserve">CNA Limited Clinical Access</w:t>
            </w:r>
          </w:p>
        </w:tc>
        <w:tc>
          <w:tcPr>
            <w:tcW w:type="dxa" w:w="10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76"/>
            </w:pPr>
            <w:r>
              <w:rPr>
                <w:rFonts w:ascii="Arial" w:cs="Arial" w:eastAsia="Arial" w:hAnsi="Arial"/>
                <w:color w:val="1E293B"/>
                <w:sz w:val="20"/>
                <w:szCs w:val="20"/>
              </w:rPr>
              <w:t xml:space="preserve">ALLOW</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76"/>
            </w:pPr>
            <w:r>
              <w:rPr>
                <w:rFonts w:ascii="Arial" w:cs="Arial" w:eastAsia="Arial" w:hAnsi="Arial"/>
                <w:color w:val="1E293B"/>
                <w:sz w:val="20"/>
                <w:szCs w:val="20"/>
              </w:rPr>
              <w:t xml:space="preserve">CNA</w:t>
            </w:r>
          </w:p>
        </w:tc>
        <w:tc>
          <w:tcPr>
            <w:tcW w:type="dxa" w:w="31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76"/>
            </w:pPr>
            <w:r>
              <w:rPr>
                <w:rFonts w:ascii="Arial" w:cs="Arial" w:eastAsia="Arial" w:hAnsi="Arial"/>
                <w:color w:val="1E293B"/>
                <w:sz w:val="20"/>
                <w:szCs w:val="20"/>
              </w:rPr>
              <w:t xml:space="preserve">TABLE_ALLOW: patients(mrn, full_name, room_number), vital_signs(*), care_plans(task_description, schedule). ROW_FILTER: unit_id = user.unit_id.</w:t>
            </w:r>
          </w:p>
        </w:tc>
      </w:tr>
      <w:tr>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BIZ-010</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Revenue Cycle Aggregate Only</w:t>
            </w:r>
          </w:p>
        </w:tc>
        <w:tc>
          <w:tcPr>
            <w:tcW w:type="dxa" w:w="1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ALLOW</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Revenue_Cycle_Manager</w:t>
            </w:r>
          </w:p>
        </w:tc>
        <w:tc>
          <w:tcPr>
            <w:tcW w:type="dxa" w:w="3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AGGREGATION_ONLY: encounters, claims, payments. Required: GROUP BY. Denied in SELECT: mrn, full_name, ssn, dob.</w:t>
            </w:r>
          </w:p>
        </w:tc>
      </w:tr>
    </w:tbl>
    <w:p>
      <w:pPr>
        <w:pStyle w:val="Heading2"/>
        <w:spacing w:before="300" w:after="160"/>
      </w:pPr>
      <w:r>
        <w:rPr>
          <w:rFonts w:ascii="Arial" w:cs="Arial" w:eastAsia="Arial" w:hAnsi="Arial"/>
          <w:b/>
          <w:bCs/>
          <w:color w:val="1E293B"/>
          <w:sz w:val="26"/>
          <w:szCs w:val="26"/>
        </w:rPr>
        <w:t xml:space="preserve">11.5 Emergency Policies (Priority 300)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1000"/>
        <w:gridCol w:w="1200"/>
        <w:gridCol w:w="3160"/>
      </w:tblGrid>
      <w:tr>
        <w:tc>
          <w:tcPr>
            <w:tcW w:type="dxa" w:w="1200"/>
            <w:tcBorders>
              <w:top w:val="single" w:color="CBD5E1" w:sz="1"/>
              <w:left w:val="single" w:color="CBD5E1" w:sz="1"/>
              <w:bottom w:val="single" w:color="CBD5E1" w:sz="1"/>
              <w:right w:val="single" w:color="CBD5E1" w:sz="1"/>
            </w:tcBorders>
            <w:shd w:fill="DC2626" w:val="clear"/>
            <w:tcMar>
              <w:top w:type="dxa" w:w="80"/>
              <w:left w:type="dxa" w:w="120"/>
              <w:bottom w:type="dxa" w:w="80"/>
              <w:right w:type="dxa" w:w="120"/>
            </w:tcMar>
          </w:tcPr>
          <w:p>
            <w:r>
              <w:rPr>
                <w:rFonts w:ascii="Arial" w:cs="Arial" w:eastAsia="Arial" w:hAnsi="Arial"/>
                <w:b/>
                <w:bCs/>
                <w:color w:val="FFFFFF"/>
                <w:sz w:val="20"/>
                <w:szCs w:val="20"/>
              </w:rPr>
              <w:t xml:space="preserve">Policy ID</w:t>
            </w:r>
          </w:p>
        </w:tc>
        <w:tc>
          <w:tcPr>
            <w:tcW w:type="dxa" w:w="2800"/>
            <w:tcBorders>
              <w:top w:val="single" w:color="CBD5E1" w:sz="1"/>
              <w:left w:val="single" w:color="CBD5E1" w:sz="1"/>
              <w:bottom w:val="single" w:color="CBD5E1" w:sz="1"/>
              <w:right w:val="single" w:color="CBD5E1" w:sz="1"/>
            </w:tcBorders>
            <w:shd w:fill="DC2626"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1000"/>
            <w:tcBorders>
              <w:top w:val="single" w:color="CBD5E1" w:sz="1"/>
              <w:left w:val="single" w:color="CBD5E1" w:sz="1"/>
              <w:bottom w:val="single" w:color="CBD5E1" w:sz="1"/>
              <w:right w:val="single" w:color="CBD5E1" w:sz="1"/>
            </w:tcBorders>
            <w:shd w:fill="DC2626" w:val="clear"/>
            <w:tcMar>
              <w:top w:type="dxa" w:w="80"/>
              <w:left w:type="dxa" w:w="120"/>
              <w:bottom w:type="dxa" w:w="80"/>
              <w:right w:type="dxa" w:w="120"/>
            </w:tcMar>
          </w:tcPr>
          <w:p>
            <w:r>
              <w:rPr>
                <w:rFonts w:ascii="Arial" w:cs="Arial" w:eastAsia="Arial" w:hAnsi="Arial"/>
                <w:b/>
                <w:bCs/>
                <w:color w:val="FFFFFF"/>
                <w:sz w:val="20"/>
                <w:szCs w:val="20"/>
              </w:rPr>
              <w:t xml:space="preserve">Effect</w:t>
            </w:r>
          </w:p>
        </w:tc>
        <w:tc>
          <w:tcPr>
            <w:tcW w:type="dxa" w:w="1200"/>
            <w:tcBorders>
              <w:top w:val="single" w:color="CBD5E1" w:sz="1"/>
              <w:left w:val="single" w:color="CBD5E1" w:sz="1"/>
              <w:bottom w:val="single" w:color="CBD5E1" w:sz="1"/>
              <w:right w:val="single" w:color="CBD5E1" w:sz="1"/>
            </w:tcBorders>
            <w:shd w:fill="DC2626" w:val="clear"/>
            <w:tcMar>
              <w:top w:type="dxa" w:w="80"/>
              <w:left w:type="dxa" w:w="120"/>
              <w:bottom w:type="dxa" w:w="80"/>
              <w:right w:type="dxa" w:w="120"/>
            </w:tcMar>
          </w:tcPr>
          <w:p>
            <w:r>
              <w:rPr>
                <w:rFonts w:ascii="Arial" w:cs="Arial" w:eastAsia="Arial" w:hAnsi="Arial"/>
                <w:b/>
                <w:bCs/>
                <w:color w:val="FFFFFF"/>
                <w:sz w:val="20"/>
                <w:szCs w:val="20"/>
              </w:rPr>
              <w:t xml:space="preserve">Duration</w:t>
            </w:r>
          </w:p>
        </w:tc>
        <w:tc>
          <w:tcPr>
            <w:tcW w:type="dxa" w:w="3160"/>
            <w:tcBorders>
              <w:top w:val="single" w:color="CBD5E1" w:sz="1"/>
              <w:left w:val="single" w:color="CBD5E1" w:sz="1"/>
              <w:bottom w:val="single" w:color="CBD5E1" w:sz="1"/>
              <w:right w:val="single" w:color="CBD5E1" w:sz="1"/>
            </w:tcBorders>
            <w:shd w:fill="DC2626" w:val="clear"/>
            <w:tcMar>
              <w:top w:type="dxa" w:w="80"/>
              <w:left w:type="dxa" w:w="120"/>
              <w:bottom w:type="dxa" w:w="80"/>
              <w:right w:type="dxa" w:w="120"/>
            </w:tcMar>
          </w:tcPr>
          <w:p>
            <w:r>
              <w:rPr>
                <w:rFonts w:ascii="Arial" w:cs="Arial" w:eastAsia="Arial" w:hAnsi="Arial"/>
                <w:b/>
                <w:bCs/>
                <w:color w:val="FFFFFF"/>
                <w:sz w:val="20"/>
                <w:szCs w:val="20"/>
              </w:rPr>
              <w:t xml:space="preserve">Key Rule</w:t>
            </w:r>
          </w:p>
        </w:tc>
      </w:tr>
      <w:tr>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EMER-001</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Break-the-Glass Emergency Access</w:t>
            </w:r>
          </w:p>
        </w:tc>
        <w:tc>
          <w:tcPr>
            <w:tcW w:type="dxa" w:w="1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ALLOW</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4 hours</w:t>
            </w:r>
          </w:p>
        </w:tc>
        <w:tc>
          <w:tcPr>
            <w:tcW w:type="dxa" w:w="3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EMERGENCY_OVERRIDE: Overrides all DENY policies with priority &lt; 200. Still denied: substance_abuse_records. Requires: reason, patient_id. Triggers: HIPAA_OFFICER_NOTIFICATION, RETROSPECTIVE_REVIEW.</w:t>
            </w:r>
          </w:p>
        </w:tc>
      </w:tr>
    </w:tbl>
    <w:p>
      <w:pPr>
        <w:spacing w:after="80"/>
      </w:pPr>
    </w:p>
    <w:p>
      <w:r>
        <w:br w:type="page"/>
      </w:r>
    </w:p>
    <w:p>
      <w:pPr>
        <w:pStyle w:val="Heading1"/>
        <w:spacing w:before="360" w:after="200"/>
      </w:pPr>
      <w:r>
        <w:rPr>
          <w:rFonts w:ascii="Arial" w:cs="Arial" w:eastAsia="Arial" w:hAnsi="Arial"/>
          <w:b/>
          <w:bCs/>
          <w:color w:val="DC2626"/>
          <w:sz w:val="32"/>
          <w:szCs w:val="32"/>
        </w:rPr>
        <w:t xml:space="preserve">12. Policy Resolution Scenarios</w:t>
      </w:r>
    </w:p>
    <w:p>
      <w:pPr>
        <w:pStyle w:val="Heading2"/>
        <w:spacing w:before="300" w:after="160"/>
      </w:pPr>
      <w:r>
        <w:rPr>
          <w:rFonts w:ascii="Arial" w:cs="Arial" w:eastAsia="Arial" w:hAnsi="Arial"/>
          <w:b/>
          <w:bCs/>
          <w:color w:val="1E293B"/>
          <w:sz w:val="26"/>
          <w:szCs w:val="26"/>
        </w:rPr>
        <w:t xml:space="preserve">Scenario 1: Attending Physician — Normal Clinical Query</w:t>
      </w:r>
    </w:p>
    <w:p>
      <w:pPr>
        <w:spacing w:after="160" w:line="276"/>
      </w:pPr>
      <w:r>
        <w:rPr>
          <w:rFonts w:ascii="Arial" w:cs="Arial" w:eastAsia="Arial" w:hAnsi="Arial"/>
          <w:b/>
          <w:bCs/>
          <w:color w:val="1E293B"/>
          <w:sz w:val="20"/>
          <w:szCs w:val="20"/>
        </w:rPr>
        <w:t xml:space="preserve">User: </w:t>
      </w:r>
      <w:r>
        <w:rPr>
          <w:rFonts w:ascii="Arial" w:cs="Arial" w:eastAsia="Arial" w:hAnsi="Arial"/>
          <w:color w:val="1E293B"/>
          <w:sz w:val="20"/>
          <w:szCs w:val="20"/>
        </w:rPr>
        <w:t xml:space="preserve">Dr. Patel (Attending_Physician, Cardiology, Unit 3B)</w:t>
      </w:r>
    </w:p>
    <w:p>
      <w:pPr>
        <w:spacing w:after="160" w:line="276"/>
      </w:pPr>
      <w:r>
        <w:rPr>
          <w:rFonts w:ascii="Arial" w:cs="Arial" w:eastAsia="Arial" w:hAnsi="Arial"/>
          <w:b/>
          <w:bCs/>
          <w:color w:val="1E293B"/>
          <w:sz w:val="20"/>
          <w:szCs w:val="20"/>
        </w:rPr>
        <w:t xml:space="preserve">Effective roles: </w:t>
      </w:r>
      <w:r>
        <w:rPr>
          <w:rFonts w:ascii="Arial" w:cs="Arial" w:eastAsia="Arial" w:hAnsi="Arial"/>
          <w:color w:val="1E293B"/>
          <w:sz w:val="20"/>
          <w:szCs w:val="20"/>
        </w:rPr>
        <w:t xml:space="preserve">[Attending_Physician, Resident_Physician, RN, CNA, Front_Desk]</w:t>
      </w:r>
    </w:p>
    <w:p>
      <w:pPr>
        <w:spacing w:after="160" w:line="276"/>
      </w:pPr>
      <w:r>
        <w:rPr>
          <w:rFonts w:ascii="Arial" w:cs="Arial" w:eastAsia="Arial" w:hAnsi="Arial"/>
          <w:b/>
          <w:bCs/>
          <w:color w:val="1E293B"/>
          <w:sz w:val="20"/>
          <w:szCs w:val="20"/>
        </w:rPr>
        <w:t xml:space="preserve">Candidate tables: </w:t>
      </w:r>
      <w:r>
        <w:rPr>
          <w:rFonts w:ascii="Arial" w:cs="Arial" w:eastAsia="Arial" w:hAnsi="Arial"/>
          <w:color w:val="1E293B"/>
          <w:sz w:val="20"/>
          <w:szCs w:val="20"/>
        </w:rPr>
        <w:t xml:space="preserve">[encounters, patients, discharge_summaries, clinical_notes, vital_signs]</w:t>
      </w:r>
    </w:p>
    <w:p>
      <w:pPr>
        <w:spacing w:after="160" w:line="276"/>
      </w:pPr>
      <w:r>
        <w:rPr>
          <w:rFonts w:ascii="Arial" w:cs="Arial" w:eastAsia="Arial" w:hAnsi="Arial"/>
          <w:b/>
          <w:bCs/>
          <w:color w:val="1E293B"/>
          <w:sz w:val="20"/>
          <w:szCs w:val="20"/>
        </w:rPr>
        <w:t xml:space="preserve">Policies collected (18): </w:t>
      </w:r>
      <w:r>
        <w:rPr>
          <w:rFonts w:ascii="Arial" w:cs="Arial" w:eastAsia="Arial" w:hAnsi="Arial"/>
          <w:color w:val="1E293B"/>
          <w:sz w:val="20"/>
          <w:szCs w:val="20"/>
        </w:rPr>
        <w:t xml:space="preserve">HIPAA-001, CLIN-001, HIPAA-003, HIPAA-004, BIZ-001 (inherited via CNA→Front_Desk), BIZ-002 (inherited via Front_Desk), CLIN-005 (not applicable — no Pharmacist role), CLIN-010 (inherited via CNA), plus domain and regulatory policies</w:t>
      </w:r>
    </w:p>
    <w:p>
      <w:pPr>
        <w:spacing w:after="160" w:line="276"/>
      </w:pPr>
      <w:r>
        <w:rPr>
          <w:rFonts w:ascii="Arial" w:cs="Arial" w:eastAsia="Arial" w:hAnsi="Arial"/>
          <w:b/>
          <w:bCs/>
          <w:color w:val="1E293B"/>
          <w:sz w:val="20"/>
          <w:szCs w:val="20"/>
        </w:rPr>
        <w:t xml:space="preserve">Resolution per table:</w:t>
      </w:r>
    </w:p>
    <w:p>
      <w:pPr>
        <w:pStyle w:val="ListParagraph"/>
        <w:numPr>
          <w:ilvl w:val="0"/>
          <w:numId w:val="2"/>
        </w:numPr>
        <w:spacing w:after="80" w:line="276"/>
      </w:pPr>
      <w:r>
        <w:rPr>
          <w:rFonts w:ascii="Arial" w:cs="Arial" w:eastAsia="Arial" w:hAnsi="Arial"/>
          <w:b/>
          <w:bCs/>
          <w:color w:val="1E293B"/>
          <w:sz w:val="20"/>
          <w:szCs w:val="20"/>
        </w:rPr>
        <w:t xml:space="preserve">encounters: </w:t>
      </w:r>
      <w:r>
        <w:rPr>
          <w:rFonts w:ascii="Arial" w:cs="Arial" w:eastAsia="Arial" w:hAnsi="Arial"/>
          <w:color w:val="1E293B"/>
          <w:sz w:val="20"/>
          <w:szCs w:val="20"/>
        </w:rPr>
        <w:t xml:space="preserve">ALLOWED (CLIN-001 grants clinical access, priority 90). ROW_FILTER: treating_provider_id = 'DR-4521' OR unit_id = '3B'. Columns: all clinical columns visible. SSN hidden (HIPAA-003).</w:t>
      </w:r>
    </w:p>
    <w:p>
      <w:pPr>
        <w:pStyle w:val="ListParagraph"/>
        <w:numPr>
          <w:ilvl w:val="0"/>
          <w:numId w:val="2"/>
        </w:numPr>
        <w:spacing w:after="80" w:line="276"/>
      </w:pPr>
      <w:r>
        <w:rPr>
          <w:rFonts w:ascii="Arial" w:cs="Arial" w:eastAsia="Arial" w:hAnsi="Arial"/>
          <w:b/>
          <w:bCs/>
          <w:color w:val="1E293B"/>
          <w:sz w:val="20"/>
          <w:szCs w:val="20"/>
        </w:rPr>
        <w:t xml:space="preserve">patients: </w:t>
      </w:r>
      <w:r>
        <w:rPr>
          <w:rFonts w:ascii="Arial" w:cs="Arial" w:eastAsia="Arial" w:hAnsi="Arial"/>
          <w:color w:val="1E293B"/>
          <w:sz w:val="20"/>
          <w:szCs w:val="20"/>
        </w:rPr>
        <w:t xml:space="preserve">ALLOWED (inherited from CNA &gt; Front_Desk grants). 12 columns visible including clinical demographics. SSN: HIDDEN (HIPAA-003 MASK=FULL). Phone: LAST_4. Email: PARTIAL.</w:t>
      </w:r>
    </w:p>
    <w:p>
      <w:pPr>
        <w:pStyle w:val="ListParagraph"/>
        <w:numPr>
          <w:ilvl w:val="0"/>
          <w:numId w:val="2"/>
        </w:numPr>
        <w:spacing w:after="80" w:line="276"/>
      </w:pPr>
      <w:r>
        <w:rPr>
          <w:rFonts w:ascii="Arial" w:cs="Arial" w:eastAsia="Arial" w:hAnsi="Arial"/>
          <w:b/>
          <w:bCs/>
          <w:color w:val="1E293B"/>
          <w:sz w:val="20"/>
          <w:szCs w:val="20"/>
        </w:rPr>
        <w:t xml:space="preserve">discharge_summaries: </w:t>
      </w:r>
      <w:r>
        <w:rPr>
          <w:rFonts w:ascii="Arial" w:cs="Arial" w:eastAsia="Arial" w:hAnsi="Arial"/>
          <w:color w:val="1E293B"/>
          <w:sz w:val="20"/>
          <w:szCs w:val="20"/>
        </w:rPr>
        <w:t xml:space="preserve">ALLOWED. ROW_FILTER: treating_provider_id = 'DR-4521'.</w:t>
      </w:r>
    </w:p>
    <w:p>
      <w:pPr>
        <w:pStyle w:val="ListParagraph"/>
        <w:numPr>
          <w:ilvl w:val="0"/>
          <w:numId w:val="2"/>
        </w:numPr>
        <w:spacing w:after="80" w:line="276"/>
      </w:pPr>
      <w:r>
        <w:rPr>
          <w:rFonts w:ascii="Arial" w:cs="Arial" w:eastAsia="Arial" w:hAnsi="Arial"/>
          <w:b/>
          <w:bCs/>
          <w:color w:val="1E293B"/>
          <w:sz w:val="20"/>
          <w:szCs w:val="20"/>
        </w:rPr>
        <w:t xml:space="preserve">clinical_notes: </w:t>
      </w:r>
      <w:r>
        <w:rPr>
          <w:rFonts w:ascii="Arial" w:cs="Arial" w:eastAsia="Arial" w:hAnsi="Arial"/>
          <w:color w:val="1E293B"/>
          <w:sz w:val="20"/>
          <w:szCs w:val="20"/>
        </w:rPr>
        <w:t xml:space="preserve">ALLOWED (Attending has clinical access). ROW_FILTER: treating_provider_id = 'DR-4521'. Note: Psychotherapy notes excluded (HIPAA-005).</w:t>
      </w:r>
    </w:p>
    <w:p>
      <w:pPr>
        <w:pStyle w:val="ListParagraph"/>
        <w:numPr>
          <w:ilvl w:val="0"/>
          <w:numId w:val="2"/>
        </w:numPr>
        <w:spacing w:after="80" w:line="276"/>
      </w:pPr>
      <w:r>
        <w:rPr>
          <w:rFonts w:ascii="Arial" w:cs="Arial" w:eastAsia="Arial" w:hAnsi="Arial"/>
          <w:b/>
          <w:bCs/>
          <w:color w:val="1E293B"/>
          <w:sz w:val="20"/>
          <w:szCs w:val="20"/>
        </w:rPr>
        <w:t xml:space="preserve">vital_signs: </w:t>
      </w:r>
      <w:r>
        <w:rPr>
          <w:rFonts w:ascii="Arial" w:cs="Arial" w:eastAsia="Arial" w:hAnsi="Arial"/>
          <w:color w:val="1E293B"/>
          <w:sz w:val="20"/>
          <w:szCs w:val="20"/>
        </w:rPr>
        <w:t xml:space="preserve">ALLOWED. ROW_FILTER: treating_provider_id = 'DR-4521' OR unit_id = '3B'.</w:t>
      </w:r>
    </w:p>
    <w:p>
      <w:pPr>
        <w:spacing w:after="80"/>
      </w:pPr>
    </w:p>
    <w:p>
      <w:pPr>
        <w:pStyle w:val="Heading2"/>
        <w:spacing w:before="300" w:after="160"/>
      </w:pPr>
      <w:r>
        <w:rPr>
          <w:rFonts w:ascii="Arial" w:cs="Arial" w:eastAsia="Arial" w:hAnsi="Arial"/>
          <w:b/>
          <w:bCs/>
          <w:color w:val="1E293B"/>
          <w:sz w:val="26"/>
          <w:szCs w:val="26"/>
        </w:rPr>
        <w:t xml:space="preserve">Scenario 2: Billing Staff — Denied Clinical Access</w:t>
      </w:r>
    </w:p>
    <w:p>
      <w:pPr>
        <w:spacing w:after="160" w:line="276"/>
      </w:pPr>
      <w:r>
        <w:rPr>
          <w:rFonts w:ascii="Arial" w:cs="Arial" w:eastAsia="Arial" w:hAnsi="Arial"/>
          <w:b/>
          <w:bCs/>
          <w:color w:val="1E293B"/>
          <w:sz w:val="20"/>
          <w:szCs w:val="20"/>
        </w:rPr>
        <w:t xml:space="preserve">User: </w:t>
      </w:r>
      <w:r>
        <w:rPr>
          <w:rFonts w:ascii="Arial" w:cs="Arial" w:eastAsia="Arial" w:hAnsi="Arial"/>
          <w:color w:val="1E293B"/>
          <w:sz w:val="20"/>
          <w:szCs w:val="20"/>
        </w:rPr>
        <w:t xml:space="preserve">Maria (Billing_Staff, Revenue Cycle)</w:t>
      </w:r>
    </w:p>
    <w:p>
      <w:pPr>
        <w:spacing w:after="160" w:line="276"/>
      </w:pPr>
      <w:r>
        <w:rPr>
          <w:rFonts w:ascii="Arial" w:cs="Arial" w:eastAsia="Arial" w:hAnsi="Arial"/>
          <w:b/>
          <w:bCs/>
          <w:color w:val="1E293B"/>
          <w:sz w:val="20"/>
          <w:szCs w:val="20"/>
        </w:rPr>
        <w:t xml:space="preserve">Effective roles: </w:t>
      </w:r>
      <w:r>
        <w:rPr>
          <w:rFonts w:ascii="Arial" w:cs="Arial" w:eastAsia="Arial" w:hAnsi="Arial"/>
          <w:color w:val="1E293B"/>
          <w:sz w:val="20"/>
          <w:szCs w:val="20"/>
        </w:rPr>
        <w:t xml:space="preserve">[Billing_Staff]</w:t>
      </w:r>
    </w:p>
    <w:p>
      <w:pPr>
        <w:spacing w:after="160" w:line="276"/>
      </w:pPr>
      <w:r>
        <w:rPr>
          <w:rFonts w:ascii="Arial" w:cs="Arial" w:eastAsia="Arial" w:hAnsi="Arial"/>
          <w:b/>
          <w:bCs/>
          <w:color w:val="1E293B"/>
          <w:sz w:val="20"/>
          <w:szCs w:val="20"/>
        </w:rPr>
        <w:t xml:space="preserve">Candidate tables: </w:t>
      </w:r>
      <w:r>
        <w:rPr>
          <w:rFonts w:ascii="Arial" w:cs="Arial" w:eastAsia="Arial" w:hAnsi="Arial"/>
          <w:color w:val="1E293B"/>
          <w:sz w:val="20"/>
          <w:szCs w:val="20"/>
        </w:rPr>
        <w:t xml:space="preserve">[clinical_notes, encounters, patients, claims, claim_line_items]</w:t>
      </w:r>
    </w:p>
    <w:p>
      <w:pPr>
        <w:spacing w:after="160" w:line="276"/>
      </w:pPr>
      <w:r>
        <w:rPr>
          <w:rFonts w:ascii="Arial" w:cs="Arial" w:eastAsia="Arial" w:hAnsi="Arial"/>
          <w:b/>
          <w:bCs/>
          <w:color w:val="1E293B"/>
          <w:sz w:val="20"/>
          <w:szCs w:val="20"/>
        </w:rPr>
        <w:t xml:space="preserve">Resolution per table:</w:t>
      </w:r>
    </w:p>
    <w:p>
      <w:pPr>
        <w:pStyle w:val="ListParagraph"/>
        <w:numPr>
          <w:ilvl w:val="0"/>
          <w:numId w:val="2"/>
        </w:numPr>
        <w:spacing w:after="80" w:line="276"/>
      </w:pPr>
      <w:r>
        <w:rPr>
          <w:rFonts w:ascii="Arial" w:cs="Arial" w:eastAsia="Arial" w:hAnsi="Arial"/>
          <w:b/>
          <w:bCs/>
          <w:color w:val="1E293B"/>
          <w:sz w:val="20"/>
          <w:szCs w:val="20"/>
        </w:rPr>
        <w:t xml:space="preserve">clinical_notes: </w:t>
      </w:r>
      <w:r>
        <w:rPr>
          <w:rFonts w:ascii="Arial" w:cs="Arial" w:eastAsia="Arial" w:hAnsi="Arial"/>
          <w:color w:val="1E293B"/>
          <w:sz w:val="20"/>
          <w:szCs w:val="20"/>
        </w:rPr>
        <w:t xml:space="preserve">DENIED. BIZ-001 explicitly lists clinical_notes in denied_tables. No ALLOW policy exists for Billing_Staff on this table. Rule 4: no policy = DENY.</w:t>
      </w:r>
    </w:p>
    <w:p>
      <w:pPr>
        <w:pStyle w:val="ListParagraph"/>
        <w:numPr>
          <w:ilvl w:val="0"/>
          <w:numId w:val="2"/>
        </w:numPr>
        <w:spacing w:after="80" w:line="276"/>
      </w:pPr>
      <w:r>
        <w:rPr>
          <w:rFonts w:ascii="Arial" w:cs="Arial" w:eastAsia="Arial" w:hAnsi="Arial"/>
          <w:b/>
          <w:bCs/>
          <w:color w:val="1E293B"/>
          <w:sz w:val="20"/>
          <w:szCs w:val="20"/>
        </w:rPr>
        <w:t xml:space="preserve">encounters: </w:t>
      </w:r>
      <w:r>
        <w:rPr>
          <w:rFonts w:ascii="Arial" w:cs="Arial" w:eastAsia="Arial" w:hAnsi="Arial"/>
          <w:color w:val="1E293B"/>
          <w:sz w:val="20"/>
          <w:szCs w:val="20"/>
        </w:rPr>
        <w:t xml:space="preserve">ALLOWED (BIZ-001, priority 50) but COLUMN_RESTRICTED: only encounter_id, mrn, date_of_service, discharge_date, facility_id. Clinical narrative columns hidden.</w:t>
      </w:r>
    </w:p>
    <w:p>
      <w:pPr>
        <w:pStyle w:val="ListParagraph"/>
        <w:numPr>
          <w:ilvl w:val="0"/>
          <w:numId w:val="2"/>
        </w:numPr>
        <w:spacing w:after="80" w:line="276"/>
      </w:pPr>
      <w:r>
        <w:rPr>
          <w:rFonts w:ascii="Arial" w:cs="Arial" w:eastAsia="Arial" w:hAnsi="Arial"/>
          <w:b/>
          <w:bCs/>
          <w:color w:val="1E293B"/>
          <w:sz w:val="20"/>
          <w:szCs w:val="20"/>
        </w:rPr>
        <w:t xml:space="preserve">patients: </w:t>
      </w:r>
      <w:r>
        <w:rPr>
          <w:rFonts w:ascii="Arial" w:cs="Arial" w:eastAsia="Arial" w:hAnsi="Arial"/>
          <w:color w:val="1E293B"/>
          <w:sz w:val="20"/>
          <w:szCs w:val="20"/>
        </w:rPr>
        <w:t xml:space="preserve">ALLOWED (BIZ-001) but COLUMN_RESTRICTED: mrn, full_name, dob, insurance_id, insurance_group. SSN: HIDDEN. Address: HIDDEN. Phone: HIDDEN.</w:t>
      </w:r>
    </w:p>
    <w:p>
      <w:pPr>
        <w:pStyle w:val="ListParagraph"/>
        <w:numPr>
          <w:ilvl w:val="0"/>
          <w:numId w:val="2"/>
        </w:numPr>
        <w:spacing w:after="80" w:line="276"/>
      </w:pPr>
      <w:r>
        <w:rPr>
          <w:rFonts w:ascii="Arial" w:cs="Arial" w:eastAsia="Arial" w:hAnsi="Arial"/>
          <w:b/>
          <w:bCs/>
          <w:color w:val="1E293B"/>
          <w:sz w:val="20"/>
          <w:szCs w:val="20"/>
        </w:rPr>
        <w:t xml:space="preserve">claims: </w:t>
      </w:r>
      <w:r>
        <w:rPr>
          <w:rFonts w:ascii="Arial" w:cs="Arial" w:eastAsia="Arial" w:hAnsi="Arial"/>
          <w:color w:val="1E293B"/>
          <w:sz w:val="20"/>
          <w:szCs w:val="20"/>
        </w:rPr>
        <w:t xml:space="preserve">ALLOWED (BIZ-001, wildcard). All columns visible.</w:t>
      </w:r>
    </w:p>
    <w:p>
      <w:pPr>
        <w:pStyle w:val="ListParagraph"/>
        <w:numPr>
          <w:ilvl w:val="0"/>
          <w:numId w:val="2"/>
        </w:numPr>
        <w:spacing w:after="80" w:line="276"/>
      </w:pPr>
      <w:r>
        <w:rPr>
          <w:rFonts w:ascii="Arial" w:cs="Arial" w:eastAsia="Arial" w:hAnsi="Arial"/>
          <w:b/>
          <w:bCs/>
          <w:color w:val="1E293B"/>
          <w:sz w:val="20"/>
          <w:szCs w:val="20"/>
        </w:rPr>
        <w:t xml:space="preserve">claim_line_items: </w:t>
      </w:r>
      <w:r>
        <w:rPr>
          <w:rFonts w:ascii="Arial" w:cs="Arial" w:eastAsia="Arial" w:hAnsi="Arial"/>
          <w:color w:val="1E293B"/>
          <w:sz w:val="20"/>
          <w:szCs w:val="20"/>
        </w:rPr>
        <w:t xml:space="preserve">ALLOWED (BIZ-001, via parent_billing domain). All columns visible.</w:t>
      </w:r>
    </w:p>
    <w:p>
      <w:pPr>
        <w:spacing w:after="160" w:line="276"/>
      </w:pPr>
      <w:r>
        <w:rPr>
          <w:rFonts w:ascii="Arial" w:cs="Arial" w:eastAsia="Arial" w:hAnsi="Arial"/>
          <w:b/>
          <w:bCs/>
          <w:color w:val="1E293B"/>
          <w:sz w:val="20"/>
          <w:szCs w:val="20"/>
        </w:rPr>
        <w:t xml:space="preserve">NL rules generated: </w:t>
      </w:r>
      <w:r>
        <w:rPr>
          <w:rFonts w:ascii="Arial" w:cs="Arial" w:eastAsia="Arial" w:hAnsi="Arial"/>
          <w:i/>
          <w:iCs/>
          <w:color w:val="64748B"/>
          <w:sz w:val="20"/>
          <w:szCs w:val="20"/>
        </w:rPr>
        <w:t xml:space="preserve">'Billing staff cannot access clinical notes, vital signs, lab results, or narrative clinical documentation. Use diagnosis codes (ICD-10) and procedure codes (CPT) from encounter records for coding purposes.'</w:t>
      </w:r>
    </w:p>
    <w:p>
      <w:pPr>
        <w:spacing w:after="80"/>
      </w:pPr>
    </w:p>
    <w:p>
      <w:pPr>
        <w:pStyle w:val="Heading2"/>
        <w:spacing w:before="300" w:after="160"/>
      </w:pPr>
      <w:r>
        <w:rPr>
          <w:rFonts w:ascii="Arial" w:cs="Arial" w:eastAsia="Arial" w:hAnsi="Arial"/>
          <w:b/>
          <w:bCs/>
          <w:color w:val="1E293B"/>
          <w:sz w:val="26"/>
          <w:szCs w:val="26"/>
        </w:rPr>
        <w:t xml:space="preserve">Scenario 3: Revenue Cycle Manager — Aggregate-Only</w:t>
      </w:r>
    </w:p>
    <w:p>
      <w:pPr>
        <w:spacing w:after="160" w:line="276"/>
      </w:pPr>
      <w:r>
        <w:rPr>
          <w:rFonts w:ascii="Arial" w:cs="Arial" w:eastAsia="Arial" w:hAnsi="Arial"/>
          <w:b/>
          <w:bCs/>
          <w:color w:val="1E293B"/>
          <w:sz w:val="20"/>
          <w:szCs w:val="20"/>
        </w:rPr>
        <w:t xml:space="preserve">User: </w:t>
      </w:r>
      <w:r>
        <w:rPr>
          <w:rFonts w:ascii="Arial" w:cs="Arial" w:eastAsia="Arial" w:hAnsi="Arial"/>
          <w:color w:val="1E293B"/>
          <w:sz w:val="20"/>
          <w:szCs w:val="20"/>
        </w:rPr>
        <w:t xml:space="preserve">James (Revenue_Cycle_Manager)</w:t>
      </w:r>
    </w:p>
    <w:p>
      <w:pPr>
        <w:spacing w:after="160" w:line="276"/>
      </w:pPr>
      <w:r>
        <w:rPr>
          <w:rFonts w:ascii="Arial" w:cs="Arial" w:eastAsia="Arial" w:hAnsi="Arial"/>
          <w:b/>
          <w:bCs/>
          <w:color w:val="1E293B"/>
          <w:sz w:val="20"/>
          <w:szCs w:val="20"/>
        </w:rPr>
        <w:t xml:space="preserve">Candidate tables: </w:t>
      </w:r>
      <w:r>
        <w:rPr>
          <w:rFonts w:ascii="Arial" w:cs="Arial" w:eastAsia="Arial" w:hAnsi="Arial"/>
          <w:color w:val="1E293B"/>
          <w:sz w:val="20"/>
          <w:szCs w:val="20"/>
        </w:rPr>
        <w:t xml:space="preserve">[encounters, claims, payments]</w:t>
      </w:r>
    </w:p>
    <w:p>
      <w:pPr>
        <w:spacing w:after="160" w:line="276"/>
      </w:pPr>
      <w:r>
        <w:rPr>
          <w:rFonts w:ascii="Arial" w:cs="Arial" w:eastAsia="Arial" w:hAnsi="Arial"/>
          <w:b/>
          <w:bCs/>
          <w:color w:val="1E293B"/>
          <w:sz w:val="20"/>
          <w:szCs w:val="20"/>
        </w:rPr>
        <w:t xml:space="preserve">Resolution:</w:t>
      </w:r>
    </w:p>
    <w:p>
      <w:pPr>
        <w:pStyle w:val="ListParagraph"/>
        <w:numPr>
          <w:ilvl w:val="0"/>
          <w:numId w:val="2"/>
        </w:numPr>
        <w:spacing w:after="80" w:line="276"/>
      </w:pPr>
      <w:r>
        <w:rPr>
          <w:rFonts w:ascii="Arial" w:cs="Arial" w:eastAsia="Arial" w:hAnsi="Arial"/>
          <w:b/>
          <w:bCs/>
          <w:color w:val="1E293B"/>
          <w:sz w:val="20"/>
          <w:szCs w:val="20"/>
        </w:rPr>
        <w:t xml:space="preserve">encounters, claims, payments: </w:t>
      </w:r>
      <w:r>
        <w:rPr>
          <w:rFonts w:ascii="Arial" w:cs="Arial" w:eastAsia="Arial" w:hAnsi="Arial"/>
          <w:color w:val="1E293B"/>
          <w:sz w:val="20"/>
          <w:szCs w:val="20"/>
        </w:rPr>
        <w:t xml:space="preserve">All ALLOWED by BIZ-010, but AGGREGATION_ONLY = true. Must use GROUP BY. Denied in SELECT: mrn, full_name, ssn, dob. NL rule: 'Results must be summary-level only. Individual patient records must never appear in results.'</w:t>
      </w:r>
    </w:p>
    <w:p>
      <w:pPr>
        <w:spacing w:after="80"/>
      </w:pPr>
    </w:p>
    <w:p>
      <w:pPr>
        <w:pStyle w:val="Heading2"/>
        <w:spacing w:before="300" w:after="160"/>
      </w:pPr>
      <w:r>
        <w:rPr>
          <w:rFonts w:ascii="Arial" w:cs="Arial" w:eastAsia="Arial" w:hAnsi="Arial"/>
          <w:b/>
          <w:bCs/>
          <w:color w:val="1E293B"/>
          <w:sz w:val="26"/>
          <w:szCs w:val="26"/>
        </w:rPr>
        <w:t xml:space="preserve">Scenario 4: Cross-Domain Join Attempt</w:t>
      </w:r>
    </w:p>
    <w:p>
      <w:pPr>
        <w:spacing w:after="160" w:line="276"/>
      </w:pPr>
      <w:r>
        <w:rPr>
          <w:rFonts w:ascii="Arial" w:cs="Arial" w:eastAsia="Arial" w:hAnsi="Arial"/>
          <w:b/>
          <w:bCs/>
          <w:color w:val="1E293B"/>
          <w:sz w:val="20"/>
          <w:szCs w:val="20"/>
        </w:rPr>
        <w:t xml:space="preserve">User: </w:t>
      </w:r>
      <w:r>
        <w:rPr>
          <w:rFonts w:ascii="Arial" w:cs="Arial" w:eastAsia="Arial" w:hAnsi="Arial"/>
          <w:color w:val="1E293B"/>
          <w:sz w:val="20"/>
          <w:szCs w:val="20"/>
        </w:rPr>
        <w:t xml:space="preserve">Department Head (Clinical)</w:t>
      </w:r>
    </w:p>
    <w:p>
      <w:pPr>
        <w:spacing w:after="160" w:line="276"/>
      </w:pPr>
      <w:r>
        <w:rPr>
          <w:rFonts w:ascii="Arial" w:cs="Arial" w:eastAsia="Arial" w:hAnsi="Arial"/>
          <w:b/>
          <w:bCs/>
          <w:color w:val="1E293B"/>
          <w:sz w:val="20"/>
          <w:szCs w:val="20"/>
        </w:rPr>
        <w:t xml:space="preserve">Question intent: </w:t>
      </w:r>
      <w:r>
        <w:rPr>
          <w:rFonts w:ascii="Arial" w:cs="Arial" w:eastAsia="Arial" w:hAnsi="Arial"/>
          <w:color w:val="1E293B"/>
          <w:sz w:val="20"/>
          <w:szCs w:val="20"/>
        </w:rPr>
        <w:t xml:space="preserve">Correlate patient outcomes with staff assignments</w:t>
      </w:r>
    </w:p>
    <w:p>
      <w:pPr>
        <w:spacing w:after="160" w:line="276"/>
      </w:pPr>
      <w:r>
        <w:rPr>
          <w:rFonts w:ascii="Arial" w:cs="Arial" w:eastAsia="Arial" w:hAnsi="Arial"/>
          <w:b/>
          <w:bCs/>
          <w:color w:val="1E293B"/>
          <w:sz w:val="20"/>
          <w:szCs w:val="20"/>
        </w:rPr>
        <w:t xml:space="preserve">Candidate tables: </w:t>
      </w:r>
      <w:r>
        <w:rPr>
          <w:rFonts w:ascii="Arial" w:cs="Arial" w:eastAsia="Arial" w:hAnsi="Arial"/>
          <w:color w:val="1E293B"/>
          <w:sz w:val="20"/>
          <w:szCs w:val="20"/>
        </w:rPr>
        <w:t xml:space="preserve">[encounters, patient_medical_records, staff_schedules, employees]</w:t>
      </w:r>
    </w:p>
    <w:p>
      <w:pPr>
        <w:spacing w:after="160" w:line="276"/>
      </w:pPr>
      <w:r>
        <w:rPr>
          <w:rFonts w:ascii="Arial" w:cs="Arial" w:eastAsia="Arial" w:hAnsi="Arial"/>
          <w:b/>
          <w:bCs/>
          <w:color w:val="1E293B"/>
          <w:sz w:val="20"/>
          <w:szCs w:val="20"/>
        </w:rPr>
        <w:t xml:space="preserve">Resolution: </w:t>
      </w:r>
      <w:r>
        <w:rPr>
          <w:rFonts w:ascii="Arial" w:cs="Arial" w:eastAsia="Arial" w:hAnsi="Arial"/>
          <w:color w:val="1E293B"/>
          <w:sz w:val="20"/>
          <w:szCs w:val="20"/>
        </w:rPr>
        <w:t xml:space="preserve">SEC-001 (priority 150) fires: Clinical↔HR join restriction. encounters and patient_medical_records are Clinical domain. staff_schedules and employees are HR domain. The join_restrictions array in the Permission Envelope contains: {from_domain: Clinical, to_domain: HR, policy_id: SEC-001, reason: 'Prevents correlation of patient outcomes with staff performance'}. The LLM is instructed: 'Do NOT join clinical tables with HR/employee tables.'</w:t>
      </w:r>
    </w:p>
    <w:p>
      <w:pPr>
        <w:spacing w:after="80"/>
      </w:pPr>
    </w:p>
    <w:p>
      <w:pPr>
        <w:pStyle w:val="Heading2"/>
        <w:spacing w:before="300" w:after="160"/>
      </w:pPr>
      <w:r>
        <w:rPr>
          <w:rFonts w:ascii="Arial" w:cs="Arial" w:eastAsia="Arial" w:hAnsi="Arial"/>
          <w:b/>
          <w:bCs/>
          <w:color w:val="1E293B"/>
          <w:sz w:val="26"/>
          <w:szCs w:val="26"/>
        </w:rPr>
        <w:t xml:space="preserve">Scenario 5: Break-the-Glass Emergency</w:t>
      </w:r>
    </w:p>
    <w:p>
      <w:pPr>
        <w:spacing w:after="160" w:line="276"/>
      </w:pPr>
      <w:r>
        <w:rPr>
          <w:rFonts w:ascii="Arial" w:cs="Arial" w:eastAsia="Arial" w:hAnsi="Arial"/>
          <w:b/>
          <w:bCs/>
          <w:color w:val="1E293B"/>
          <w:sz w:val="20"/>
          <w:szCs w:val="20"/>
        </w:rPr>
        <w:t xml:space="preserve">User: </w:t>
      </w:r>
      <w:r>
        <w:rPr>
          <w:rFonts w:ascii="Arial" w:cs="Arial" w:eastAsia="Arial" w:hAnsi="Arial"/>
          <w:color w:val="1E293B"/>
          <w:sz w:val="20"/>
          <w:szCs w:val="20"/>
        </w:rPr>
        <w:t xml:space="preserve">Dr. Patel (with active BTG token for patient MRN-78234)</w:t>
      </w:r>
    </w:p>
    <w:p>
      <w:pPr>
        <w:spacing w:after="160" w:line="276"/>
      </w:pPr>
      <w:r>
        <w:rPr>
          <w:rFonts w:ascii="Arial" w:cs="Arial" w:eastAsia="Arial" w:hAnsi="Arial"/>
          <w:b/>
          <w:bCs/>
          <w:color w:val="1E293B"/>
          <w:sz w:val="20"/>
          <w:szCs w:val="20"/>
        </w:rPr>
        <w:t xml:space="preserve">Candidate tables: </w:t>
      </w:r>
      <w:r>
        <w:rPr>
          <w:rFonts w:ascii="Arial" w:cs="Arial" w:eastAsia="Arial" w:hAnsi="Arial"/>
          <w:color w:val="1E293B"/>
          <w:sz w:val="20"/>
          <w:szCs w:val="20"/>
        </w:rPr>
        <w:t xml:space="preserve">[encounters, patients, lab_results, prescriptions, mental_health_records, substance_abuse_records]</w:t>
      </w:r>
    </w:p>
    <w:p>
      <w:pPr>
        <w:spacing w:after="160" w:line="276"/>
      </w:pPr>
      <w:r>
        <w:rPr>
          <w:rFonts w:ascii="Arial" w:cs="Arial" w:eastAsia="Arial" w:hAnsi="Arial"/>
          <w:b/>
          <w:bCs/>
          <w:color w:val="1E293B"/>
          <w:sz w:val="20"/>
          <w:szCs w:val="20"/>
        </w:rPr>
        <w:t xml:space="preserve">Resolution:</w:t>
      </w:r>
    </w:p>
    <w:p>
      <w:pPr>
        <w:pStyle w:val="ListParagraph"/>
        <w:numPr>
          <w:ilvl w:val="0"/>
          <w:numId w:val="2"/>
        </w:numPr>
        <w:spacing w:after="80" w:line="276"/>
      </w:pPr>
      <w:r>
        <w:rPr>
          <w:rFonts w:ascii="Arial" w:cs="Arial" w:eastAsia="Arial" w:hAnsi="Arial"/>
          <w:b/>
          <w:bCs/>
          <w:color w:val="1E293B"/>
          <w:sz w:val="20"/>
          <w:szCs w:val="20"/>
        </w:rPr>
        <w:t xml:space="preserve">encounters, patients, lab_results, prescriptions: </w:t>
      </w:r>
      <w:r>
        <w:rPr>
          <w:rFonts w:ascii="Arial" w:cs="Arial" w:eastAsia="Arial" w:hAnsi="Arial"/>
          <w:color w:val="1E293B"/>
          <w:sz w:val="20"/>
          <w:szCs w:val="20"/>
        </w:rPr>
        <w:t xml:space="preserve">All ALLOWED with btg_access=true. Row filters relaxed to mrn = 'MRN-78234' (BTG patient scope). EMERGENCY audit flag set.</w:t>
      </w:r>
    </w:p>
    <w:p>
      <w:pPr>
        <w:pStyle w:val="ListParagraph"/>
        <w:numPr>
          <w:ilvl w:val="0"/>
          <w:numId w:val="2"/>
        </w:numPr>
        <w:spacing w:after="80" w:line="276"/>
      </w:pPr>
      <w:r>
        <w:rPr>
          <w:rFonts w:ascii="Arial" w:cs="Arial" w:eastAsia="Arial" w:hAnsi="Arial"/>
          <w:b/>
          <w:bCs/>
          <w:color w:val="1E293B"/>
          <w:sz w:val="20"/>
          <w:szCs w:val="20"/>
        </w:rPr>
        <w:t xml:space="preserve">mental_health_records: </w:t>
      </w:r>
      <w:r>
        <w:rPr>
          <w:rFonts w:ascii="Arial" w:cs="Arial" w:eastAsia="Arial" w:hAnsi="Arial"/>
          <w:color w:val="1E293B"/>
          <w:sz w:val="20"/>
          <w:szCs w:val="20"/>
        </w:rPr>
        <w:t xml:space="preserve">CONDITIONALLY ALLOWED. BTG overrides the normal DENY (priority 200), but ONLY because Dr. Patel has a clinical credential. btg_access=true, EMERGENCY flag, HIPAA_OFFICER_NOTIFICATION triggered.</w:t>
      </w:r>
    </w:p>
    <w:p>
      <w:pPr>
        <w:pStyle w:val="ListParagraph"/>
        <w:numPr>
          <w:ilvl w:val="0"/>
          <w:numId w:val="2"/>
        </w:numPr>
        <w:spacing w:after="80" w:line="276"/>
      </w:pPr>
      <w:r>
        <w:rPr>
          <w:rFonts w:ascii="Arial" w:cs="Arial" w:eastAsia="Arial" w:hAnsi="Arial"/>
          <w:b/>
          <w:bCs/>
          <w:color w:val="1E293B"/>
          <w:sz w:val="20"/>
          <w:szCs w:val="20"/>
        </w:rPr>
        <w:t xml:space="preserve">substance_abuse_records: </w:t>
      </w:r>
      <w:r>
        <w:rPr>
          <w:rFonts w:ascii="Arial" w:cs="Arial" w:eastAsia="Arial" w:hAnsi="Arial"/>
          <w:color w:val="1E293B"/>
          <w:sz w:val="20"/>
          <w:szCs w:val="20"/>
        </w:rPr>
        <w:t xml:space="preserve">DENIED. FED-001 (42 CFR Part 2) has exception=NONE. BTG cannot override. Federal law. Response: 'Contact Behavioral Health department directly.'</w:t>
      </w:r>
    </w:p>
    <w:p>
      <w:pPr>
        <w:spacing w:after="80"/>
      </w:pPr>
    </w:p>
    <w:p>
      <w:r>
        <w:br w:type="page"/>
      </w:r>
    </w:p>
    <w:p>
      <w:pPr>
        <w:pStyle w:val="Heading1"/>
        <w:spacing w:before="360" w:after="200"/>
      </w:pPr>
      <w:r>
        <w:rPr>
          <w:rFonts w:ascii="Arial" w:cs="Arial" w:eastAsia="Arial" w:hAnsi="Arial"/>
          <w:b/>
          <w:bCs/>
          <w:color w:val="DC2626"/>
          <w:sz w:val="32"/>
          <w:szCs w:val="32"/>
        </w:rPr>
        <w:t xml:space="preserve">13. API Contract</w:t>
      </w:r>
    </w:p>
    <w:p>
      <w:pPr>
        <w:pStyle w:val="Heading2"/>
        <w:spacing w:before="300" w:after="160"/>
      </w:pPr>
      <w:r>
        <w:rPr>
          <w:rFonts w:ascii="Arial" w:cs="Arial" w:eastAsia="Arial" w:hAnsi="Arial"/>
          <w:b/>
          <w:bCs/>
          <w:color w:val="1E293B"/>
          <w:sz w:val="26"/>
          <w:szCs w:val="26"/>
        </w:rPr>
        <w:t xml:space="preserve">13.1 Primary Endpoint</w:t>
      </w:r>
    </w:p>
    <w:p>
      <w:pPr>
        <w:spacing w:after="40"/>
      </w:pPr>
      <w:r>
        <w:rPr>
          <w:rFonts w:ascii="Courier New" w:cs="Courier New" w:eastAsia="Courier New" w:hAnsi="Courier New"/>
          <w:color w:val="DC2626"/>
          <w:sz w:val="18"/>
          <w:szCs w:val="18"/>
        </w:rPr>
        <w:t xml:space="preserve">POST /api/v1/policy/resolve</w:t>
      </w:r>
    </w:p>
    <w:p>
      <w:pPr>
        <w:spacing w:after="160" w:line="276"/>
      </w:pPr>
      <w:r>
        <w:rPr>
          <w:rFonts w:ascii="Arial" w:cs="Arial" w:eastAsia="Arial" w:hAnsi="Arial"/>
          <w:b/>
          <w:bCs/>
          <w:color w:val="1E293B"/>
          <w:sz w:val="20"/>
          <w:szCs w:val="20"/>
        </w:rPr>
        <w:t xml:space="preserve">Description: </w:t>
      </w:r>
      <w:r>
        <w:rPr>
          <w:rFonts w:ascii="Arial" w:cs="Arial" w:eastAsia="Arial" w:hAnsi="Arial"/>
          <w:color w:val="1E293B"/>
          <w:sz w:val="20"/>
          <w:szCs w:val="20"/>
        </w:rPr>
        <w:t xml:space="preserve">Resolves the complete Permission Envelope for a given user + candidate tables.</w:t>
      </w:r>
    </w:p>
    <w:p>
      <w:pPr>
        <w:pStyle w:val="Heading3"/>
        <w:spacing w:before="240" w:after="120"/>
      </w:pPr>
      <w:r>
        <w:rPr>
          <w:rFonts w:ascii="Arial" w:cs="Arial" w:eastAsia="Arial" w:hAnsi="Arial"/>
          <w:b/>
          <w:bCs/>
          <w:color w:val="DC2626"/>
          <w:sz w:val="22"/>
          <w:szCs w:val="22"/>
        </w:rPr>
        <w:t xml:space="preserve">Request Body</w:t>
      </w:r>
    </w:p>
    <w:p>
      <w:pPr>
        <w:spacing w:after="20"/>
      </w:pPr>
      <w:r>
        <w:rPr>
          <w:rFonts w:ascii="Courier New" w:cs="Courier New" w:eastAsia="Courier New" w:hAnsi="Courier New"/>
          <w:color w:val="DC2626"/>
          <w:sz w:val="18"/>
          <w:szCs w:val="18"/>
        </w:rPr>
        <w:t xml:space="preserve">{</w:t>
      </w:r>
    </w:p>
    <w:p>
      <w:pPr>
        <w:spacing w:after="20"/>
      </w:pPr>
      <w:r>
        <w:rPr>
          <w:rFonts w:ascii="Courier New" w:cs="Courier New" w:eastAsia="Courier New" w:hAnsi="Courier New"/>
          <w:color w:val="DC2626"/>
          <w:sz w:val="18"/>
          <w:szCs w:val="18"/>
        </w:rPr>
        <w:t xml:space="preserve">  "request_id": "uuid-v4",</w:t>
      </w:r>
    </w:p>
    <w:p>
      <w:pPr>
        <w:spacing w:after="20"/>
      </w:pPr>
      <w:r>
        <w:rPr>
          <w:rFonts w:ascii="Courier New" w:cs="Courier New" w:eastAsia="Courier New" w:hAnsi="Courier New"/>
          <w:color w:val="DC2626"/>
          <w:sz w:val="18"/>
          <w:szCs w:val="18"/>
        </w:rPr>
        <w:t xml:space="preserve">  "security_context": {</w:t>
      </w:r>
    </w:p>
    <w:p>
      <w:pPr>
        <w:spacing w:after="20"/>
      </w:pPr>
      <w:r>
        <w:rPr>
          <w:rFonts w:ascii="Courier New" w:cs="Courier New" w:eastAsia="Courier New" w:hAnsi="Courier New"/>
          <w:color w:val="DC2626"/>
          <w:sz w:val="18"/>
          <w:szCs w:val="18"/>
        </w:rPr>
        <w:t xml:space="preserve">    "user_id": "USR-4521",</w:t>
      </w:r>
    </w:p>
    <w:p>
      <w:pPr>
        <w:spacing w:after="20"/>
      </w:pPr>
      <w:r>
        <w:rPr>
          <w:rFonts w:ascii="Courier New" w:cs="Courier New" w:eastAsia="Courier New" w:hAnsi="Courier New"/>
          <w:color w:val="DC2626"/>
          <w:sz w:val="18"/>
          <w:szCs w:val="18"/>
        </w:rPr>
        <w:t xml:space="preserve">    "effective_roles": ["Attending_Physician", "Resident_Physician",</w:t>
      </w:r>
    </w:p>
    <w:p>
      <w:pPr>
        <w:spacing w:after="20"/>
      </w:pPr>
      <w:r>
        <w:rPr>
          <w:rFonts w:ascii="Courier New" w:cs="Courier New" w:eastAsia="Courier New" w:hAnsi="Courier New"/>
          <w:color w:val="DC2626"/>
          <w:sz w:val="18"/>
          <w:szCs w:val="18"/>
        </w:rPr>
        <w:t xml:space="preserve">                        "RN", "CNA", "Front_Desk"],</w:t>
      </w:r>
    </w:p>
    <w:p>
      <w:pPr>
        <w:spacing w:after="20"/>
      </w:pPr>
      <w:r>
        <w:rPr>
          <w:rFonts w:ascii="Courier New" w:cs="Courier New" w:eastAsia="Courier New" w:hAnsi="Courier New"/>
          <w:color w:val="DC2626"/>
          <w:sz w:val="18"/>
          <w:szCs w:val="18"/>
        </w:rPr>
        <w:t xml:space="preserve">    "department": "Cardiology",</w:t>
      </w:r>
    </w:p>
    <w:p>
      <w:pPr>
        <w:spacing w:after="20"/>
      </w:pPr>
      <w:r>
        <w:rPr>
          <w:rFonts w:ascii="Courier New" w:cs="Courier New" w:eastAsia="Courier New" w:hAnsi="Courier New"/>
          <w:color w:val="DC2626"/>
          <w:sz w:val="18"/>
          <w:szCs w:val="18"/>
        </w:rPr>
        <w:t xml:space="preserve">    "unit_id": "3B",</w:t>
      </w:r>
    </w:p>
    <w:p>
      <w:pPr>
        <w:spacing w:after="20"/>
      </w:pPr>
      <w:r>
        <w:rPr>
          <w:rFonts w:ascii="Courier New" w:cs="Courier New" w:eastAsia="Courier New" w:hAnsi="Courier New"/>
          <w:color w:val="DC2626"/>
          <w:sz w:val="18"/>
          <w:szCs w:val="18"/>
        </w:rPr>
        <w:t xml:space="preserve">    "provider_id": "DR-4521",</w:t>
      </w:r>
    </w:p>
    <w:p>
      <w:pPr>
        <w:spacing w:after="20"/>
      </w:pPr>
      <w:r>
        <w:rPr>
          <w:rFonts w:ascii="Courier New" w:cs="Courier New" w:eastAsia="Courier New" w:hAnsi="Courier New"/>
          <w:color w:val="DC2626"/>
          <w:sz w:val="18"/>
          <w:szCs w:val="18"/>
        </w:rPr>
        <w:t xml:space="preserve">    "facility_id": "APOLLO-CHN-001",</w:t>
      </w:r>
    </w:p>
    <w:p>
      <w:pPr>
        <w:spacing w:after="20"/>
      </w:pPr>
      <w:r>
        <w:rPr>
          <w:rFonts w:ascii="Courier New" w:cs="Courier New" w:eastAsia="Courier New" w:hAnsi="Courier New"/>
          <w:color w:val="DC2626"/>
          <w:sz w:val="18"/>
          <w:szCs w:val="18"/>
        </w:rPr>
        <w:t xml:space="preserve">    "clearance_level": 4,</w:t>
      </w:r>
    </w:p>
    <w:p>
      <w:pPr>
        <w:spacing w:after="20"/>
      </w:pPr>
      <w:r>
        <w:rPr>
          <w:rFonts w:ascii="Courier New" w:cs="Courier New" w:eastAsia="Courier New" w:hAnsi="Courier New"/>
          <w:color w:val="DC2626"/>
          <w:sz w:val="18"/>
          <w:szCs w:val="18"/>
        </w:rPr>
        <w:t xml:space="preserve">    "btg_token": null</w:t>
      </w:r>
    </w:p>
    <w:p>
      <w:pPr>
        <w:spacing w:after="20"/>
      </w:pPr>
      <w:r>
        <w:rPr>
          <w:rFonts w:ascii="Courier New" w:cs="Courier New" w:eastAsia="Courier New" w:hAnsi="Courier New"/>
          <w:color w:val="DC2626"/>
          <w:sz w:val="18"/>
          <w:szCs w:val="18"/>
        </w:rPr>
        <w:t xml:space="preserve">  },</w:t>
      </w:r>
    </w:p>
    <w:p>
      <w:pPr>
        <w:spacing w:after="20"/>
      </w:pPr>
      <w:r>
        <w:rPr>
          <w:rFonts w:ascii="Courier New" w:cs="Courier New" w:eastAsia="Courier New" w:hAnsi="Courier New"/>
          <w:color w:val="DC2626"/>
          <w:sz w:val="18"/>
          <w:szCs w:val="18"/>
        </w:rPr>
        <w:t xml:space="preserve">  "candidate_table_ids": ["tbl-001", "tbl-002", "tbl-003"],</w:t>
      </w:r>
    </w:p>
    <w:p>
      <w:pPr>
        <w:spacing w:after="20"/>
      </w:pPr>
      <w:r>
        <w:rPr>
          <w:rFonts w:ascii="Courier New" w:cs="Courier New" w:eastAsia="Courier New" w:hAnsi="Courier New"/>
          <w:color w:val="DC2626"/>
          <w:sz w:val="18"/>
          <w:szCs w:val="18"/>
        </w:rPr>
        <w:t xml:space="preserve">  "candidate_domains": ["Clinical", "Billing"]</w:t>
      </w:r>
    </w:p>
    <w:p>
      <w:pPr>
        <w:spacing w:after="80"/>
      </w:pPr>
      <w:r>
        <w:rPr>
          <w:rFonts w:ascii="Courier New" w:cs="Courier New" w:eastAsia="Courier New" w:hAnsi="Courier New"/>
          <w:color w:val="DC2626"/>
          <w:sz w:val="18"/>
          <w:szCs w:val="18"/>
        </w:rPr>
        <w:t xml:space="preserve">}</w:t>
      </w:r>
    </w:p>
    <w:p>
      <w:pPr>
        <w:pStyle w:val="Heading3"/>
        <w:spacing w:before="240" w:after="120"/>
      </w:pPr>
      <w:r>
        <w:rPr>
          <w:rFonts w:ascii="Arial" w:cs="Arial" w:eastAsia="Arial" w:hAnsi="Arial"/>
          <w:b/>
          <w:bCs/>
          <w:color w:val="DC2626"/>
          <w:sz w:val="22"/>
          <w:szCs w:val="22"/>
        </w:rPr>
        <w:t xml:space="preserve">Response Body (200 OK)</w:t>
      </w:r>
    </w:p>
    <w:p>
      <w:pPr>
        <w:spacing w:after="160" w:line="276"/>
      </w:pPr>
      <w:r>
        <w:rPr>
          <w:rFonts w:ascii="Arial" w:cs="Arial" w:eastAsia="Arial" w:hAnsi="Arial"/>
          <w:color w:val="1E293B"/>
          <w:sz w:val="20"/>
          <w:szCs w:val="20"/>
        </w:rPr>
        <w:t xml:space="preserve">Returns the full PermissionEnvelope object as defined in Section 9.2.</w:t>
      </w:r>
    </w:p>
    <w:p>
      <w:pPr>
        <w:pStyle w:val="Heading3"/>
        <w:spacing w:before="240" w:after="120"/>
      </w:pPr>
      <w:r>
        <w:rPr>
          <w:rFonts w:ascii="Arial" w:cs="Arial" w:eastAsia="Arial" w:hAnsi="Arial"/>
          <w:b/>
          <w:bCs/>
          <w:color w:val="DC2626"/>
          <w:sz w:val="22"/>
          <w:szCs w:val="22"/>
        </w:rPr>
        <w:t xml:space="preserve">Error Responses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200"/>
        <w:gridCol w:w="5160"/>
      </w:tblGrid>
      <w:tr>
        <w:tc>
          <w:tcPr>
            <w:tcW w:type="dxa" w:w="1000"/>
            <w:tcBorders>
              <w:top w:val="single" w:color="CBD5E1" w:sz="1"/>
              <w:left w:val="single" w:color="CBD5E1" w:sz="1"/>
              <w:bottom w:val="single" w:color="CBD5E1" w:sz="1"/>
              <w:right w:val="single" w:color="CBD5E1" w:sz="1"/>
            </w:tcBorders>
            <w:shd w:fill="DC2626"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3200"/>
            <w:tcBorders>
              <w:top w:val="single" w:color="CBD5E1" w:sz="1"/>
              <w:left w:val="single" w:color="CBD5E1" w:sz="1"/>
              <w:bottom w:val="single" w:color="CBD5E1" w:sz="1"/>
              <w:right w:val="single" w:color="CBD5E1" w:sz="1"/>
            </w:tcBorders>
            <w:shd w:fill="DC2626" w:val="clear"/>
            <w:tcMar>
              <w:top w:type="dxa" w:w="80"/>
              <w:left w:type="dxa" w:w="120"/>
              <w:bottom w:type="dxa" w:w="80"/>
              <w:right w:type="dxa" w:w="120"/>
            </w:tcMar>
          </w:tcPr>
          <w:p>
            <w:r>
              <w:rPr>
                <w:rFonts w:ascii="Arial" w:cs="Arial" w:eastAsia="Arial" w:hAnsi="Arial"/>
                <w:b/>
                <w:bCs/>
                <w:color w:val="FFFFFF"/>
                <w:sz w:val="20"/>
                <w:szCs w:val="20"/>
              </w:rPr>
              <w:t xml:space="preserve">Code</w:t>
            </w:r>
          </w:p>
        </w:tc>
        <w:tc>
          <w:tcPr>
            <w:tcW w:type="dxa" w:w="5160"/>
            <w:tcBorders>
              <w:top w:val="single" w:color="CBD5E1" w:sz="1"/>
              <w:left w:val="single" w:color="CBD5E1" w:sz="1"/>
              <w:bottom w:val="single" w:color="CBD5E1" w:sz="1"/>
              <w:right w:val="single" w:color="CBD5E1" w:sz="1"/>
            </w:tcBorders>
            <w:shd w:fill="DC2626"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1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400</w:t>
            </w:r>
          </w:p>
        </w:tc>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INVALID_REQUEST</w:t>
            </w:r>
          </w:p>
        </w:tc>
        <w:tc>
          <w:tcPr>
            <w:tcW w:type="dxa" w:w="5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Missing or malformed candidate_table_ids, effective_roles, or security_context</w:t>
            </w:r>
          </w:p>
        </w:tc>
      </w:tr>
      <w:tr>
        <w:tc>
          <w:tcPr>
            <w:tcW w:type="dxa" w:w="10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76"/>
            </w:pPr>
            <w:r>
              <w:rPr>
                <w:rFonts w:ascii="Arial" w:cs="Arial" w:eastAsia="Arial" w:hAnsi="Arial"/>
                <w:color w:val="1E293B"/>
                <w:sz w:val="20"/>
                <w:szCs w:val="20"/>
              </w:rPr>
              <w:t xml:space="preserve">401</w:t>
            </w:r>
          </w:p>
        </w:tc>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76"/>
            </w:pPr>
            <w:r>
              <w:rPr>
                <w:rFonts w:ascii="Arial" w:cs="Arial" w:eastAsia="Arial" w:hAnsi="Arial"/>
                <w:color w:val="1E293B"/>
                <w:sz w:val="20"/>
                <w:szCs w:val="20"/>
              </w:rPr>
              <w:t xml:space="preserve">INVALID_SECURITY_CONTEXT</w:t>
            </w:r>
          </w:p>
        </w:tc>
        <w:tc>
          <w:tcPr>
            <w:tcW w:type="dxa" w:w="51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76"/>
            </w:pPr>
            <w:r>
              <w:rPr>
                <w:rFonts w:ascii="Arial" w:cs="Arial" w:eastAsia="Arial" w:hAnsi="Arial"/>
                <w:color w:val="1E293B"/>
                <w:sz w:val="20"/>
                <w:szCs w:val="20"/>
              </w:rPr>
              <w:t xml:space="preserve">SecurityContext signature invalid or expired</w:t>
            </w:r>
          </w:p>
        </w:tc>
      </w:tr>
      <w:tr>
        <w:tc>
          <w:tcPr>
            <w:tcW w:type="dxa" w:w="1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500</w:t>
            </w:r>
          </w:p>
        </w:tc>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POLICY_GRAPH_UNAVAILABLE</w:t>
            </w:r>
          </w:p>
        </w:tc>
        <w:tc>
          <w:tcPr>
            <w:tcW w:type="dxa" w:w="5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Neo4j is unreachable. Cannot resolve policies. Returns 503 with retry-after.</w:t>
            </w:r>
          </w:p>
        </w:tc>
      </w:tr>
      <w:tr>
        <w:tc>
          <w:tcPr>
            <w:tcW w:type="dxa" w:w="10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76"/>
            </w:pPr>
            <w:r>
              <w:rPr>
                <w:rFonts w:ascii="Arial" w:cs="Arial" w:eastAsia="Arial" w:hAnsi="Arial"/>
                <w:color w:val="1E293B"/>
                <w:sz w:val="20"/>
                <w:szCs w:val="20"/>
              </w:rPr>
              <w:t xml:space="preserve">500</w:t>
            </w:r>
          </w:p>
        </w:tc>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76"/>
            </w:pPr>
            <w:r>
              <w:rPr>
                <w:rFonts w:ascii="Arial" w:cs="Arial" w:eastAsia="Arial" w:hAnsi="Arial"/>
                <w:color w:val="1E293B"/>
                <w:sz w:val="20"/>
                <w:szCs w:val="20"/>
              </w:rPr>
              <w:t xml:space="preserve">RESOLUTION_ERROR</w:t>
            </w:r>
          </w:p>
        </w:tc>
        <w:tc>
          <w:tcPr>
            <w:tcW w:type="dxa" w:w="51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76"/>
            </w:pPr>
            <w:r>
              <w:rPr>
                <w:rFonts w:ascii="Arial" w:cs="Arial" w:eastAsia="Arial" w:hAnsi="Arial"/>
                <w:color w:val="1E293B"/>
                <w:sz w:val="20"/>
                <w:szCs w:val="20"/>
              </w:rPr>
              <w:t xml:space="preserve">Unexpected error during conflict resolution (e.g., malformed structured_rule JSON). Fail-secure: return DENY-all envelope.</w:t>
            </w:r>
          </w:p>
        </w:tc>
      </w:tr>
    </w:tbl>
    <w:p>
      <w:pPr>
        <w:pStyle w:val="Heading2"/>
        <w:spacing w:before="300" w:after="160"/>
      </w:pPr>
      <w:r>
        <w:rPr>
          <w:rFonts w:ascii="Arial" w:cs="Arial" w:eastAsia="Arial" w:hAnsi="Arial"/>
          <w:b/>
          <w:bCs/>
          <w:color w:val="1E293B"/>
          <w:sz w:val="26"/>
          <w:szCs w:val="26"/>
        </w:rPr>
        <w:t xml:space="preserve">13.2 Supporting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960"/>
      </w:tblGrid>
      <w:tr>
        <w:tc>
          <w:tcPr>
            <w:tcW w:type="dxa" w:w="3200"/>
            <w:tcBorders>
              <w:top w:val="single" w:color="CBD5E1" w:sz="1"/>
              <w:left w:val="single" w:color="CBD5E1" w:sz="1"/>
              <w:bottom w:val="single" w:color="CBD5E1" w:sz="1"/>
              <w:right w:val="single" w:color="CBD5E1" w:sz="1"/>
            </w:tcBorders>
            <w:shd w:fill="DC2626"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1200"/>
            <w:tcBorders>
              <w:top w:val="single" w:color="CBD5E1" w:sz="1"/>
              <w:left w:val="single" w:color="CBD5E1" w:sz="1"/>
              <w:bottom w:val="single" w:color="CBD5E1" w:sz="1"/>
              <w:right w:val="single" w:color="CBD5E1" w:sz="1"/>
            </w:tcBorders>
            <w:shd w:fill="DC2626"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4960"/>
            <w:tcBorders>
              <w:top w:val="single" w:color="CBD5E1" w:sz="1"/>
              <w:left w:val="single" w:color="CBD5E1" w:sz="1"/>
              <w:bottom w:val="single" w:color="CBD5E1" w:sz="1"/>
              <w:right w:val="single" w:color="CBD5E1" w:sz="1"/>
            </w:tcBorders>
            <w:shd w:fill="DC2626"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/api/v1/policy/health</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GET</w:t>
            </w:r>
          </w:p>
        </w:tc>
        <w:tc>
          <w:tcPr>
            <w:tcW w:type="dxa" w:w="4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Health check. Returns Neo4j connectivity, signing key status, cache state.</w:t>
            </w:r>
          </w:p>
        </w:tc>
      </w:tr>
      <w:tr>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76"/>
            </w:pPr>
            <w:r>
              <w:rPr>
                <w:rFonts w:ascii="Arial" w:cs="Arial" w:eastAsia="Arial" w:hAnsi="Arial"/>
                <w:color w:val="1E293B"/>
                <w:sz w:val="20"/>
                <w:szCs w:val="20"/>
              </w:rPr>
              <w:t xml:space="preserve">/api/v1/policy/explain</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76"/>
            </w:pPr>
            <w:r>
              <w:rPr>
                <w:rFonts w:ascii="Arial" w:cs="Arial" w:eastAsia="Arial" w:hAnsi="Arial"/>
                <w:color w:val="1E293B"/>
                <w:sz w:val="20"/>
                <w:szCs w:val="20"/>
              </w:rPr>
              <w:t xml:space="preserve">POST</w:t>
            </w:r>
          </w:p>
        </w:tc>
        <w:tc>
          <w:tcPr>
            <w:tcW w:type="dxa" w:w="49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76"/>
            </w:pPr>
            <w:r>
              <w:rPr>
                <w:rFonts w:ascii="Arial" w:cs="Arial" w:eastAsia="Arial" w:hAnsi="Arial"/>
                <w:color w:val="1E293B"/>
                <w:sz w:val="20"/>
                <w:szCs w:val="20"/>
              </w:rPr>
              <w:t xml:space="preserve">Debug endpoint (ADMIN ONLY). Same input as /resolve but returns full resolution trace: all policies considered, conflict resolution steps, and why each decision was made.</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/api/v1/policy/simulate</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POST</w:t>
            </w:r>
          </w:p>
        </w:tc>
        <w:tc>
          <w:tcPr>
            <w:tcW w:type="dxa" w:w="4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Simulation endpoint (ADMIN ONLY). Tests 'what-if' scenarios: given a hypothetical user + tables, what would the envelope look like? Used for policy change impact assessment.</w:t>
            </w:r>
          </w:p>
        </w:tc>
      </w:tr>
      <w:tr>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76"/>
            </w:pPr>
            <w:r>
              <w:rPr>
                <w:rFonts w:ascii="Arial" w:cs="Arial" w:eastAsia="Arial" w:hAnsi="Arial"/>
                <w:color w:val="1E293B"/>
                <w:sz w:val="20"/>
                <w:szCs w:val="20"/>
              </w:rPr>
              <w:t xml:space="preserve">/api/v1/policy/cache/clear</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76"/>
            </w:pPr>
            <w:r>
              <w:rPr>
                <w:rFonts w:ascii="Arial" w:cs="Arial" w:eastAsia="Arial" w:hAnsi="Arial"/>
                <w:color w:val="1E293B"/>
                <w:sz w:val="20"/>
                <w:szCs w:val="20"/>
              </w:rPr>
              <w:t xml:space="preserve">POST</w:t>
            </w:r>
          </w:p>
        </w:tc>
        <w:tc>
          <w:tcPr>
            <w:tcW w:type="dxa" w:w="49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76"/>
            </w:pPr>
            <w:r>
              <w:rPr>
                <w:rFonts w:ascii="Arial" w:cs="Arial" w:eastAsia="Arial" w:hAnsi="Arial"/>
                <w:color w:val="1E293B"/>
                <w:sz w:val="20"/>
                <w:szCs w:val="20"/>
              </w:rPr>
              <w:t xml:space="preserve">Clear role-policy cache. Used after policy changes in Neo4j.</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/api/v1/policy/stats</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GET</w:t>
            </w:r>
          </w:p>
        </w:tc>
        <w:tc>
          <w:tcPr>
            <w:tcW w:type="dxa" w:w="4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Resolution statistics: avg latency, policies evaluated per request, denial rates by role, most-triggered policies.</w:t>
            </w:r>
          </w:p>
        </w:tc>
      </w:tr>
    </w:tbl>
    <w:p>
      <w:pPr>
        <w:spacing w:after="80"/>
      </w:pPr>
    </w:p>
    <w:p>
      <w:r>
        <w:br w:type="page"/>
      </w:r>
    </w:p>
    <w:p>
      <w:pPr>
        <w:pStyle w:val="Heading1"/>
        <w:spacing w:before="360" w:after="200"/>
      </w:pPr>
      <w:r>
        <w:rPr>
          <w:rFonts w:ascii="Arial" w:cs="Arial" w:eastAsia="Arial" w:hAnsi="Arial"/>
          <w:b/>
          <w:bCs/>
          <w:color w:val="DC2626"/>
          <w:sz w:val="32"/>
          <w:szCs w:val="32"/>
        </w:rPr>
        <w:t xml:space="preserve">14. Data Flow</w:t>
      </w:r>
    </w:p>
    <w:p>
      <w:pPr>
        <w:pStyle w:val="Heading2"/>
        <w:spacing w:before="300" w:after="160"/>
      </w:pPr>
      <w:r>
        <w:rPr>
          <w:rFonts w:ascii="Arial" w:cs="Arial" w:eastAsia="Arial" w:hAnsi="Arial"/>
          <w:b/>
          <w:bCs/>
          <w:color w:val="1E293B"/>
          <w:sz w:val="26"/>
          <w:szCs w:val="26"/>
        </w:rPr>
        <w:t xml:space="preserve">14.1 Request Processing Pipeline (8 Steps)</w:t>
      </w:r>
    </w:p>
    <w:p>
      <w:pPr>
        <w:pStyle w:val="ListParagraph"/>
        <w:numPr>
          <w:ilvl w:val="0"/>
          <w:numId w:val="5"/>
        </w:numPr>
        <w:spacing w:after="80" w:line="276"/>
      </w:pPr>
      <w:r>
        <w:rPr>
          <w:rFonts w:ascii="Arial" w:cs="Arial" w:eastAsia="Arial" w:hAnsi="Arial"/>
          <w:b/>
          <w:bCs/>
          <w:color w:val="1E293B"/>
          <w:sz w:val="20"/>
          <w:szCs w:val="20"/>
        </w:rPr>
        <w:t xml:space="preserve">Receive resolution request: </w:t>
      </w:r>
      <w:r>
        <w:rPr>
          <w:rFonts w:ascii="Arial" w:cs="Arial" w:eastAsia="Arial" w:hAnsi="Arial"/>
          <w:color w:val="1E293B"/>
          <w:sz w:val="20"/>
          <w:szCs w:val="20"/>
        </w:rPr>
        <w:t xml:space="preserve">L3 (Retrieval Layer) calls POST /api/v1/policy/resolve with SecurityContext + candidate table IDs.</w:t>
      </w:r>
    </w:p>
    <w:p>
      <w:pPr>
        <w:pStyle w:val="ListParagraph"/>
        <w:numPr>
          <w:ilvl w:val="0"/>
          <w:numId w:val="5"/>
        </w:numPr>
        <w:spacing w:after="80" w:line="276"/>
      </w:pPr>
      <w:r>
        <w:rPr>
          <w:rFonts w:ascii="Arial" w:cs="Arial" w:eastAsia="Arial" w:hAnsi="Arial"/>
          <w:b/>
          <w:bCs/>
          <w:color w:val="1E293B"/>
          <w:sz w:val="20"/>
          <w:szCs w:val="20"/>
        </w:rPr>
        <w:t xml:space="preserve">Validate security context: </w:t>
      </w:r>
      <w:r>
        <w:rPr>
          <w:rFonts w:ascii="Arial" w:cs="Arial" w:eastAsia="Arial" w:hAnsi="Arial"/>
          <w:color w:val="1E293B"/>
          <w:sz w:val="20"/>
          <w:szCs w:val="20"/>
        </w:rPr>
        <w:t xml:space="preserve">Verify HMAC-SHA256 signature on SecurityContext. Check expiry. Extract effective_roles, provider_id, unit_id, clearance_level, btg_token.</w:t>
      </w:r>
    </w:p>
    <w:p>
      <w:pPr>
        <w:pStyle w:val="ListParagraph"/>
        <w:numPr>
          <w:ilvl w:val="0"/>
          <w:numId w:val="5"/>
        </w:numPr>
        <w:spacing w:after="80" w:line="276"/>
      </w:pPr>
      <w:r>
        <w:rPr>
          <w:rFonts w:ascii="Arial" w:cs="Arial" w:eastAsia="Arial" w:hAnsi="Arial"/>
          <w:b/>
          <w:bCs/>
          <w:color w:val="1E293B"/>
          <w:sz w:val="20"/>
          <w:szCs w:val="20"/>
        </w:rPr>
        <w:t xml:space="preserve">Collect effective policies: </w:t>
      </w:r>
      <w:r>
        <w:rPr>
          <w:rFonts w:ascii="Arial" w:cs="Arial" w:eastAsia="Arial" w:hAnsi="Arial"/>
          <w:color w:val="1E293B"/>
          <w:sz w:val="20"/>
          <w:szCs w:val="20"/>
        </w:rPr>
        <w:t xml:space="preserve">Execute Cypher query against Neo4j. Traverse role hierarchy. Collect all policies targeting candidate tables, their domains, and their regulatory tags. Return PolicySet (10–25 policies typically).</w:t>
      </w:r>
    </w:p>
    <w:p>
      <w:pPr>
        <w:pStyle w:val="ListParagraph"/>
        <w:numPr>
          <w:ilvl w:val="0"/>
          <w:numId w:val="5"/>
        </w:numPr>
        <w:spacing w:after="80" w:line="276"/>
      </w:pPr>
      <w:r>
        <w:rPr>
          <w:rFonts w:ascii="Arial" w:cs="Arial" w:eastAsia="Arial" w:hAnsi="Arial"/>
          <w:b/>
          <w:bCs/>
          <w:color w:val="1E293B"/>
          <w:sz w:val="20"/>
          <w:szCs w:val="20"/>
        </w:rPr>
        <w:t xml:space="preserve">Resolve conflicts per table: </w:t>
      </w:r>
      <w:r>
        <w:rPr>
          <w:rFonts w:ascii="Arial" w:cs="Arial" w:eastAsia="Arial" w:hAnsi="Arial"/>
          <w:color w:val="1E293B"/>
          <w:sz w:val="20"/>
          <w:szCs w:val="20"/>
        </w:rPr>
        <w:t xml:space="preserve">For each candidate table, apply the 4-rule conflict resolution algorithm. Determine ALLOW/DENY. For ALLOWED tables, resolve column-level access. Check BTG overrides.</w:t>
      </w:r>
    </w:p>
    <w:p>
      <w:pPr>
        <w:pStyle w:val="ListParagraph"/>
        <w:numPr>
          <w:ilvl w:val="0"/>
          <w:numId w:val="5"/>
        </w:numPr>
        <w:spacing w:after="80" w:line="276"/>
      </w:pPr>
      <w:r>
        <w:rPr>
          <w:rFonts w:ascii="Arial" w:cs="Arial" w:eastAsia="Arial" w:hAnsi="Arial"/>
          <w:b/>
          <w:bCs/>
          <w:color w:val="1E293B"/>
          <w:sz w:val="20"/>
          <w:szCs w:val="20"/>
        </w:rPr>
        <w:t xml:space="preserve">Aggregate conditions: </w:t>
      </w:r>
      <w:r>
        <w:rPr>
          <w:rFonts w:ascii="Arial" w:cs="Arial" w:eastAsia="Arial" w:hAnsi="Arial"/>
          <w:color w:val="1E293B"/>
          <w:sz w:val="20"/>
          <w:szCs w:val="20"/>
        </w:rPr>
        <w:t xml:space="preserve">Collect row filters, aggregation requirements, join restrictions, max_rows, and masking rules from all applicable policies. Resolve filter variable templates with SecurityContext values.</w:t>
      </w:r>
    </w:p>
    <w:p>
      <w:pPr>
        <w:pStyle w:val="ListParagraph"/>
        <w:numPr>
          <w:ilvl w:val="0"/>
          <w:numId w:val="5"/>
        </w:numPr>
        <w:spacing w:after="80" w:line="276"/>
      </w:pPr>
      <w:r>
        <w:rPr>
          <w:rFonts w:ascii="Arial" w:cs="Arial" w:eastAsia="Arial" w:hAnsi="Arial"/>
          <w:b/>
          <w:bCs/>
          <w:color w:val="1E293B"/>
          <w:sz w:val="20"/>
          <w:szCs w:val="20"/>
        </w:rPr>
        <w:t xml:space="preserve">Generate NL rules: </w:t>
      </w:r>
      <w:r>
        <w:rPr>
          <w:rFonts w:ascii="Arial" w:cs="Arial" w:eastAsia="Arial" w:hAnsi="Arial"/>
          <w:color w:val="1E293B"/>
          <w:sz w:val="20"/>
          <w:szCs w:val="20"/>
        </w:rPr>
        <w:t xml:space="preserve">Convert machine-readable decisions into human-readable natural language rules for LLM prompt injection. One rule per significant constraint.</w:t>
      </w:r>
    </w:p>
    <w:p>
      <w:pPr>
        <w:pStyle w:val="ListParagraph"/>
        <w:numPr>
          <w:ilvl w:val="0"/>
          <w:numId w:val="5"/>
        </w:numPr>
        <w:spacing w:after="80" w:line="276"/>
      </w:pPr>
      <w:r>
        <w:rPr>
          <w:rFonts w:ascii="Arial" w:cs="Arial" w:eastAsia="Arial" w:hAnsi="Arial"/>
          <w:b/>
          <w:bCs/>
          <w:color w:val="1E293B"/>
          <w:sz w:val="20"/>
          <w:szCs w:val="20"/>
        </w:rPr>
        <w:t xml:space="preserve">Build Permission Envelope: </w:t>
      </w:r>
      <w:r>
        <w:rPr>
          <w:rFonts w:ascii="Arial" w:cs="Arial" w:eastAsia="Arial" w:hAnsi="Arial"/>
          <w:color w:val="1E293B"/>
          <w:sz w:val="20"/>
          <w:szCs w:val="20"/>
        </w:rPr>
        <w:t xml:space="preserve">Package all decisions, conditions, NL rules, and metadata into the PermissionEnvelope structure. Compute HMAC-SHA256 signature. Set 60-second expiry.</w:t>
      </w:r>
    </w:p>
    <w:p>
      <w:pPr>
        <w:pStyle w:val="ListParagraph"/>
        <w:numPr>
          <w:ilvl w:val="0"/>
          <w:numId w:val="5"/>
        </w:numPr>
        <w:spacing w:after="80" w:line="276"/>
      </w:pPr>
      <w:r>
        <w:rPr>
          <w:rFonts w:ascii="Arial" w:cs="Arial" w:eastAsia="Arial" w:hAnsi="Arial"/>
          <w:b/>
          <w:bCs/>
          <w:color w:val="1E293B"/>
          <w:sz w:val="20"/>
          <w:szCs w:val="20"/>
        </w:rPr>
        <w:t xml:space="preserve">Return to caller: </w:t>
      </w:r>
      <w:r>
        <w:rPr>
          <w:rFonts w:ascii="Arial" w:cs="Arial" w:eastAsia="Arial" w:hAnsi="Arial"/>
          <w:color w:val="1E293B"/>
          <w:sz w:val="20"/>
          <w:szCs w:val="20"/>
        </w:rPr>
        <w:t xml:space="preserve">Return signed PermissionEnvelope to L3. Log resolution metrics (latency, policies evaluated, tables allowed/denied) to audit system.</w:t>
      </w:r>
    </w:p>
    <w:p>
      <w:pPr>
        <w:spacing w:after="80"/>
      </w:pPr>
    </w:p>
    <w:p>
      <w:r>
        <w:br w:type="page"/>
      </w:r>
    </w:p>
    <w:p>
      <w:pPr>
        <w:pStyle w:val="Heading1"/>
        <w:spacing w:before="360" w:after="200"/>
      </w:pPr>
      <w:r>
        <w:rPr>
          <w:rFonts w:ascii="Arial" w:cs="Arial" w:eastAsia="Arial" w:hAnsi="Arial"/>
          <w:b/>
          <w:bCs/>
          <w:color w:val="DC2626"/>
          <w:sz w:val="32"/>
          <w:szCs w:val="32"/>
        </w:rPr>
        <w:t xml:space="preserve">15. Deterministic Resolution Algorithm</w:t>
      </w:r>
    </w:p>
    <w:p>
      <w:pPr>
        <w:pStyle w:val="Heading2"/>
        <w:spacing w:before="300" w:after="160"/>
      </w:pPr>
      <w:r>
        <w:rPr>
          <w:rFonts w:ascii="Arial" w:cs="Arial" w:eastAsia="Arial" w:hAnsi="Arial"/>
          <w:b/>
          <w:bCs/>
          <w:color w:val="1E293B"/>
          <w:sz w:val="26"/>
          <w:szCs w:val="26"/>
        </w:rPr>
        <w:t xml:space="preserve">15.1 Formal Algorithm Specification</w:t>
      </w:r>
    </w:p>
    <w:p>
      <w:pPr>
        <w:spacing w:after="160" w:line="276"/>
      </w:pPr>
      <w:r>
        <w:rPr>
          <w:rFonts w:ascii="Arial" w:cs="Arial" w:eastAsia="Arial" w:hAnsi="Arial"/>
          <w:color w:val="1E293B"/>
          <w:sz w:val="20"/>
          <w:szCs w:val="20"/>
        </w:rPr>
        <w:t xml:space="preserve">The resolution algorithm guarantees that for any given input (SecurityContext, candidate_tables, policy_graph_state), the output PermissionEnvelope is identical. This section specifies the algorithm formally for audit and compliance documentation.</w:t>
      </w:r>
    </w:p>
    <w:p>
      <w:pPr>
        <w:pStyle w:val="Heading2"/>
        <w:spacing w:before="300" w:after="160"/>
      </w:pPr>
      <w:r>
        <w:rPr>
          <w:rFonts w:ascii="Arial" w:cs="Arial" w:eastAsia="Arial" w:hAnsi="Arial"/>
          <w:b/>
          <w:bCs/>
          <w:color w:val="1E293B"/>
          <w:sz w:val="26"/>
          <w:szCs w:val="26"/>
        </w:rPr>
        <w:t xml:space="preserve">15.2 Input Normalization</w:t>
      </w:r>
    </w:p>
    <w:p>
      <w:pPr>
        <w:pStyle w:val="ListParagraph"/>
        <w:numPr>
          <w:ilvl w:val="0"/>
          <w:numId w:val="2"/>
        </w:numPr>
        <w:spacing w:after="80" w:line="276"/>
      </w:pPr>
      <w:r>
        <w:rPr>
          <w:rFonts w:ascii="Arial" w:cs="Arial" w:eastAsia="Arial" w:hAnsi="Arial"/>
          <w:b/>
          <w:bCs/>
          <w:color w:val="1E293B"/>
          <w:sz w:val="20"/>
          <w:szCs w:val="20"/>
        </w:rPr>
        <w:t xml:space="preserve">Role deduplication: </w:t>
      </w:r>
      <w:r>
        <w:rPr>
          <w:rFonts w:ascii="Arial" w:cs="Arial" w:eastAsia="Arial" w:hAnsi="Arial"/>
          <w:color w:val="1E293B"/>
          <w:sz w:val="20"/>
          <w:szCs w:val="20"/>
        </w:rPr>
        <w:t xml:space="preserve">effective_roles[] is sorted alphabetically and deduplicated before processing. This ensures that role order does not affect the result.</w:t>
      </w:r>
    </w:p>
    <w:p>
      <w:pPr>
        <w:pStyle w:val="ListParagraph"/>
        <w:numPr>
          <w:ilvl w:val="0"/>
          <w:numId w:val="2"/>
        </w:numPr>
        <w:spacing w:after="80" w:line="276"/>
      </w:pPr>
      <w:r>
        <w:rPr>
          <w:rFonts w:ascii="Arial" w:cs="Arial" w:eastAsia="Arial" w:hAnsi="Arial"/>
          <w:b/>
          <w:bCs/>
          <w:color w:val="1E293B"/>
          <w:sz w:val="20"/>
          <w:szCs w:val="20"/>
        </w:rPr>
        <w:t xml:space="preserve">Table ordering: </w:t>
      </w:r>
      <w:r>
        <w:rPr>
          <w:rFonts w:ascii="Arial" w:cs="Arial" w:eastAsia="Arial" w:hAnsi="Arial"/>
          <w:color w:val="1E293B"/>
          <w:sz w:val="20"/>
          <w:szCs w:val="20"/>
        </w:rPr>
        <w:t xml:space="preserve">candidate_table_ids[] is sorted by table_id UUID. Resolution processes tables in this deterministic order.</w:t>
      </w:r>
    </w:p>
    <w:p>
      <w:pPr>
        <w:pStyle w:val="ListParagraph"/>
        <w:numPr>
          <w:ilvl w:val="0"/>
          <w:numId w:val="2"/>
        </w:numPr>
        <w:spacing w:after="80" w:line="276"/>
      </w:pPr>
      <w:r>
        <w:rPr>
          <w:rFonts w:ascii="Arial" w:cs="Arial" w:eastAsia="Arial" w:hAnsi="Arial"/>
          <w:b/>
          <w:bCs/>
          <w:color w:val="1E293B"/>
          <w:sz w:val="20"/>
          <w:szCs w:val="20"/>
        </w:rPr>
        <w:t xml:space="preserve">Policy ordering: </w:t>
      </w:r>
      <w:r>
        <w:rPr>
          <w:rFonts w:ascii="Arial" w:cs="Arial" w:eastAsia="Arial" w:hAnsi="Arial"/>
          <w:color w:val="1E293B"/>
          <w:sz w:val="20"/>
          <w:szCs w:val="20"/>
        </w:rPr>
        <w:t xml:space="preserve">Collected policies are sorted by (priority DESC, policy_id ASC). When two policies have the same priority, the lexicographically first policy_id wins. This eliminates any non-determinism.</w:t>
      </w:r>
    </w:p>
    <w:p>
      <w:pPr>
        <w:pStyle w:val="Heading2"/>
        <w:spacing w:before="300" w:after="160"/>
      </w:pPr>
      <w:r>
        <w:rPr>
          <w:rFonts w:ascii="Arial" w:cs="Arial" w:eastAsia="Arial" w:hAnsi="Arial"/>
          <w:b/>
          <w:bCs/>
          <w:color w:val="1E293B"/>
          <w:sz w:val="26"/>
          <w:szCs w:val="26"/>
        </w:rPr>
        <w:t xml:space="preserve">15.3 Conflict Resolution Truth Table</w:t>
      </w:r>
    </w:p>
    <w:p>
      <w:pPr>
        <w:spacing w:after="160" w:line="276"/>
      </w:pPr>
      <w:r>
        <w:rPr>
          <w:rFonts w:ascii="Arial" w:cs="Arial" w:eastAsia="Arial" w:hAnsi="Arial"/>
          <w:color w:val="1E293B"/>
          <w:sz w:val="20"/>
          <w:szCs w:val="20"/>
        </w:rPr>
        <w:t xml:space="preserve">The following truth table shows the resolution outcome for every combination of inputs: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600"/>
        <w:gridCol w:w="2000"/>
        <w:gridCol w:w="2560"/>
      </w:tblGrid>
      <w:tr>
        <w:tc>
          <w:tcPr>
            <w:tcW w:type="dxa" w:w="1600"/>
            <w:tcBorders>
              <w:top w:val="single" w:color="CBD5E1" w:sz="1"/>
              <w:left w:val="single" w:color="CBD5E1" w:sz="1"/>
              <w:bottom w:val="single" w:color="CBD5E1" w:sz="1"/>
              <w:right w:val="single" w:color="CBD5E1" w:sz="1"/>
            </w:tcBorders>
            <w:shd w:fill="DC2626" w:val="clear"/>
            <w:tcMar>
              <w:top w:type="dxa" w:w="80"/>
              <w:left w:type="dxa" w:w="120"/>
              <w:bottom w:type="dxa" w:w="80"/>
              <w:right w:type="dxa" w:w="120"/>
            </w:tcMar>
          </w:tcPr>
          <w:p>
            <w:r>
              <w:rPr>
                <w:rFonts w:ascii="Arial" w:cs="Arial" w:eastAsia="Arial" w:hAnsi="Arial"/>
                <w:b/>
                <w:bCs/>
                <w:color w:val="FFFFFF"/>
                <w:sz w:val="20"/>
                <w:szCs w:val="20"/>
              </w:rPr>
              <w:t xml:space="preserve">ALLOW Present?</w:t>
            </w:r>
          </w:p>
        </w:tc>
        <w:tc>
          <w:tcPr>
            <w:tcW w:type="dxa" w:w="1600"/>
            <w:tcBorders>
              <w:top w:val="single" w:color="CBD5E1" w:sz="1"/>
              <w:left w:val="single" w:color="CBD5E1" w:sz="1"/>
              <w:bottom w:val="single" w:color="CBD5E1" w:sz="1"/>
              <w:right w:val="single" w:color="CBD5E1" w:sz="1"/>
            </w:tcBorders>
            <w:shd w:fill="DC2626" w:val="clear"/>
            <w:tcMar>
              <w:top w:type="dxa" w:w="80"/>
              <w:left w:type="dxa" w:w="120"/>
              <w:bottom w:type="dxa" w:w="80"/>
              <w:right w:type="dxa" w:w="120"/>
            </w:tcMar>
          </w:tcPr>
          <w:p>
            <w:r>
              <w:rPr>
                <w:rFonts w:ascii="Arial" w:cs="Arial" w:eastAsia="Arial" w:hAnsi="Arial"/>
                <w:b/>
                <w:bCs/>
                <w:color w:val="FFFFFF"/>
                <w:sz w:val="20"/>
                <w:szCs w:val="20"/>
              </w:rPr>
              <w:t xml:space="preserve">DENY Present?</w:t>
            </w:r>
          </w:p>
        </w:tc>
        <w:tc>
          <w:tcPr>
            <w:tcW w:type="dxa" w:w="1600"/>
            <w:tcBorders>
              <w:top w:val="single" w:color="CBD5E1" w:sz="1"/>
              <w:left w:val="single" w:color="CBD5E1" w:sz="1"/>
              <w:bottom w:val="single" w:color="CBD5E1" w:sz="1"/>
              <w:right w:val="single" w:color="CBD5E1" w:sz="1"/>
            </w:tcBorders>
            <w:shd w:fill="DC2626" w:val="clear"/>
            <w:tcMar>
              <w:top w:type="dxa" w:w="80"/>
              <w:left w:type="dxa" w:w="120"/>
              <w:bottom w:type="dxa" w:w="80"/>
              <w:right w:type="dxa" w:w="120"/>
            </w:tcMar>
          </w:tcPr>
          <w:p>
            <w:r>
              <w:rPr>
                <w:rFonts w:ascii="Arial" w:cs="Arial" w:eastAsia="Arial" w:hAnsi="Arial"/>
                <w:b/>
                <w:bCs/>
                <w:color w:val="FFFFFF"/>
                <w:sz w:val="20"/>
                <w:szCs w:val="20"/>
              </w:rPr>
              <w:t xml:space="preserve">BTG Active?</w:t>
            </w:r>
          </w:p>
        </w:tc>
        <w:tc>
          <w:tcPr>
            <w:tcW w:type="dxa" w:w="2000"/>
            <w:tcBorders>
              <w:top w:val="single" w:color="CBD5E1" w:sz="1"/>
              <w:left w:val="single" w:color="CBD5E1" w:sz="1"/>
              <w:bottom w:val="single" w:color="CBD5E1" w:sz="1"/>
              <w:right w:val="single" w:color="CBD5E1" w:sz="1"/>
            </w:tcBorders>
            <w:shd w:fill="DC2626" w:val="clear"/>
            <w:tcMar>
              <w:top w:type="dxa" w:w="80"/>
              <w:left w:type="dxa" w:w="120"/>
              <w:bottom w:type="dxa" w:w="80"/>
              <w:right w:type="dxa" w:w="120"/>
            </w:tcMar>
          </w:tcPr>
          <w:p>
            <w:r>
              <w:rPr>
                <w:rFonts w:ascii="Arial" w:cs="Arial" w:eastAsia="Arial" w:hAnsi="Arial"/>
                <w:b/>
                <w:bCs/>
                <w:color w:val="FFFFFF"/>
                <w:sz w:val="20"/>
                <w:szCs w:val="20"/>
              </w:rPr>
              <w:t xml:space="preserve">Hard DENY (&gt;=200)?</w:t>
            </w:r>
          </w:p>
        </w:tc>
        <w:tc>
          <w:tcPr>
            <w:tcW w:type="dxa" w:w="2560"/>
            <w:tcBorders>
              <w:top w:val="single" w:color="CBD5E1" w:sz="1"/>
              <w:left w:val="single" w:color="CBD5E1" w:sz="1"/>
              <w:bottom w:val="single" w:color="CBD5E1" w:sz="1"/>
              <w:right w:val="single" w:color="CBD5E1" w:sz="1"/>
            </w:tcBorders>
            <w:shd w:fill="DC2626" w:val="clear"/>
            <w:tcMar>
              <w:top w:type="dxa" w:w="80"/>
              <w:left w:type="dxa" w:w="120"/>
              <w:bottom w:type="dxa" w:w="80"/>
              <w:right w:type="dxa" w:w="120"/>
            </w:tcMar>
          </w:tcPr>
          <w:p>
            <w:r>
              <w:rPr>
                <w:rFonts w:ascii="Arial" w:cs="Arial" w:eastAsia="Arial" w:hAnsi="Arial"/>
                <w:b/>
                <w:bCs/>
                <w:color w:val="FFFFFF"/>
                <w:sz w:val="20"/>
                <w:szCs w:val="20"/>
              </w:rPr>
              <w:t xml:space="preserve">Resolution</w:t>
            </w:r>
          </w:p>
        </w:tc>
      </w:tr>
      <w:tr>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No</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No</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No</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No</w:t>
            </w:r>
          </w:p>
        </w:tc>
        <w:tc>
          <w:tcPr>
            <w:tcW w:type="dxa" w:w="2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DENIED (Rule 4: No policy = DENY)</w:t>
            </w:r>
          </w:p>
        </w:tc>
      </w:tr>
      <w:tr>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76"/>
            </w:pPr>
            <w:r>
              <w:rPr>
                <w:rFonts w:ascii="Arial" w:cs="Arial" w:eastAsia="Arial" w:hAnsi="Arial"/>
                <w:color w:val="1E293B"/>
                <w:sz w:val="20"/>
                <w:szCs w:val="20"/>
              </w:rPr>
              <w:t xml:space="preserve">Yes</w:t>
            </w:r>
          </w:p>
        </w:tc>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76"/>
            </w:pPr>
            <w:r>
              <w:rPr>
                <w:rFonts w:ascii="Arial" w:cs="Arial" w:eastAsia="Arial" w:hAnsi="Arial"/>
                <w:color w:val="1E293B"/>
                <w:sz w:val="20"/>
                <w:szCs w:val="20"/>
              </w:rPr>
              <w:t xml:space="preserve">No</w:t>
            </w:r>
          </w:p>
        </w:tc>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76"/>
            </w:pPr>
            <w:r>
              <w:rPr>
                <w:rFonts w:ascii="Arial" w:cs="Arial" w:eastAsia="Arial" w:hAnsi="Arial"/>
                <w:color w:val="1E293B"/>
                <w:sz w:val="20"/>
                <w:szCs w:val="20"/>
              </w:rPr>
              <w:t xml:space="preserve">No</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76"/>
            </w:pPr>
            <w:r>
              <w:rPr>
                <w:rFonts w:ascii="Arial" w:cs="Arial" w:eastAsia="Arial" w:hAnsi="Arial"/>
                <w:color w:val="1E293B"/>
                <w:sz w:val="20"/>
                <w:szCs w:val="20"/>
              </w:rPr>
              <w:t xml:space="preserve">No</w:t>
            </w:r>
          </w:p>
        </w:tc>
        <w:tc>
          <w:tcPr>
            <w:tcW w:type="dxa" w:w="25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76"/>
            </w:pPr>
            <w:r>
              <w:rPr>
                <w:rFonts w:ascii="Arial" w:cs="Arial" w:eastAsia="Arial" w:hAnsi="Arial"/>
                <w:color w:val="1E293B"/>
                <w:sz w:val="20"/>
                <w:szCs w:val="20"/>
              </w:rPr>
              <w:t xml:space="preserve">ALLOWED (winning ALLOW policy)</w:t>
            </w:r>
          </w:p>
        </w:tc>
      </w:tr>
      <w:tr>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No</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Yes</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No</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No</w:t>
            </w:r>
          </w:p>
        </w:tc>
        <w:tc>
          <w:tcPr>
            <w:tcW w:type="dxa" w:w="2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DENIED (DENY policy)</w:t>
            </w:r>
          </w:p>
        </w:tc>
      </w:tr>
      <w:tr>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76"/>
            </w:pPr>
            <w:r>
              <w:rPr>
                <w:rFonts w:ascii="Arial" w:cs="Arial" w:eastAsia="Arial" w:hAnsi="Arial"/>
                <w:color w:val="1E293B"/>
                <w:sz w:val="20"/>
                <w:szCs w:val="20"/>
              </w:rPr>
              <w:t xml:space="preserve">Yes</w:t>
            </w:r>
          </w:p>
        </w:tc>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76"/>
            </w:pPr>
            <w:r>
              <w:rPr>
                <w:rFonts w:ascii="Arial" w:cs="Arial" w:eastAsia="Arial" w:hAnsi="Arial"/>
                <w:color w:val="1E293B"/>
                <w:sz w:val="20"/>
                <w:szCs w:val="20"/>
              </w:rPr>
              <w:t xml:space="preserve">Yes</w:t>
            </w:r>
          </w:p>
        </w:tc>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76"/>
            </w:pPr>
            <w:r>
              <w:rPr>
                <w:rFonts w:ascii="Arial" w:cs="Arial" w:eastAsia="Arial" w:hAnsi="Arial"/>
                <w:color w:val="1E293B"/>
                <w:sz w:val="20"/>
                <w:szCs w:val="20"/>
              </w:rPr>
              <w:t xml:space="preserve">No</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76"/>
            </w:pPr>
            <w:r>
              <w:rPr>
                <w:rFonts w:ascii="Arial" w:cs="Arial" w:eastAsia="Arial" w:hAnsi="Arial"/>
                <w:color w:val="1E293B"/>
                <w:sz w:val="20"/>
                <w:szCs w:val="20"/>
              </w:rPr>
              <w:t xml:space="preserve">No</w:t>
            </w:r>
          </w:p>
        </w:tc>
        <w:tc>
          <w:tcPr>
            <w:tcW w:type="dxa" w:w="25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76"/>
            </w:pPr>
            <w:r>
              <w:rPr>
                <w:rFonts w:ascii="Arial" w:cs="Arial" w:eastAsia="Arial" w:hAnsi="Arial"/>
                <w:color w:val="1E293B"/>
                <w:sz w:val="20"/>
                <w:szCs w:val="20"/>
              </w:rPr>
              <w:t xml:space="preserve">DENIED if DENY priority &gt;= ALLOW priority. ALLOWED if ALLOW priority &gt; DENY priority.</w:t>
            </w:r>
          </w:p>
        </w:tc>
      </w:tr>
      <w:tr>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No</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No</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Yes</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No</w:t>
            </w:r>
          </w:p>
        </w:tc>
        <w:tc>
          <w:tcPr>
            <w:tcW w:type="dxa" w:w="2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ALLOWED (BTG override, btg_access=true)</w:t>
            </w:r>
          </w:p>
        </w:tc>
      </w:tr>
      <w:tr>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76"/>
            </w:pPr>
            <w:r>
              <w:rPr>
                <w:rFonts w:ascii="Arial" w:cs="Arial" w:eastAsia="Arial" w:hAnsi="Arial"/>
                <w:color w:val="1E293B"/>
                <w:sz w:val="20"/>
                <w:szCs w:val="20"/>
              </w:rPr>
              <w:t xml:space="preserve">No</w:t>
            </w:r>
          </w:p>
        </w:tc>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76"/>
            </w:pPr>
            <w:r>
              <w:rPr>
                <w:rFonts w:ascii="Arial" w:cs="Arial" w:eastAsia="Arial" w:hAnsi="Arial"/>
                <w:color w:val="1E293B"/>
                <w:sz w:val="20"/>
                <w:szCs w:val="20"/>
              </w:rPr>
              <w:t xml:space="preserve">Yes</w:t>
            </w:r>
          </w:p>
        </w:tc>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76"/>
            </w:pPr>
            <w:r>
              <w:rPr>
                <w:rFonts w:ascii="Arial" w:cs="Arial" w:eastAsia="Arial" w:hAnsi="Arial"/>
                <w:color w:val="1E293B"/>
                <w:sz w:val="20"/>
                <w:szCs w:val="20"/>
              </w:rPr>
              <w:t xml:space="preserve">Yes</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76"/>
            </w:pPr>
            <w:r>
              <w:rPr>
                <w:rFonts w:ascii="Arial" w:cs="Arial" w:eastAsia="Arial" w:hAnsi="Arial"/>
                <w:color w:val="1E293B"/>
                <w:sz w:val="20"/>
                <w:szCs w:val="20"/>
              </w:rPr>
              <w:t xml:space="preserve">No</w:t>
            </w:r>
          </w:p>
        </w:tc>
        <w:tc>
          <w:tcPr>
            <w:tcW w:type="dxa" w:w="25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76"/>
            </w:pPr>
            <w:r>
              <w:rPr>
                <w:rFonts w:ascii="Arial" w:cs="Arial" w:eastAsia="Arial" w:hAnsi="Arial"/>
                <w:color w:val="1E293B"/>
                <w:sz w:val="20"/>
                <w:szCs w:val="20"/>
              </w:rPr>
              <w:t xml:space="preserve">ALLOWED (BTG overrides DENY &lt; 200, btg_access=true)</w:t>
            </w:r>
          </w:p>
        </w:tc>
      </w:tr>
      <w:tr>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Yes</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Yes</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Yes</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No</w:t>
            </w:r>
          </w:p>
        </w:tc>
        <w:tc>
          <w:tcPr>
            <w:tcW w:type="dxa" w:w="2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ALLOWED (BTG overrides conflict, btg_access=true)</w:t>
            </w:r>
          </w:p>
        </w:tc>
      </w:tr>
      <w:tr>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76"/>
            </w:pPr>
            <w:r>
              <w:rPr>
                <w:rFonts w:ascii="Arial" w:cs="Arial" w:eastAsia="Arial" w:hAnsi="Arial"/>
                <w:color w:val="1E293B"/>
                <w:sz w:val="20"/>
                <w:szCs w:val="20"/>
              </w:rPr>
              <w:t xml:space="preserve">Any</w:t>
            </w:r>
          </w:p>
        </w:tc>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76"/>
            </w:pPr>
            <w:r>
              <w:rPr>
                <w:rFonts w:ascii="Arial" w:cs="Arial" w:eastAsia="Arial" w:hAnsi="Arial"/>
                <w:color w:val="1E293B"/>
                <w:sz w:val="20"/>
                <w:szCs w:val="20"/>
              </w:rPr>
              <w:t xml:space="preserve">Any</w:t>
            </w:r>
          </w:p>
        </w:tc>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76"/>
            </w:pPr>
            <w:r>
              <w:rPr>
                <w:rFonts w:ascii="Arial" w:cs="Arial" w:eastAsia="Arial" w:hAnsi="Arial"/>
                <w:color w:val="1E293B"/>
                <w:sz w:val="20"/>
                <w:szCs w:val="20"/>
              </w:rPr>
              <w:t xml:space="preserve">Yes</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76"/>
            </w:pPr>
            <w:r>
              <w:rPr>
                <w:rFonts w:ascii="Arial" w:cs="Arial" w:eastAsia="Arial" w:hAnsi="Arial"/>
                <w:color w:val="1E293B"/>
                <w:sz w:val="20"/>
                <w:szCs w:val="20"/>
              </w:rPr>
              <w:t xml:space="preserve">Yes</w:t>
            </w:r>
          </w:p>
        </w:tc>
        <w:tc>
          <w:tcPr>
            <w:tcW w:type="dxa" w:w="25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76"/>
            </w:pPr>
            <w:r>
              <w:rPr>
                <w:rFonts w:ascii="Arial" w:cs="Arial" w:eastAsia="Arial" w:hAnsi="Arial"/>
                <w:color w:val="1E293B"/>
                <w:sz w:val="20"/>
                <w:szCs w:val="20"/>
              </w:rPr>
              <w:t xml:space="preserve">DENIED (Hard DENY &gt;= 200 is never overridden, even by BTG)</w:t>
            </w:r>
          </w:p>
        </w:tc>
      </w:tr>
      <w:tr>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Any</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Any</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No</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Yes</w:t>
            </w:r>
          </w:p>
        </w:tc>
        <w:tc>
          <w:tcPr>
            <w:tcW w:type="dxa" w:w="2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DENIED (Hard DENY &gt;= 200 always wins)</w:t>
            </w:r>
          </w:p>
        </w:tc>
      </w:tr>
    </w:tbl>
    <w:p>
      <w:pPr>
        <w:pStyle w:val="Heading2"/>
        <w:spacing w:before="300" w:after="160"/>
      </w:pPr>
      <w:r>
        <w:rPr>
          <w:rFonts w:ascii="Arial" w:cs="Arial" w:eastAsia="Arial" w:hAnsi="Arial"/>
          <w:b/>
          <w:bCs/>
          <w:color w:val="1E293B"/>
          <w:sz w:val="26"/>
          <w:szCs w:val="26"/>
        </w:rPr>
        <w:t xml:space="preserve">15.4 Edge Cases</w:t>
      </w:r>
    </w:p>
    <w:p>
      <w:pPr>
        <w:pStyle w:val="ListParagraph"/>
        <w:numPr>
          <w:ilvl w:val="0"/>
          <w:numId w:val="2"/>
        </w:numPr>
        <w:spacing w:after="80" w:line="276"/>
      </w:pPr>
      <w:r>
        <w:rPr>
          <w:rFonts w:ascii="Arial" w:cs="Arial" w:eastAsia="Arial" w:hAnsi="Arial"/>
          <w:b/>
          <w:bCs/>
          <w:color w:val="1E293B"/>
          <w:sz w:val="20"/>
          <w:szCs w:val="20"/>
        </w:rPr>
        <w:t xml:space="preserve">Multiple ALLOW policies with different column sets: </w:t>
      </w:r>
      <w:r>
        <w:rPr>
          <w:rFonts w:ascii="Arial" w:cs="Arial" w:eastAsia="Arial" w:hAnsi="Arial"/>
          <w:color w:val="1E293B"/>
          <w:sz w:val="20"/>
          <w:szCs w:val="20"/>
        </w:rPr>
        <w:t xml:space="preserve">Column sets are UNIONED. If ALLOW-A permits columns [a, b, c] and ALLOW-B permits [c, d, e], the user sees [a, b, c, d, e]. This is the most permissive column union across all applicable ALLOW policies.</w:t>
      </w:r>
    </w:p>
    <w:p>
      <w:pPr>
        <w:pStyle w:val="ListParagraph"/>
        <w:numPr>
          <w:ilvl w:val="0"/>
          <w:numId w:val="2"/>
        </w:numPr>
        <w:spacing w:after="80" w:line="276"/>
      </w:pPr>
      <w:r>
        <w:rPr>
          <w:rFonts w:ascii="Arial" w:cs="Arial" w:eastAsia="Arial" w:hAnsi="Arial"/>
          <w:b/>
          <w:bCs/>
          <w:color w:val="1E293B"/>
          <w:sz w:val="20"/>
          <w:szCs w:val="20"/>
        </w:rPr>
        <w:t xml:space="preserve">FILTER + AGGREGATION_ONLY on same table: </w:t>
      </w:r>
      <w:r>
        <w:rPr>
          <w:rFonts w:ascii="Arial" w:cs="Arial" w:eastAsia="Arial" w:hAnsi="Arial"/>
          <w:color w:val="1E293B"/>
          <w:sz w:val="20"/>
          <w:szCs w:val="20"/>
        </w:rPr>
        <w:t xml:space="preserve">Both conditions apply. The table is ALLOWED but with both the row filter AND the aggregation requirement. All conditions are cumulative (AND logic).</w:t>
      </w:r>
    </w:p>
    <w:p>
      <w:pPr>
        <w:pStyle w:val="ListParagraph"/>
        <w:numPr>
          <w:ilvl w:val="0"/>
          <w:numId w:val="2"/>
        </w:numPr>
        <w:spacing w:after="80" w:line="276"/>
      </w:pPr>
      <w:r>
        <w:rPr>
          <w:rFonts w:ascii="Arial" w:cs="Arial" w:eastAsia="Arial" w:hAnsi="Arial"/>
          <w:b/>
          <w:bCs/>
          <w:color w:val="1E293B"/>
          <w:sz w:val="20"/>
          <w:szCs w:val="20"/>
        </w:rPr>
        <w:t xml:space="preserve">Role inheriting conflicting policies: </w:t>
      </w:r>
      <w:r>
        <w:rPr>
          <w:rFonts w:ascii="Arial" w:cs="Arial" w:eastAsia="Arial" w:hAnsi="Arial"/>
          <w:color w:val="1E293B"/>
          <w:sz w:val="20"/>
          <w:szCs w:val="20"/>
        </w:rPr>
        <w:t xml:space="preserve">An Attending Physician inherits CNA access (CLIN-010, limited columns) but also has their own clinical access (via CLIN-001). The higher-priority policy wins: CLIN-001 at priority 90 overrides CLIN-010 at priority 40. The physician sees more columns than the CNA.</w:t>
      </w:r>
    </w:p>
    <w:p>
      <w:pPr>
        <w:pStyle w:val="ListParagraph"/>
        <w:numPr>
          <w:ilvl w:val="0"/>
          <w:numId w:val="2"/>
        </w:numPr>
        <w:spacing w:after="80" w:line="276"/>
      </w:pPr>
      <w:r>
        <w:rPr>
          <w:rFonts w:ascii="Arial" w:cs="Arial" w:eastAsia="Arial" w:hAnsi="Arial"/>
          <w:b/>
          <w:bCs/>
          <w:color w:val="1E293B"/>
          <w:sz w:val="20"/>
          <w:szCs w:val="20"/>
        </w:rPr>
        <w:t xml:space="preserve">Policy cycle detection: </w:t>
      </w:r>
      <w:r>
        <w:rPr>
          <w:rFonts w:ascii="Arial" w:cs="Arial" w:eastAsia="Arial" w:hAnsi="Arial"/>
          <w:color w:val="1E293B"/>
          <w:sz w:val="20"/>
          <w:szCs w:val="20"/>
        </w:rPr>
        <w:t xml:space="preserve">If the policy graph contains cycles (A SUPERSEDES B SUPERSEDES A), the system detects this during collection and treats it as a configuration error. Resolution falls back to priority-only ordering. Alert sent to admin.</w:t>
      </w:r>
    </w:p>
    <w:p>
      <w:pPr>
        <w:spacing w:after="80"/>
      </w:pPr>
    </w:p>
    <w:p>
      <w:r>
        <w:br w:type="page"/>
      </w:r>
    </w:p>
    <w:p>
      <w:pPr>
        <w:pStyle w:val="Heading1"/>
        <w:spacing w:before="360" w:after="200"/>
      </w:pPr>
      <w:r>
        <w:rPr>
          <w:rFonts w:ascii="Arial" w:cs="Arial" w:eastAsia="Arial" w:hAnsi="Arial"/>
          <w:b/>
          <w:bCs/>
          <w:color w:val="DC2626"/>
          <w:sz w:val="32"/>
          <w:szCs w:val="32"/>
        </w:rPr>
        <w:t xml:space="preserve">16. NL Policy Rule Generation</w:t>
      </w:r>
    </w:p>
    <w:p>
      <w:pPr>
        <w:pStyle w:val="Heading2"/>
        <w:spacing w:before="300" w:after="160"/>
      </w:pPr>
      <w:r>
        <w:rPr>
          <w:rFonts w:ascii="Arial" w:cs="Arial" w:eastAsia="Arial" w:hAnsi="Arial"/>
          <w:b/>
          <w:bCs/>
          <w:color w:val="1E293B"/>
          <w:sz w:val="26"/>
          <w:szCs w:val="26"/>
        </w:rPr>
        <w:t xml:space="preserve">16.1 Purpose</w:t>
      </w:r>
    </w:p>
    <w:p>
      <w:pPr>
        <w:spacing w:after="160" w:line="276"/>
      </w:pPr>
      <w:r>
        <w:rPr>
          <w:rFonts w:ascii="Arial" w:cs="Arial" w:eastAsia="Arial" w:hAnsi="Arial"/>
          <w:color w:val="1E293B"/>
          <w:sz w:val="20"/>
          <w:szCs w:val="20"/>
        </w:rPr>
        <w:t xml:space="preserve">The NL Rule Generator converts machine-readable permission decisions into natural language statements that are injected into the LLM prompt by the Secure Generation Layer (L5). These rules tell the LLM what constraints to follow when generating SQL. The NL rules are a secondary enforcement mechanism — the primary enforcement is the deterministic validation in L6.</w:t>
      </w:r>
    </w:p>
    <w:p>
      <w:pPr>
        <w:pStyle w:val="Heading2"/>
        <w:spacing w:before="300" w:after="160"/>
      </w:pPr>
      <w:r>
        <w:rPr>
          <w:rFonts w:ascii="Arial" w:cs="Arial" w:eastAsia="Arial" w:hAnsi="Arial"/>
          <w:b/>
          <w:bCs/>
          <w:color w:val="1E293B"/>
          <w:sz w:val="26"/>
          <w:szCs w:val="26"/>
        </w:rPr>
        <w:t xml:space="preserve">16.2 Rule Templates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3600"/>
      </w:tblGrid>
      <w:tr>
        <w:tc>
          <w:tcPr>
            <w:tcW w:type="dxa" w:w="2200"/>
            <w:tcBorders>
              <w:top w:val="single" w:color="CBD5E1" w:sz="1"/>
              <w:left w:val="single" w:color="CBD5E1" w:sz="1"/>
              <w:bottom w:val="single" w:color="CBD5E1" w:sz="1"/>
              <w:right w:val="single" w:color="CBD5E1" w:sz="1"/>
            </w:tcBorders>
            <w:shd w:fill="DC2626"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c>
          <w:tcPr>
            <w:tcW w:type="dxa" w:w="3560"/>
            <w:tcBorders>
              <w:top w:val="single" w:color="CBD5E1" w:sz="1"/>
              <w:left w:val="single" w:color="CBD5E1" w:sz="1"/>
              <w:bottom w:val="single" w:color="CBD5E1" w:sz="1"/>
              <w:right w:val="single" w:color="CBD5E1" w:sz="1"/>
            </w:tcBorders>
            <w:shd w:fill="DC2626" w:val="clear"/>
            <w:tcMar>
              <w:top w:type="dxa" w:w="80"/>
              <w:left w:type="dxa" w:w="120"/>
              <w:bottom w:type="dxa" w:w="80"/>
              <w:right w:type="dxa" w:w="120"/>
            </w:tcMar>
          </w:tcPr>
          <w:p>
            <w:r>
              <w:rPr>
                <w:rFonts w:ascii="Arial" w:cs="Arial" w:eastAsia="Arial" w:hAnsi="Arial"/>
                <w:b/>
                <w:bCs/>
                <w:color w:val="FFFFFF"/>
                <w:sz w:val="20"/>
                <w:szCs w:val="20"/>
              </w:rPr>
              <w:t xml:space="preserve">Template</w:t>
            </w:r>
          </w:p>
        </w:tc>
        <w:tc>
          <w:tcPr>
            <w:tcW w:type="dxa" w:w="3600"/>
            <w:tcBorders>
              <w:top w:val="single" w:color="CBD5E1" w:sz="1"/>
              <w:left w:val="single" w:color="CBD5E1" w:sz="1"/>
              <w:bottom w:val="single" w:color="CBD5E1" w:sz="1"/>
              <w:right w:val="single" w:color="CBD5E1" w:sz="1"/>
            </w:tcBorders>
            <w:shd w:fill="DC2626" w:val="clear"/>
            <w:tcMar>
              <w:top w:type="dxa" w:w="80"/>
              <w:left w:type="dxa" w:w="120"/>
              <w:bottom w:type="dxa" w:w="80"/>
              <w:right w:type="dxa" w:w="120"/>
            </w:tcMar>
          </w:tcPr>
          <w:p>
            <w:r>
              <w:rPr>
                <w:rFonts w:ascii="Arial" w:cs="Arial" w:eastAsia="Arial" w:hAnsi="Arial"/>
                <w:b/>
                <w:bCs/>
                <w:color w:val="FFFFFF"/>
                <w:sz w:val="20"/>
                <w:szCs w:val="20"/>
              </w:rPr>
              <w:t xml:space="preserve">Example Output</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Row filter active</w:t>
            </w:r>
          </w:p>
        </w:tc>
        <w:tc>
          <w:tcPr>
            <w:tcW w:type="dxa" w:w="3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"Filter {table} to only include rows where {filter_expression}."</w:t>
            </w:r>
          </w:p>
        </w:tc>
        <w:tc>
          <w:tcPr>
            <w:tcW w:type="dxa" w:w="3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"Filter encounters to only include rows where treating_provider_id = 'DR-4521' OR unit_id = '3B'."</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76"/>
            </w:pPr>
            <w:r>
              <w:rPr>
                <w:rFonts w:ascii="Arial" w:cs="Arial" w:eastAsia="Arial" w:hAnsi="Arial"/>
                <w:color w:val="1E293B"/>
                <w:sz w:val="20"/>
                <w:szCs w:val="20"/>
              </w:rPr>
              <w:t xml:space="preserve">Columns hidden</w:t>
            </w:r>
          </w:p>
        </w:tc>
        <w:tc>
          <w:tcPr>
            <w:tcW w:type="dxa" w:w="35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76"/>
            </w:pPr>
            <w:r>
              <w:rPr>
                <w:rFonts w:ascii="Arial" w:cs="Arial" w:eastAsia="Arial" w:hAnsi="Arial"/>
                <w:color w:val="1E293B"/>
                <w:sz w:val="20"/>
                <w:szCs w:val="20"/>
              </w:rPr>
              <w:t xml:space="preserve">"Do not include {hidden_columns} from {table} in any query."</w:t>
            </w:r>
          </w:p>
        </w:tc>
        <w:tc>
          <w:tcPr>
            <w:tcW w:type="dxa" w:w="36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76"/>
            </w:pPr>
            <w:r>
              <w:rPr>
                <w:rFonts w:ascii="Arial" w:cs="Arial" w:eastAsia="Arial" w:hAnsi="Arial"/>
                <w:color w:val="1E293B"/>
                <w:sz w:val="20"/>
                <w:szCs w:val="20"/>
              </w:rPr>
              <w:t xml:space="preserve">"Do not include ssn, aadhaar_number, pan_number from patients in any query."</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Columns masked</w:t>
            </w:r>
          </w:p>
        </w:tc>
        <w:tc>
          <w:tcPr>
            <w:tcW w:type="dxa" w:w="3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"When selecting {column} from {table}, apply {masking_description}."</w:t>
            </w:r>
          </w:p>
        </w:tc>
        <w:tc>
          <w:tcPr>
            <w:tcW w:type="dxa" w:w="3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"When selecting full_name from patients, show first initial + last name only (e.g., 'S. Krishnan')."</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76"/>
            </w:pPr>
            <w:r>
              <w:rPr>
                <w:rFonts w:ascii="Arial" w:cs="Arial" w:eastAsia="Arial" w:hAnsi="Arial"/>
                <w:color w:val="1E293B"/>
                <w:sz w:val="20"/>
                <w:szCs w:val="20"/>
              </w:rPr>
              <w:t xml:space="preserve">Aggregation required</w:t>
            </w:r>
          </w:p>
        </w:tc>
        <w:tc>
          <w:tcPr>
            <w:tcW w:type="dxa" w:w="35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76"/>
            </w:pPr>
            <w:r>
              <w:rPr>
                <w:rFonts w:ascii="Arial" w:cs="Arial" w:eastAsia="Arial" w:hAnsi="Arial"/>
                <w:color w:val="1E293B"/>
                <w:sz w:val="20"/>
                <w:szCs w:val="20"/>
              </w:rPr>
              <w:t xml:space="preserve">"Access to {table} requires aggregate functions (COUNT, SUM, AVG, etc.) with GROUP BY. Do not include {denied_columns} in SELECT."</w:t>
            </w:r>
          </w:p>
        </w:tc>
        <w:tc>
          <w:tcPr>
            <w:tcW w:type="dxa" w:w="36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76"/>
            </w:pPr>
            <w:r>
              <w:rPr>
                <w:rFonts w:ascii="Arial" w:cs="Arial" w:eastAsia="Arial" w:hAnsi="Arial"/>
                <w:color w:val="1E293B"/>
                <w:sz w:val="20"/>
                <w:szCs w:val="20"/>
              </w:rPr>
              <w:t xml:space="preserve">"Access to encounters requires aggregate functions with GROUP BY. Do not include mrn, full_name, ssn, dob in SELECT."</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Join restriction</w:t>
            </w:r>
          </w:p>
        </w:tc>
        <w:tc>
          <w:tcPr>
            <w:tcW w:type="dxa" w:w="3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"Do NOT join tables from {domain_a} with tables from {domain_b}."</w:t>
            </w:r>
          </w:p>
        </w:tc>
        <w:tc>
          <w:tcPr>
            <w:tcW w:type="dxa" w:w="3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"Do NOT join clinical tables (encounters, patients) with HR tables (employees, staff_schedules)."</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76"/>
            </w:pPr>
            <w:r>
              <w:rPr>
                <w:rFonts w:ascii="Arial" w:cs="Arial" w:eastAsia="Arial" w:hAnsi="Arial"/>
                <w:color w:val="1E293B"/>
                <w:sz w:val="20"/>
                <w:szCs w:val="20"/>
              </w:rPr>
              <w:t xml:space="preserve">Max rows</w:t>
            </w:r>
          </w:p>
        </w:tc>
        <w:tc>
          <w:tcPr>
            <w:tcW w:type="dxa" w:w="35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76"/>
            </w:pPr>
            <w:r>
              <w:rPr>
                <w:rFonts w:ascii="Arial" w:cs="Arial" w:eastAsia="Arial" w:hAnsi="Arial"/>
                <w:color w:val="1E293B"/>
                <w:sz w:val="20"/>
                <w:szCs w:val="20"/>
              </w:rPr>
              <w:t xml:space="preserve">"Limit results to a maximum of {max_rows} rows."</w:t>
            </w:r>
          </w:p>
        </w:tc>
        <w:tc>
          <w:tcPr>
            <w:tcW w:type="dxa" w:w="36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76"/>
            </w:pPr>
            <w:r>
              <w:rPr>
                <w:rFonts w:ascii="Arial" w:cs="Arial" w:eastAsia="Arial" w:hAnsi="Arial"/>
                <w:color w:val="1E293B"/>
                <w:sz w:val="20"/>
                <w:szCs w:val="20"/>
              </w:rPr>
              <w:t xml:space="preserve">"Limit results to a maximum of 500 rows."</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Table denied</w:t>
            </w:r>
          </w:p>
        </w:tc>
        <w:tc>
          <w:tcPr>
            <w:tcW w:type="dxa" w:w="3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Not generated. Denied tables don’t appear in the LLM’s context at all.</w:t>
            </w:r>
          </w:p>
        </w:tc>
        <w:tc>
          <w:tcPr>
            <w:tcW w:type="dxa" w:w="3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N/A — the LLM never learns these tables exist</w:t>
            </w:r>
          </w:p>
        </w:tc>
      </w:tr>
    </w:tbl>
    <w:p>
      <w:pPr>
        <w:pStyle w:val="Heading2"/>
        <w:spacing w:before="300" w:after="160"/>
      </w:pPr>
      <w:r>
        <w:rPr>
          <w:rFonts w:ascii="Arial" w:cs="Arial" w:eastAsia="Arial" w:hAnsi="Arial"/>
          <w:b/>
          <w:bCs/>
          <w:color w:val="1E293B"/>
          <w:sz w:val="26"/>
          <w:szCs w:val="26"/>
        </w:rPr>
        <w:t xml:space="preserve">16.3 Rule Ordering</w:t>
      </w:r>
    </w:p>
    <w:p>
      <w:pPr>
        <w:spacing w:after="160" w:line="276"/>
      </w:pPr>
      <w:r>
        <w:rPr>
          <w:rFonts w:ascii="Arial" w:cs="Arial" w:eastAsia="Arial" w:hAnsi="Arial"/>
          <w:color w:val="1E293B"/>
          <w:sz w:val="20"/>
          <w:szCs w:val="20"/>
        </w:rPr>
        <w:t xml:space="preserve">NL rules are ordered by importance (highest priority first) to ensure the LLM processes the most critical constraints first:</w:t>
      </w:r>
    </w:p>
    <w:p>
      <w:pPr>
        <w:pStyle w:val="ListParagraph"/>
        <w:numPr>
          <w:ilvl w:val="0"/>
          <w:numId w:val="6"/>
        </w:numPr>
        <w:spacing w:after="80" w:line="276"/>
      </w:pPr>
      <w:r>
        <w:rPr>
          <w:rFonts w:ascii="Arial" w:cs="Arial" w:eastAsia="Arial" w:hAnsi="Arial"/>
          <w:b/>
          <w:bCs/>
          <w:color w:val="1E293B"/>
          <w:sz w:val="20"/>
          <w:szCs w:val="20"/>
        </w:rPr>
        <w:t xml:space="preserve">Join restrictions </w:t>
      </w:r>
      <w:r>
        <w:rPr>
          <w:rFonts w:ascii="Arial" w:cs="Arial" w:eastAsia="Arial" w:hAnsi="Arial"/>
          <w:color w:val="1E293B"/>
          <w:sz w:val="20"/>
          <w:szCs w:val="20"/>
        </w:rPr>
        <w:t xml:space="preserve">(SEC-xxx policies)</w:t>
      </w:r>
    </w:p>
    <w:p>
      <w:pPr>
        <w:pStyle w:val="ListParagraph"/>
        <w:numPr>
          <w:ilvl w:val="0"/>
          <w:numId w:val="6"/>
        </w:numPr>
        <w:spacing w:after="80" w:line="276"/>
      </w:pPr>
      <w:r>
        <w:rPr>
          <w:rFonts w:ascii="Arial" w:cs="Arial" w:eastAsia="Arial" w:hAnsi="Arial"/>
          <w:b/>
          <w:bCs/>
          <w:color w:val="1E293B"/>
          <w:sz w:val="20"/>
          <w:szCs w:val="20"/>
        </w:rPr>
        <w:t xml:space="preserve">Aggregation requirements </w:t>
      </w:r>
      <w:r>
        <w:rPr>
          <w:rFonts w:ascii="Arial" w:cs="Arial" w:eastAsia="Arial" w:hAnsi="Arial"/>
          <w:color w:val="1E293B"/>
          <w:sz w:val="20"/>
          <w:szCs w:val="20"/>
        </w:rPr>
        <w:t xml:space="preserve">(BIZ-010 and similar)</w:t>
      </w:r>
    </w:p>
    <w:p>
      <w:pPr>
        <w:pStyle w:val="ListParagraph"/>
        <w:numPr>
          <w:ilvl w:val="0"/>
          <w:numId w:val="6"/>
        </w:numPr>
        <w:spacing w:after="80" w:line="276"/>
      </w:pPr>
      <w:r>
        <w:rPr>
          <w:rFonts w:ascii="Arial" w:cs="Arial" w:eastAsia="Arial" w:hAnsi="Arial"/>
          <w:b/>
          <w:bCs/>
          <w:color w:val="1E293B"/>
          <w:sz w:val="20"/>
          <w:szCs w:val="20"/>
        </w:rPr>
        <w:t xml:space="preserve">Row filters </w:t>
      </w:r>
      <w:r>
        <w:rPr>
          <w:rFonts w:ascii="Arial" w:cs="Arial" w:eastAsia="Arial" w:hAnsi="Arial"/>
          <w:color w:val="1E293B"/>
          <w:sz w:val="20"/>
          <w:szCs w:val="20"/>
        </w:rPr>
        <w:t xml:space="preserve">(CLIN-001, CLIN-010)</w:t>
      </w:r>
    </w:p>
    <w:p>
      <w:pPr>
        <w:pStyle w:val="ListParagraph"/>
        <w:numPr>
          <w:ilvl w:val="0"/>
          <w:numId w:val="6"/>
        </w:numPr>
        <w:spacing w:after="80" w:line="276"/>
      </w:pPr>
      <w:r>
        <w:rPr>
          <w:rFonts w:ascii="Arial" w:cs="Arial" w:eastAsia="Arial" w:hAnsi="Arial"/>
          <w:b/>
          <w:bCs/>
          <w:color w:val="1E293B"/>
          <w:sz w:val="20"/>
          <w:szCs w:val="20"/>
        </w:rPr>
        <w:t xml:space="preserve">Column restrictions </w:t>
      </w:r>
      <w:r>
        <w:rPr>
          <w:rFonts w:ascii="Arial" w:cs="Arial" w:eastAsia="Arial" w:hAnsi="Arial"/>
          <w:color w:val="1E293B"/>
          <w:sz w:val="20"/>
          <w:szCs w:val="20"/>
        </w:rPr>
        <w:t xml:space="preserve">(hidden and masked columns)</w:t>
      </w:r>
    </w:p>
    <w:p>
      <w:pPr>
        <w:pStyle w:val="ListParagraph"/>
        <w:numPr>
          <w:ilvl w:val="0"/>
          <w:numId w:val="6"/>
        </w:numPr>
        <w:spacing w:after="80" w:line="276"/>
      </w:pPr>
      <w:r>
        <w:rPr>
          <w:rFonts w:ascii="Arial" w:cs="Arial" w:eastAsia="Arial" w:hAnsi="Arial"/>
          <w:b/>
          <w:bCs/>
          <w:color w:val="1E293B"/>
          <w:sz w:val="20"/>
          <w:szCs w:val="20"/>
        </w:rPr>
        <w:t xml:space="preserve">Row limits </w:t>
      </w:r>
      <w:r>
        <w:rPr>
          <w:rFonts w:ascii="Arial" w:cs="Arial" w:eastAsia="Arial" w:hAnsi="Arial"/>
          <w:color w:val="1E293B"/>
          <w:sz w:val="20"/>
          <w:szCs w:val="20"/>
        </w:rPr>
        <w:t xml:space="preserve">(HIPAA-001 maximum rows)</w:t>
      </w:r>
    </w:p>
    <w:p>
      <w:pPr>
        <w:spacing w:after="80"/>
      </w:pPr>
    </w:p>
    <w:p>
      <w:r>
        <w:br w:type="page"/>
      </w:r>
    </w:p>
    <w:p>
      <w:pPr>
        <w:pStyle w:val="Heading1"/>
        <w:spacing w:before="360" w:after="200"/>
      </w:pPr>
      <w:r>
        <w:rPr>
          <w:rFonts w:ascii="Arial" w:cs="Arial" w:eastAsia="Arial" w:hAnsi="Arial"/>
          <w:b/>
          <w:bCs/>
          <w:color w:val="DC2626"/>
          <w:sz w:val="32"/>
          <w:szCs w:val="32"/>
        </w:rPr>
        <w:t xml:space="preserve">17. Error Handling &amp; Fallback Strategies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3160"/>
        <w:gridCol w:w="2200"/>
      </w:tblGrid>
      <w:tr>
        <w:tc>
          <w:tcPr>
            <w:tcW w:type="dxa" w:w="2200"/>
            <w:tcBorders>
              <w:top w:val="single" w:color="CBD5E1" w:sz="1"/>
              <w:left w:val="single" w:color="CBD5E1" w:sz="1"/>
              <w:bottom w:val="single" w:color="CBD5E1" w:sz="1"/>
              <w:right w:val="single" w:color="CBD5E1" w:sz="1"/>
            </w:tcBorders>
            <w:shd w:fill="DC2626" w:val="clear"/>
            <w:tcMar>
              <w:top w:type="dxa" w:w="80"/>
              <w:left w:type="dxa" w:w="120"/>
              <w:bottom w:type="dxa" w:w="80"/>
              <w:right w:type="dxa" w:w="120"/>
            </w:tcMar>
          </w:tcPr>
          <w:p>
            <w:r>
              <w:rPr>
                <w:rFonts w:ascii="Arial" w:cs="Arial" w:eastAsia="Arial" w:hAnsi="Arial"/>
                <w:b/>
                <w:bCs/>
                <w:color w:val="FFFFFF"/>
                <w:sz w:val="20"/>
                <w:szCs w:val="20"/>
              </w:rPr>
              <w:t xml:space="preserve">Failure Scenario</w:t>
            </w:r>
          </w:p>
        </w:tc>
        <w:tc>
          <w:tcPr>
            <w:tcW w:type="dxa" w:w="1800"/>
            <w:tcBorders>
              <w:top w:val="single" w:color="CBD5E1" w:sz="1"/>
              <w:left w:val="single" w:color="CBD5E1" w:sz="1"/>
              <w:bottom w:val="single" w:color="CBD5E1" w:sz="1"/>
              <w:right w:val="single" w:color="CBD5E1" w:sz="1"/>
            </w:tcBorders>
            <w:shd w:fill="DC2626"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3160"/>
            <w:tcBorders>
              <w:top w:val="single" w:color="CBD5E1" w:sz="1"/>
              <w:left w:val="single" w:color="CBD5E1" w:sz="1"/>
              <w:bottom w:val="single" w:color="CBD5E1" w:sz="1"/>
              <w:right w:val="single" w:color="CBD5E1" w:sz="1"/>
            </w:tcBorders>
            <w:shd w:fill="DC2626" w:val="clear"/>
            <w:tcMar>
              <w:top w:type="dxa" w:w="80"/>
              <w:left w:type="dxa" w:w="120"/>
              <w:bottom w:type="dxa" w:w="80"/>
              <w:right w:type="dxa" w:w="120"/>
            </w:tcMar>
          </w:tcPr>
          <w:p>
            <w:r>
              <w:rPr>
                <w:rFonts w:ascii="Arial" w:cs="Arial" w:eastAsia="Arial" w:hAnsi="Arial"/>
                <w:b/>
                <w:bCs/>
                <w:color w:val="FFFFFF"/>
                <w:sz w:val="20"/>
                <w:szCs w:val="20"/>
              </w:rPr>
              <w:t xml:space="preserve">Fallback</w:t>
            </w:r>
          </w:p>
        </w:tc>
        <w:tc>
          <w:tcPr>
            <w:tcW w:type="dxa" w:w="2200"/>
            <w:tcBorders>
              <w:top w:val="single" w:color="CBD5E1" w:sz="1"/>
              <w:left w:val="single" w:color="CBD5E1" w:sz="1"/>
              <w:bottom w:val="single" w:color="CBD5E1" w:sz="1"/>
              <w:right w:val="single" w:color="CBD5E1" w:sz="1"/>
            </w:tcBorders>
            <w:shd w:fill="DC2626" w:val="clear"/>
            <w:tcMar>
              <w:top w:type="dxa" w:w="80"/>
              <w:left w:type="dxa" w:w="120"/>
              <w:bottom w:type="dxa" w:w="80"/>
              <w:right w:type="dxa" w:w="120"/>
            </w:tcMar>
          </w:tcPr>
          <w:p>
            <w:r>
              <w:rPr>
                <w:rFonts w:ascii="Arial" w:cs="Arial" w:eastAsia="Arial" w:hAnsi="Arial"/>
                <w:b/>
                <w:bCs/>
                <w:color w:val="FFFFFF"/>
                <w:sz w:val="20"/>
                <w:szCs w:val="20"/>
              </w:rPr>
              <w:t xml:space="preserve">User Experience</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Neo4j down</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Cannot collect policies</w:t>
            </w:r>
          </w:p>
        </w:tc>
        <w:tc>
          <w:tcPr>
            <w:tcW w:type="dxa" w:w="3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Return DENY-ALL envelope for all candidate tables. Log POLICY_GRAPH_UNAVAILABLE. No degraded mode.</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"System cannot verify your permissions at this time. Please try again."</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76"/>
            </w:pPr>
            <w:r>
              <w:rPr>
                <w:rFonts w:ascii="Arial" w:cs="Arial" w:eastAsia="Arial" w:hAnsi="Arial"/>
                <w:color w:val="1E293B"/>
                <w:sz w:val="20"/>
                <w:szCs w:val="20"/>
              </w:rPr>
              <w:t xml:space="preserve">Malformed structured_rule</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76"/>
            </w:pPr>
            <w:r>
              <w:rPr>
                <w:rFonts w:ascii="Arial" w:cs="Arial" w:eastAsia="Arial" w:hAnsi="Arial"/>
                <w:color w:val="1E293B"/>
                <w:sz w:val="20"/>
                <w:szCs w:val="20"/>
              </w:rPr>
              <w:t xml:space="preserve">Cannot parse one policy’s rule JSON</w:t>
            </w:r>
          </w:p>
        </w:tc>
        <w:tc>
          <w:tcPr>
            <w:tcW w:type="dxa" w:w="31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76"/>
            </w:pPr>
            <w:r>
              <w:rPr>
                <w:rFonts w:ascii="Arial" w:cs="Arial" w:eastAsia="Arial" w:hAnsi="Arial"/>
                <w:color w:val="1E293B"/>
                <w:sz w:val="20"/>
                <w:szCs w:val="20"/>
              </w:rPr>
              <w:t xml:space="preserve">Skip the malformed policy. If it was the winning ALLOW, table is DENIED (fail-secure). Log MALFORMED_POLICY alert.</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76"/>
            </w:pPr>
            <w:r>
              <w:rPr>
                <w:rFonts w:ascii="Arial" w:cs="Arial" w:eastAsia="Arial" w:hAnsi="Arial"/>
                <w:color w:val="1E293B"/>
                <w:sz w:val="20"/>
                <w:szCs w:val="20"/>
              </w:rPr>
              <w:t xml:space="preserve">Transparent — user sees fewer tables if an ALLOW was skipped</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HMAC signing key unavailable</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Cannot sign the envelope</w:t>
            </w:r>
          </w:p>
        </w:tc>
        <w:tc>
          <w:tcPr>
            <w:tcW w:type="dxa" w:w="3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Return 500. Do NOT return unsigned envelopes. Downstream layers will reject unsigned envelopes.</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"System error. Please try again."</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76"/>
            </w:pPr>
            <w:r>
              <w:rPr>
                <w:rFonts w:ascii="Arial" w:cs="Arial" w:eastAsia="Arial" w:hAnsi="Arial"/>
                <w:color w:val="1E293B"/>
                <w:sz w:val="20"/>
                <w:szCs w:val="20"/>
              </w:rPr>
              <w:t xml:space="preserve">Row filter variable resolution failure</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76"/>
            </w:pPr>
            <w:r>
              <w:rPr>
                <w:rFonts w:ascii="Arial" w:cs="Arial" w:eastAsia="Arial" w:hAnsi="Arial"/>
                <w:color w:val="1E293B"/>
                <w:sz w:val="20"/>
                <w:szCs w:val="20"/>
              </w:rPr>
              <w:t xml:space="preserve">Template variable not found in SecurityContext</w:t>
            </w:r>
          </w:p>
        </w:tc>
        <w:tc>
          <w:tcPr>
            <w:tcW w:type="dxa" w:w="31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76"/>
            </w:pPr>
            <w:r>
              <w:rPr>
                <w:rFonts w:ascii="Arial" w:cs="Arial" w:eastAsia="Arial" w:hAnsi="Arial"/>
                <w:color w:val="1E293B"/>
                <w:sz w:val="20"/>
                <w:szCs w:val="20"/>
              </w:rPr>
              <w:t xml:space="preserve">DENY the table with that filter. Log FILTER_RESOLUTION_ERROR.</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76"/>
            </w:pPr>
            <w:r>
              <w:rPr>
                <w:rFonts w:ascii="Arial" w:cs="Arial" w:eastAsia="Arial" w:hAnsi="Arial"/>
                <w:color w:val="1E293B"/>
                <w:sz w:val="20"/>
                <w:szCs w:val="20"/>
              </w:rPr>
              <w:t xml:space="preserve">Table excluded from results with no information leakage</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BTG token expired during resolution</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BTG was active at request start but expired during processing</w:t>
            </w:r>
          </w:p>
        </w:tc>
        <w:tc>
          <w:tcPr>
            <w:tcW w:type="dxa" w:w="3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Treat as no-BTG. Apply normal resolution rules. Log BTG_EXPIRY_DURING_RESOLUTION.</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Normal access (reduced scope from what BTG would have granted)</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76"/>
            </w:pPr>
            <w:r>
              <w:rPr>
                <w:rFonts w:ascii="Arial" w:cs="Arial" w:eastAsia="Arial" w:hAnsi="Arial"/>
                <w:color w:val="1E293B"/>
                <w:sz w:val="20"/>
                <w:szCs w:val="20"/>
              </w:rPr>
              <w:t xml:space="preserve">Policy cycle detected</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76"/>
            </w:pPr>
            <w:r>
              <w:rPr>
                <w:rFonts w:ascii="Arial" w:cs="Arial" w:eastAsia="Arial" w:hAnsi="Arial"/>
                <w:color w:val="1E293B"/>
                <w:sz w:val="20"/>
                <w:szCs w:val="20"/>
              </w:rPr>
              <w:t xml:space="preserve">Circular SUPERSEDES relationships</w:t>
            </w:r>
          </w:p>
        </w:tc>
        <w:tc>
          <w:tcPr>
            <w:tcW w:type="dxa" w:w="31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76"/>
            </w:pPr>
            <w:r>
              <w:rPr>
                <w:rFonts w:ascii="Arial" w:cs="Arial" w:eastAsia="Arial" w:hAnsi="Arial"/>
                <w:color w:val="1E293B"/>
                <w:sz w:val="20"/>
                <w:szCs w:val="20"/>
              </w:rPr>
              <w:t xml:space="preserve">Fall back to priority-only ordering (ignore SUPERSEDES edges). Alert admin. Log POLICY_CYCLE_DETECTED.</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76"/>
            </w:pPr>
            <w:r>
              <w:rPr>
                <w:rFonts w:ascii="Arial" w:cs="Arial" w:eastAsia="Arial" w:hAnsi="Arial"/>
                <w:color w:val="1E293B"/>
                <w:sz w:val="20"/>
                <w:szCs w:val="20"/>
              </w:rPr>
              <w:t xml:space="preserve">Transparent — resolution proceeds with reduced sophistication</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Clearance level missing</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SecurityContext has null clearance_level</w:t>
            </w:r>
          </w:p>
        </w:tc>
        <w:tc>
          <w:tcPr>
            <w:tcW w:type="dxa" w:w="3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Default to clearance_level = 0 (most restrictive). Only sensitivity-1 columns visible.</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Highly restricted results until clearance is resolved</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76"/>
            </w:pPr>
            <w:r>
              <w:rPr>
                <w:rFonts w:ascii="Arial" w:cs="Arial" w:eastAsia="Arial" w:hAnsi="Arial"/>
                <w:color w:val="1E293B"/>
                <w:sz w:val="20"/>
                <w:szCs w:val="20"/>
              </w:rPr>
              <w:t xml:space="preserve">Excessive policy count (&gt;100)</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76"/>
            </w:pPr>
            <w:r>
              <w:rPr>
                <w:rFonts w:ascii="Arial" w:cs="Arial" w:eastAsia="Arial" w:hAnsi="Arial"/>
                <w:color w:val="1E293B"/>
                <w:sz w:val="20"/>
                <w:szCs w:val="20"/>
              </w:rPr>
              <w:t xml:space="preserve">Performance degradation risk</w:t>
            </w:r>
          </w:p>
        </w:tc>
        <w:tc>
          <w:tcPr>
            <w:tcW w:type="dxa" w:w="31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76"/>
            </w:pPr>
            <w:r>
              <w:rPr>
                <w:rFonts w:ascii="Arial" w:cs="Arial" w:eastAsia="Arial" w:hAnsi="Arial"/>
                <w:color w:val="1E293B"/>
                <w:sz w:val="20"/>
                <w:szCs w:val="20"/>
              </w:rPr>
              <w:t xml:space="preserve">Apply timeout (15ms). If resolution exceeds timeout, return DENY-ALL with TIMEOUT flag. Log RESOLUTION_TIMEOUT.</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76"/>
            </w:pPr>
            <w:r>
              <w:rPr>
                <w:rFonts w:ascii="Arial" w:cs="Arial" w:eastAsia="Arial" w:hAnsi="Arial"/>
                <w:color w:val="1E293B"/>
                <w:sz w:val="20"/>
                <w:szCs w:val="20"/>
              </w:rPr>
              <w:t xml:space="preserve">"Unable to process your request. Contact IT support."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1"/>
              <w:left w:val="single" w:color="DC2626" w:sz="12"/>
              <w:bottom w:val="single" w:color="DC2626" w:sz="1"/>
              <w:right w:val="single" w:color="DC2626" w:sz="1"/>
            </w:tcBorders>
            <w:shd w:fill="FEF2F2" w:val="clear"/>
            <w:tcMar>
              <w:top w:type="dxa" w:w="120"/>
              <w:left w:type="dxa" w:w="200"/>
              <w:bottom w:type="dxa" w:w="120"/>
              <w:right w:type="dxa" w:w="200"/>
            </w:tcMar>
          </w:tcPr>
          <w:p>
            <w:pPr>
              <w:spacing w:after="60"/>
            </w:pPr>
            <w:r>
              <w:rPr>
                <w:rFonts w:ascii="Arial" w:cs="Arial" w:eastAsia="Arial" w:hAnsi="Arial"/>
                <w:b/>
                <w:bCs/>
                <w:color w:val="DC2626"/>
                <w:sz w:val="20"/>
                <w:szCs w:val="20"/>
              </w:rPr>
              <w:t xml:space="preserve">FAIL-SECURE GUARANTEE</w:t>
            </w:r>
          </w:p>
          <w:p>
            <w:pPr>
              <w:spacing w:line="276"/>
            </w:pPr>
            <w:r>
              <w:rPr>
                <w:rFonts w:ascii="Arial" w:cs="Arial" w:eastAsia="Arial" w:hAnsi="Arial"/>
                <w:color w:val="1E293B"/>
                <w:sz w:val="20"/>
                <w:szCs w:val="20"/>
              </w:rPr>
              <w:t xml:space="preserve">Every error path in the Policy Resolution Layer results in MORE restrictive access, never less. There is no failure mode that accidentally grants access. Neo4j down? DENY all. Malformed policy? Skip it (DENY if it was the grant). Signing key unavailable? Reject the request. The user never benefits from a system failure.</w:t>
            </w:r>
          </w:p>
        </w:tc>
      </w:tr>
    </w:tbl>
    <w:p>
      <w:pPr>
        <w:spacing w:after="80"/>
      </w:pPr>
    </w:p>
    <w:p>
      <w:r>
        <w:br w:type="page"/>
      </w:r>
    </w:p>
    <w:p>
      <w:pPr>
        <w:pStyle w:val="Heading1"/>
        <w:spacing w:before="360" w:after="200"/>
      </w:pPr>
      <w:r>
        <w:rPr>
          <w:rFonts w:ascii="Arial" w:cs="Arial" w:eastAsia="Arial" w:hAnsi="Arial"/>
          <w:b/>
          <w:bCs/>
          <w:color w:val="DC2626"/>
          <w:sz w:val="32"/>
          <w:szCs w:val="32"/>
        </w:rPr>
        <w:t xml:space="preserve">18. Caching Strategy</w:t>
      </w:r>
    </w:p>
    <w:p>
      <w:pPr>
        <w:spacing w:after="160" w:line="276"/>
      </w:pPr>
      <w:r>
        <w:rPr>
          <w:rFonts w:ascii="Arial" w:cs="Arial" w:eastAsia="Arial" w:hAnsi="Arial"/>
          <w:b/>
          <w:bCs/>
          <w:color w:val="1E293B"/>
          <w:sz w:val="20"/>
          <w:szCs w:val="20"/>
        </w:rPr>
        <w:t xml:space="preserve">Critical architectural decision: </w:t>
      </w:r>
      <w:r>
        <w:rPr>
          <w:rFonts w:ascii="Arial" w:cs="Arial" w:eastAsia="Arial" w:hAnsi="Arial"/>
          <w:color w:val="1E293B"/>
          <w:sz w:val="20"/>
          <w:szCs w:val="20"/>
        </w:rPr>
        <w:t xml:space="preserve">Permission Envelopes are NEVER cached across requests. Each request gets a fresh envelope computed from the current policy graph state. However, intermediate data used to build the envelope can be cached for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1800"/>
        <w:gridCol w:w="1000"/>
        <w:gridCol w:w="1800"/>
        <w:gridCol w:w="1960"/>
      </w:tblGrid>
      <w:tr>
        <w:tc>
          <w:tcPr>
            <w:tcW w:type="dxa" w:w="1800"/>
            <w:tcBorders>
              <w:top w:val="single" w:color="CBD5E1" w:sz="1"/>
              <w:left w:val="single" w:color="CBD5E1" w:sz="1"/>
              <w:bottom w:val="single" w:color="CBD5E1" w:sz="1"/>
              <w:right w:val="single" w:color="CBD5E1" w:sz="1"/>
            </w:tcBorders>
            <w:shd w:fill="DC2626" w:val="clear"/>
            <w:tcMar>
              <w:top w:type="dxa" w:w="80"/>
              <w:left w:type="dxa" w:w="120"/>
              <w:bottom w:type="dxa" w:w="80"/>
              <w:right w:type="dxa" w:w="120"/>
            </w:tcMar>
          </w:tcPr>
          <w:p>
            <w:r>
              <w:rPr>
                <w:rFonts w:ascii="Arial" w:cs="Arial" w:eastAsia="Arial" w:hAnsi="Arial"/>
                <w:b/>
                <w:bCs/>
                <w:color w:val="FFFFFF"/>
                <w:sz w:val="20"/>
                <w:szCs w:val="20"/>
              </w:rPr>
              <w:t xml:space="preserve">Cache Layer</w:t>
            </w:r>
          </w:p>
        </w:tc>
        <w:tc>
          <w:tcPr>
            <w:tcW w:type="dxa" w:w="1000"/>
            <w:tcBorders>
              <w:top w:val="single" w:color="CBD5E1" w:sz="1"/>
              <w:left w:val="single" w:color="CBD5E1" w:sz="1"/>
              <w:bottom w:val="single" w:color="CBD5E1" w:sz="1"/>
              <w:right w:val="single" w:color="CBD5E1" w:sz="1"/>
            </w:tcBorders>
            <w:shd w:fill="DC2626" w:val="clear"/>
            <w:tcMar>
              <w:top w:type="dxa" w:w="80"/>
              <w:left w:type="dxa" w:w="120"/>
              <w:bottom w:type="dxa" w:w="80"/>
              <w:right w:type="dxa" w:w="120"/>
            </w:tcMar>
          </w:tcPr>
          <w:p>
            <w:r>
              <w:rPr>
                <w:rFonts w:ascii="Arial" w:cs="Arial" w:eastAsia="Arial" w:hAnsi="Arial"/>
                <w:b/>
                <w:bCs/>
                <w:color w:val="FFFFFF"/>
                <w:sz w:val="20"/>
                <w:szCs w:val="20"/>
              </w:rPr>
              <w:t xml:space="preserve">Store</w:t>
            </w:r>
          </w:p>
        </w:tc>
        <w:tc>
          <w:tcPr>
            <w:tcW w:type="dxa" w:w="1800"/>
            <w:tcBorders>
              <w:top w:val="single" w:color="CBD5E1" w:sz="1"/>
              <w:left w:val="single" w:color="CBD5E1" w:sz="1"/>
              <w:bottom w:val="single" w:color="CBD5E1" w:sz="1"/>
              <w:right w:val="single" w:color="CBD5E1" w:sz="1"/>
            </w:tcBorders>
            <w:shd w:fill="DC2626" w:val="clear"/>
            <w:tcMar>
              <w:top w:type="dxa" w:w="80"/>
              <w:left w:type="dxa" w:w="120"/>
              <w:bottom w:type="dxa" w:w="80"/>
              <w:right w:type="dxa" w:w="120"/>
            </w:tcMar>
          </w:tcPr>
          <w:p>
            <w:r>
              <w:rPr>
                <w:rFonts w:ascii="Arial" w:cs="Arial" w:eastAsia="Arial" w:hAnsi="Arial"/>
                <w:b/>
                <w:bCs/>
                <w:color w:val="FFFFFF"/>
                <w:sz w:val="20"/>
                <w:szCs w:val="20"/>
              </w:rPr>
              <w:t xml:space="preserve">Key</w:t>
            </w:r>
          </w:p>
        </w:tc>
        <w:tc>
          <w:tcPr>
            <w:tcW w:type="dxa" w:w="1000"/>
            <w:tcBorders>
              <w:top w:val="single" w:color="CBD5E1" w:sz="1"/>
              <w:left w:val="single" w:color="CBD5E1" w:sz="1"/>
              <w:bottom w:val="single" w:color="CBD5E1" w:sz="1"/>
              <w:right w:val="single" w:color="CBD5E1" w:sz="1"/>
            </w:tcBorders>
            <w:shd w:fill="DC2626" w:val="clear"/>
            <w:tcMar>
              <w:top w:type="dxa" w:w="80"/>
              <w:left w:type="dxa" w:w="120"/>
              <w:bottom w:type="dxa" w:w="80"/>
              <w:right w:type="dxa" w:w="120"/>
            </w:tcMar>
          </w:tcPr>
          <w:p>
            <w:r>
              <w:rPr>
                <w:rFonts w:ascii="Arial" w:cs="Arial" w:eastAsia="Arial" w:hAnsi="Arial"/>
                <w:b/>
                <w:bCs/>
                <w:color w:val="FFFFFF"/>
                <w:sz w:val="20"/>
                <w:szCs w:val="20"/>
              </w:rPr>
              <w:t xml:space="preserve">TTL</w:t>
            </w:r>
          </w:p>
        </w:tc>
        <w:tc>
          <w:tcPr>
            <w:tcW w:type="dxa" w:w="1800"/>
            <w:tcBorders>
              <w:top w:val="single" w:color="CBD5E1" w:sz="1"/>
              <w:left w:val="single" w:color="CBD5E1" w:sz="1"/>
              <w:bottom w:val="single" w:color="CBD5E1" w:sz="1"/>
              <w:right w:val="single" w:color="CBD5E1" w:sz="1"/>
            </w:tcBorders>
            <w:shd w:fill="DC2626" w:val="clear"/>
            <w:tcMar>
              <w:top w:type="dxa" w:w="80"/>
              <w:left w:type="dxa" w:w="120"/>
              <w:bottom w:type="dxa" w:w="80"/>
              <w:right w:type="dxa" w:w="120"/>
            </w:tcMar>
          </w:tcPr>
          <w:p>
            <w:r>
              <w:rPr>
                <w:rFonts w:ascii="Arial" w:cs="Arial" w:eastAsia="Arial" w:hAnsi="Arial"/>
                <w:b/>
                <w:bCs/>
                <w:color w:val="FFFFFF"/>
                <w:sz w:val="20"/>
                <w:szCs w:val="20"/>
              </w:rPr>
              <w:t xml:space="preserve">Invalidation</w:t>
            </w:r>
          </w:p>
        </w:tc>
        <w:tc>
          <w:tcPr>
            <w:tcW w:type="dxa" w:w="1960"/>
            <w:tcBorders>
              <w:top w:val="single" w:color="CBD5E1" w:sz="1"/>
              <w:left w:val="single" w:color="CBD5E1" w:sz="1"/>
              <w:bottom w:val="single" w:color="CBD5E1" w:sz="1"/>
              <w:right w:val="single" w:color="CBD5E1" w:sz="1"/>
            </w:tcBorders>
            <w:shd w:fill="DC2626" w:val="clear"/>
            <w:tcMar>
              <w:top w:type="dxa" w:w="80"/>
              <w:left w:type="dxa" w:w="120"/>
              <w:bottom w:type="dxa" w:w="80"/>
              <w:right w:type="dxa" w:w="120"/>
            </w:tcMar>
          </w:tcPr>
          <w:p>
            <w:r>
              <w:rPr>
                <w:rFonts w:ascii="Arial" w:cs="Arial" w:eastAsia="Arial" w:hAnsi="Arial"/>
                <w:b/>
                <w:bCs/>
                <w:color w:val="FFFFFF"/>
                <w:sz w:val="20"/>
                <w:szCs w:val="20"/>
              </w:rPr>
              <w:t xml:space="preserve">Safety</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Role-policy index</w:t>
            </w:r>
          </w:p>
        </w:tc>
        <w:tc>
          <w:tcPr>
            <w:tcW w:type="dxa" w:w="1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Redis</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role_policies:{role_name}</w:t>
            </w:r>
          </w:p>
        </w:tc>
        <w:tc>
          <w:tcPr>
            <w:tcW w:type="dxa" w:w="1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5 min</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Neo4j policy change event</w:t>
            </w:r>
          </w:p>
        </w:tc>
        <w:tc>
          <w:tcPr>
            <w:tcW w:type="dxa" w:w="1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Caches which policies apply to which roles, not the resolution results. Safe because resolution is still computed per-request.</w:t>
            </w:r>
          </w:p>
        </w:tc>
      </w:tr>
      <w:tr>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76"/>
            </w:pPr>
            <w:r>
              <w:rPr>
                <w:rFonts w:ascii="Arial" w:cs="Arial" w:eastAsia="Arial" w:hAnsi="Arial"/>
                <w:color w:val="1E293B"/>
                <w:sz w:val="20"/>
                <w:szCs w:val="20"/>
              </w:rPr>
              <w:t xml:space="preserve">Role hierarchy map</w:t>
            </w:r>
          </w:p>
        </w:tc>
        <w:tc>
          <w:tcPr>
            <w:tcW w:type="dxa" w:w="10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76"/>
            </w:pPr>
            <w:r>
              <w:rPr>
                <w:rFonts w:ascii="Arial" w:cs="Arial" w:eastAsia="Arial" w:hAnsi="Arial"/>
                <w:color w:val="1E293B"/>
                <w:sz w:val="20"/>
                <w:szCs w:val="20"/>
              </w:rPr>
              <w:t xml:space="preserve">Local</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76"/>
            </w:pPr>
            <w:r>
              <w:rPr>
                <w:rFonts w:ascii="Arial" w:cs="Arial" w:eastAsia="Arial" w:hAnsi="Arial"/>
                <w:color w:val="1E293B"/>
                <w:sz w:val="20"/>
                <w:szCs w:val="20"/>
              </w:rPr>
              <w:t xml:space="preserve">role_hierarchy:global</w:t>
            </w:r>
          </w:p>
        </w:tc>
        <w:tc>
          <w:tcPr>
            <w:tcW w:type="dxa" w:w="10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76"/>
            </w:pPr>
            <w:r>
              <w:rPr>
                <w:rFonts w:ascii="Arial" w:cs="Arial" w:eastAsia="Arial" w:hAnsi="Arial"/>
                <w:color w:val="1E293B"/>
                <w:sz w:val="20"/>
                <w:szCs w:val="20"/>
              </w:rPr>
              <w:t xml:space="preserve">10 min</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76"/>
            </w:pPr>
            <w:r>
              <w:rPr>
                <w:rFonts w:ascii="Arial" w:cs="Arial" w:eastAsia="Arial" w:hAnsi="Arial"/>
                <w:color w:val="1E293B"/>
                <w:sz w:val="20"/>
                <w:szCs w:val="20"/>
              </w:rPr>
              <w:t xml:space="preserve">Neo4j role change event</w:t>
            </w:r>
          </w:p>
        </w:tc>
        <w:tc>
          <w:tcPr>
            <w:tcW w:type="dxa" w:w="19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76"/>
            </w:pPr>
            <w:r>
              <w:rPr>
                <w:rFonts w:ascii="Arial" w:cs="Arial" w:eastAsia="Arial" w:hAnsi="Arial"/>
                <w:color w:val="1E293B"/>
                <w:sz w:val="20"/>
                <w:szCs w:val="20"/>
              </w:rPr>
              <w:t xml:space="preserve">Caches the expanded role hierarchy tree. Changes are rare (role additions/removals).</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Column metadata</w:t>
            </w:r>
          </w:p>
        </w:tc>
        <w:tc>
          <w:tcPr>
            <w:tcW w:type="dxa" w:w="1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Local</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col_meta:{table_id}</w:t>
            </w:r>
          </w:p>
        </w:tc>
        <w:tc>
          <w:tcPr>
            <w:tcW w:type="dxa" w:w="1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10 min</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Schema crawl event</w:t>
            </w:r>
          </w:p>
        </w:tc>
        <w:tc>
          <w:tcPr>
            <w:tcW w:type="dxa" w:w="1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Column definitions, sensitivity levels, PII types. Changes only when schema is re-crawled.</w:t>
            </w:r>
          </w:p>
        </w:tc>
      </w:tr>
      <w:tr>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76"/>
            </w:pPr>
            <w:r>
              <w:rPr>
                <w:rFonts w:ascii="Arial" w:cs="Arial" w:eastAsia="Arial" w:hAnsi="Arial"/>
                <w:color w:val="1E293B"/>
                <w:sz w:val="20"/>
                <w:szCs w:val="20"/>
              </w:rPr>
              <w:t xml:space="preserve">Signing key</w:t>
            </w:r>
          </w:p>
        </w:tc>
        <w:tc>
          <w:tcPr>
            <w:tcW w:type="dxa" w:w="10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76"/>
            </w:pPr>
            <w:r>
              <w:rPr>
                <w:rFonts w:ascii="Arial" w:cs="Arial" w:eastAsia="Arial" w:hAnsi="Arial"/>
                <w:color w:val="1E293B"/>
                <w:sz w:val="20"/>
                <w:szCs w:val="20"/>
              </w:rPr>
              <w:t xml:space="preserve">Local</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76"/>
            </w:pPr>
            <w:r>
              <w:rPr>
                <w:rFonts w:ascii="Arial" w:cs="Arial" w:eastAsia="Arial" w:hAnsi="Arial"/>
                <w:color w:val="1E293B"/>
                <w:sz w:val="20"/>
                <w:szCs w:val="20"/>
              </w:rPr>
              <w:t xml:space="preserve">signing_key:current</w:t>
            </w:r>
          </w:p>
        </w:tc>
        <w:tc>
          <w:tcPr>
            <w:tcW w:type="dxa" w:w="10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76"/>
            </w:pPr>
            <w:r>
              <w:rPr>
                <w:rFonts w:ascii="Arial" w:cs="Arial" w:eastAsia="Arial" w:hAnsi="Arial"/>
                <w:color w:val="1E293B"/>
                <w:sz w:val="20"/>
                <w:szCs w:val="20"/>
              </w:rPr>
              <w:t xml:space="preserve">1 hour</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76"/>
            </w:pPr>
            <w:r>
              <w:rPr>
                <w:rFonts w:ascii="Arial" w:cs="Arial" w:eastAsia="Arial" w:hAnsi="Arial"/>
                <w:color w:val="1E293B"/>
                <w:sz w:val="20"/>
                <w:szCs w:val="20"/>
              </w:rPr>
              <w:t xml:space="preserve">Vault key rotation event</w:t>
            </w:r>
          </w:p>
        </w:tc>
        <w:tc>
          <w:tcPr>
            <w:tcW w:type="dxa" w:w="19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76"/>
            </w:pPr>
            <w:r>
              <w:rPr>
                <w:rFonts w:ascii="Arial" w:cs="Arial" w:eastAsia="Arial" w:hAnsi="Arial"/>
                <w:color w:val="1E293B"/>
                <w:sz w:val="20"/>
                <w:szCs w:val="20"/>
              </w:rPr>
              <w:t xml:space="preserve">The HMAC-SHA256 key used for envelope signing. Cached locally to avoid Vault round-trip per request.</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Regulatory tag map</w:t>
            </w:r>
          </w:p>
        </w:tc>
        <w:tc>
          <w:tcPr>
            <w:tcW w:type="dxa" w:w="1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Redis</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reg_tags:{table_id}</w:t>
            </w:r>
          </w:p>
        </w:tc>
        <w:tc>
          <w:tcPr>
            <w:tcW w:type="dxa" w:w="1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30 min</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Schema crawl event</w:t>
            </w:r>
          </w:p>
        </w:tc>
        <w:tc>
          <w:tcPr>
            <w:tcW w:type="dxa" w:w="1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Which regulatory flags apply to which tables. Very stable data.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1"/>
              <w:left w:val="single" w:color="DC2626" w:sz="12"/>
              <w:bottom w:val="single" w:color="DC2626" w:sz="1"/>
              <w:right w:val="single" w:color="DC2626" w:sz="1"/>
            </w:tcBorders>
            <w:shd w:fill="FEF2F2" w:val="clear"/>
            <w:tcMar>
              <w:top w:type="dxa" w:w="120"/>
              <w:left w:type="dxa" w:w="200"/>
              <w:bottom w:type="dxa" w:w="120"/>
              <w:right w:type="dxa" w:w="200"/>
            </w:tcMar>
          </w:tcPr>
          <w:p>
            <w:pPr>
              <w:spacing w:after="60"/>
            </w:pPr>
            <w:r>
              <w:rPr>
                <w:rFonts w:ascii="Arial" w:cs="Arial" w:eastAsia="Arial" w:hAnsi="Arial"/>
                <w:b/>
                <w:bCs/>
                <w:color w:val="DC2626"/>
                <w:sz w:val="20"/>
                <w:szCs w:val="20"/>
              </w:rPr>
              <w:t xml:space="preserve">ENVELOPE FRESHNESS GUARANTEE</w:t>
            </w:r>
          </w:p>
          <w:p>
            <w:pPr>
              <w:spacing w:line="276"/>
            </w:pPr>
            <w:r>
              <w:rPr>
                <w:rFonts w:ascii="Arial" w:cs="Arial" w:eastAsia="Arial" w:hAnsi="Arial"/>
                <w:color w:val="1E293B"/>
                <w:sz w:val="20"/>
                <w:szCs w:val="20"/>
              </w:rPr>
              <w:t xml:space="preserve">The PermissionEnvelope is NEVER cached. It is always computed from the current policy graph state (with cached intermediate data that has short TTLs). The 5-minute cache on role-policy index means a policy change is reflected within 5 minutes at most. Active invalidation via Neo4j change events reduces this to &lt; 10 seconds in practice.</w:t>
            </w:r>
          </w:p>
        </w:tc>
      </w:tr>
    </w:tbl>
    <w:p>
      <w:pPr>
        <w:spacing w:after="80"/>
      </w:pPr>
    </w:p>
    <w:p>
      <w:r>
        <w:br w:type="page"/>
      </w:r>
    </w:p>
    <w:p>
      <w:pPr>
        <w:pStyle w:val="Heading1"/>
        <w:spacing w:before="360" w:after="200"/>
      </w:pPr>
      <w:r>
        <w:rPr>
          <w:rFonts w:ascii="Arial" w:cs="Arial" w:eastAsia="Arial" w:hAnsi="Arial"/>
          <w:b/>
          <w:bCs/>
          <w:color w:val="DC2626"/>
          <w:sz w:val="32"/>
          <w:szCs w:val="32"/>
        </w:rPr>
        <w:t xml:space="preserve">19. Performance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2800"/>
        <w:gridCol w:w="1960"/>
      </w:tblGrid>
      <w:tr>
        <w:tc>
          <w:tcPr>
            <w:tcW w:type="dxa" w:w="2800"/>
            <w:tcBorders>
              <w:top w:val="single" w:color="CBD5E1" w:sz="1"/>
              <w:left w:val="single" w:color="CBD5E1" w:sz="1"/>
              <w:bottom w:val="single" w:color="CBD5E1" w:sz="1"/>
              <w:right w:val="single" w:color="CBD5E1" w:sz="1"/>
            </w:tcBorders>
            <w:shd w:fill="DC2626"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1800"/>
            <w:tcBorders>
              <w:top w:val="single" w:color="CBD5E1" w:sz="1"/>
              <w:left w:val="single" w:color="CBD5E1" w:sz="1"/>
              <w:bottom w:val="single" w:color="CBD5E1" w:sz="1"/>
              <w:right w:val="single" w:color="CBD5E1" w:sz="1"/>
            </w:tcBorders>
            <w:shd w:fill="DC2626"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2800"/>
            <w:tcBorders>
              <w:top w:val="single" w:color="CBD5E1" w:sz="1"/>
              <w:left w:val="single" w:color="CBD5E1" w:sz="1"/>
              <w:bottom w:val="single" w:color="CBD5E1" w:sz="1"/>
              <w:right w:val="single" w:color="CBD5E1" w:sz="1"/>
            </w:tcBorders>
            <w:shd w:fill="DC2626" w:val="clear"/>
            <w:tcMar>
              <w:top w:type="dxa" w:w="80"/>
              <w:left w:type="dxa" w:w="120"/>
              <w:bottom w:type="dxa" w:w="80"/>
              <w:right w:type="dxa" w:w="120"/>
            </w:tcMar>
          </w:tcPr>
          <w:p>
            <w:r>
              <w:rPr>
                <w:rFonts w:ascii="Arial" w:cs="Arial" w:eastAsia="Arial" w:hAnsi="Arial"/>
                <w:b/>
                <w:bCs/>
                <w:color w:val="FFFFFF"/>
                <w:sz w:val="20"/>
                <w:szCs w:val="20"/>
              </w:rPr>
              <w:t xml:space="preserve">Measurement</w:t>
            </w:r>
          </w:p>
        </w:tc>
        <w:tc>
          <w:tcPr>
            <w:tcW w:type="dxa" w:w="1960"/>
            <w:tcBorders>
              <w:top w:val="single" w:color="CBD5E1" w:sz="1"/>
              <w:left w:val="single" w:color="CBD5E1" w:sz="1"/>
              <w:bottom w:val="single" w:color="CBD5E1" w:sz="1"/>
              <w:right w:val="single" w:color="CBD5E1" w:sz="1"/>
            </w:tcBorders>
            <w:shd w:fill="DC2626" w:val="clear"/>
            <w:tcMar>
              <w:top w:type="dxa" w:w="80"/>
              <w:left w:type="dxa" w:w="120"/>
              <w:bottom w:type="dxa" w:w="80"/>
              <w:right w:type="dxa" w:w="120"/>
            </w:tcMar>
          </w:tcPr>
          <w:p>
            <w:r>
              <w:rPr>
                <w:rFonts w:ascii="Arial" w:cs="Arial" w:eastAsia="Arial" w:hAnsi="Arial"/>
                <w:b/>
                <w:bCs/>
                <w:color w:val="FFFFFF"/>
                <w:sz w:val="20"/>
                <w:szCs w:val="20"/>
              </w:rPr>
              <w:t xml:space="preserve">Breach Action</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Total resolution latency (P50)</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&lt; 15ms</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End-to-end from request receipt to signed envelope return</w:t>
            </w:r>
          </w:p>
        </w:tc>
        <w:tc>
          <w:tcPr>
            <w:tcW w:type="dxa" w:w="1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Investigate cache miss rate</w:t>
            </w:r>
          </w:p>
        </w:tc>
      </w:tr>
      <w:tr>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76"/>
            </w:pPr>
            <w:r>
              <w:rPr>
                <w:rFonts w:ascii="Arial" w:cs="Arial" w:eastAsia="Arial" w:hAnsi="Arial"/>
                <w:color w:val="1E293B"/>
                <w:sz w:val="20"/>
                <w:szCs w:val="20"/>
              </w:rPr>
              <w:t xml:space="preserve">Total resolution latency (P95)</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76"/>
            </w:pPr>
            <w:r>
              <w:rPr>
                <w:rFonts w:ascii="Arial" w:cs="Arial" w:eastAsia="Arial" w:hAnsi="Arial"/>
                <w:color w:val="1E293B"/>
                <w:sz w:val="20"/>
                <w:szCs w:val="20"/>
              </w:rPr>
              <w:t xml:space="preserve">&lt; 30ms</w:t>
            </w:r>
          </w:p>
        </w:tc>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76"/>
            </w:pPr>
            <w:r>
              <w:rPr>
                <w:rFonts w:ascii="Arial" w:cs="Arial" w:eastAsia="Arial" w:hAnsi="Arial"/>
                <w:color w:val="1E293B"/>
                <w:sz w:val="20"/>
                <w:szCs w:val="20"/>
              </w:rPr>
              <w:t xml:space="preserve">Same</w:t>
            </w:r>
          </w:p>
        </w:tc>
        <w:tc>
          <w:tcPr>
            <w:tcW w:type="dxa" w:w="19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76"/>
            </w:pPr>
            <w:r>
              <w:rPr>
                <w:rFonts w:ascii="Arial" w:cs="Arial" w:eastAsia="Arial" w:hAnsi="Arial"/>
                <w:color w:val="1E293B"/>
                <w:sz w:val="20"/>
                <w:szCs w:val="20"/>
              </w:rPr>
              <w:t xml:space="preserve">Alert team; check Neo4j query performance</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Total resolution latency (P99)</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&lt; 60ms</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Same</w:t>
            </w:r>
          </w:p>
        </w:tc>
        <w:tc>
          <w:tcPr>
            <w:tcW w:type="dxa" w:w="1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Escalate; likely Neo4j degradation or excessive policy count</w:t>
            </w:r>
          </w:p>
        </w:tc>
      </w:tr>
      <w:tr>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76"/>
            </w:pPr>
            <w:r>
              <w:rPr>
                <w:rFonts w:ascii="Arial" w:cs="Arial" w:eastAsia="Arial" w:hAnsi="Arial"/>
                <w:color w:val="1E293B"/>
                <w:sz w:val="20"/>
                <w:szCs w:val="20"/>
              </w:rPr>
              <w:t xml:space="preserve">Cypher query execution</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76"/>
            </w:pPr>
            <w:r>
              <w:rPr>
                <w:rFonts w:ascii="Arial" w:cs="Arial" w:eastAsia="Arial" w:hAnsi="Arial"/>
                <w:color w:val="1E293B"/>
                <w:sz w:val="20"/>
                <w:szCs w:val="20"/>
              </w:rPr>
              <w:t xml:space="preserve">&lt; 10ms</w:t>
            </w:r>
          </w:p>
        </w:tc>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76"/>
            </w:pPr>
            <w:r>
              <w:rPr>
                <w:rFonts w:ascii="Arial" w:cs="Arial" w:eastAsia="Arial" w:hAnsi="Arial"/>
                <w:color w:val="1E293B"/>
                <w:sz w:val="20"/>
                <w:szCs w:val="20"/>
              </w:rPr>
              <w:t xml:space="preserve">Neo4j query time for policy collection</w:t>
            </w:r>
          </w:p>
        </w:tc>
        <w:tc>
          <w:tcPr>
            <w:tcW w:type="dxa" w:w="19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76"/>
            </w:pPr>
            <w:r>
              <w:rPr>
                <w:rFonts w:ascii="Arial" w:cs="Arial" w:eastAsia="Arial" w:hAnsi="Arial"/>
                <w:color w:val="1E293B"/>
                <w:sz w:val="20"/>
                <w:szCs w:val="20"/>
              </w:rPr>
              <w:t xml:space="preserve">Check Neo4j indexes; may need query optimization</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Conflict resolution (in-memory)</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&lt; 5ms</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CPU time for algorithm execution on PolicySet</w:t>
            </w:r>
          </w:p>
        </w:tc>
        <w:tc>
          <w:tcPr>
            <w:tcW w:type="dxa" w:w="1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Review algorithm efficiency; check for excessive policy count</w:t>
            </w:r>
          </w:p>
        </w:tc>
      </w:tr>
      <w:tr>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76"/>
            </w:pPr>
            <w:r>
              <w:rPr>
                <w:rFonts w:ascii="Arial" w:cs="Arial" w:eastAsia="Arial" w:hAnsi="Arial"/>
                <w:color w:val="1E293B"/>
                <w:sz w:val="20"/>
                <w:szCs w:val="20"/>
              </w:rPr>
              <w:t xml:space="preserve">Envelope signing</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76"/>
            </w:pPr>
            <w:r>
              <w:rPr>
                <w:rFonts w:ascii="Arial" w:cs="Arial" w:eastAsia="Arial" w:hAnsi="Arial"/>
                <w:color w:val="1E293B"/>
                <w:sz w:val="20"/>
                <w:szCs w:val="20"/>
              </w:rPr>
              <w:t xml:space="preserve">&lt; 2ms</w:t>
            </w:r>
          </w:p>
        </w:tc>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76"/>
            </w:pPr>
            <w:r>
              <w:rPr>
                <w:rFonts w:ascii="Arial" w:cs="Arial" w:eastAsia="Arial" w:hAnsi="Arial"/>
                <w:color w:val="1E293B"/>
                <w:sz w:val="20"/>
                <w:szCs w:val="20"/>
              </w:rPr>
              <w:t xml:space="preserve">HMAC-SHA256 computation</w:t>
            </w:r>
          </w:p>
        </w:tc>
        <w:tc>
          <w:tcPr>
            <w:tcW w:type="dxa" w:w="19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76"/>
            </w:pPr>
            <w:r>
              <w:rPr>
                <w:rFonts w:ascii="Arial" w:cs="Arial" w:eastAsia="Arial" w:hAnsi="Arial"/>
                <w:color w:val="1E293B"/>
                <w:sz w:val="20"/>
                <w:szCs w:val="20"/>
              </w:rPr>
              <w:t xml:space="preserve">Check key cache; Vault round-trip would be 10–50ms</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Concurrent throughput</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&gt; 500 req/sec sustained</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Load test with realistic role mix</w:t>
            </w:r>
          </w:p>
        </w:tc>
        <w:tc>
          <w:tcPr>
            <w:tcW w:type="dxa" w:w="1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Scale horizontally; add L4 instances</w:t>
            </w:r>
          </w:p>
        </w:tc>
      </w:tr>
      <w:tr>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76"/>
            </w:pPr>
            <w:r>
              <w:rPr>
                <w:rFonts w:ascii="Arial" w:cs="Arial" w:eastAsia="Arial" w:hAnsi="Arial"/>
                <w:color w:val="1E293B"/>
                <w:sz w:val="20"/>
                <w:szCs w:val="20"/>
              </w:rPr>
              <w:t xml:space="preserve">Policy count per request (avg)</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76"/>
            </w:pPr>
            <w:r>
              <w:rPr>
                <w:rFonts w:ascii="Arial" w:cs="Arial" w:eastAsia="Arial" w:hAnsi="Arial"/>
                <w:color w:val="1E293B"/>
                <w:sz w:val="20"/>
                <w:szCs w:val="20"/>
              </w:rPr>
              <w:t xml:space="preserve">10–25 policies</w:t>
            </w:r>
          </w:p>
        </w:tc>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76"/>
            </w:pPr>
            <w:r>
              <w:rPr>
                <w:rFonts w:ascii="Arial" w:cs="Arial" w:eastAsia="Arial" w:hAnsi="Arial"/>
                <w:color w:val="1E293B"/>
                <w:sz w:val="20"/>
                <w:szCs w:val="20"/>
              </w:rPr>
              <w:t xml:space="preserve">Count of policies in PolicySet</w:t>
            </w:r>
          </w:p>
        </w:tc>
        <w:tc>
          <w:tcPr>
            <w:tcW w:type="dxa" w:w="19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76"/>
            </w:pPr>
            <w:r>
              <w:rPr>
                <w:rFonts w:ascii="Arial" w:cs="Arial" w:eastAsia="Arial" w:hAnsi="Arial"/>
                <w:color w:val="1E293B"/>
                <w:sz w:val="20"/>
                <w:szCs w:val="20"/>
              </w:rPr>
              <w:t xml:space="preserve">Informational; higher counts may indicate policy bloat</w:t>
            </w:r>
          </w:p>
        </w:tc>
      </w:tr>
    </w:tbl>
    <w:p>
      <w:pPr>
        <w:spacing w:after="80"/>
      </w:pPr>
    </w:p>
    <w:p>
      <w:r>
        <w:br w:type="page"/>
      </w:r>
    </w:p>
    <w:p>
      <w:pPr>
        <w:pStyle w:val="Heading1"/>
        <w:spacing w:before="360" w:after="200"/>
      </w:pPr>
      <w:r>
        <w:rPr>
          <w:rFonts w:ascii="Arial" w:cs="Arial" w:eastAsia="Arial" w:hAnsi="Arial"/>
          <w:b/>
          <w:bCs/>
          <w:color w:val="DC2626"/>
          <w:sz w:val="32"/>
          <w:szCs w:val="32"/>
        </w:rPr>
        <w:t xml:space="preserve">20. Integration Contracts</w:t>
      </w:r>
    </w:p>
    <w:p>
      <w:pPr>
        <w:pStyle w:val="Heading2"/>
        <w:spacing w:before="300" w:after="160"/>
      </w:pPr>
      <w:r>
        <w:rPr>
          <w:rFonts w:ascii="Arial" w:cs="Arial" w:eastAsia="Arial" w:hAnsi="Arial"/>
          <w:b/>
          <w:bCs/>
          <w:color w:val="1E293B"/>
          <w:sz w:val="26"/>
          <w:szCs w:val="26"/>
        </w:rPr>
        <w:t xml:space="preserve">20.1 With Layer 3 (Intelligent Retrieval)</w:t>
      </w:r>
    </w:p>
    <w:p>
      <w:pPr>
        <w:spacing w:after="160" w:line="276"/>
      </w:pPr>
      <w:r>
        <w:rPr>
          <w:rFonts w:ascii="Arial" w:cs="Arial" w:eastAsia="Arial" w:hAnsi="Arial"/>
          <w:b/>
          <w:bCs/>
          <w:color w:val="1E293B"/>
          <w:sz w:val="20"/>
          <w:szCs w:val="20"/>
        </w:rPr>
        <w:t xml:space="preserve">Interaction model: </w:t>
      </w:r>
      <w:r>
        <w:rPr>
          <w:rFonts w:ascii="Arial" w:cs="Arial" w:eastAsia="Arial" w:hAnsi="Arial"/>
          <w:color w:val="1E293B"/>
          <w:sz w:val="20"/>
          <w:szCs w:val="20"/>
        </w:rPr>
        <w:t xml:space="preserve">Synchronous request-response. L3 calls L4 during Phase 3 of its retrieval pipeline. L4 must respond within 30ms P95 for L3 to meet its 50ms total target.</w:t>
      </w:r>
    </w:p>
    <w:p>
      <w:pPr>
        <w:spacing w:after="160" w:line="276"/>
      </w:pPr>
      <w:r>
        <w:rPr>
          <w:rFonts w:ascii="Arial" w:cs="Arial" w:eastAsia="Arial" w:hAnsi="Arial"/>
          <w:b/>
          <w:bCs/>
          <w:color w:val="1E293B"/>
          <w:sz w:val="20"/>
          <w:szCs w:val="20"/>
        </w:rPr>
        <w:t xml:space="preserve">Contract: </w:t>
      </w:r>
      <w:r>
        <w:rPr>
          <w:rFonts w:ascii="Arial" w:cs="Arial" w:eastAsia="Arial" w:hAnsi="Arial"/>
          <w:color w:val="1E293B"/>
          <w:sz w:val="20"/>
          <w:szCs w:val="20"/>
        </w:rPr>
        <w:t xml:space="preserve">L3 sends candidate_table_ids (5–10 tables) + SecurityContext. L4 returns a signed PermissionEnvelope. L3 applies the envelope for column scoping and schema fragment generation.</w:t>
      </w:r>
    </w:p>
    <w:p>
      <w:pPr>
        <w:pStyle w:val="Heading2"/>
        <w:spacing w:before="300" w:after="160"/>
      </w:pPr>
      <w:r>
        <w:rPr>
          <w:rFonts w:ascii="Arial" w:cs="Arial" w:eastAsia="Arial" w:hAnsi="Arial"/>
          <w:b/>
          <w:bCs/>
          <w:color w:val="1E293B"/>
          <w:sz w:val="26"/>
          <w:szCs w:val="26"/>
        </w:rPr>
        <w:t xml:space="preserve">20.2 With Layer 5 (Secure Generation)</w:t>
      </w:r>
    </w:p>
    <w:p>
      <w:pPr>
        <w:spacing w:after="160" w:line="276"/>
      </w:pPr>
      <w:r>
        <w:rPr>
          <w:rFonts w:ascii="Arial" w:cs="Arial" w:eastAsia="Arial" w:hAnsi="Arial"/>
          <w:b/>
          <w:bCs/>
          <w:color w:val="1E293B"/>
          <w:sz w:val="20"/>
          <w:szCs w:val="20"/>
        </w:rPr>
        <w:t xml:space="preserve">Interaction model: </w:t>
      </w:r>
      <w:r>
        <w:rPr>
          <w:rFonts w:ascii="Arial" w:cs="Arial" w:eastAsia="Arial" w:hAnsi="Arial"/>
          <w:color w:val="1E293B"/>
          <w:sz w:val="20"/>
          <w:szCs w:val="20"/>
        </w:rPr>
        <w:t xml:space="preserve">Pass-through. The PermissionEnvelope travels from L3 to L5 within the same request lifecycle. L5 reads the nl_rules[] array and filtered schema from the envelope to assemble the LLM prompt.</w:t>
      </w:r>
    </w:p>
    <w:p>
      <w:pPr>
        <w:spacing w:after="160" w:line="276"/>
      </w:pPr>
      <w:r>
        <w:rPr>
          <w:rFonts w:ascii="Arial" w:cs="Arial" w:eastAsia="Arial" w:hAnsi="Arial"/>
          <w:b/>
          <w:bCs/>
          <w:color w:val="1E293B"/>
          <w:sz w:val="20"/>
          <w:szCs w:val="20"/>
        </w:rPr>
        <w:t xml:space="preserve">Contract: </w:t>
      </w:r>
      <w:r>
        <w:rPr>
          <w:rFonts w:ascii="Arial" w:cs="Arial" w:eastAsia="Arial" w:hAnsi="Arial"/>
          <w:color w:val="1E293B"/>
          <w:sz w:val="20"/>
          <w:szCs w:val="20"/>
        </w:rPr>
        <w:t xml:space="preserve">L5 MUST verify the envelope signature before use. L5 MUST include all nl_rules[] in the LLM prompt verbatim. L5 MUST NOT augment the schema with tables or columns not present in the envelope.</w:t>
      </w:r>
    </w:p>
    <w:p>
      <w:pPr>
        <w:pStyle w:val="Heading2"/>
        <w:spacing w:before="300" w:after="160"/>
      </w:pPr>
      <w:r>
        <w:rPr>
          <w:rFonts w:ascii="Arial" w:cs="Arial" w:eastAsia="Arial" w:hAnsi="Arial"/>
          <w:b/>
          <w:bCs/>
          <w:color w:val="1E293B"/>
          <w:sz w:val="26"/>
          <w:szCs w:val="26"/>
        </w:rPr>
        <w:t xml:space="preserve">20.3 With Layer 6 (Multi-Gate Validation)</w:t>
      </w:r>
    </w:p>
    <w:p>
      <w:pPr>
        <w:spacing w:after="160" w:line="276"/>
      </w:pPr>
      <w:r>
        <w:rPr>
          <w:rFonts w:ascii="Arial" w:cs="Arial" w:eastAsia="Arial" w:hAnsi="Arial"/>
          <w:b/>
          <w:bCs/>
          <w:color w:val="1E293B"/>
          <w:sz w:val="20"/>
          <w:szCs w:val="20"/>
        </w:rPr>
        <w:t xml:space="preserve">Interaction model: </w:t>
      </w:r>
      <w:r>
        <w:rPr>
          <w:rFonts w:ascii="Arial" w:cs="Arial" w:eastAsia="Arial" w:hAnsi="Arial"/>
          <w:color w:val="1E293B"/>
          <w:sz w:val="20"/>
          <w:szCs w:val="20"/>
        </w:rPr>
        <w:t xml:space="preserve">Independent verification. L6 receives the same PermissionEnvelope and the generated SQL. It re-validates every table, column, and join in the SQL against the envelope.</w:t>
      </w:r>
    </w:p>
    <w:p>
      <w:pPr>
        <w:spacing w:after="160" w:line="276"/>
      </w:pPr>
      <w:r>
        <w:rPr>
          <w:rFonts w:ascii="Arial" w:cs="Arial" w:eastAsia="Arial" w:hAnsi="Arial"/>
          <w:b/>
          <w:bCs/>
          <w:color w:val="1E293B"/>
          <w:sz w:val="20"/>
          <w:szCs w:val="20"/>
        </w:rPr>
        <w:t xml:space="preserve">Contract: </w:t>
      </w:r>
      <w:r>
        <w:rPr>
          <w:rFonts w:ascii="Arial" w:cs="Arial" w:eastAsia="Arial" w:hAnsi="Arial"/>
          <w:color w:val="1E293B"/>
          <w:sz w:val="20"/>
          <w:szCs w:val="20"/>
        </w:rPr>
        <w:t xml:space="preserve">L6 MUST verify the envelope signature independently. L6 MUST reject any SQL that references tables, columns, or joins not permitted by the envelope. L6 does NOT re-resolve policies — it trusts the signed envelope as the single source of truth.</w:t>
      </w:r>
    </w:p>
    <w:p>
      <w:pPr>
        <w:pStyle w:val="Heading2"/>
        <w:spacing w:before="300" w:after="160"/>
      </w:pPr>
      <w:r>
        <w:rPr>
          <w:rFonts w:ascii="Arial" w:cs="Arial" w:eastAsia="Arial" w:hAnsi="Arial"/>
          <w:b/>
          <w:bCs/>
          <w:color w:val="1E293B"/>
          <w:sz w:val="26"/>
          <w:szCs w:val="26"/>
        </w:rPr>
        <w:t xml:space="preserve">20.4 With Layer 8 (Audit &amp; Anomaly)</w:t>
      </w:r>
    </w:p>
    <w:p>
      <w:pPr>
        <w:spacing w:after="160" w:line="276"/>
      </w:pPr>
      <w:r>
        <w:rPr>
          <w:rFonts w:ascii="Arial" w:cs="Arial" w:eastAsia="Arial" w:hAnsi="Arial"/>
          <w:b/>
          <w:bCs/>
          <w:color w:val="1E293B"/>
          <w:sz w:val="20"/>
          <w:szCs w:val="20"/>
        </w:rPr>
        <w:t xml:space="preserve">Interaction model: </w:t>
      </w:r>
      <w:r>
        <w:rPr>
          <w:rFonts w:ascii="Arial" w:cs="Arial" w:eastAsia="Arial" w:hAnsi="Arial"/>
          <w:color w:val="1E293B"/>
          <w:sz w:val="20"/>
          <w:szCs w:val="20"/>
        </w:rPr>
        <w:t xml:space="preserve">Async log emission. The complete PermissionEnvelope (including denied_tables and denial reasons) is logged to the audit system after the request completes.</w:t>
      </w:r>
    </w:p>
    <w:p>
      <w:pPr>
        <w:spacing w:after="160" w:line="276"/>
      </w:pPr>
      <w:r>
        <w:rPr>
          <w:rFonts w:ascii="Arial" w:cs="Arial" w:eastAsia="Arial" w:hAnsi="Arial"/>
          <w:b/>
          <w:bCs/>
          <w:color w:val="1E293B"/>
          <w:sz w:val="20"/>
          <w:szCs w:val="20"/>
        </w:rPr>
        <w:t xml:space="preserve">Contract: </w:t>
      </w:r>
      <w:r>
        <w:rPr>
          <w:rFonts w:ascii="Arial" w:cs="Arial" w:eastAsia="Arial" w:hAnsi="Arial"/>
          <w:color w:val="1E293B"/>
          <w:sz w:val="20"/>
          <w:szCs w:val="20"/>
        </w:rPr>
        <w:t xml:space="preserve">The audit system receives the full envelope, including all policies_considered and the resolution trace. This enables retrospective compliance analysis: for any historical query, auditors can see exactly which policies were evaluated and why each decision was made.</w:t>
      </w:r>
    </w:p>
    <w:p>
      <w:pPr>
        <w:spacing w:after="80"/>
      </w:pPr>
    </w:p>
    <w:p>
      <w:r>
        <w:br w:type="page"/>
      </w:r>
    </w:p>
    <w:p>
      <w:pPr>
        <w:pStyle w:val="Heading1"/>
        <w:spacing w:before="360" w:after="200"/>
      </w:pPr>
      <w:r>
        <w:rPr>
          <w:rFonts w:ascii="Arial" w:cs="Arial" w:eastAsia="Arial" w:hAnsi="Arial"/>
          <w:b/>
          <w:bCs/>
          <w:color w:val="DC2626"/>
          <w:sz w:val="32"/>
          <w:szCs w:val="32"/>
        </w:rPr>
        <w:t xml:space="preserve">21.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1200"/>
        <w:gridCol w:w="3360"/>
      </w:tblGrid>
      <w:tr>
        <w:tc>
          <w:tcPr>
            <w:tcW w:type="dxa" w:w="2200"/>
            <w:tcBorders>
              <w:top w:val="single" w:color="CBD5E1" w:sz="1"/>
              <w:left w:val="single" w:color="CBD5E1" w:sz="1"/>
              <w:bottom w:val="single" w:color="CBD5E1" w:sz="1"/>
              <w:right w:val="single" w:color="CBD5E1" w:sz="1"/>
            </w:tcBorders>
            <w:shd w:fill="DC2626"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600"/>
            <w:tcBorders>
              <w:top w:val="single" w:color="CBD5E1" w:sz="1"/>
              <w:left w:val="single" w:color="CBD5E1" w:sz="1"/>
              <w:bottom w:val="single" w:color="CBD5E1" w:sz="1"/>
              <w:right w:val="single" w:color="CBD5E1" w:sz="1"/>
            </w:tcBorders>
            <w:shd w:fill="DC2626"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1200"/>
            <w:tcBorders>
              <w:top w:val="single" w:color="CBD5E1" w:sz="1"/>
              <w:left w:val="single" w:color="CBD5E1" w:sz="1"/>
              <w:bottom w:val="single" w:color="CBD5E1" w:sz="1"/>
              <w:right w:val="single" w:color="CBD5E1" w:sz="1"/>
            </w:tcBorders>
            <w:shd w:fill="DC2626"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3360"/>
            <w:tcBorders>
              <w:top w:val="single" w:color="CBD5E1" w:sz="1"/>
              <w:left w:val="single" w:color="CBD5E1" w:sz="1"/>
              <w:bottom w:val="single" w:color="CBD5E1" w:sz="1"/>
              <w:right w:val="single" w:color="CBD5E1" w:sz="1"/>
            </w:tcBorders>
            <w:shd w:fill="DC2626"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Service framework</w:t>
            </w:r>
          </w:p>
        </w:tc>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FastAPI (Python, async)</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0.110+</w:t>
            </w:r>
          </w:p>
        </w:tc>
        <w:tc>
          <w:tcPr>
            <w:tcW w:type="dxa" w:w="3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Async REST API for policy resolution endpoints</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76"/>
            </w:pPr>
            <w:r>
              <w:rPr>
                <w:rFonts w:ascii="Arial" w:cs="Arial" w:eastAsia="Arial" w:hAnsi="Arial"/>
                <w:color w:val="1E293B"/>
                <w:sz w:val="20"/>
                <w:szCs w:val="20"/>
              </w:rPr>
              <w:t xml:space="preserve">Graph database</w:t>
            </w:r>
          </w:p>
        </w:tc>
        <w:tc>
          <w:tcPr>
            <w:tcW w:type="dxa" w:w="26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76"/>
            </w:pPr>
            <w:r>
              <w:rPr>
                <w:rFonts w:ascii="Arial" w:cs="Arial" w:eastAsia="Arial" w:hAnsi="Arial"/>
                <w:color w:val="1E293B"/>
                <w:sz w:val="20"/>
                <w:szCs w:val="20"/>
              </w:rPr>
              <w:t xml:space="preserve">Neo4j (async driver)</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76"/>
            </w:pPr>
            <w:r>
              <w:rPr>
                <w:rFonts w:ascii="Arial" w:cs="Arial" w:eastAsia="Arial" w:hAnsi="Arial"/>
                <w:color w:val="1E293B"/>
                <w:sz w:val="20"/>
                <w:szCs w:val="20"/>
              </w:rPr>
              <w:t xml:space="preserve">5.x</w:t>
            </w:r>
          </w:p>
        </w:tc>
        <w:tc>
          <w:tcPr>
            <w:tcW w:type="dxa" w:w="33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76"/>
            </w:pPr>
            <w:r>
              <w:rPr>
                <w:rFonts w:ascii="Arial" w:cs="Arial" w:eastAsia="Arial" w:hAnsi="Arial"/>
                <w:color w:val="1E293B"/>
                <w:sz w:val="20"/>
                <w:szCs w:val="20"/>
              </w:rPr>
              <w:t xml:space="preserve">Policy graph traversal; role hierarchy; policy-table-domain relationships</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Graph query language</w:t>
            </w:r>
          </w:p>
        </w:tc>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Cypher</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N/A</w:t>
            </w:r>
          </w:p>
        </w:tc>
        <w:tc>
          <w:tcPr>
            <w:tcW w:type="dxa" w:w="3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Complex traversal queries for policy collection across role hierarchies</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76"/>
            </w:pPr>
            <w:r>
              <w:rPr>
                <w:rFonts w:ascii="Arial" w:cs="Arial" w:eastAsia="Arial" w:hAnsi="Arial"/>
                <w:color w:val="1E293B"/>
                <w:sz w:val="20"/>
                <w:szCs w:val="20"/>
              </w:rPr>
              <w:t xml:space="preserve">Cache</w:t>
            </w:r>
          </w:p>
        </w:tc>
        <w:tc>
          <w:tcPr>
            <w:tcW w:type="dxa" w:w="26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76"/>
            </w:pPr>
            <w:r>
              <w:rPr>
                <w:rFonts w:ascii="Arial" w:cs="Arial" w:eastAsia="Arial" w:hAnsi="Arial"/>
                <w:color w:val="1E293B"/>
                <w:sz w:val="20"/>
                <w:szCs w:val="20"/>
              </w:rPr>
              <w:t xml:space="preserve">Redis</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76"/>
            </w:pPr>
            <w:r>
              <w:rPr>
                <w:rFonts w:ascii="Arial" w:cs="Arial" w:eastAsia="Arial" w:hAnsi="Arial"/>
                <w:color w:val="1E293B"/>
                <w:sz w:val="20"/>
                <w:szCs w:val="20"/>
              </w:rPr>
              <w:t xml:space="preserve">7.x</w:t>
            </w:r>
          </w:p>
        </w:tc>
        <w:tc>
          <w:tcPr>
            <w:tcW w:type="dxa" w:w="33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76"/>
            </w:pPr>
            <w:r>
              <w:rPr>
                <w:rFonts w:ascii="Arial" w:cs="Arial" w:eastAsia="Arial" w:hAnsi="Arial"/>
                <w:color w:val="1E293B"/>
                <w:sz w:val="20"/>
                <w:szCs w:val="20"/>
              </w:rPr>
              <w:t xml:space="preserve">Role-policy index cache, regulatory tag cache</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Local cache</w:t>
            </w:r>
          </w:p>
        </w:tc>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Python dict (in-process)</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N/A</w:t>
            </w:r>
          </w:p>
        </w:tc>
        <w:tc>
          <w:tcPr>
            <w:tcW w:type="dxa" w:w="3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Role hierarchy map, column metadata, signing key</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76"/>
            </w:pPr>
            <w:r>
              <w:rPr>
                <w:rFonts w:ascii="Arial" w:cs="Arial" w:eastAsia="Arial" w:hAnsi="Arial"/>
                <w:color w:val="1E293B"/>
                <w:sz w:val="20"/>
                <w:szCs w:val="20"/>
              </w:rPr>
              <w:t xml:space="preserve">Signing</w:t>
            </w:r>
          </w:p>
        </w:tc>
        <w:tc>
          <w:tcPr>
            <w:tcW w:type="dxa" w:w="26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76"/>
            </w:pPr>
            <w:r>
              <w:rPr>
                <w:rFonts w:ascii="Arial" w:cs="Arial" w:eastAsia="Arial" w:hAnsi="Arial"/>
                <w:color w:val="1E293B"/>
                <w:sz w:val="20"/>
                <w:szCs w:val="20"/>
              </w:rPr>
              <w:t xml:space="preserve">HMAC-SHA256 (Python hmac)</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76"/>
            </w:pPr>
            <w:r>
              <w:rPr>
                <w:rFonts w:ascii="Arial" w:cs="Arial" w:eastAsia="Arial" w:hAnsi="Arial"/>
                <w:color w:val="1E293B"/>
                <w:sz w:val="20"/>
                <w:szCs w:val="20"/>
              </w:rPr>
              <w:t xml:space="preserve">Built-in</w:t>
            </w:r>
          </w:p>
        </w:tc>
        <w:tc>
          <w:tcPr>
            <w:tcW w:type="dxa" w:w="33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76"/>
            </w:pPr>
            <w:r>
              <w:rPr>
                <w:rFonts w:ascii="Arial" w:cs="Arial" w:eastAsia="Arial" w:hAnsi="Arial"/>
                <w:color w:val="1E293B"/>
                <w:sz w:val="20"/>
                <w:szCs w:val="20"/>
              </w:rPr>
              <w:t xml:space="preserve">Envelope signing and verification</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Secret management</w:t>
            </w:r>
          </w:p>
        </w:tc>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HashiCorp Vault</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Latest</w:t>
            </w:r>
          </w:p>
        </w:tc>
        <w:tc>
          <w:tcPr>
            <w:tcW w:type="dxa" w:w="3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HMAC signing key storage and rotation</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76"/>
            </w:pPr>
            <w:r>
              <w:rPr>
                <w:rFonts w:ascii="Arial" w:cs="Arial" w:eastAsia="Arial" w:hAnsi="Arial"/>
                <w:color w:val="1E293B"/>
                <w:sz w:val="20"/>
                <w:szCs w:val="20"/>
              </w:rPr>
              <w:t xml:space="preserve">JSON processing</w:t>
            </w:r>
          </w:p>
        </w:tc>
        <w:tc>
          <w:tcPr>
            <w:tcW w:type="dxa" w:w="26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76"/>
            </w:pPr>
            <w:r>
              <w:rPr>
                <w:rFonts w:ascii="Arial" w:cs="Arial" w:eastAsia="Arial" w:hAnsi="Arial"/>
                <w:color w:val="1E293B"/>
                <w:sz w:val="20"/>
                <w:szCs w:val="20"/>
              </w:rPr>
              <w:t xml:space="preserve">orjson</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76"/>
            </w:pPr>
            <w:r>
              <w:rPr>
                <w:rFonts w:ascii="Arial" w:cs="Arial" w:eastAsia="Arial" w:hAnsi="Arial"/>
                <w:color w:val="1E293B"/>
                <w:sz w:val="20"/>
                <w:szCs w:val="20"/>
              </w:rPr>
              <w:t xml:space="preserve">3.x</w:t>
            </w:r>
          </w:p>
        </w:tc>
        <w:tc>
          <w:tcPr>
            <w:tcW w:type="dxa" w:w="33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76"/>
            </w:pPr>
            <w:r>
              <w:rPr>
                <w:rFonts w:ascii="Arial" w:cs="Arial" w:eastAsia="Arial" w:hAnsi="Arial"/>
                <w:color w:val="1E293B"/>
                <w:sz w:val="20"/>
                <w:szCs w:val="20"/>
              </w:rPr>
              <w:t xml:space="preserve">Fast canonical JSON serialization for deterministic signing</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HTTP client</w:t>
            </w:r>
          </w:p>
        </w:tc>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httpx (async)</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0.27+</w:t>
            </w:r>
          </w:p>
        </w:tc>
        <w:tc>
          <w:tcPr>
            <w:tcW w:type="dxa" w:w="3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Internal service communication (if L4 is deployed separately from L3)</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76"/>
            </w:pPr>
            <w:r>
              <w:rPr>
                <w:rFonts w:ascii="Arial" w:cs="Arial" w:eastAsia="Arial" w:hAnsi="Arial"/>
                <w:color w:val="1E293B"/>
                <w:sz w:val="20"/>
                <w:szCs w:val="20"/>
              </w:rPr>
              <w:t xml:space="preserve">Metrics</w:t>
            </w:r>
          </w:p>
        </w:tc>
        <w:tc>
          <w:tcPr>
            <w:tcW w:type="dxa" w:w="26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76"/>
            </w:pPr>
            <w:r>
              <w:rPr>
                <w:rFonts w:ascii="Arial" w:cs="Arial" w:eastAsia="Arial" w:hAnsi="Arial"/>
                <w:color w:val="1E293B"/>
                <w:sz w:val="20"/>
                <w:szCs w:val="20"/>
              </w:rPr>
              <w:t xml:space="preserve">Prometheus + Grafana</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76"/>
            </w:pPr>
            <w:r>
              <w:rPr>
                <w:rFonts w:ascii="Arial" w:cs="Arial" w:eastAsia="Arial" w:hAnsi="Arial"/>
                <w:color w:val="1E293B"/>
                <w:sz w:val="20"/>
                <w:szCs w:val="20"/>
              </w:rPr>
              <w:t xml:space="preserve">Latest</w:t>
            </w:r>
          </w:p>
        </w:tc>
        <w:tc>
          <w:tcPr>
            <w:tcW w:type="dxa" w:w="33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76"/>
            </w:pPr>
            <w:r>
              <w:rPr>
                <w:rFonts w:ascii="Arial" w:cs="Arial" w:eastAsia="Arial" w:hAnsi="Arial"/>
                <w:color w:val="1E293B"/>
                <w:sz w:val="20"/>
                <w:szCs w:val="20"/>
              </w:rPr>
              <w:t xml:space="preserve">Resolution latency histograms, cache hit rates, policy evaluation counts</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Testing</w:t>
            </w:r>
          </w:p>
        </w:tc>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pytest + hypothesis</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Latest</w:t>
            </w:r>
          </w:p>
        </w:tc>
        <w:tc>
          <w:tcPr>
            <w:tcW w:type="dxa" w:w="3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Property-based testing for determinism guarantee</w:t>
            </w:r>
          </w:p>
        </w:tc>
      </w:tr>
    </w:tbl>
    <w:p>
      <w:pPr>
        <w:spacing w:after="80"/>
      </w:pPr>
    </w:p>
    <w:p>
      <w:r>
        <w:br w:type="page"/>
      </w:r>
    </w:p>
    <w:p>
      <w:pPr>
        <w:pStyle w:val="Heading1"/>
        <w:spacing w:before="360" w:after="200"/>
      </w:pPr>
      <w:r>
        <w:rPr>
          <w:rFonts w:ascii="Arial" w:cs="Arial" w:eastAsia="Arial" w:hAnsi="Arial"/>
          <w:b/>
          <w:bCs/>
          <w:color w:val="DC2626"/>
          <w:sz w:val="32"/>
          <w:szCs w:val="32"/>
        </w:rPr>
        <w:t xml:space="preserve">22. Testing Strategy</w:t>
      </w:r>
    </w:p>
    <w:p>
      <w:pPr>
        <w:pStyle w:val="Heading2"/>
        <w:spacing w:before="300" w:after="160"/>
      </w:pPr>
      <w:r>
        <w:rPr>
          <w:rFonts w:ascii="Arial" w:cs="Arial" w:eastAsia="Arial" w:hAnsi="Arial"/>
          <w:b/>
          <w:bCs/>
          <w:color w:val="1E293B"/>
          <w:sz w:val="26"/>
          <w:szCs w:val="26"/>
        </w:rPr>
        <w:t xml:space="preserve">22.1 Determinism Tests</w:t>
      </w:r>
    </w:p>
    <w:p>
      <w:pPr>
        <w:pStyle w:val="ListParagraph"/>
        <w:numPr>
          <w:ilvl w:val="0"/>
          <w:numId w:val="2"/>
        </w:numPr>
        <w:spacing w:after="80" w:line="276"/>
      </w:pPr>
      <w:r>
        <w:rPr>
          <w:rFonts w:ascii="Arial" w:cs="Arial" w:eastAsia="Arial" w:hAnsi="Arial"/>
          <w:b/>
          <w:bCs/>
          <w:color w:val="1E293B"/>
          <w:sz w:val="20"/>
          <w:szCs w:val="20"/>
        </w:rPr>
        <w:t xml:space="preserve">Idempotency: </w:t>
      </w:r>
      <w:r>
        <w:rPr>
          <w:rFonts w:ascii="Arial" w:cs="Arial" w:eastAsia="Arial" w:hAnsi="Arial"/>
          <w:color w:val="1E293B"/>
          <w:sz w:val="20"/>
          <w:szCs w:val="20"/>
        </w:rPr>
        <w:t xml:space="preserve">Run the same SecurityContext + candidate tables 1,000 times. Verify that every PermissionEnvelope is byte-identical (including signature, when using the same signing key).</w:t>
      </w:r>
    </w:p>
    <w:p>
      <w:pPr>
        <w:pStyle w:val="ListParagraph"/>
        <w:numPr>
          <w:ilvl w:val="0"/>
          <w:numId w:val="2"/>
        </w:numPr>
        <w:spacing w:after="80" w:line="276"/>
      </w:pPr>
      <w:r>
        <w:rPr>
          <w:rFonts w:ascii="Arial" w:cs="Arial" w:eastAsia="Arial" w:hAnsi="Arial"/>
          <w:b/>
          <w:bCs/>
          <w:color w:val="1E293B"/>
          <w:sz w:val="20"/>
          <w:szCs w:val="20"/>
        </w:rPr>
        <w:t xml:space="preserve">Role order independence: </w:t>
      </w:r>
      <w:r>
        <w:rPr>
          <w:rFonts w:ascii="Arial" w:cs="Arial" w:eastAsia="Arial" w:hAnsi="Arial"/>
          <w:color w:val="1E293B"/>
          <w:sz w:val="20"/>
          <w:szCs w:val="20"/>
        </w:rPr>
        <w:t xml:space="preserve">Shuffle effective_roles[] in 100 different orderings. Verify identical envelopes for all orderings.</w:t>
      </w:r>
    </w:p>
    <w:p>
      <w:pPr>
        <w:pStyle w:val="ListParagraph"/>
        <w:numPr>
          <w:ilvl w:val="0"/>
          <w:numId w:val="2"/>
        </w:numPr>
        <w:spacing w:after="80" w:line="276"/>
      </w:pPr>
      <w:r>
        <w:rPr>
          <w:rFonts w:ascii="Arial" w:cs="Arial" w:eastAsia="Arial" w:hAnsi="Arial"/>
          <w:b/>
          <w:bCs/>
          <w:color w:val="1E293B"/>
          <w:sz w:val="20"/>
          <w:szCs w:val="20"/>
        </w:rPr>
        <w:t xml:space="preserve">Table order independence: </w:t>
      </w:r>
      <w:r>
        <w:rPr>
          <w:rFonts w:ascii="Arial" w:cs="Arial" w:eastAsia="Arial" w:hAnsi="Arial"/>
          <w:color w:val="1E293B"/>
          <w:sz w:val="20"/>
          <w:szCs w:val="20"/>
        </w:rPr>
        <w:t xml:space="preserve">Shuffle candidate_table_ids[] in 100 orderings. Verify identical envelopes.</w:t>
      </w:r>
    </w:p>
    <w:p>
      <w:pPr>
        <w:pStyle w:val="ListParagraph"/>
        <w:numPr>
          <w:ilvl w:val="0"/>
          <w:numId w:val="2"/>
        </w:numPr>
        <w:spacing w:after="80" w:line="276"/>
      </w:pPr>
      <w:r>
        <w:rPr>
          <w:rFonts w:ascii="Arial" w:cs="Arial" w:eastAsia="Arial" w:hAnsi="Arial"/>
          <w:b/>
          <w:bCs/>
          <w:color w:val="1E293B"/>
          <w:sz w:val="20"/>
          <w:szCs w:val="20"/>
        </w:rPr>
        <w:t xml:space="preserve">Policy order independence: </w:t>
      </w:r>
      <w:r>
        <w:rPr>
          <w:rFonts w:ascii="Arial" w:cs="Arial" w:eastAsia="Arial" w:hAnsi="Arial"/>
          <w:color w:val="1E293B"/>
          <w:sz w:val="20"/>
          <w:szCs w:val="20"/>
        </w:rPr>
        <w:t xml:space="preserve">Insert policies in different orders into Neo4j. Verify identical resolution results.</w:t>
      </w:r>
    </w:p>
    <w:p>
      <w:pPr>
        <w:pStyle w:val="Heading2"/>
        <w:spacing w:before="300" w:after="160"/>
      </w:pPr>
      <w:r>
        <w:rPr>
          <w:rFonts w:ascii="Arial" w:cs="Arial" w:eastAsia="Arial" w:hAnsi="Arial"/>
          <w:b/>
          <w:bCs/>
          <w:color w:val="1E293B"/>
          <w:sz w:val="26"/>
          <w:szCs w:val="26"/>
        </w:rPr>
        <w:t xml:space="preserve">22.2 Conflict Resolution Tests</w:t>
      </w:r>
    </w:p>
    <w:p>
      <w:pPr>
        <w:pStyle w:val="ListParagraph"/>
        <w:numPr>
          <w:ilvl w:val="0"/>
          <w:numId w:val="2"/>
        </w:numPr>
        <w:spacing w:after="80" w:line="276"/>
      </w:pPr>
      <w:r>
        <w:rPr>
          <w:rFonts w:ascii="Arial" w:cs="Arial" w:eastAsia="Arial" w:hAnsi="Arial"/>
          <w:b/>
          <w:bCs/>
          <w:color w:val="1E293B"/>
          <w:sz w:val="20"/>
          <w:szCs w:val="20"/>
        </w:rPr>
        <w:t xml:space="preserve">DENY beats ALLOW: </w:t>
      </w:r>
      <w:r>
        <w:rPr>
          <w:rFonts w:ascii="Arial" w:cs="Arial" w:eastAsia="Arial" w:hAnsi="Arial"/>
          <w:color w:val="1E293B"/>
          <w:sz w:val="20"/>
          <w:szCs w:val="20"/>
        </w:rPr>
        <w:t xml:space="preserve">Create ALLOW (priority 50) and DENY (priority 60) for the same table. Verify DENIED.</w:t>
      </w:r>
    </w:p>
    <w:p>
      <w:pPr>
        <w:pStyle w:val="ListParagraph"/>
        <w:numPr>
          <w:ilvl w:val="0"/>
          <w:numId w:val="2"/>
        </w:numPr>
        <w:spacing w:after="80" w:line="276"/>
      </w:pPr>
      <w:r>
        <w:rPr>
          <w:rFonts w:ascii="Arial" w:cs="Arial" w:eastAsia="Arial" w:hAnsi="Arial"/>
          <w:b/>
          <w:bCs/>
          <w:color w:val="1E293B"/>
          <w:sz w:val="20"/>
          <w:szCs w:val="20"/>
        </w:rPr>
        <w:t xml:space="preserve">Higher priority wins: </w:t>
      </w:r>
      <w:r>
        <w:rPr>
          <w:rFonts w:ascii="Arial" w:cs="Arial" w:eastAsia="Arial" w:hAnsi="Arial"/>
          <w:color w:val="1E293B"/>
          <w:sz w:val="20"/>
          <w:szCs w:val="20"/>
        </w:rPr>
        <w:t xml:space="preserve">Create two ALLOW policies with priority 40 and 60 for the same table with different column sets. Verify the priority-60 policy’s column set is used.</w:t>
      </w:r>
    </w:p>
    <w:p>
      <w:pPr>
        <w:pStyle w:val="ListParagraph"/>
        <w:numPr>
          <w:ilvl w:val="0"/>
          <w:numId w:val="2"/>
        </w:numPr>
        <w:spacing w:after="80" w:line="276"/>
      </w:pPr>
      <w:r>
        <w:rPr>
          <w:rFonts w:ascii="Arial" w:cs="Arial" w:eastAsia="Arial" w:hAnsi="Arial"/>
          <w:b/>
          <w:bCs/>
          <w:color w:val="1E293B"/>
          <w:sz w:val="20"/>
          <w:szCs w:val="20"/>
        </w:rPr>
        <w:t xml:space="preserve">Column scope beats table scope: </w:t>
      </w:r>
      <w:r>
        <w:rPr>
          <w:rFonts w:ascii="Arial" w:cs="Arial" w:eastAsia="Arial" w:hAnsi="Arial"/>
          <w:color w:val="1E293B"/>
          <w:sz w:val="20"/>
          <w:szCs w:val="20"/>
        </w:rPr>
        <w:t xml:space="preserve">Create TABLE_ALLOW for patients (all columns) and COLUMN_DENY for patients.ssn. Verify SSN is hidden while other columns are visible.</w:t>
      </w:r>
    </w:p>
    <w:p>
      <w:pPr>
        <w:pStyle w:val="ListParagraph"/>
        <w:numPr>
          <w:ilvl w:val="0"/>
          <w:numId w:val="2"/>
        </w:numPr>
        <w:spacing w:after="80" w:line="276"/>
      </w:pPr>
      <w:r>
        <w:rPr>
          <w:rFonts w:ascii="Arial" w:cs="Arial" w:eastAsia="Arial" w:hAnsi="Arial"/>
          <w:b/>
          <w:bCs/>
          <w:color w:val="1E293B"/>
          <w:sz w:val="20"/>
          <w:szCs w:val="20"/>
        </w:rPr>
        <w:t xml:space="preserve">No policy = DENY: </w:t>
      </w:r>
      <w:r>
        <w:rPr>
          <w:rFonts w:ascii="Arial" w:cs="Arial" w:eastAsia="Arial" w:hAnsi="Arial"/>
          <w:color w:val="1E293B"/>
          <w:sz w:val="20"/>
          <w:szCs w:val="20"/>
        </w:rPr>
        <w:t xml:space="preserve">Query a table with no applicable policies. Verify DENIED with reason=NO_POLICY.</w:t>
      </w:r>
    </w:p>
    <w:p>
      <w:pPr>
        <w:pStyle w:val="ListParagraph"/>
        <w:numPr>
          <w:ilvl w:val="0"/>
          <w:numId w:val="2"/>
        </w:numPr>
        <w:spacing w:after="80" w:line="276"/>
      </w:pPr>
      <w:r>
        <w:rPr>
          <w:rFonts w:ascii="Arial" w:cs="Arial" w:eastAsia="Arial" w:hAnsi="Arial"/>
          <w:b/>
          <w:bCs/>
          <w:color w:val="1E293B"/>
          <w:sz w:val="20"/>
          <w:szCs w:val="20"/>
        </w:rPr>
        <w:t xml:space="preserve">Hard DENY is immutable: </w:t>
      </w:r>
      <w:r>
        <w:rPr>
          <w:rFonts w:ascii="Arial" w:cs="Arial" w:eastAsia="Arial" w:hAnsi="Arial"/>
          <w:color w:val="1E293B"/>
          <w:sz w:val="20"/>
          <w:szCs w:val="20"/>
        </w:rPr>
        <w:t xml:space="preserve">Create EMER-001 (BTG, priority 300) alongside FED-001 (priority 200, exception=NONE). Verify substance_abuse_records remains DENIED even with BTG.</w:t>
      </w:r>
    </w:p>
    <w:p>
      <w:pPr>
        <w:pStyle w:val="Heading2"/>
        <w:spacing w:before="300" w:after="160"/>
      </w:pPr>
      <w:r>
        <w:rPr>
          <w:rFonts w:ascii="Arial" w:cs="Arial" w:eastAsia="Arial" w:hAnsi="Arial"/>
          <w:b/>
          <w:bCs/>
          <w:color w:val="1E293B"/>
          <w:sz w:val="26"/>
          <w:szCs w:val="26"/>
        </w:rPr>
        <w:t xml:space="preserve">22.3 Apollo Role Matrix Tests</w:t>
      </w:r>
    </w:p>
    <w:p>
      <w:pPr>
        <w:spacing w:after="160" w:line="276"/>
      </w:pPr>
      <w:r>
        <w:rPr>
          <w:rFonts w:ascii="Arial" w:cs="Arial" w:eastAsia="Arial" w:hAnsi="Arial"/>
          <w:color w:val="1E293B"/>
          <w:sz w:val="20"/>
          <w:szCs w:val="20"/>
        </w:rPr>
        <w:t xml:space="preserve">For each of the 10+ Apollo roles, resolve policies against the same 20 tables and verify:</w:t>
      </w:r>
    </w:p>
    <w:p>
      <w:pPr>
        <w:pStyle w:val="ListParagraph"/>
        <w:numPr>
          <w:ilvl w:val="0"/>
          <w:numId w:val="2"/>
        </w:numPr>
        <w:spacing w:after="80" w:line="276"/>
      </w:pPr>
      <w:r>
        <w:rPr>
          <w:rFonts w:ascii="Arial" w:cs="Arial" w:eastAsia="Arial" w:hAnsi="Arial"/>
          <w:b/>
          <w:bCs/>
          <w:color w:val="1E293B"/>
          <w:sz w:val="20"/>
          <w:szCs w:val="20"/>
        </w:rPr>
        <w:t xml:space="preserve">Attending_Physician: </w:t>
      </w:r>
      <w:r>
        <w:rPr>
          <w:rFonts w:ascii="Arial" w:cs="Arial" w:eastAsia="Arial" w:hAnsi="Arial"/>
          <w:color w:val="1E293B"/>
          <w:sz w:val="20"/>
          <w:szCs w:val="20"/>
        </w:rPr>
        <w:t xml:space="preserve">Broad clinical access with row filters. 42 columns visible across 8 tables. SSN always hidden.</w:t>
      </w:r>
    </w:p>
    <w:p>
      <w:pPr>
        <w:pStyle w:val="ListParagraph"/>
        <w:numPr>
          <w:ilvl w:val="0"/>
          <w:numId w:val="2"/>
        </w:numPr>
        <w:spacing w:after="80" w:line="276"/>
      </w:pPr>
      <w:r>
        <w:rPr>
          <w:rFonts w:ascii="Arial" w:cs="Arial" w:eastAsia="Arial" w:hAnsi="Arial"/>
          <w:b/>
          <w:bCs/>
          <w:color w:val="1E293B"/>
          <w:sz w:val="20"/>
          <w:szCs w:val="20"/>
        </w:rPr>
        <w:t xml:space="preserve">Billing_Staff: </w:t>
      </w:r>
      <w:r>
        <w:rPr>
          <w:rFonts w:ascii="Arial" w:cs="Arial" w:eastAsia="Arial" w:hAnsi="Arial"/>
          <w:color w:val="1E293B"/>
          <w:sz w:val="20"/>
          <w:szCs w:val="20"/>
        </w:rPr>
        <w:t xml:space="preserve">Restricted to billing + coding columns. clinical_notes DENIED. 15 columns visible across 4 tables.</w:t>
      </w:r>
    </w:p>
    <w:p>
      <w:pPr>
        <w:pStyle w:val="ListParagraph"/>
        <w:numPr>
          <w:ilvl w:val="0"/>
          <w:numId w:val="2"/>
        </w:numPr>
        <w:spacing w:after="80" w:line="276"/>
      </w:pPr>
      <w:r>
        <w:rPr>
          <w:rFonts w:ascii="Arial" w:cs="Arial" w:eastAsia="Arial" w:hAnsi="Arial"/>
          <w:b/>
          <w:bCs/>
          <w:color w:val="1E293B"/>
          <w:sz w:val="20"/>
          <w:szCs w:val="20"/>
        </w:rPr>
        <w:t xml:space="preserve">Front_Desk: </w:t>
      </w:r>
      <w:r>
        <w:rPr>
          <w:rFonts w:ascii="Arial" w:cs="Arial" w:eastAsia="Arial" w:hAnsi="Arial"/>
          <w:color w:val="1E293B"/>
          <w:sz w:val="20"/>
          <w:szCs w:val="20"/>
        </w:rPr>
        <w:t xml:space="preserve">Demographics + scheduling only. 10 columns visible across 3 tables.</w:t>
      </w:r>
    </w:p>
    <w:p>
      <w:pPr>
        <w:pStyle w:val="ListParagraph"/>
        <w:numPr>
          <w:ilvl w:val="0"/>
          <w:numId w:val="2"/>
        </w:numPr>
        <w:spacing w:after="80" w:line="276"/>
      </w:pPr>
      <w:r>
        <w:rPr>
          <w:rFonts w:ascii="Arial" w:cs="Arial" w:eastAsia="Arial" w:hAnsi="Arial"/>
          <w:b/>
          <w:bCs/>
          <w:color w:val="1E293B"/>
          <w:sz w:val="20"/>
          <w:szCs w:val="20"/>
        </w:rPr>
        <w:t xml:space="preserve">Pharmacist: </w:t>
      </w:r>
      <w:r>
        <w:rPr>
          <w:rFonts w:ascii="Arial" w:cs="Arial" w:eastAsia="Arial" w:hAnsi="Arial"/>
          <w:color w:val="1E293B"/>
          <w:sz w:val="20"/>
          <w:szCs w:val="20"/>
        </w:rPr>
        <w:t xml:space="preserve">Medication tables + patient allergies. No clinical notes or lab results. 30 columns across 7 tables.</w:t>
      </w:r>
    </w:p>
    <w:p>
      <w:pPr>
        <w:pStyle w:val="ListParagraph"/>
        <w:numPr>
          <w:ilvl w:val="0"/>
          <w:numId w:val="2"/>
        </w:numPr>
        <w:spacing w:after="80" w:line="276"/>
      </w:pPr>
      <w:r>
        <w:rPr>
          <w:rFonts w:ascii="Arial" w:cs="Arial" w:eastAsia="Arial" w:hAnsi="Arial"/>
          <w:b/>
          <w:bCs/>
          <w:color w:val="1E293B"/>
          <w:sz w:val="20"/>
          <w:szCs w:val="20"/>
        </w:rPr>
        <w:t xml:space="preserve">CNA: </w:t>
      </w:r>
      <w:r>
        <w:rPr>
          <w:rFonts w:ascii="Arial" w:cs="Arial" w:eastAsia="Arial" w:hAnsi="Arial"/>
          <w:color w:val="1E293B"/>
          <w:sz w:val="20"/>
          <w:szCs w:val="20"/>
        </w:rPr>
        <w:t xml:space="preserve">Vital signs + basic care. Unit-filtered. 8 columns across 3 tables.</w:t>
      </w:r>
    </w:p>
    <w:p>
      <w:pPr>
        <w:pStyle w:val="ListParagraph"/>
        <w:numPr>
          <w:ilvl w:val="0"/>
          <w:numId w:val="2"/>
        </w:numPr>
        <w:spacing w:after="80" w:line="276"/>
      </w:pPr>
      <w:r>
        <w:rPr>
          <w:rFonts w:ascii="Arial" w:cs="Arial" w:eastAsia="Arial" w:hAnsi="Arial"/>
          <w:b/>
          <w:bCs/>
          <w:color w:val="1E293B"/>
          <w:sz w:val="20"/>
          <w:szCs w:val="20"/>
        </w:rPr>
        <w:t xml:space="preserve">Revenue_Cycle_Manager: </w:t>
      </w:r>
      <w:r>
        <w:rPr>
          <w:rFonts w:ascii="Arial" w:cs="Arial" w:eastAsia="Arial" w:hAnsi="Arial"/>
          <w:color w:val="1E293B"/>
          <w:sz w:val="20"/>
          <w:szCs w:val="20"/>
        </w:rPr>
        <w:t xml:space="preserve">Aggregate-only on encounters + claims. No patient identifiers in SELECT.</w:t>
      </w:r>
    </w:p>
    <w:p>
      <w:pPr>
        <w:pStyle w:val="Heading2"/>
        <w:spacing w:before="300" w:after="160"/>
      </w:pPr>
      <w:r>
        <w:rPr>
          <w:rFonts w:ascii="Arial" w:cs="Arial" w:eastAsia="Arial" w:hAnsi="Arial"/>
          <w:b/>
          <w:bCs/>
          <w:color w:val="1E293B"/>
          <w:sz w:val="26"/>
          <w:szCs w:val="26"/>
        </w:rPr>
        <w:t xml:space="preserve">22.4 Performance Tests</w:t>
      </w:r>
    </w:p>
    <w:p>
      <w:pPr>
        <w:pStyle w:val="ListParagraph"/>
        <w:numPr>
          <w:ilvl w:val="0"/>
          <w:numId w:val="2"/>
        </w:numPr>
        <w:spacing w:after="80" w:line="276"/>
      </w:pPr>
      <w:r>
        <w:rPr>
          <w:rFonts w:ascii="Arial" w:cs="Arial" w:eastAsia="Arial" w:hAnsi="Arial"/>
          <w:b/>
          <w:bCs/>
          <w:color w:val="1E293B"/>
          <w:sz w:val="20"/>
          <w:szCs w:val="20"/>
        </w:rPr>
        <w:t xml:space="preserve">Latency benchmarks: </w:t>
      </w:r>
      <w:r>
        <w:rPr>
          <w:rFonts w:ascii="Arial" w:cs="Arial" w:eastAsia="Arial" w:hAnsi="Arial"/>
          <w:color w:val="1E293B"/>
          <w:sz w:val="20"/>
          <w:szCs w:val="20"/>
        </w:rPr>
        <w:t xml:space="preserve">10,000 resolution requests with realistic policy graph (~100 policies, ~15 roles). Verify P50 &lt; 15ms, P95 &lt; 30ms, P99 &lt; 60ms.</w:t>
      </w:r>
    </w:p>
    <w:p>
      <w:pPr>
        <w:pStyle w:val="ListParagraph"/>
        <w:numPr>
          <w:ilvl w:val="0"/>
          <w:numId w:val="2"/>
        </w:numPr>
        <w:spacing w:after="80" w:line="276"/>
      </w:pPr>
      <w:r>
        <w:rPr>
          <w:rFonts w:ascii="Arial" w:cs="Arial" w:eastAsia="Arial" w:hAnsi="Arial"/>
          <w:b/>
          <w:bCs/>
          <w:color w:val="1E293B"/>
          <w:sz w:val="20"/>
          <w:szCs w:val="20"/>
        </w:rPr>
        <w:t xml:space="preserve">Throughput: </w:t>
      </w:r>
      <w:r>
        <w:rPr>
          <w:rFonts w:ascii="Arial" w:cs="Arial" w:eastAsia="Arial" w:hAnsi="Arial"/>
          <w:color w:val="1E293B"/>
          <w:sz w:val="20"/>
          <w:szCs w:val="20"/>
        </w:rPr>
        <w:t xml:space="preserve">Sustain 500 req/sec for 10 minutes. No errors, no latency degradation.</w:t>
      </w:r>
    </w:p>
    <w:p>
      <w:pPr>
        <w:pStyle w:val="ListParagraph"/>
        <w:numPr>
          <w:ilvl w:val="0"/>
          <w:numId w:val="2"/>
        </w:numPr>
        <w:spacing w:after="80" w:line="276"/>
      </w:pPr>
      <w:r>
        <w:rPr>
          <w:rFonts w:ascii="Arial" w:cs="Arial" w:eastAsia="Arial" w:hAnsi="Arial"/>
          <w:b/>
          <w:bCs/>
          <w:color w:val="1E293B"/>
          <w:sz w:val="20"/>
          <w:szCs w:val="20"/>
        </w:rPr>
        <w:t xml:space="preserve">Cold start: </w:t>
      </w:r>
      <w:r>
        <w:rPr>
          <w:rFonts w:ascii="Arial" w:cs="Arial" w:eastAsia="Arial" w:hAnsi="Arial"/>
          <w:color w:val="1E293B"/>
          <w:sz w:val="20"/>
          <w:szCs w:val="20"/>
        </w:rPr>
        <w:t xml:space="preserve">Clear all caches. Run 100 resolutions. Verify graceful degradation (higher latency but no failures).</w:t>
      </w:r>
    </w:p>
    <w:p>
      <w:pPr>
        <w:pStyle w:val="Heading2"/>
        <w:spacing w:before="300" w:after="160"/>
      </w:pPr>
      <w:r>
        <w:rPr>
          <w:rFonts w:ascii="Arial" w:cs="Arial" w:eastAsia="Arial" w:hAnsi="Arial"/>
          <w:b/>
          <w:bCs/>
          <w:color w:val="1E293B"/>
          <w:sz w:val="26"/>
          <w:szCs w:val="26"/>
        </w:rPr>
        <w:t xml:space="preserve">22.5 Security Tests</w:t>
      </w:r>
    </w:p>
    <w:p>
      <w:pPr>
        <w:pStyle w:val="ListParagraph"/>
        <w:numPr>
          <w:ilvl w:val="0"/>
          <w:numId w:val="2"/>
        </w:numPr>
        <w:spacing w:after="80" w:line="276"/>
      </w:pPr>
      <w:r>
        <w:rPr>
          <w:rFonts w:ascii="Arial" w:cs="Arial" w:eastAsia="Arial" w:hAnsi="Arial"/>
          <w:b/>
          <w:bCs/>
          <w:color w:val="1E293B"/>
          <w:sz w:val="20"/>
          <w:szCs w:val="20"/>
        </w:rPr>
        <w:t xml:space="preserve">Envelope tampering: </w:t>
      </w:r>
      <w:r>
        <w:rPr>
          <w:rFonts w:ascii="Arial" w:cs="Arial" w:eastAsia="Arial" w:hAnsi="Arial"/>
          <w:color w:val="1E293B"/>
          <w:sz w:val="20"/>
          <w:szCs w:val="20"/>
        </w:rPr>
        <w:t xml:space="preserve">Modify one byte of a signed envelope. Verify L5/L6 reject it immediately with TAMPERED_ENVELOPE error.</w:t>
      </w:r>
    </w:p>
    <w:p>
      <w:pPr>
        <w:pStyle w:val="ListParagraph"/>
        <w:numPr>
          <w:ilvl w:val="0"/>
          <w:numId w:val="2"/>
        </w:numPr>
        <w:spacing w:after="80" w:line="276"/>
      </w:pPr>
      <w:r>
        <w:rPr>
          <w:rFonts w:ascii="Arial" w:cs="Arial" w:eastAsia="Arial" w:hAnsi="Arial"/>
          <w:b/>
          <w:bCs/>
          <w:color w:val="1E293B"/>
          <w:sz w:val="20"/>
          <w:szCs w:val="20"/>
        </w:rPr>
        <w:t xml:space="preserve">Expired envelope: </w:t>
      </w:r>
      <w:r>
        <w:rPr>
          <w:rFonts w:ascii="Arial" w:cs="Arial" w:eastAsia="Arial" w:hAnsi="Arial"/>
          <w:color w:val="1E293B"/>
          <w:sz w:val="20"/>
          <w:szCs w:val="20"/>
        </w:rPr>
        <w:t xml:space="preserve">Wait 61 seconds after envelope creation. Verify L5/L6 reject it with EXPIRED_ENVELOPE error.</w:t>
      </w:r>
    </w:p>
    <w:p>
      <w:pPr>
        <w:pStyle w:val="ListParagraph"/>
        <w:numPr>
          <w:ilvl w:val="0"/>
          <w:numId w:val="2"/>
        </w:numPr>
        <w:spacing w:after="80" w:line="276"/>
      </w:pPr>
      <w:r>
        <w:rPr>
          <w:rFonts w:ascii="Arial" w:cs="Arial" w:eastAsia="Arial" w:hAnsi="Arial"/>
          <w:b/>
          <w:bCs/>
          <w:color w:val="1E293B"/>
          <w:sz w:val="20"/>
          <w:szCs w:val="20"/>
        </w:rPr>
        <w:t xml:space="preserve">BTG abuse: </w:t>
      </w:r>
      <w:r>
        <w:rPr>
          <w:rFonts w:ascii="Arial" w:cs="Arial" w:eastAsia="Arial" w:hAnsi="Arial"/>
          <w:color w:val="1E293B"/>
          <w:sz w:val="20"/>
          <w:szCs w:val="20"/>
        </w:rPr>
        <w:t xml:space="preserve">Attempt BTG with expired token. Verify normal (non-BTG) resolution applies.</w:t>
      </w:r>
    </w:p>
    <w:p>
      <w:pPr>
        <w:pStyle w:val="ListParagraph"/>
        <w:numPr>
          <w:ilvl w:val="0"/>
          <w:numId w:val="2"/>
        </w:numPr>
        <w:spacing w:after="80" w:line="276"/>
      </w:pPr>
      <w:r>
        <w:rPr>
          <w:rFonts w:ascii="Arial" w:cs="Arial" w:eastAsia="Arial" w:hAnsi="Arial"/>
          <w:b/>
          <w:bCs/>
          <w:color w:val="1E293B"/>
          <w:sz w:val="20"/>
          <w:szCs w:val="20"/>
        </w:rPr>
        <w:t xml:space="preserve">Policy privilege escalation: </w:t>
      </w:r>
      <w:r>
        <w:rPr>
          <w:rFonts w:ascii="Arial" w:cs="Arial" w:eastAsia="Arial" w:hAnsi="Arial"/>
          <w:color w:val="1E293B"/>
          <w:sz w:val="20"/>
          <w:szCs w:val="20"/>
        </w:rPr>
        <w:t xml:space="preserve">Test adding a self-referencing APPLIES_TO_ROLE to a user-controlled policy. Verify the system prevents unauthorized policy attachment.</w:t>
      </w:r>
    </w:p>
    <w:p>
      <w:pPr>
        <w:spacing w:after="80"/>
      </w:pPr>
    </w:p>
    <w:p>
      <w:r>
        <w:br w:type="page"/>
      </w:r>
    </w:p>
    <w:p>
      <w:pPr>
        <w:pStyle w:val="Heading1"/>
        <w:spacing w:before="360" w:after="200"/>
      </w:pPr>
      <w:r>
        <w:rPr>
          <w:rFonts w:ascii="Arial" w:cs="Arial" w:eastAsia="Arial" w:hAnsi="Arial"/>
          <w:b/>
          <w:bCs/>
          <w:color w:val="DC2626"/>
          <w:sz w:val="32"/>
          <w:szCs w:val="32"/>
        </w:rPr>
        <w:t xml:space="preserve">23. Deployment &amp; Configuration</w:t>
      </w:r>
    </w:p>
    <w:p>
      <w:pPr>
        <w:pStyle w:val="Heading2"/>
        <w:spacing w:before="300" w:after="160"/>
      </w:pPr>
      <w:r>
        <w:rPr>
          <w:rFonts w:ascii="Arial" w:cs="Arial" w:eastAsia="Arial" w:hAnsi="Arial"/>
          <w:b/>
          <w:bCs/>
          <w:color w:val="1E293B"/>
          <w:sz w:val="26"/>
          <w:szCs w:val="26"/>
        </w:rPr>
        <w:t xml:space="preserve">23.1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c>
          <w:tcPr>
            <w:tcW w:type="dxa" w:w="3200"/>
            <w:tcBorders>
              <w:top w:val="single" w:color="CBD5E1" w:sz="1"/>
              <w:left w:val="single" w:color="CBD5E1" w:sz="1"/>
              <w:bottom w:val="single" w:color="CBD5E1" w:sz="1"/>
              <w:right w:val="single" w:color="CBD5E1" w:sz="1"/>
            </w:tcBorders>
            <w:shd w:fill="DC2626"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3200"/>
            <w:tcBorders>
              <w:top w:val="single" w:color="CBD5E1" w:sz="1"/>
              <w:left w:val="single" w:color="CBD5E1" w:sz="1"/>
              <w:bottom w:val="single" w:color="CBD5E1" w:sz="1"/>
              <w:right w:val="single" w:color="CBD5E1" w:sz="1"/>
            </w:tcBorders>
            <w:shd w:fill="DC2626" w:val="clear"/>
            <w:tcMar>
              <w:top w:type="dxa" w:w="80"/>
              <w:left w:type="dxa" w:w="120"/>
              <w:bottom w:type="dxa" w:w="80"/>
              <w:right w:type="dxa" w:w="120"/>
            </w:tcMar>
          </w:tcPr>
          <w:p>
            <w:r>
              <w:rPr>
                <w:rFonts w:ascii="Arial" w:cs="Arial" w:eastAsia="Arial" w:hAnsi="Arial"/>
                <w:b/>
                <w:bCs/>
                <w:color w:val="FFFFFF"/>
                <w:sz w:val="20"/>
                <w:szCs w:val="20"/>
              </w:rPr>
              <w:t xml:space="preserve">Example Value</w:t>
            </w:r>
          </w:p>
        </w:tc>
        <w:tc>
          <w:tcPr>
            <w:tcW w:type="dxa" w:w="2960"/>
            <w:tcBorders>
              <w:top w:val="single" w:color="CBD5E1" w:sz="1"/>
              <w:left w:val="single" w:color="CBD5E1" w:sz="1"/>
              <w:bottom w:val="single" w:color="CBD5E1" w:sz="1"/>
              <w:right w:val="single" w:color="CBD5E1" w:sz="1"/>
            </w:tcBorders>
            <w:shd w:fill="DC262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POLICY_SERVICE_PORT</w:t>
            </w:r>
          </w:p>
        </w:tc>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8004</w:t>
            </w:r>
          </w:p>
        </w:tc>
        <w:tc>
          <w:tcPr>
            <w:tcW w:type="dxa" w:w="2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HTTP port for policy resolution API</w:t>
            </w:r>
          </w:p>
        </w:tc>
      </w:tr>
      <w:tr>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76"/>
            </w:pPr>
            <w:r>
              <w:rPr>
                <w:rFonts w:ascii="Arial" w:cs="Arial" w:eastAsia="Arial" w:hAnsi="Arial"/>
                <w:color w:val="1E293B"/>
                <w:sz w:val="20"/>
                <w:szCs w:val="20"/>
              </w:rPr>
              <w:t xml:space="preserve">NEO4J_URI</w:t>
            </w:r>
          </w:p>
        </w:tc>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76"/>
            </w:pPr>
            <w:r>
              <w:rPr>
                <w:rFonts w:ascii="Arial" w:cs="Arial" w:eastAsia="Arial" w:hAnsi="Arial"/>
                <w:color w:val="1E293B"/>
                <w:sz w:val="20"/>
                <w:szCs w:val="20"/>
              </w:rPr>
              <w:t xml:space="preserve">neo4j+s://graph.internal:7687</w:t>
            </w:r>
          </w:p>
        </w:tc>
        <w:tc>
          <w:tcPr>
            <w:tcW w:type="dxa" w:w="29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76"/>
            </w:pPr>
            <w:r>
              <w:rPr>
                <w:rFonts w:ascii="Arial" w:cs="Arial" w:eastAsia="Arial" w:hAnsi="Arial"/>
                <w:color w:val="1E293B"/>
                <w:sz w:val="20"/>
                <w:szCs w:val="20"/>
              </w:rPr>
              <w:t xml:space="preserve">Knowledge Graph connection (read-only)</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NEO4J_READ_USER</w:t>
            </w:r>
          </w:p>
        </w:tc>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policy_resolver</w:t>
            </w:r>
          </w:p>
        </w:tc>
        <w:tc>
          <w:tcPr>
            <w:tcW w:type="dxa" w:w="2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Neo4j read-only service account for policy queries</w:t>
            </w:r>
          </w:p>
        </w:tc>
      </w:tr>
      <w:tr>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76"/>
            </w:pPr>
            <w:r>
              <w:rPr>
                <w:rFonts w:ascii="Arial" w:cs="Arial" w:eastAsia="Arial" w:hAnsi="Arial"/>
                <w:color w:val="1E293B"/>
                <w:sz w:val="20"/>
                <w:szCs w:val="20"/>
              </w:rPr>
              <w:t xml:space="preserve">REDIS_URL</w:t>
            </w:r>
          </w:p>
        </w:tc>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76"/>
            </w:pPr>
            <w:r>
              <w:rPr>
                <w:rFonts w:ascii="Arial" w:cs="Arial" w:eastAsia="Arial" w:hAnsi="Arial"/>
                <w:color w:val="1E293B"/>
                <w:sz w:val="20"/>
                <w:szCs w:val="20"/>
              </w:rPr>
              <w:t xml:space="preserve">redis://cache.internal:6379/2</w:t>
            </w:r>
          </w:p>
        </w:tc>
        <w:tc>
          <w:tcPr>
            <w:tcW w:type="dxa" w:w="29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76"/>
            </w:pPr>
            <w:r>
              <w:rPr>
                <w:rFonts w:ascii="Arial" w:cs="Arial" w:eastAsia="Arial" w:hAnsi="Arial"/>
                <w:color w:val="1E293B"/>
                <w:sz w:val="20"/>
                <w:szCs w:val="20"/>
              </w:rPr>
              <w:t xml:space="preserve">Redis for role-policy index cache</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VAULT_ADDR</w:t>
            </w:r>
          </w:p>
        </w:tc>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https://vault.internal:8200</w:t>
            </w:r>
          </w:p>
        </w:tc>
        <w:tc>
          <w:tcPr>
            <w:tcW w:type="dxa" w:w="2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HashiCorp Vault for signing key</w:t>
            </w:r>
          </w:p>
        </w:tc>
      </w:tr>
      <w:tr>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76"/>
            </w:pPr>
            <w:r>
              <w:rPr>
                <w:rFonts w:ascii="Arial" w:cs="Arial" w:eastAsia="Arial" w:hAnsi="Arial"/>
                <w:color w:val="1E293B"/>
                <w:sz w:val="20"/>
                <w:szCs w:val="20"/>
              </w:rPr>
              <w:t xml:space="preserve">VAULT_SIGNING_KEY_PATH</w:t>
            </w:r>
          </w:p>
        </w:tc>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76"/>
            </w:pPr>
            <w:r>
              <w:rPr>
                <w:rFonts w:ascii="Arial" w:cs="Arial" w:eastAsia="Arial" w:hAnsi="Arial"/>
                <w:color w:val="1E293B"/>
                <w:sz w:val="20"/>
                <w:szCs w:val="20"/>
              </w:rPr>
              <w:t xml:space="preserve">secret/data/policy/hmac_key</w:t>
            </w:r>
          </w:p>
        </w:tc>
        <w:tc>
          <w:tcPr>
            <w:tcW w:type="dxa" w:w="29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76"/>
            </w:pPr>
            <w:r>
              <w:rPr>
                <w:rFonts w:ascii="Arial" w:cs="Arial" w:eastAsia="Arial" w:hAnsi="Arial"/>
                <w:color w:val="1E293B"/>
                <w:sz w:val="20"/>
                <w:szCs w:val="20"/>
              </w:rPr>
              <w:t xml:space="preserve">Vault path for HMAC-SHA256 signing key</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ENVELOPE_TTL_SECONDS</w:t>
            </w:r>
          </w:p>
        </w:tc>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60</w:t>
            </w:r>
          </w:p>
        </w:tc>
        <w:tc>
          <w:tcPr>
            <w:tcW w:type="dxa" w:w="2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Permission Envelope expiry time</w:t>
            </w:r>
          </w:p>
        </w:tc>
      </w:tr>
      <w:tr>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76"/>
            </w:pPr>
            <w:r>
              <w:rPr>
                <w:rFonts w:ascii="Arial" w:cs="Arial" w:eastAsia="Arial" w:hAnsi="Arial"/>
                <w:color w:val="1E293B"/>
                <w:sz w:val="20"/>
                <w:szCs w:val="20"/>
              </w:rPr>
              <w:t xml:space="preserve">ROLE_POLICY_CACHE_TTL</w:t>
            </w:r>
          </w:p>
        </w:tc>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76"/>
            </w:pPr>
            <w:r>
              <w:rPr>
                <w:rFonts w:ascii="Arial" w:cs="Arial" w:eastAsia="Arial" w:hAnsi="Arial"/>
                <w:color w:val="1E293B"/>
                <w:sz w:val="20"/>
                <w:szCs w:val="20"/>
              </w:rPr>
              <w:t xml:space="preserve">300</w:t>
            </w:r>
          </w:p>
        </w:tc>
        <w:tc>
          <w:tcPr>
            <w:tcW w:type="dxa" w:w="29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76"/>
            </w:pPr>
            <w:r>
              <w:rPr>
                <w:rFonts w:ascii="Arial" w:cs="Arial" w:eastAsia="Arial" w:hAnsi="Arial"/>
                <w:color w:val="1E293B"/>
                <w:sz w:val="20"/>
                <w:szCs w:val="20"/>
              </w:rPr>
              <w:t xml:space="preserve">Role-policy index cache TTL (5 min)</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ROLE_HIERARCHY_CACHE_TTL</w:t>
            </w:r>
          </w:p>
        </w:tc>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600</w:t>
            </w:r>
          </w:p>
        </w:tc>
        <w:tc>
          <w:tcPr>
            <w:tcW w:type="dxa" w:w="2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Role hierarchy map cache TTL (10 min)</w:t>
            </w:r>
          </w:p>
        </w:tc>
      </w:tr>
      <w:tr>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76"/>
            </w:pPr>
            <w:r>
              <w:rPr>
                <w:rFonts w:ascii="Arial" w:cs="Arial" w:eastAsia="Arial" w:hAnsi="Arial"/>
                <w:color w:val="1E293B"/>
                <w:sz w:val="20"/>
                <w:szCs w:val="20"/>
              </w:rPr>
              <w:t xml:space="preserve">MAX_POLICY_COUNT</w:t>
            </w:r>
          </w:p>
        </w:tc>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76"/>
            </w:pPr>
            <w:r>
              <w:rPr>
                <w:rFonts w:ascii="Arial" w:cs="Arial" w:eastAsia="Arial" w:hAnsi="Arial"/>
                <w:color w:val="1E293B"/>
                <w:sz w:val="20"/>
                <w:szCs w:val="20"/>
              </w:rPr>
              <w:t xml:space="preserve">100</w:t>
            </w:r>
          </w:p>
        </w:tc>
        <w:tc>
          <w:tcPr>
            <w:tcW w:type="dxa" w:w="29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76"/>
            </w:pPr>
            <w:r>
              <w:rPr>
                <w:rFonts w:ascii="Arial" w:cs="Arial" w:eastAsia="Arial" w:hAnsi="Arial"/>
                <w:color w:val="1E293B"/>
                <w:sz w:val="20"/>
                <w:szCs w:val="20"/>
              </w:rPr>
              <w:t xml:space="preserve">Maximum policies per resolution before timeout</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RESOLUTION_TIMEOUT_MS</w:t>
            </w:r>
          </w:p>
        </w:tc>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15</w:t>
            </w:r>
          </w:p>
        </w:tc>
        <w:tc>
          <w:tcPr>
            <w:tcW w:type="dxa" w:w="2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Timeout for resolution algorithm (fail to DENY-ALL)</w:t>
            </w:r>
          </w:p>
        </w:tc>
      </w:tr>
      <w:tr>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76"/>
            </w:pPr>
            <w:r>
              <w:rPr>
                <w:rFonts w:ascii="Arial" w:cs="Arial" w:eastAsia="Arial" w:hAnsi="Arial"/>
                <w:color w:val="1E293B"/>
                <w:sz w:val="20"/>
                <w:szCs w:val="20"/>
              </w:rPr>
              <w:t xml:space="preserve">BTG_DURATION_HOURS</w:t>
            </w:r>
          </w:p>
        </w:tc>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76"/>
            </w:pPr>
            <w:r>
              <w:rPr>
                <w:rFonts w:ascii="Arial" w:cs="Arial" w:eastAsia="Arial" w:hAnsi="Arial"/>
                <w:color w:val="1E293B"/>
                <w:sz w:val="20"/>
                <w:szCs w:val="20"/>
              </w:rPr>
              <w:t xml:space="preserve">4</w:t>
            </w:r>
          </w:p>
        </w:tc>
        <w:tc>
          <w:tcPr>
            <w:tcW w:type="dxa" w:w="29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76"/>
            </w:pPr>
            <w:r>
              <w:rPr>
                <w:rFonts w:ascii="Arial" w:cs="Arial" w:eastAsia="Arial" w:hAnsi="Arial"/>
                <w:color w:val="1E293B"/>
                <w:sz w:val="20"/>
                <w:szCs w:val="20"/>
              </w:rPr>
              <w:t xml:space="preserve">Break-the-glass token duration</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BTG_STILL_DENIED</w:t>
            </w:r>
          </w:p>
        </w:tc>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substance_abuse_records</w:t>
            </w:r>
          </w:p>
        </w:tc>
        <w:tc>
          <w:tcPr>
            <w:tcW w:type="dxa" w:w="2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Tables that remain denied even under BTG</w:t>
            </w:r>
          </w:p>
        </w:tc>
      </w:tr>
      <w:tr>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76"/>
            </w:pPr>
            <w:r>
              <w:rPr>
                <w:rFonts w:ascii="Arial" w:cs="Arial" w:eastAsia="Arial" w:hAnsi="Arial"/>
                <w:color w:val="1E293B"/>
                <w:sz w:val="20"/>
                <w:szCs w:val="20"/>
              </w:rPr>
              <w:t xml:space="preserve">LOG_LEVEL</w:t>
            </w:r>
          </w:p>
        </w:tc>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76"/>
            </w:pPr>
            <w:r>
              <w:rPr>
                <w:rFonts w:ascii="Arial" w:cs="Arial" w:eastAsia="Arial" w:hAnsi="Arial"/>
                <w:color w:val="1E293B"/>
                <w:sz w:val="20"/>
                <w:szCs w:val="20"/>
              </w:rPr>
              <w:t xml:space="preserve">INFO</w:t>
            </w:r>
          </w:p>
        </w:tc>
        <w:tc>
          <w:tcPr>
            <w:tcW w:type="dxa" w:w="29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76"/>
            </w:pPr>
            <w:r>
              <w:rPr>
                <w:rFonts w:ascii="Arial" w:cs="Arial" w:eastAsia="Arial" w:hAnsi="Arial"/>
                <w:color w:val="1E293B"/>
                <w:sz w:val="20"/>
                <w:szCs w:val="20"/>
              </w:rPr>
              <w:t xml:space="preserve">Application log level</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ENABLE_RESOLUTION_TRACE</w:t>
            </w:r>
          </w:p>
        </w:tc>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false</w:t>
            </w:r>
          </w:p>
        </w:tc>
        <w:tc>
          <w:tcPr>
            <w:tcW w:type="dxa" w:w="2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76"/>
            </w:pPr>
            <w:r>
              <w:rPr>
                <w:rFonts w:ascii="Arial" w:cs="Arial" w:eastAsia="Arial" w:hAnsi="Arial"/>
                <w:color w:val="1E293B"/>
                <w:sz w:val="20"/>
                <w:szCs w:val="20"/>
              </w:rPr>
              <w:t xml:space="preserve">Log full resolution trace for debugging (verbose)</w:t>
            </w:r>
          </w:p>
        </w:tc>
      </w:tr>
    </w:tbl>
    <w:p>
      <w:pPr>
        <w:pStyle w:val="Heading2"/>
        <w:spacing w:before="300" w:after="160"/>
      </w:pPr>
      <w:r>
        <w:rPr>
          <w:rFonts w:ascii="Arial" w:cs="Arial" w:eastAsia="Arial" w:hAnsi="Arial"/>
          <w:b/>
          <w:bCs/>
          <w:color w:val="1E293B"/>
          <w:sz w:val="26"/>
          <w:szCs w:val="26"/>
        </w:rPr>
        <w:t xml:space="preserve">23.2 Deployment Topology</w:t>
      </w:r>
    </w:p>
    <w:p>
      <w:pPr>
        <w:pStyle w:val="ListParagraph"/>
        <w:numPr>
          <w:ilvl w:val="0"/>
          <w:numId w:val="2"/>
        </w:numPr>
        <w:spacing w:after="80" w:line="276"/>
      </w:pPr>
      <w:r>
        <w:rPr>
          <w:rFonts w:ascii="Arial" w:cs="Arial" w:eastAsia="Arial" w:hAnsi="Arial"/>
          <w:b/>
          <w:bCs/>
          <w:color w:val="1E293B"/>
          <w:sz w:val="20"/>
          <w:szCs w:val="20"/>
        </w:rPr>
        <w:t xml:space="preserve">Deployment model: </w:t>
      </w:r>
      <w:r>
        <w:rPr>
          <w:rFonts w:ascii="Arial" w:cs="Arial" w:eastAsia="Arial" w:hAnsi="Arial"/>
          <w:color w:val="1E293B"/>
          <w:sz w:val="20"/>
          <w:szCs w:val="20"/>
        </w:rPr>
        <w:t xml:space="preserve">The Policy Resolution Layer can be deployed as a separate microservice or co-located with the Retrieval Layer (L3) in the same process. Co-location eliminates network overhead for the L3→L4 synchronous call.</w:t>
      </w:r>
    </w:p>
    <w:p>
      <w:pPr>
        <w:pStyle w:val="ListParagraph"/>
        <w:numPr>
          <w:ilvl w:val="0"/>
          <w:numId w:val="2"/>
        </w:numPr>
        <w:spacing w:after="80" w:line="276"/>
      </w:pPr>
      <w:r>
        <w:rPr>
          <w:rFonts w:ascii="Arial" w:cs="Arial" w:eastAsia="Arial" w:hAnsi="Arial"/>
          <w:b/>
          <w:bCs/>
          <w:color w:val="1E293B"/>
          <w:sz w:val="20"/>
          <w:szCs w:val="20"/>
        </w:rPr>
        <w:t xml:space="preserve">Recommended: </w:t>
      </w:r>
      <w:r>
        <w:rPr>
          <w:rFonts w:ascii="Arial" w:cs="Arial" w:eastAsia="Arial" w:hAnsi="Arial"/>
          <w:color w:val="1E293B"/>
          <w:sz w:val="20"/>
          <w:szCs w:val="20"/>
        </w:rPr>
        <w:t xml:space="preserve">Co-locate with L3 for Apollo deployment. The L3-L4 interaction is a function call, not an HTTP request. Latency drops from 5–10ms (network) to &lt; 1ms (in-process).</w:t>
      </w:r>
    </w:p>
    <w:p>
      <w:pPr>
        <w:pStyle w:val="ListParagraph"/>
        <w:numPr>
          <w:ilvl w:val="0"/>
          <w:numId w:val="2"/>
        </w:numPr>
        <w:spacing w:after="80" w:line="276"/>
      </w:pPr>
      <w:r>
        <w:rPr>
          <w:rFonts w:ascii="Arial" w:cs="Arial" w:eastAsia="Arial" w:hAnsi="Arial"/>
          <w:b/>
          <w:bCs/>
          <w:color w:val="1E293B"/>
          <w:sz w:val="20"/>
          <w:szCs w:val="20"/>
        </w:rPr>
        <w:t xml:space="preserve">Instances: </w:t>
      </w:r>
      <w:r>
        <w:rPr>
          <w:rFonts w:ascii="Arial" w:cs="Arial" w:eastAsia="Arial" w:hAnsi="Arial"/>
          <w:color w:val="1E293B"/>
          <w:sz w:val="20"/>
          <w:szCs w:val="20"/>
        </w:rPr>
        <w:t xml:space="preserve">Scales with L3 instances (2–4 instances behind load balancer).</w:t>
      </w:r>
    </w:p>
    <w:p>
      <w:pPr>
        <w:pStyle w:val="ListParagraph"/>
        <w:numPr>
          <w:ilvl w:val="0"/>
          <w:numId w:val="2"/>
        </w:numPr>
        <w:spacing w:after="80" w:line="276"/>
      </w:pPr>
      <w:r>
        <w:rPr>
          <w:rFonts w:ascii="Arial" w:cs="Arial" w:eastAsia="Arial" w:hAnsi="Arial"/>
          <w:b/>
          <w:bCs/>
          <w:color w:val="1E293B"/>
          <w:sz w:val="20"/>
          <w:szCs w:val="20"/>
        </w:rPr>
        <w:t xml:space="preserve">Memory: </w:t>
      </w:r>
      <w:r>
        <w:rPr>
          <w:rFonts w:ascii="Arial" w:cs="Arial" w:eastAsia="Arial" w:hAnsi="Arial"/>
          <w:color w:val="1E293B"/>
          <w:sz w:val="20"/>
          <w:szCs w:val="20"/>
        </w:rPr>
        <w:t xml:space="preserve">1–2 GB per instance. Local caches (role hierarchy, column metadata) consume ~100 MB.</w:t>
      </w:r>
    </w:p>
    <w:p>
      <w:pPr>
        <w:pStyle w:val="ListParagraph"/>
        <w:numPr>
          <w:ilvl w:val="0"/>
          <w:numId w:val="2"/>
        </w:numPr>
        <w:spacing w:after="80" w:line="276"/>
      </w:pPr>
      <w:r>
        <w:rPr>
          <w:rFonts w:ascii="Arial" w:cs="Arial" w:eastAsia="Arial" w:hAnsi="Arial"/>
          <w:b/>
          <w:bCs/>
          <w:color w:val="1E293B"/>
          <w:sz w:val="20"/>
          <w:szCs w:val="20"/>
        </w:rPr>
        <w:t xml:space="preserve">CPU: </w:t>
      </w:r>
      <w:r>
        <w:rPr>
          <w:rFonts w:ascii="Arial" w:cs="Arial" w:eastAsia="Arial" w:hAnsi="Arial"/>
          <w:color w:val="1E293B"/>
          <w:sz w:val="20"/>
          <w:szCs w:val="20"/>
        </w:rPr>
        <w:t xml:space="preserve">1–2 vCPU per instance. Resolution is CPU-bound (in-memory algorithm), not I/O-bound.</w:t>
      </w:r>
    </w:p>
    <w:p>
      <w:pPr>
        <w:spacing w:after="80"/>
      </w:pPr>
    </w:p>
    <w:p>
      <w:r>
        <w:br w:type="page"/>
      </w:r>
    </w:p>
    <w:p>
      <w:pPr>
        <w:pStyle w:val="Heading1"/>
        <w:spacing w:before="360" w:after="200"/>
      </w:pPr>
      <w:r>
        <w:rPr>
          <w:rFonts w:ascii="Arial" w:cs="Arial" w:eastAsia="Arial" w:hAnsi="Arial"/>
          <w:b/>
          <w:bCs/>
          <w:color w:val="DC2626"/>
          <w:sz w:val="32"/>
          <w:szCs w:val="32"/>
        </w:rPr>
        <w:t xml:space="preserve">24. Acceptance Criteria</w:t>
      </w:r>
    </w:p>
    <w:p>
      <w:pPr>
        <w:spacing w:after="160" w:line="276"/>
      </w:pPr>
      <w:r>
        <w:rPr>
          <w:rFonts w:ascii="Arial" w:cs="Arial" w:eastAsia="Arial" w:hAnsi="Arial"/>
          <w:color w:val="1E293B"/>
          <w:sz w:val="20"/>
          <w:szCs w:val="20"/>
        </w:rPr>
        <w:t xml:space="preserve">The Policy Resolution Layer is accepted when ALL of the following criteria are met:</w:t>
      </w:r>
    </w:p>
    <w:p>
      <w:pPr>
        <w:spacing w:after="80"/>
      </w:pPr>
    </w:p>
    <w:p>
      <w:pPr>
        <w:pStyle w:val="ListParagraph"/>
        <w:numPr>
          <w:ilvl w:val="0"/>
          <w:numId w:val="7"/>
        </w:numPr>
        <w:spacing w:after="80" w:line="276"/>
      </w:pPr>
      <w:r>
        <w:rPr>
          <w:rFonts w:ascii="Arial" w:cs="Arial" w:eastAsia="Arial" w:hAnsi="Arial"/>
          <w:b/>
          <w:bCs/>
          <w:color w:val="1E293B"/>
          <w:sz w:val="20"/>
          <w:szCs w:val="20"/>
        </w:rPr>
        <w:t xml:space="preserve">Deterministic Resolution: </w:t>
      </w:r>
      <w:r>
        <w:rPr>
          <w:rFonts w:ascii="Arial" w:cs="Arial" w:eastAsia="Arial" w:hAnsi="Arial"/>
          <w:color w:val="1E293B"/>
          <w:sz w:val="20"/>
          <w:szCs w:val="20"/>
        </w:rPr>
        <w:t xml:space="preserve">The same SecurityContext + candidate tables + policy graph state produces identical PermissionEnvelopes in 1,000 consecutive runs. Role order, table order, and policy insertion order do not affect results.</w:t>
      </w:r>
    </w:p>
    <w:p>
      <w:pPr>
        <w:pStyle w:val="ListParagraph"/>
        <w:numPr>
          <w:ilvl w:val="0"/>
          <w:numId w:val="7"/>
        </w:numPr>
        <w:spacing w:after="80" w:line="276"/>
      </w:pPr>
      <w:r>
        <w:rPr>
          <w:rFonts w:ascii="Arial" w:cs="Arial" w:eastAsia="Arial" w:hAnsi="Arial"/>
          <w:b/>
          <w:bCs/>
          <w:color w:val="1E293B"/>
          <w:sz w:val="20"/>
          <w:szCs w:val="20"/>
        </w:rPr>
        <w:t xml:space="preserve">Conflict Resolution: </w:t>
      </w:r>
      <w:r>
        <w:rPr>
          <w:rFonts w:ascii="Arial" w:cs="Arial" w:eastAsia="Arial" w:hAnsi="Arial"/>
          <w:color w:val="1E293B"/>
          <w:sz w:val="20"/>
          <w:szCs w:val="20"/>
        </w:rPr>
        <w:t xml:space="preserve">All 4 resolution rules (DENY beats ALLOW, higher priority wins, column beats table, no policy = DENY) are correctly implemented and tested with adversarial policy configurations.</w:t>
      </w:r>
    </w:p>
    <w:p>
      <w:pPr>
        <w:pStyle w:val="ListParagraph"/>
        <w:numPr>
          <w:ilvl w:val="0"/>
          <w:numId w:val="7"/>
        </w:numPr>
        <w:spacing w:after="80" w:line="276"/>
      </w:pPr>
      <w:r>
        <w:rPr>
          <w:rFonts w:ascii="Arial" w:cs="Arial" w:eastAsia="Arial" w:hAnsi="Arial"/>
          <w:b/>
          <w:bCs/>
          <w:color w:val="1E293B"/>
          <w:sz w:val="20"/>
          <w:szCs w:val="20"/>
        </w:rPr>
        <w:t xml:space="preserve">Policy Collection: </w:t>
      </w:r>
      <w:r>
        <w:rPr>
          <w:rFonts w:ascii="Arial" w:cs="Arial" w:eastAsia="Arial" w:hAnsi="Arial"/>
          <w:color w:val="1E293B"/>
          <w:sz w:val="20"/>
          <w:szCs w:val="20"/>
        </w:rPr>
        <w:t xml:space="preserve">Cypher query correctly traverses role hierarchy, collects role-targeted policies, domain-wide policies, and regulatory policies. Universal policies (FED-001) included for every request.</w:t>
      </w:r>
    </w:p>
    <w:p>
      <w:pPr>
        <w:pStyle w:val="ListParagraph"/>
        <w:numPr>
          <w:ilvl w:val="0"/>
          <w:numId w:val="7"/>
        </w:numPr>
        <w:spacing w:after="80" w:line="276"/>
      </w:pPr>
      <w:r>
        <w:rPr>
          <w:rFonts w:ascii="Arial" w:cs="Arial" w:eastAsia="Arial" w:hAnsi="Arial"/>
          <w:b/>
          <w:bCs/>
          <w:color w:val="1E293B"/>
          <w:sz w:val="20"/>
          <w:szCs w:val="20"/>
        </w:rPr>
        <w:t xml:space="preserve">Condition Aggregation: </w:t>
      </w:r>
      <w:r>
        <w:rPr>
          <w:rFonts w:ascii="Arial" w:cs="Arial" w:eastAsia="Arial" w:hAnsi="Arial"/>
          <w:color w:val="1E293B"/>
          <w:sz w:val="20"/>
          <w:szCs w:val="20"/>
        </w:rPr>
        <w:t xml:space="preserve">Row filters correctly resolved with SecurityContext variables (parameterized, not string-concatenated). Aggregation requirements, join restrictions, and masking rules correctly merged using AND logic.</w:t>
      </w:r>
    </w:p>
    <w:p>
      <w:pPr>
        <w:pStyle w:val="ListParagraph"/>
        <w:numPr>
          <w:ilvl w:val="0"/>
          <w:numId w:val="7"/>
        </w:numPr>
        <w:spacing w:after="80" w:line="276"/>
      </w:pPr>
      <w:r>
        <w:rPr>
          <w:rFonts w:ascii="Arial" w:cs="Arial" w:eastAsia="Arial" w:hAnsi="Arial"/>
          <w:b/>
          <w:bCs/>
          <w:color w:val="1E293B"/>
          <w:sz w:val="20"/>
          <w:szCs w:val="20"/>
        </w:rPr>
        <w:t xml:space="preserve">Permission Envelope: </w:t>
      </w:r>
      <w:r>
        <w:rPr>
          <w:rFonts w:ascii="Arial" w:cs="Arial" w:eastAsia="Arial" w:hAnsi="Arial"/>
          <w:color w:val="1E293B"/>
          <w:sz w:val="20"/>
          <w:szCs w:val="20"/>
        </w:rPr>
        <w:t xml:space="preserve">Complete, correctly structured, signed with HMAC-SHA256, expires in 60 seconds. Verified by all downstream layers. Tampering detected and rejected.</w:t>
      </w:r>
    </w:p>
    <w:p>
      <w:pPr>
        <w:pStyle w:val="ListParagraph"/>
        <w:numPr>
          <w:ilvl w:val="0"/>
          <w:numId w:val="7"/>
        </w:numPr>
        <w:spacing w:after="80" w:line="276"/>
      </w:pPr>
      <w:r>
        <w:rPr>
          <w:rFonts w:ascii="Arial" w:cs="Arial" w:eastAsia="Arial" w:hAnsi="Arial"/>
          <w:b/>
          <w:bCs/>
          <w:color w:val="1E293B"/>
          <w:sz w:val="20"/>
          <w:szCs w:val="20"/>
        </w:rPr>
        <w:t xml:space="preserve">NL Rule Generation: </w:t>
      </w:r>
      <w:r>
        <w:rPr>
          <w:rFonts w:ascii="Arial" w:cs="Arial" w:eastAsia="Arial" w:hAnsi="Arial"/>
          <w:color w:val="1E293B"/>
          <w:sz w:val="20"/>
          <w:szCs w:val="20"/>
        </w:rPr>
        <w:t xml:space="preserve">Human-readable rules correctly generated for all condition types. Rules ordered by importance. LLM prompt includes all rules verbatim.</w:t>
      </w:r>
    </w:p>
    <w:p>
      <w:pPr>
        <w:pStyle w:val="ListParagraph"/>
        <w:numPr>
          <w:ilvl w:val="0"/>
          <w:numId w:val="7"/>
        </w:numPr>
        <w:spacing w:after="80" w:line="276"/>
      </w:pPr>
      <w:r>
        <w:rPr>
          <w:rFonts w:ascii="Arial" w:cs="Arial" w:eastAsia="Arial" w:hAnsi="Arial"/>
          <w:b/>
          <w:bCs/>
          <w:color w:val="1E293B"/>
          <w:sz w:val="20"/>
          <w:szCs w:val="20"/>
        </w:rPr>
        <w:t xml:space="preserve">Break-the-Glass: </w:t>
      </w:r>
      <w:r>
        <w:rPr>
          <w:rFonts w:ascii="Arial" w:cs="Arial" w:eastAsia="Arial" w:hAnsi="Arial"/>
          <w:color w:val="1E293B"/>
          <w:sz w:val="20"/>
          <w:szCs w:val="20"/>
        </w:rPr>
        <w:t xml:space="preserve">BTG token correctly overrides DENY policies with priority &lt; 200. 42 CFR Part 2 (FED-001) remains DENIED under BTG. BTG access logged with EMERGENCY flag. HIPAA Officer notification triggered.</w:t>
      </w:r>
    </w:p>
    <w:p>
      <w:pPr>
        <w:pStyle w:val="ListParagraph"/>
        <w:numPr>
          <w:ilvl w:val="0"/>
          <w:numId w:val="7"/>
        </w:numPr>
        <w:spacing w:after="80" w:line="276"/>
      </w:pPr>
      <w:r>
        <w:rPr>
          <w:rFonts w:ascii="Arial" w:cs="Arial" w:eastAsia="Arial" w:hAnsi="Arial"/>
          <w:b/>
          <w:bCs/>
          <w:color w:val="1E293B"/>
          <w:sz w:val="20"/>
          <w:szCs w:val="20"/>
        </w:rPr>
        <w:t xml:space="preserve">Apollo Policy Catalog: </w:t>
      </w:r>
      <w:r>
        <w:rPr>
          <w:rFonts w:ascii="Arial" w:cs="Arial" w:eastAsia="Arial" w:hAnsi="Arial"/>
          <w:color w:val="1E293B"/>
          <w:sz w:val="20"/>
          <w:szCs w:val="20"/>
        </w:rPr>
        <w:t xml:space="preserve">All 13+ documented policies correctly resolve for all 10+ Apollo roles across all 6 domains. All 5 documented scenarios produce results matching the specification exactly.</w:t>
      </w:r>
    </w:p>
    <w:p>
      <w:pPr>
        <w:pStyle w:val="ListParagraph"/>
        <w:numPr>
          <w:ilvl w:val="0"/>
          <w:numId w:val="7"/>
        </w:numPr>
        <w:spacing w:after="80" w:line="276"/>
      </w:pPr>
      <w:r>
        <w:rPr>
          <w:rFonts w:ascii="Arial" w:cs="Arial" w:eastAsia="Arial" w:hAnsi="Arial"/>
          <w:b/>
          <w:bCs/>
          <w:color w:val="1E293B"/>
          <w:sz w:val="20"/>
          <w:szCs w:val="20"/>
        </w:rPr>
        <w:t xml:space="preserve">Security Guarantees: </w:t>
      </w:r>
      <w:r>
        <w:rPr>
          <w:rFonts w:ascii="Arial" w:cs="Arial" w:eastAsia="Arial" w:hAnsi="Arial"/>
          <w:color w:val="1E293B"/>
          <w:sz w:val="20"/>
          <w:szCs w:val="20"/>
        </w:rPr>
        <w:t xml:space="preserve">Every error path results in DENY or request rejection. No failure mode grants unauthorized access. Envelope tampering detected. Expired envelopes rejected. Row filter variable injection uses parameterized queries.</w:t>
      </w:r>
    </w:p>
    <w:p>
      <w:pPr>
        <w:pStyle w:val="ListParagraph"/>
        <w:numPr>
          <w:ilvl w:val="0"/>
          <w:numId w:val="7"/>
        </w:numPr>
        <w:spacing w:after="80" w:line="276"/>
      </w:pPr>
      <w:r>
        <w:rPr>
          <w:rFonts w:ascii="Arial" w:cs="Arial" w:eastAsia="Arial" w:hAnsi="Arial"/>
          <w:b/>
          <w:bCs/>
          <w:color w:val="1E293B"/>
          <w:sz w:val="20"/>
          <w:szCs w:val="20"/>
        </w:rPr>
        <w:t xml:space="preserve">Performance: </w:t>
      </w:r>
      <w:r>
        <w:rPr>
          <w:rFonts w:ascii="Arial" w:cs="Arial" w:eastAsia="Arial" w:hAnsi="Arial"/>
          <w:color w:val="1E293B"/>
          <w:sz w:val="20"/>
          <w:szCs w:val="20"/>
        </w:rPr>
        <w:t xml:space="preserve">P50 &lt; 15ms, P95 &lt; 30ms, P99 &lt; 60ms. Sustained 500 req/sec for 10 minutes. Cold start degrades gracefully.</w:t>
      </w:r>
    </w:p>
    <w:p>
      <w:pPr>
        <w:pStyle w:val="ListParagraph"/>
        <w:numPr>
          <w:ilvl w:val="0"/>
          <w:numId w:val="7"/>
        </w:numPr>
        <w:spacing w:after="80" w:line="276"/>
      </w:pPr>
      <w:r>
        <w:rPr>
          <w:rFonts w:ascii="Arial" w:cs="Arial" w:eastAsia="Arial" w:hAnsi="Arial"/>
          <w:b/>
          <w:bCs/>
          <w:color w:val="1E293B"/>
          <w:sz w:val="20"/>
          <w:szCs w:val="20"/>
        </w:rPr>
        <w:t xml:space="preserve">Integration: </w:t>
      </w:r>
      <w:r>
        <w:rPr>
          <w:rFonts w:ascii="Arial" w:cs="Arial" w:eastAsia="Arial" w:hAnsi="Arial"/>
          <w:color w:val="1E293B"/>
          <w:sz w:val="20"/>
          <w:szCs w:val="20"/>
        </w:rPr>
        <w:t xml:space="preserve">L3 synchronous call works within 30ms budget. L5 consumes nl_rules correctly. L6 independently verifies using the same envelope. L8 receives full resolution trace for audit.</w:t>
      </w:r>
    </w:p>
    <w:p>
      <w:pPr>
        <w:pStyle w:val="ListParagraph"/>
        <w:numPr>
          <w:ilvl w:val="0"/>
          <w:numId w:val="7"/>
        </w:numPr>
        <w:spacing w:after="80" w:line="276"/>
      </w:pPr>
      <w:r>
        <w:rPr>
          <w:rFonts w:ascii="Arial" w:cs="Arial" w:eastAsia="Arial" w:hAnsi="Arial"/>
          <w:b/>
          <w:bCs/>
          <w:color w:val="1E293B"/>
          <w:sz w:val="20"/>
          <w:szCs w:val="20"/>
        </w:rPr>
        <w:t xml:space="preserve">Caching: </w:t>
      </w:r>
      <w:r>
        <w:rPr>
          <w:rFonts w:ascii="Arial" w:cs="Arial" w:eastAsia="Arial" w:hAnsi="Arial"/>
          <w:color w:val="1E293B"/>
          <w:sz w:val="20"/>
          <w:szCs w:val="20"/>
        </w:rPr>
        <w:t xml:space="preserve">Role-policy index cached with 5-min TTL. Active invalidation on policy change within 10 seconds. PermissionEnvelope NEVER cached across requests.</w:t>
      </w:r>
    </w:p>
    <w:p>
      <w:pPr>
        <w:spacing w:after="200"/>
      </w:pPr>
    </w:p>
    <w:p>
      <w:pPr>
        <w:spacing w:after="160" w:line="276"/>
      </w:pPr>
      <w:r>
        <w:rPr>
          <w:rFonts w:ascii="Arial" w:cs="Arial" w:eastAsia="Arial" w:hAnsi="Arial"/>
          <w:i/>
          <w:iCs/>
          <w:color w:val="64748B"/>
          <w:sz w:val="20"/>
          <w:szCs w:val="20"/>
        </w:rPr>
        <w:t xml:space="preserve">End of Document — Policy Resolution Layer Specification (XENDEX-ZT-L4-SPEC-001)</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C2626" w:sz="4" w:space="1"/>
      </w:pBdr>
      <w:spacing w:before="200"/>
      <w:jc w:val="right"/>
    </w:pPr>
    <w:r>
      <w:rPr>
        <w:rFonts w:ascii="Arial" w:cs="Arial" w:eastAsia="Arial" w:hAnsi="Arial"/>
        <w:color w:val="64748B"/>
        <w:sz w:val="16"/>
        <w:szCs w:val="16"/>
      </w:rPr>
      <w:t xml:space="preserve">XENDEX-ZT-L4-SPEC-001  |  Page </w:t>
    </w:r>
    <w:r>
      <w:rPr>
        <w:rFonts w:ascii="Arial" w:cs="Arial" w:eastAsia="Arial" w:hAnsi="Arial"/>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C2626" w:sz="4" w:space="1"/>
      </w:pBdr>
      <w:spacing w:after="200"/>
    </w:pPr>
    <w:r>
      <w:rPr>
        <w:rFonts w:ascii="Arial" w:cs="Arial" w:eastAsia="Arial" w:hAnsi="Arial"/>
        <w:b/>
        <w:bCs/>
        <w:color w:val="DC2626"/>
        <w:sz w:val="16"/>
        <w:szCs w:val="16"/>
      </w:rPr>
      <w:t xml:space="preserve">XENDEX AI</w:t>
    </w:r>
    <w:r>
      <w:rPr>
        <w:rFonts w:ascii="Arial" w:cs="Arial" w:eastAsia="Arial" w:hAnsi="Arial"/>
        <w:color w:val="64748B"/>
        <w:sz w:val="16"/>
        <w:szCs w:val="16"/>
      </w:rPr>
      <w:t xml:space="preserve">  |  Policy Resolution Layer Specification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DC2626"/>
      <w:sz w:val="32"/>
      <w:szCs w:val="32"/>
    </w:rPr>
  </w:style>
  <w:style w:type="paragraph" w:styleId="Heading2">
    <w:name w:val="Heading 2"/>
    <w:basedOn w:val="Normal"/>
    <w:next w:val="Normal"/>
    <w:qFormat/>
    <w:pPr>
      <w:spacing w:before="300" w:after="160"/>
      <w:outlineLvl w:val="1"/>
    </w:pPr>
    <w:rPr>
      <w:rFonts w:ascii="Arial" w:cs="Arial" w:eastAsia="Arial" w:hAnsi="Arial"/>
      <w:b/>
      <w:bCs/>
      <w:color w:val="1E293B"/>
      <w:sz w:val="26"/>
      <w:szCs w:val="26"/>
    </w:rPr>
  </w:style>
  <w:style w:type="paragraph" w:styleId="Heading3">
    <w:name w:val="Heading 3"/>
    <w:basedOn w:val="Normal"/>
    <w:next w:val="Normal"/>
    <w:qFormat/>
    <w:pPr>
      <w:spacing w:before="240" w:after="120"/>
      <w:outlineLvl w:val="2"/>
    </w:pPr>
    <w:rPr>
      <w:rFonts w:ascii="Arial" w:cs="Arial" w:eastAsia="Arial" w:hAnsi="Arial"/>
      <w:b/>
      <w:bCs/>
      <w:color w:val="DC262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2026-02-26T15:57:14.930Z</dcterms:created>
  <dcterms:modified xsi:type="dcterms:W3CDTF">2026-02-26T15:57:14.931Z</dcterms:modified>
</cp:coreProperties>
</file>

<file path=docProps/custom.xml><?xml version="1.0" encoding="utf-8"?>
<Properties xmlns="http://schemas.openxmlformats.org/officeDocument/2006/custom-properties" xmlns:vt="http://schemas.openxmlformats.org/officeDocument/2006/docPropsVTypes"/>
</file>