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200"/>
        <w:jc w:val="center"/>
      </w:pPr>
      <w:r>
        <w:rPr>
          <w:rFonts w:ascii="Aptos Display" w:hAnsi="Aptos Display"/>
          <w:b/>
          <w:color w:val="F65100"/>
          <w:sz w:val="30"/>
        </w:rPr>
        <w:t>LITERA</w:t>
      </w:r>
    </w:p>
    <w:p>
      <w:pPr>
        <w:jc w:val="center"/>
      </w:pPr>
      <w:r>
        <w:rPr>
          <w:rFonts w:ascii="Aptos Display" w:hAnsi="Aptos Display"/>
          <w:b/>
          <w:color w:val="0F1A27"/>
          <w:sz w:val="60"/>
        </w:rPr>
        <w:t>Company Context Profile</w:t>
      </w:r>
    </w:p>
    <w:p>
      <w:pPr>
        <w:jc w:val="center"/>
      </w:pPr>
      <w:r>
        <w:rPr>
          <w:color w:val="5A6472"/>
          <w:sz w:val="26"/>
        </w:rPr>
        <w:t>Grounded context for downstream competitive intelligence summaries</w:t>
      </w:r>
    </w:p>
    <w:p>
      <w:pPr>
        <w:spacing w:before="600"/>
        <w:jc w:val="center"/>
      </w:pPr>
      <w:r>
        <w:rPr>
          <w:i/>
          <w:color w:val="6E6A61"/>
          <w:sz w:val="18"/>
        </w:rPr>
        <w:t>Prepared from available internal Litera narrative, GTM, pitch, and portfolio materials</w:t>
      </w:r>
    </w:p>
    <w:p>
      <w:r>
        <w:br w:type="page"/>
      </w:r>
    </w:p>
    <w:p>
      <w:pPr>
        <w:pStyle w:val="Heading1"/>
      </w:pPr>
      <w:r>
        <w:t>1. Overview</w:t>
      </w:r>
    </w:p>
    <w:p>
      <w:r>
        <w:t>Litera is a legal technology company focused on delivering a unified platform for the Practice of Law and the Business of Law, anchored by its Legal AI agent, Lito, and the Litera One platform. Litera serves law firms, corporate legal departments, legal operations teams, business development professionals, pricing teams, knowledge management teams, governance teams, and firm leadership.</w:t>
      </w:r>
    </w:p>
    <w:p>
      <w:r>
        <w:t>Litera's central thesis is that legal organizations need more than isolated AI tools or point solutions. The company positions itself around helping firms turn legal work into compounding intelligence, combining legal workflows, governance, AI, and commercial intelligence so firms can create legal value while capturing commercial value. This positioning is summarized through Raise the Bar, Earned Intelligence, and Lito as the unifying AI experience.</w:t>
      </w:r>
    </w:p>
    <w:p>
      <w:pPr>
        <w:pStyle w:val="Heading1"/>
      </w:pPr>
      <w:r>
        <w:t>2. Products &amp; Services</w:t>
      </w:r>
    </w:p>
    <w:p>
      <w:pPr>
        <w:pStyle w:val="Heading2"/>
      </w:pPr>
      <w:r>
        <w:t>Lito</w:t>
      </w:r>
    </w:p>
    <w:p>
      <w:r>
        <w:t>Legal AI agent that spans both the Practice of Law and Business of Law. Lito combines deterministic legal technology, generative AI, firm-approved knowledge, lawyer-built skills, Firm AI Search, Lito Studio, Projects, and integrations across the Litera portfolio.</w:t>
      </w:r>
    </w:p>
    <w:tbl>
      <w:tblPr>
        <w:tblW w:type="auto" w:w="0"/>
        <w:jc w:val="center"/>
        <w:tblLayout w:type="fixed"/>
        <w:tblLook w:firstColumn="1" w:firstRow="1" w:lastColumn="0" w:lastRow="0" w:noHBand="0" w:noVBand="1" w:val="04A0"/>
      </w:tblPr>
      <w:tblGrid>
        <w:gridCol w:w="1872"/>
        <w:gridCol w:w="8496"/>
      </w:tblGrid>
      <w:tr>
        <w:tc>
          <w:tcPr>
            <w:tcW w:type="dxa" w:w="1872"/>
            <w:vAlign w:val="center"/>
            <w:shd w:fill="F7F5F1"/>
            <w:tcMar>
              <w:top w:w="80" w:type="dxa"/>
              <w:left w:w="80" w:type="dxa"/>
              <w:bottom w:w="80" w:type="dxa"/>
              <w:right w:w="80" w:type="dxa"/>
            </w:tcMar>
          </w:tcPr>
          <w:p>
            <w:r>
              <w:rPr>
                <w:b/>
                <w:color w:val="F65100"/>
                <w:sz w:val="17"/>
              </w:rPr>
              <w:t>Performance figures</w:t>
            </w:r>
          </w:p>
        </w:tc>
        <w:tc>
          <w:tcPr>
            <w:tcW w:type="dxa" w:w="8496"/>
            <w:vAlign w:val="center"/>
            <w:shd w:fill="F7F5F1"/>
            <w:tcMar>
              <w:top w:w="80" w:type="dxa"/>
              <w:left w:w="80" w:type="dxa"/>
              <w:bottom w:w="80" w:type="dxa"/>
              <w:right w:w="80" w:type="dxa"/>
            </w:tcMar>
          </w:tcPr>
          <w:p>
            <w:r>
              <w:rPr>
                <w:sz w:val="17"/>
              </w:rPr>
              <w:t>Launched October 2025; Lito MAU: 6K.</w:t>
            </w:r>
          </w:p>
        </w:tc>
      </w:tr>
      <w:tr>
        <w:tc>
          <w:tcPr>
            <w:tcW w:type="dxa" w:w="1872"/>
            <w:vAlign w:val="center"/>
            <w:shd w:fill="FFFFFF"/>
            <w:tcMar>
              <w:top w:w="80" w:type="dxa"/>
              <w:left w:w="80" w:type="dxa"/>
              <w:bottom w:w="80" w:type="dxa"/>
              <w:right w:w="80" w:type="dxa"/>
            </w:tcMar>
          </w:tcPr>
          <w:p>
            <w:r>
              <w:rPr>
                <w:b/>
                <w:color w:val="F65100"/>
                <w:sz w:val="17"/>
              </w:rPr>
              <w:t>Named integrations</w:t>
            </w:r>
          </w:p>
        </w:tc>
        <w:tc>
          <w:tcPr>
            <w:tcW w:type="dxa" w:w="8496"/>
            <w:vAlign w:val="center"/>
            <w:shd w:fill="FFFFFF"/>
            <w:tcMar>
              <w:top w:w="80" w:type="dxa"/>
              <w:left w:w="80" w:type="dxa"/>
              <w:bottom w:w="80" w:type="dxa"/>
              <w:right w:w="80" w:type="dxa"/>
            </w:tcMar>
          </w:tcPr>
          <w:p>
            <w:r>
              <w:rPr>
                <w:sz w:val="17"/>
              </w:rPr>
              <w:t>Microsoft 365; Word; Outlook; Google Workspace; iOS; iManage; NetDocuments; Anthropic models; Kira; Transact; Foundation Finance; MCP Services; Litera One.</w:t>
            </w:r>
          </w:p>
        </w:tc>
      </w:tr>
      <w:tr>
        <w:tc>
          <w:tcPr>
            <w:tcW w:type="dxa" w:w="1872"/>
            <w:vAlign w:val="center"/>
            <w:shd w:fill="F7F5F1"/>
            <w:tcMar>
              <w:top w:w="80" w:type="dxa"/>
              <w:left w:w="80" w:type="dxa"/>
              <w:bottom w:w="80" w:type="dxa"/>
              <w:right w:w="80" w:type="dxa"/>
            </w:tcMar>
          </w:tcPr>
          <w:p>
            <w:r>
              <w:rPr>
                <w:b/>
                <w:color w:val="F65100"/>
                <w:sz w:val="17"/>
              </w:rPr>
              <w:t>Customer outcomes</w:t>
            </w:r>
          </w:p>
        </w:tc>
        <w:tc>
          <w:tcPr>
            <w:tcW w:type="dxa" w:w="8496"/>
            <w:vAlign w:val="center"/>
            <w:shd w:fill="F7F5F1"/>
            <w:tcMar>
              <w:top w:w="80" w:type="dxa"/>
              <w:left w:w="80" w:type="dxa"/>
              <w:bottom w:w="80" w:type="dxa"/>
              <w:right w:w="80" w:type="dxa"/>
            </w:tcMar>
          </w:tcPr>
          <w:p>
            <w:r>
              <w:rPr>
                <w:sz w:val="17"/>
              </w:rPr>
              <w:t>40+ leases reviewed and compared with Lito.</w:t>
            </w:r>
          </w:p>
        </w:tc>
      </w:tr>
    </w:tbl>
    <w:p>
      <w:pPr>
        <w:spacing w:after="20"/>
      </w:pPr>
    </w:p>
    <w:p>
      <w:pPr>
        <w:pStyle w:val="Heading2"/>
      </w:pPr>
      <w:r>
        <w:t>Litera One</w:t>
      </w:r>
    </w:p>
    <w:p>
      <w:r>
        <w:t>Platform that hosts Litera legal workflow solutions and modernizes legacy add-ins using Microsoft architecture. It is the delivery platform for Drafting, Compare, Create, Metadact, Contract Companion, and DocXtools Companion while increasingly becoming the unified experience across the broader portfolio.</w:t>
      </w:r>
    </w:p>
    <w:tbl>
      <w:tblPr>
        <w:tblW w:type="auto" w:w="0"/>
        <w:jc w:val="center"/>
        <w:tblLayout w:type="fixed"/>
        <w:tblLook w:firstColumn="1" w:firstRow="1" w:lastColumn="0" w:lastRow="0" w:noHBand="0" w:noVBand="1" w:val="04A0"/>
      </w:tblPr>
      <w:tblGrid>
        <w:gridCol w:w="1872"/>
        <w:gridCol w:w="8496"/>
      </w:tblGrid>
      <w:tr>
        <w:tc>
          <w:tcPr>
            <w:tcW w:type="dxa" w:w="1872"/>
            <w:vAlign w:val="center"/>
            <w:shd w:fill="F7F5F1"/>
            <w:tcMar>
              <w:top w:w="80" w:type="dxa"/>
              <w:left w:w="80" w:type="dxa"/>
              <w:bottom w:w="80" w:type="dxa"/>
              <w:right w:w="80" w:type="dxa"/>
            </w:tcMar>
          </w:tcPr>
          <w:p>
            <w:r>
              <w:rPr>
                <w:b/>
                <w:color w:val="F65100"/>
                <w:sz w:val="17"/>
              </w:rPr>
              <w:t>Performance figures</w:t>
            </w:r>
          </w:p>
        </w:tc>
        <w:tc>
          <w:tcPr>
            <w:tcW w:type="dxa" w:w="8496"/>
            <w:vAlign w:val="center"/>
            <w:shd w:fill="F7F5F1"/>
            <w:tcMar>
              <w:top w:w="80" w:type="dxa"/>
              <w:left w:w="80" w:type="dxa"/>
              <w:bottom w:w="80" w:type="dxa"/>
              <w:right w:w="80" w:type="dxa"/>
            </w:tcMar>
          </w:tcPr>
          <w:p>
            <w:r>
              <w:rPr>
                <w:sz w:val="17"/>
              </w:rPr>
              <w:t>Approximately 10,000 customers migrated to new package SKUs (Base, Pro, Advanced); MAU: 11.8K; MAA: 20%.</w:t>
            </w:r>
          </w:p>
        </w:tc>
      </w:tr>
      <w:tr>
        <w:tc>
          <w:tcPr>
            <w:tcW w:type="dxa" w:w="1872"/>
            <w:vAlign w:val="center"/>
            <w:shd w:fill="FFFFFF"/>
            <w:tcMar>
              <w:top w:w="80" w:type="dxa"/>
              <w:left w:w="80" w:type="dxa"/>
              <w:bottom w:w="80" w:type="dxa"/>
              <w:right w:w="80" w:type="dxa"/>
            </w:tcMar>
          </w:tcPr>
          <w:p>
            <w:r>
              <w:rPr>
                <w:b/>
                <w:color w:val="F65100"/>
                <w:sz w:val="17"/>
              </w:rPr>
              <w:t>Named integrations</w:t>
            </w:r>
          </w:p>
        </w:tc>
        <w:tc>
          <w:tcPr>
            <w:tcW w:type="dxa" w:w="8496"/>
            <w:vAlign w:val="center"/>
            <w:shd w:fill="FFFFFF"/>
            <w:tcMar>
              <w:top w:w="80" w:type="dxa"/>
              <w:left w:w="80" w:type="dxa"/>
              <w:bottom w:w="80" w:type="dxa"/>
              <w:right w:w="80" w:type="dxa"/>
            </w:tcMar>
          </w:tcPr>
          <w:p>
            <w:r>
              <w:rPr>
                <w:sz w:val="17"/>
              </w:rPr>
              <w:t>Microsoft Word; Microsoft Outlook; Microsoft 365 architecture.</w:t>
            </w:r>
          </w:p>
        </w:tc>
      </w:tr>
      <w:tr>
        <w:tc>
          <w:tcPr>
            <w:tcW w:type="dxa" w:w="1872"/>
            <w:vAlign w:val="center"/>
            <w:shd w:fill="F7F5F1"/>
            <w:tcMar>
              <w:top w:w="80" w:type="dxa"/>
              <w:left w:w="80" w:type="dxa"/>
              <w:bottom w:w="80" w:type="dxa"/>
              <w:right w:w="80" w:type="dxa"/>
            </w:tcMar>
          </w:tcPr>
          <w:p>
            <w:r>
              <w:rPr>
                <w:b/>
                <w:color w:val="F65100"/>
                <w:sz w:val="17"/>
              </w:rPr>
              <w:t>Customer outcomes</w:t>
            </w:r>
          </w:p>
        </w:tc>
        <w:tc>
          <w:tcPr>
            <w:tcW w:type="dxa" w:w="8496"/>
            <w:vAlign w:val="center"/>
            <w:shd w:fill="F7F5F1"/>
            <w:tcMar>
              <w:top w:w="80" w:type="dxa"/>
              <w:left w:w="80" w:type="dxa"/>
              <w:bottom w:w="80" w:type="dxa"/>
              <w:right w:w="80" w:type="dxa"/>
            </w:tcMar>
          </w:tcPr>
          <w:p>
            <w:r>
              <w:rPr>
                <w:sz w:val="17"/>
              </w:rPr>
              <w:t>[not specified in source]</w:t>
            </w:r>
          </w:p>
        </w:tc>
      </w:tr>
    </w:tbl>
    <w:p>
      <w:pPr>
        <w:spacing w:after="20"/>
      </w:pPr>
    </w:p>
    <w:p>
      <w:pPr>
        <w:pStyle w:val="Heading2"/>
      </w:pPr>
      <w:r>
        <w:t>Kira</w:t>
      </w:r>
    </w:p>
    <w:p>
      <w:r>
        <w:t>Contract intelligence and document review platform used for contract analysis, diligence, extraction, review workflows, and legal-grade AI-powered review. Recent enhancements include Generative Smart Fields, Analysis Grid, Multi-Layer AI Accuracy, Grid Chat, and Lito integration.</w:t>
      </w:r>
    </w:p>
    <w:tbl>
      <w:tblPr>
        <w:tblW w:type="auto" w:w="0"/>
        <w:jc w:val="center"/>
        <w:tblLayout w:type="fixed"/>
        <w:tblLook w:firstColumn="1" w:firstRow="1" w:lastColumn="0" w:lastRow="0" w:noHBand="0" w:noVBand="1" w:val="04A0"/>
      </w:tblPr>
      <w:tblGrid>
        <w:gridCol w:w="1872"/>
        <w:gridCol w:w="8496"/>
      </w:tblGrid>
      <w:tr>
        <w:tc>
          <w:tcPr>
            <w:tcW w:type="dxa" w:w="1872"/>
            <w:vAlign w:val="center"/>
            <w:shd w:fill="F7F5F1"/>
            <w:tcMar>
              <w:top w:w="80" w:type="dxa"/>
              <w:left w:w="80" w:type="dxa"/>
              <w:bottom w:w="80" w:type="dxa"/>
              <w:right w:w="80" w:type="dxa"/>
            </w:tcMar>
          </w:tcPr>
          <w:p>
            <w:r>
              <w:rPr>
                <w:b/>
                <w:color w:val="F65100"/>
                <w:sz w:val="17"/>
              </w:rPr>
              <w:t>Performance figures</w:t>
            </w:r>
          </w:p>
        </w:tc>
        <w:tc>
          <w:tcPr>
            <w:tcW w:type="dxa" w:w="8496"/>
            <w:vAlign w:val="center"/>
            <w:shd w:fill="F7F5F1"/>
            <w:tcMar>
              <w:top w:w="80" w:type="dxa"/>
              <w:left w:w="80" w:type="dxa"/>
              <w:bottom w:w="80" w:type="dxa"/>
              <w:right w:w="80" w:type="dxa"/>
            </w:tcMar>
          </w:tcPr>
          <w:p>
            <w:r>
              <w:rPr>
                <w:sz w:val="17"/>
              </w:rPr>
              <w:t>360 contracts reviewed in minutes.</w:t>
            </w:r>
          </w:p>
        </w:tc>
      </w:tr>
      <w:tr>
        <w:tc>
          <w:tcPr>
            <w:tcW w:type="dxa" w:w="1872"/>
            <w:vAlign w:val="center"/>
            <w:shd w:fill="FFFFFF"/>
            <w:tcMar>
              <w:top w:w="80" w:type="dxa"/>
              <w:left w:w="80" w:type="dxa"/>
              <w:bottom w:w="80" w:type="dxa"/>
              <w:right w:w="80" w:type="dxa"/>
            </w:tcMar>
          </w:tcPr>
          <w:p>
            <w:r>
              <w:rPr>
                <w:b/>
                <w:color w:val="F65100"/>
                <w:sz w:val="17"/>
              </w:rPr>
              <w:t>Named integrations</w:t>
            </w:r>
          </w:p>
        </w:tc>
        <w:tc>
          <w:tcPr>
            <w:tcW w:type="dxa" w:w="8496"/>
            <w:vAlign w:val="center"/>
            <w:shd w:fill="FFFFFF"/>
            <w:tcMar>
              <w:top w:w="80" w:type="dxa"/>
              <w:left w:w="80" w:type="dxa"/>
              <w:bottom w:w="80" w:type="dxa"/>
              <w:right w:w="80" w:type="dxa"/>
            </w:tcMar>
          </w:tcPr>
          <w:p>
            <w:r>
              <w:rPr>
                <w:sz w:val="17"/>
              </w:rPr>
              <w:t>Lito.</w:t>
            </w:r>
          </w:p>
        </w:tc>
      </w:tr>
      <w:tr>
        <w:tc>
          <w:tcPr>
            <w:tcW w:type="dxa" w:w="1872"/>
            <w:vAlign w:val="center"/>
            <w:shd w:fill="F7F5F1"/>
            <w:tcMar>
              <w:top w:w="80" w:type="dxa"/>
              <w:left w:w="80" w:type="dxa"/>
              <w:bottom w:w="80" w:type="dxa"/>
              <w:right w:w="80" w:type="dxa"/>
            </w:tcMar>
          </w:tcPr>
          <w:p>
            <w:r>
              <w:rPr>
                <w:b/>
                <w:color w:val="F65100"/>
                <w:sz w:val="17"/>
              </w:rPr>
              <w:t>Customer outcomes</w:t>
            </w:r>
          </w:p>
        </w:tc>
        <w:tc>
          <w:tcPr>
            <w:tcW w:type="dxa" w:w="8496"/>
            <w:vAlign w:val="center"/>
            <w:shd w:fill="F7F5F1"/>
            <w:tcMar>
              <w:top w:w="80" w:type="dxa"/>
              <w:left w:w="80" w:type="dxa"/>
              <w:bottom w:w="80" w:type="dxa"/>
              <w:right w:w="80" w:type="dxa"/>
            </w:tcMar>
          </w:tcPr>
          <w:p>
            <w:r>
              <w:rPr>
                <w:sz w:val="17"/>
              </w:rPr>
              <w:t>Customer cited time to value and faster decision-making through contract intelligence.</w:t>
            </w:r>
          </w:p>
        </w:tc>
      </w:tr>
    </w:tbl>
    <w:p>
      <w:pPr>
        <w:spacing w:after="20"/>
      </w:pPr>
    </w:p>
    <w:p>
      <w:pPr>
        <w:pStyle w:val="Heading2"/>
      </w:pPr>
      <w:r>
        <w:t>Transact</w:t>
      </w:r>
    </w:p>
    <w:p>
      <w:r>
        <w:t>Transaction management platform supporting deal execution, checklists, activity logs, dashboards, AI summaries, deal summaries, and closing workflows. Positioned within Litera's Close capability.</w:t>
      </w:r>
    </w:p>
    <w:tbl>
      <w:tblPr>
        <w:tblW w:type="auto" w:w="0"/>
        <w:jc w:val="center"/>
        <w:tblLayout w:type="fixed"/>
        <w:tblLook w:firstColumn="1" w:firstRow="1" w:lastColumn="0" w:lastRow="0" w:noHBand="0" w:noVBand="1" w:val="04A0"/>
      </w:tblPr>
      <w:tblGrid>
        <w:gridCol w:w="1872"/>
        <w:gridCol w:w="8496"/>
      </w:tblGrid>
      <w:tr>
        <w:tc>
          <w:tcPr>
            <w:tcW w:type="dxa" w:w="1872"/>
            <w:vAlign w:val="center"/>
            <w:shd w:fill="F7F5F1"/>
            <w:tcMar>
              <w:top w:w="80" w:type="dxa"/>
              <w:left w:w="80" w:type="dxa"/>
              <w:bottom w:w="80" w:type="dxa"/>
              <w:right w:w="80" w:type="dxa"/>
            </w:tcMar>
          </w:tcPr>
          <w:p>
            <w:r>
              <w:rPr>
                <w:b/>
                <w:color w:val="F65100"/>
                <w:sz w:val="17"/>
              </w:rPr>
              <w:t>Performance figures</w:t>
            </w:r>
          </w:p>
        </w:tc>
        <w:tc>
          <w:tcPr>
            <w:tcW w:type="dxa" w:w="8496"/>
            <w:vAlign w:val="center"/>
            <w:shd w:fill="F7F5F1"/>
            <w:tcMar>
              <w:top w:w="80" w:type="dxa"/>
              <w:left w:w="80" w:type="dxa"/>
              <w:bottom w:w="80" w:type="dxa"/>
              <w:right w:w="80" w:type="dxa"/>
            </w:tcMar>
          </w:tcPr>
          <w:p>
            <w:r>
              <w:rPr>
                <w:sz w:val="17"/>
              </w:rPr>
              <w:t>[not specified in source]</w:t>
            </w:r>
          </w:p>
        </w:tc>
      </w:tr>
      <w:tr>
        <w:tc>
          <w:tcPr>
            <w:tcW w:type="dxa" w:w="1872"/>
            <w:vAlign w:val="center"/>
            <w:shd w:fill="FFFFFF"/>
            <w:tcMar>
              <w:top w:w="80" w:type="dxa"/>
              <w:left w:w="80" w:type="dxa"/>
              <w:bottom w:w="80" w:type="dxa"/>
              <w:right w:w="80" w:type="dxa"/>
            </w:tcMar>
          </w:tcPr>
          <w:p>
            <w:r>
              <w:rPr>
                <w:b/>
                <w:color w:val="F65100"/>
                <w:sz w:val="17"/>
              </w:rPr>
              <w:t>Named integrations</w:t>
            </w:r>
          </w:p>
        </w:tc>
        <w:tc>
          <w:tcPr>
            <w:tcW w:type="dxa" w:w="8496"/>
            <w:vAlign w:val="center"/>
            <w:shd w:fill="FFFFFF"/>
            <w:tcMar>
              <w:top w:w="80" w:type="dxa"/>
              <w:left w:w="80" w:type="dxa"/>
              <w:bottom w:w="80" w:type="dxa"/>
              <w:right w:w="80" w:type="dxa"/>
            </w:tcMar>
          </w:tcPr>
          <w:p>
            <w:r>
              <w:rPr>
                <w:sz w:val="17"/>
              </w:rPr>
              <w:t>Office &amp; Dragons; Lito.</w:t>
            </w:r>
          </w:p>
        </w:tc>
      </w:tr>
      <w:tr>
        <w:tc>
          <w:tcPr>
            <w:tcW w:type="dxa" w:w="1872"/>
            <w:vAlign w:val="center"/>
            <w:shd w:fill="F7F5F1"/>
            <w:tcMar>
              <w:top w:w="80" w:type="dxa"/>
              <w:left w:w="80" w:type="dxa"/>
              <w:bottom w:w="80" w:type="dxa"/>
              <w:right w:w="80" w:type="dxa"/>
            </w:tcMar>
          </w:tcPr>
          <w:p>
            <w:r>
              <w:rPr>
                <w:b/>
                <w:color w:val="F65100"/>
                <w:sz w:val="17"/>
              </w:rPr>
              <w:t>Customer outcomes</w:t>
            </w:r>
          </w:p>
        </w:tc>
        <w:tc>
          <w:tcPr>
            <w:tcW w:type="dxa" w:w="8496"/>
            <w:vAlign w:val="center"/>
            <w:shd w:fill="F7F5F1"/>
            <w:tcMar>
              <w:top w:w="80" w:type="dxa"/>
              <w:left w:w="80" w:type="dxa"/>
              <w:bottom w:w="80" w:type="dxa"/>
              <w:right w:w="80" w:type="dxa"/>
            </w:tcMar>
          </w:tcPr>
          <w:p>
            <w:r>
              <w:rPr>
                <w:sz w:val="17"/>
              </w:rPr>
              <w:t>120 transactions managed through Transact in a customer's first year.</w:t>
            </w:r>
          </w:p>
        </w:tc>
      </w:tr>
    </w:tbl>
    <w:p>
      <w:pPr>
        <w:spacing w:after="20"/>
      </w:pPr>
    </w:p>
    <w:p>
      <w:pPr>
        <w:pStyle w:val="Heading2"/>
      </w:pPr>
      <w:r>
        <w:t>Office &amp; Dragons</w:t>
      </w:r>
    </w:p>
    <w:p>
      <w:r>
        <w:t>Legal workflow and transaction execution platform focused on redlining, file management, mass edits, transaction workflows, and AI agent-assisted execution.</w:t>
      </w:r>
    </w:p>
    <w:tbl>
      <w:tblPr>
        <w:tblW w:type="auto" w:w="0"/>
        <w:jc w:val="center"/>
        <w:tblLayout w:type="fixed"/>
        <w:tblLook w:firstColumn="1" w:firstRow="1" w:lastColumn="0" w:lastRow="0" w:noHBand="0" w:noVBand="1" w:val="04A0"/>
      </w:tblPr>
      <w:tblGrid>
        <w:gridCol w:w="1872"/>
        <w:gridCol w:w="8496"/>
      </w:tblGrid>
      <w:tr>
        <w:tc>
          <w:tcPr>
            <w:tcW w:type="dxa" w:w="1872"/>
            <w:vAlign w:val="center"/>
            <w:shd w:fill="F7F5F1"/>
            <w:tcMar>
              <w:top w:w="80" w:type="dxa"/>
              <w:left w:w="80" w:type="dxa"/>
              <w:bottom w:w="80" w:type="dxa"/>
              <w:right w:w="80" w:type="dxa"/>
            </w:tcMar>
          </w:tcPr>
          <w:p>
            <w:r>
              <w:rPr>
                <w:b/>
                <w:color w:val="F65100"/>
                <w:sz w:val="17"/>
              </w:rPr>
              <w:t>Performance figures</w:t>
            </w:r>
          </w:p>
        </w:tc>
        <w:tc>
          <w:tcPr>
            <w:tcW w:type="dxa" w:w="8496"/>
            <w:vAlign w:val="center"/>
            <w:shd w:fill="F7F5F1"/>
            <w:tcMar>
              <w:top w:w="80" w:type="dxa"/>
              <w:left w:w="80" w:type="dxa"/>
              <w:bottom w:w="80" w:type="dxa"/>
              <w:right w:w="80" w:type="dxa"/>
            </w:tcMar>
          </w:tcPr>
          <w:p>
            <w:r>
              <w:rPr>
                <w:sz w:val="17"/>
              </w:rPr>
              <w:t>[not specified in source]</w:t>
            </w:r>
          </w:p>
        </w:tc>
      </w:tr>
      <w:tr>
        <w:tc>
          <w:tcPr>
            <w:tcW w:type="dxa" w:w="1872"/>
            <w:vAlign w:val="center"/>
            <w:shd w:fill="FFFFFF"/>
            <w:tcMar>
              <w:top w:w="80" w:type="dxa"/>
              <w:left w:w="80" w:type="dxa"/>
              <w:bottom w:w="80" w:type="dxa"/>
              <w:right w:w="80" w:type="dxa"/>
            </w:tcMar>
          </w:tcPr>
          <w:p>
            <w:r>
              <w:rPr>
                <w:b/>
                <w:color w:val="F65100"/>
                <w:sz w:val="17"/>
              </w:rPr>
              <w:t>Named integrations</w:t>
            </w:r>
          </w:p>
        </w:tc>
        <w:tc>
          <w:tcPr>
            <w:tcW w:type="dxa" w:w="8496"/>
            <w:vAlign w:val="center"/>
            <w:shd w:fill="FFFFFF"/>
            <w:tcMar>
              <w:top w:w="80" w:type="dxa"/>
              <w:left w:w="80" w:type="dxa"/>
              <w:bottom w:w="80" w:type="dxa"/>
              <w:right w:w="80" w:type="dxa"/>
            </w:tcMar>
          </w:tcPr>
          <w:p>
            <w:r>
              <w:rPr>
                <w:sz w:val="17"/>
              </w:rPr>
              <w:t>Transact; Lito.</w:t>
            </w:r>
          </w:p>
        </w:tc>
      </w:tr>
      <w:tr>
        <w:tc>
          <w:tcPr>
            <w:tcW w:type="dxa" w:w="1872"/>
            <w:vAlign w:val="center"/>
            <w:shd w:fill="F7F5F1"/>
            <w:tcMar>
              <w:top w:w="80" w:type="dxa"/>
              <w:left w:w="80" w:type="dxa"/>
              <w:bottom w:w="80" w:type="dxa"/>
              <w:right w:w="80" w:type="dxa"/>
            </w:tcMar>
          </w:tcPr>
          <w:p>
            <w:r>
              <w:rPr>
                <w:b/>
                <w:color w:val="F65100"/>
                <w:sz w:val="17"/>
              </w:rPr>
              <w:t>Customer outcomes</w:t>
            </w:r>
          </w:p>
        </w:tc>
        <w:tc>
          <w:tcPr>
            <w:tcW w:type="dxa" w:w="8496"/>
            <w:vAlign w:val="center"/>
            <w:shd w:fill="F7F5F1"/>
            <w:tcMar>
              <w:top w:w="80" w:type="dxa"/>
              <w:left w:w="80" w:type="dxa"/>
              <w:bottom w:w="80" w:type="dxa"/>
              <w:right w:w="80" w:type="dxa"/>
            </w:tcMar>
          </w:tcPr>
          <w:p>
            <w:r>
              <w:rPr>
                <w:sz w:val="17"/>
              </w:rPr>
              <w:t>[not specified in source]</w:t>
            </w:r>
          </w:p>
        </w:tc>
      </w:tr>
    </w:tbl>
    <w:p>
      <w:pPr>
        <w:spacing w:after="20"/>
      </w:pPr>
    </w:p>
    <w:p>
      <w:pPr>
        <w:pStyle w:val="Heading2"/>
      </w:pPr>
      <w:r>
        <w:t>Case &amp; Matter Management (CMM)</w:t>
      </w:r>
    </w:p>
    <w:p>
      <w:r>
        <w:t>Matter and case management platform within Litera's Legal Management suite. Recent enhancements include AI Summaries and deeper integration across Legal Management workflows.</w:t>
      </w:r>
    </w:p>
    <w:tbl>
      <w:tblPr>
        <w:tblW w:type="auto" w:w="0"/>
        <w:jc w:val="center"/>
        <w:tblLayout w:type="fixed"/>
        <w:tblLook w:firstColumn="1" w:firstRow="1" w:lastColumn="0" w:lastRow="0" w:noHBand="0" w:noVBand="1" w:val="04A0"/>
      </w:tblPr>
      <w:tblGrid>
        <w:gridCol w:w="1872"/>
        <w:gridCol w:w="8496"/>
      </w:tblGrid>
      <w:tr>
        <w:tc>
          <w:tcPr>
            <w:tcW w:type="dxa" w:w="1872"/>
            <w:vAlign w:val="center"/>
            <w:shd w:fill="F7F5F1"/>
            <w:tcMar>
              <w:top w:w="80" w:type="dxa"/>
              <w:left w:w="80" w:type="dxa"/>
              <w:bottom w:w="80" w:type="dxa"/>
              <w:right w:w="80" w:type="dxa"/>
            </w:tcMar>
          </w:tcPr>
          <w:p>
            <w:r>
              <w:rPr>
                <w:b/>
                <w:color w:val="F65100"/>
                <w:sz w:val="17"/>
              </w:rPr>
              <w:t>Performance figures</w:t>
            </w:r>
          </w:p>
        </w:tc>
        <w:tc>
          <w:tcPr>
            <w:tcW w:type="dxa" w:w="8496"/>
            <w:vAlign w:val="center"/>
            <w:shd w:fill="F7F5F1"/>
            <w:tcMar>
              <w:top w:w="80" w:type="dxa"/>
              <w:left w:w="80" w:type="dxa"/>
              <w:bottom w:w="80" w:type="dxa"/>
              <w:right w:w="80" w:type="dxa"/>
            </w:tcMar>
          </w:tcPr>
          <w:p>
            <w:r>
              <w:rPr>
                <w:sz w:val="17"/>
              </w:rPr>
              <w:t>[not specified in source]</w:t>
            </w:r>
          </w:p>
        </w:tc>
      </w:tr>
      <w:tr>
        <w:tc>
          <w:tcPr>
            <w:tcW w:type="dxa" w:w="1872"/>
            <w:vAlign w:val="center"/>
            <w:shd w:fill="FFFFFF"/>
            <w:tcMar>
              <w:top w:w="80" w:type="dxa"/>
              <w:left w:w="80" w:type="dxa"/>
              <w:bottom w:w="80" w:type="dxa"/>
              <w:right w:w="80" w:type="dxa"/>
            </w:tcMar>
          </w:tcPr>
          <w:p>
            <w:r>
              <w:rPr>
                <w:b/>
                <w:color w:val="F65100"/>
                <w:sz w:val="17"/>
              </w:rPr>
              <w:t>Named integrations</w:t>
            </w:r>
          </w:p>
        </w:tc>
        <w:tc>
          <w:tcPr>
            <w:tcW w:type="dxa" w:w="8496"/>
            <w:vAlign w:val="center"/>
            <w:shd w:fill="FFFFFF"/>
            <w:tcMar>
              <w:top w:w="80" w:type="dxa"/>
              <w:left w:w="80" w:type="dxa"/>
              <w:bottom w:w="80" w:type="dxa"/>
              <w:right w:w="80" w:type="dxa"/>
            </w:tcMar>
          </w:tcPr>
          <w:p>
            <w:r>
              <w:rPr>
                <w:sz w:val="17"/>
              </w:rPr>
              <w:t>Transact; Office &amp; Dragons; Lito.</w:t>
            </w:r>
          </w:p>
        </w:tc>
      </w:tr>
      <w:tr>
        <w:tc>
          <w:tcPr>
            <w:tcW w:type="dxa" w:w="1872"/>
            <w:vAlign w:val="center"/>
            <w:shd w:fill="F7F5F1"/>
            <w:tcMar>
              <w:top w:w="80" w:type="dxa"/>
              <w:left w:w="80" w:type="dxa"/>
              <w:bottom w:w="80" w:type="dxa"/>
              <w:right w:w="80" w:type="dxa"/>
            </w:tcMar>
          </w:tcPr>
          <w:p>
            <w:r>
              <w:rPr>
                <w:b/>
                <w:color w:val="F65100"/>
                <w:sz w:val="17"/>
              </w:rPr>
              <w:t>Customer outcomes</w:t>
            </w:r>
          </w:p>
        </w:tc>
        <w:tc>
          <w:tcPr>
            <w:tcW w:type="dxa" w:w="8496"/>
            <w:vAlign w:val="center"/>
            <w:shd w:fill="F7F5F1"/>
            <w:tcMar>
              <w:top w:w="80" w:type="dxa"/>
              <w:left w:w="80" w:type="dxa"/>
              <w:bottom w:w="80" w:type="dxa"/>
              <w:right w:w="80" w:type="dxa"/>
            </w:tcMar>
          </w:tcPr>
          <w:p>
            <w:r>
              <w:rPr>
                <w:sz w:val="17"/>
              </w:rPr>
              <w:t>[not specified in source]</w:t>
            </w:r>
          </w:p>
        </w:tc>
      </w:tr>
    </w:tbl>
    <w:p>
      <w:pPr>
        <w:spacing w:after="20"/>
      </w:pPr>
    </w:p>
    <w:p>
      <w:pPr>
        <w:pStyle w:val="Heading2"/>
      </w:pPr>
      <w:r>
        <w:t>Litera Create Templates</w:t>
      </w:r>
    </w:p>
    <w:p>
      <w:r>
        <w:t>Document drafting solution for template-driven legal document creation and first-draft generation grounded in approved precedent and firm standards.</w:t>
      </w:r>
    </w:p>
    <w:tbl>
      <w:tblPr>
        <w:tblW w:type="auto" w:w="0"/>
        <w:jc w:val="center"/>
        <w:tblLayout w:type="fixed"/>
        <w:tblLook w:firstColumn="1" w:firstRow="1" w:lastColumn="0" w:lastRow="0" w:noHBand="0" w:noVBand="1" w:val="04A0"/>
      </w:tblPr>
      <w:tblGrid>
        <w:gridCol w:w="1872"/>
        <w:gridCol w:w="8496"/>
      </w:tblGrid>
      <w:tr>
        <w:tc>
          <w:tcPr>
            <w:tcW w:type="dxa" w:w="1872"/>
            <w:vAlign w:val="center"/>
            <w:shd w:fill="F7F5F1"/>
            <w:tcMar>
              <w:top w:w="80" w:type="dxa"/>
              <w:left w:w="80" w:type="dxa"/>
              <w:bottom w:w="80" w:type="dxa"/>
              <w:right w:w="80" w:type="dxa"/>
            </w:tcMar>
          </w:tcPr>
          <w:p>
            <w:r>
              <w:rPr>
                <w:b/>
                <w:color w:val="F65100"/>
                <w:sz w:val="17"/>
              </w:rPr>
              <w:t>Performance figures</w:t>
            </w:r>
          </w:p>
        </w:tc>
        <w:tc>
          <w:tcPr>
            <w:tcW w:type="dxa" w:w="8496"/>
            <w:vAlign w:val="center"/>
            <w:shd w:fill="F7F5F1"/>
            <w:tcMar>
              <w:top w:w="80" w:type="dxa"/>
              <w:left w:w="80" w:type="dxa"/>
              <w:bottom w:w="80" w:type="dxa"/>
              <w:right w:w="80" w:type="dxa"/>
            </w:tcMar>
          </w:tcPr>
          <w:p>
            <w:r>
              <w:rPr>
                <w:sz w:val="17"/>
              </w:rPr>
              <w:t>Up to 97% faster drafting.</w:t>
            </w:r>
          </w:p>
        </w:tc>
      </w:tr>
      <w:tr>
        <w:tc>
          <w:tcPr>
            <w:tcW w:type="dxa" w:w="1872"/>
            <w:vAlign w:val="center"/>
            <w:shd w:fill="FFFFFF"/>
            <w:tcMar>
              <w:top w:w="80" w:type="dxa"/>
              <w:left w:w="80" w:type="dxa"/>
              <w:bottom w:w="80" w:type="dxa"/>
              <w:right w:w="80" w:type="dxa"/>
            </w:tcMar>
          </w:tcPr>
          <w:p>
            <w:r>
              <w:rPr>
                <w:b/>
                <w:color w:val="F65100"/>
                <w:sz w:val="17"/>
              </w:rPr>
              <w:t>Named integrations</w:t>
            </w:r>
          </w:p>
        </w:tc>
        <w:tc>
          <w:tcPr>
            <w:tcW w:type="dxa" w:w="8496"/>
            <w:vAlign w:val="center"/>
            <w:shd w:fill="FFFFFF"/>
            <w:tcMar>
              <w:top w:w="80" w:type="dxa"/>
              <w:left w:w="80" w:type="dxa"/>
              <w:bottom w:w="80" w:type="dxa"/>
              <w:right w:w="80" w:type="dxa"/>
            </w:tcMar>
          </w:tcPr>
          <w:p>
            <w:r>
              <w:rPr>
                <w:sz w:val="17"/>
              </w:rPr>
              <w:t>Litera One; Lito.</w:t>
            </w:r>
          </w:p>
        </w:tc>
      </w:tr>
      <w:tr>
        <w:tc>
          <w:tcPr>
            <w:tcW w:type="dxa" w:w="1872"/>
            <w:vAlign w:val="center"/>
            <w:shd w:fill="F7F5F1"/>
            <w:tcMar>
              <w:top w:w="80" w:type="dxa"/>
              <w:left w:w="80" w:type="dxa"/>
              <w:bottom w:w="80" w:type="dxa"/>
              <w:right w:w="80" w:type="dxa"/>
            </w:tcMar>
          </w:tcPr>
          <w:p>
            <w:r>
              <w:rPr>
                <w:b/>
                <w:color w:val="F65100"/>
                <w:sz w:val="17"/>
              </w:rPr>
              <w:t>Customer outcomes</w:t>
            </w:r>
          </w:p>
        </w:tc>
        <w:tc>
          <w:tcPr>
            <w:tcW w:type="dxa" w:w="8496"/>
            <w:vAlign w:val="center"/>
            <w:shd w:fill="F7F5F1"/>
            <w:tcMar>
              <w:top w:w="80" w:type="dxa"/>
              <w:left w:w="80" w:type="dxa"/>
              <w:bottom w:w="80" w:type="dxa"/>
              <w:right w:w="80" w:type="dxa"/>
            </w:tcMar>
          </w:tcPr>
          <w:p>
            <w:r>
              <w:rPr>
                <w:sz w:val="17"/>
              </w:rPr>
              <w:t>First drafts move faster while maintaining firm control and standards.</w:t>
            </w:r>
          </w:p>
        </w:tc>
      </w:tr>
    </w:tbl>
    <w:p>
      <w:pPr>
        <w:spacing w:after="20"/>
      </w:pPr>
    </w:p>
    <w:p>
      <w:pPr>
        <w:pStyle w:val="Heading2"/>
      </w:pPr>
      <w:r>
        <w:t>Litera Create Content</w:t>
      </w:r>
    </w:p>
    <w:p>
      <w:r>
        <w:t>Document content generation and drafting capability supporting legal drafting workflows.</w:t>
      </w:r>
    </w:p>
    <w:tbl>
      <w:tblPr>
        <w:tblW w:type="auto" w:w="0"/>
        <w:jc w:val="center"/>
        <w:tblLayout w:type="fixed"/>
        <w:tblLook w:firstColumn="1" w:firstRow="1" w:lastColumn="0" w:lastRow="0" w:noHBand="0" w:noVBand="1" w:val="04A0"/>
      </w:tblPr>
      <w:tblGrid>
        <w:gridCol w:w="1872"/>
        <w:gridCol w:w="8496"/>
      </w:tblGrid>
      <w:tr>
        <w:tc>
          <w:tcPr>
            <w:tcW w:type="dxa" w:w="1872"/>
            <w:vAlign w:val="center"/>
            <w:shd w:fill="F7F5F1"/>
            <w:tcMar>
              <w:top w:w="80" w:type="dxa"/>
              <w:left w:w="80" w:type="dxa"/>
              <w:bottom w:w="80" w:type="dxa"/>
              <w:right w:w="80" w:type="dxa"/>
            </w:tcMar>
          </w:tcPr>
          <w:p>
            <w:r>
              <w:rPr>
                <w:b/>
                <w:color w:val="F65100"/>
                <w:sz w:val="17"/>
              </w:rPr>
              <w:t>Performance figures</w:t>
            </w:r>
          </w:p>
        </w:tc>
        <w:tc>
          <w:tcPr>
            <w:tcW w:type="dxa" w:w="8496"/>
            <w:vAlign w:val="center"/>
            <w:shd w:fill="F7F5F1"/>
            <w:tcMar>
              <w:top w:w="80" w:type="dxa"/>
              <w:left w:w="80" w:type="dxa"/>
              <w:bottom w:w="80" w:type="dxa"/>
              <w:right w:w="80" w:type="dxa"/>
            </w:tcMar>
          </w:tcPr>
          <w:p>
            <w:r>
              <w:rPr>
                <w:sz w:val="17"/>
              </w:rPr>
              <w:t>Up to 97% faster drafting.</w:t>
            </w:r>
          </w:p>
        </w:tc>
      </w:tr>
      <w:tr>
        <w:tc>
          <w:tcPr>
            <w:tcW w:type="dxa" w:w="1872"/>
            <w:vAlign w:val="center"/>
            <w:shd w:fill="FFFFFF"/>
            <w:tcMar>
              <w:top w:w="80" w:type="dxa"/>
              <w:left w:w="80" w:type="dxa"/>
              <w:bottom w:w="80" w:type="dxa"/>
              <w:right w:w="80" w:type="dxa"/>
            </w:tcMar>
          </w:tcPr>
          <w:p>
            <w:r>
              <w:rPr>
                <w:b/>
                <w:color w:val="F65100"/>
                <w:sz w:val="17"/>
              </w:rPr>
              <w:t>Named integrations</w:t>
            </w:r>
          </w:p>
        </w:tc>
        <w:tc>
          <w:tcPr>
            <w:tcW w:type="dxa" w:w="8496"/>
            <w:vAlign w:val="center"/>
            <w:shd w:fill="FFFFFF"/>
            <w:tcMar>
              <w:top w:w="80" w:type="dxa"/>
              <w:left w:w="80" w:type="dxa"/>
              <w:bottom w:w="80" w:type="dxa"/>
              <w:right w:w="80" w:type="dxa"/>
            </w:tcMar>
          </w:tcPr>
          <w:p>
            <w:r>
              <w:rPr>
                <w:sz w:val="17"/>
              </w:rPr>
              <w:t>Lito; Precedent workflow.</w:t>
            </w:r>
          </w:p>
        </w:tc>
      </w:tr>
      <w:tr>
        <w:tc>
          <w:tcPr>
            <w:tcW w:type="dxa" w:w="1872"/>
            <w:vAlign w:val="center"/>
            <w:shd w:fill="F7F5F1"/>
            <w:tcMar>
              <w:top w:w="80" w:type="dxa"/>
              <w:left w:w="80" w:type="dxa"/>
              <w:bottom w:w="80" w:type="dxa"/>
              <w:right w:w="80" w:type="dxa"/>
            </w:tcMar>
          </w:tcPr>
          <w:p>
            <w:r>
              <w:rPr>
                <w:b/>
                <w:color w:val="F65100"/>
                <w:sz w:val="17"/>
              </w:rPr>
              <w:t>Customer outcomes</w:t>
            </w:r>
          </w:p>
        </w:tc>
        <w:tc>
          <w:tcPr>
            <w:tcW w:type="dxa" w:w="8496"/>
            <w:vAlign w:val="center"/>
            <w:shd w:fill="F7F5F1"/>
            <w:tcMar>
              <w:top w:w="80" w:type="dxa"/>
              <w:left w:w="80" w:type="dxa"/>
              <w:bottom w:w="80" w:type="dxa"/>
              <w:right w:w="80" w:type="dxa"/>
            </w:tcMar>
          </w:tcPr>
          <w:p>
            <w:r>
              <w:rPr>
                <w:sz w:val="17"/>
              </w:rPr>
              <w:t>[not specified in source]</w:t>
            </w:r>
          </w:p>
        </w:tc>
      </w:tr>
    </w:tbl>
    <w:p>
      <w:pPr>
        <w:spacing w:after="20"/>
      </w:pPr>
    </w:p>
    <w:p>
      <w:pPr>
        <w:pStyle w:val="Heading2"/>
      </w:pPr>
      <w:r>
        <w:t>Compare</w:t>
      </w:r>
    </w:p>
    <w:p>
      <w:r>
        <w:t>Legal document comparison and redlining product used within drafting and negotiation workflows. Supports desktop, server, web, Litera One, and Google Workspace experiences.</w:t>
      </w:r>
    </w:p>
    <w:tbl>
      <w:tblPr>
        <w:tblW w:type="auto" w:w="0"/>
        <w:jc w:val="center"/>
        <w:tblLayout w:type="fixed"/>
        <w:tblLook w:firstColumn="1" w:firstRow="1" w:lastColumn="0" w:lastRow="0" w:noHBand="0" w:noVBand="1" w:val="04A0"/>
      </w:tblPr>
      <w:tblGrid>
        <w:gridCol w:w="1872"/>
        <w:gridCol w:w="8496"/>
      </w:tblGrid>
      <w:tr>
        <w:tc>
          <w:tcPr>
            <w:tcW w:type="dxa" w:w="1872"/>
            <w:vAlign w:val="center"/>
            <w:shd w:fill="F7F5F1"/>
            <w:tcMar>
              <w:top w:w="80" w:type="dxa"/>
              <w:left w:w="80" w:type="dxa"/>
              <w:bottom w:w="80" w:type="dxa"/>
              <w:right w:w="80" w:type="dxa"/>
            </w:tcMar>
          </w:tcPr>
          <w:p>
            <w:r>
              <w:rPr>
                <w:b/>
                <w:color w:val="F65100"/>
                <w:sz w:val="17"/>
              </w:rPr>
              <w:t>Performance figures</w:t>
            </w:r>
          </w:p>
        </w:tc>
        <w:tc>
          <w:tcPr>
            <w:tcW w:type="dxa" w:w="8496"/>
            <w:vAlign w:val="center"/>
            <w:shd w:fill="F7F5F1"/>
            <w:tcMar>
              <w:top w:w="80" w:type="dxa"/>
              <w:left w:w="80" w:type="dxa"/>
              <w:bottom w:w="80" w:type="dxa"/>
              <w:right w:w="80" w:type="dxa"/>
            </w:tcMar>
          </w:tcPr>
          <w:p>
            <w:r>
              <w:rPr>
                <w:sz w:val="17"/>
              </w:rPr>
              <w:t>[not specified in source]</w:t>
            </w:r>
          </w:p>
        </w:tc>
      </w:tr>
      <w:tr>
        <w:tc>
          <w:tcPr>
            <w:tcW w:type="dxa" w:w="1872"/>
            <w:vAlign w:val="center"/>
            <w:shd w:fill="FFFFFF"/>
            <w:tcMar>
              <w:top w:w="80" w:type="dxa"/>
              <w:left w:w="80" w:type="dxa"/>
              <w:bottom w:w="80" w:type="dxa"/>
              <w:right w:w="80" w:type="dxa"/>
            </w:tcMar>
          </w:tcPr>
          <w:p>
            <w:r>
              <w:rPr>
                <w:b/>
                <w:color w:val="F65100"/>
                <w:sz w:val="17"/>
              </w:rPr>
              <w:t>Named integrations</w:t>
            </w:r>
          </w:p>
        </w:tc>
        <w:tc>
          <w:tcPr>
            <w:tcW w:type="dxa" w:w="8496"/>
            <w:vAlign w:val="center"/>
            <w:shd w:fill="FFFFFF"/>
            <w:tcMar>
              <w:top w:w="80" w:type="dxa"/>
              <w:left w:w="80" w:type="dxa"/>
              <w:bottom w:w="80" w:type="dxa"/>
              <w:right w:w="80" w:type="dxa"/>
            </w:tcMar>
          </w:tcPr>
          <w:p>
            <w:r>
              <w:rPr>
                <w:sz w:val="17"/>
              </w:rPr>
              <w:t>Google Workspace; Litera One; Lito.</w:t>
            </w:r>
          </w:p>
        </w:tc>
      </w:tr>
      <w:tr>
        <w:tc>
          <w:tcPr>
            <w:tcW w:type="dxa" w:w="1872"/>
            <w:vAlign w:val="center"/>
            <w:shd w:fill="F7F5F1"/>
            <w:tcMar>
              <w:top w:w="80" w:type="dxa"/>
              <w:left w:w="80" w:type="dxa"/>
              <w:bottom w:w="80" w:type="dxa"/>
              <w:right w:w="80" w:type="dxa"/>
            </w:tcMar>
          </w:tcPr>
          <w:p>
            <w:r>
              <w:rPr>
                <w:b/>
                <w:color w:val="F65100"/>
                <w:sz w:val="17"/>
              </w:rPr>
              <w:t>Customer outcomes</w:t>
            </w:r>
          </w:p>
        </w:tc>
        <w:tc>
          <w:tcPr>
            <w:tcW w:type="dxa" w:w="8496"/>
            <w:vAlign w:val="center"/>
            <w:shd w:fill="F7F5F1"/>
            <w:tcMar>
              <w:top w:w="80" w:type="dxa"/>
              <w:left w:w="80" w:type="dxa"/>
              <w:bottom w:w="80" w:type="dxa"/>
              <w:right w:w="80" w:type="dxa"/>
            </w:tcMar>
          </w:tcPr>
          <w:p>
            <w:r>
              <w:rPr>
                <w:sz w:val="17"/>
              </w:rPr>
              <w:t>[not specified in source]</w:t>
            </w:r>
          </w:p>
        </w:tc>
      </w:tr>
    </w:tbl>
    <w:p>
      <w:pPr>
        <w:spacing w:after="20"/>
      </w:pPr>
    </w:p>
    <w:p>
      <w:pPr>
        <w:pStyle w:val="Heading2"/>
      </w:pPr>
      <w:r>
        <w:t>DocXtools</w:t>
      </w:r>
    </w:p>
    <w:p>
      <w:r>
        <w:t>Document formatting, repair, and restyling solution used within the Protect capability.</w:t>
      </w:r>
    </w:p>
    <w:tbl>
      <w:tblPr>
        <w:tblW w:type="auto" w:w="0"/>
        <w:jc w:val="center"/>
        <w:tblLayout w:type="fixed"/>
        <w:tblLook w:firstColumn="1" w:firstRow="1" w:lastColumn="0" w:lastRow="0" w:noHBand="0" w:noVBand="1" w:val="04A0"/>
      </w:tblPr>
      <w:tblGrid>
        <w:gridCol w:w="1872"/>
        <w:gridCol w:w="8496"/>
      </w:tblGrid>
      <w:tr>
        <w:tc>
          <w:tcPr>
            <w:tcW w:type="dxa" w:w="1872"/>
            <w:vAlign w:val="center"/>
            <w:shd w:fill="F7F5F1"/>
            <w:tcMar>
              <w:top w:w="80" w:type="dxa"/>
              <w:left w:w="80" w:type="dxa"/>
              <w:bottom w:w="80" w:type="dxa"/>
              <w:right w:w="80" w:type="dxa"/>
            </w:tcMar>
          </w:tcPr>
          <w:p>
            <w:r>
              <w:rPr>
                <w:b/>
                <w:color w:val="F65100"/>
                <w:sz w:val="17"/>
              </w:rPr>
              <w:t>Performance figures</w:t>
            </w:r>
          </w:p>
        </w:tc>
        <w:tc>
          <w:tcPr>
            <w:tcW w:type="dxa" w:w="8496"/>
            <w:vAlign w:val="center"/>
            <w:shd w:fill="F7F5F1"/>
            <w:tcMar>
              <w:top w:w="80" w:type="dxa"/>
              <w:left w:w="80" w:type="dxa"/>
              <w:bottom w:w="80" w:type="dxa"/>
              <w:right w:w="80" w:type="dxa"/>
            </w:tcMar>
          </w:tcPr>
          <w:p>
            <w:r>
              <w:rPr>
                <w:sz w:val="17"/>
              </w:rPr>
              <w:t>Document cleanup and redlining reduced from 30 minutes to 5 minutes per document (83% time savings).</w:t>
            </w:r>
          </w:p>
        </w:tc>
      </w:tr>
      <w:tr>
        <w:tc>
          <w:tcPr>
            <w:tcW w:type="dxa" w:w="1872"/>
            <w:vAlign w:val="center"/>
            <w:shd w:fill="FFFFFF"/>
            <w:tcMar>
              <w:top w:w="80" w:type="dxa"/>
              <w:left w:w="80" w:type="dxa"/>
              <w:bottom w:w="80" w:type="dxa"/>
              <w:right w:w="80" w:type="dxa"/>
            </w:tcMar>
          </w:tcPr>
          <w:p>
            <w:r>
              <w:rPr>
                <w:b/>
                <w:color w:val="F65100"/>
                <w:sz w:val="17"/>
              </w:rPr>
              <w:t>Named integrations</w:t>
            </w:r>
          </w:p>
        </w:tc>
        <w:tc>
          <w:tcPr>
            <w:tcW w:type="dxa" w:w="8496"/>
            <w:vAlign w:val="center"/>
            <w:shd w:fill="FFFFFF"/>
            <w:tcMar>
              <w:top w:w="80" w:type="dxa"/>
              <w:left w:w="80" w:type="dxa"/>
              <w:bottom w:w="80" w:type="dxa"/>
              <w:right w:w="80" w:type="dxa"/>
            </w:tcMar>
          </w:tcPr>
          <w:p>
            <w:r>
              <w:rPr>
                <w:sz w:val="17"/>
              </w:rPr>
              <w:t>Litera One; Lito roadmap support.</w:t>
            </w:r>
          </w:p>
        </w:tc>
      </w:tr>
      <w:tr>
        <w:tc>
          <w:tcPr>
            <w:tcW w:type="dxa" w:w="1872"/>
            <w:vAlign w:val="center"/>
            <w:shd w:fill="F7F5F1"/>
            <w:tcMar>
              <w:top w:w="80" w:type="dxa"/>
              <w:left w:w="80" w:type="dxa"/>
              <w:bottom w:w="80" w:type="dxa"/>
              <w:right w:w="80" w:type="dxa"/>
            </w:tcMar>
          </w:tcPr>
          <w:p>
            <w:r>
              <w:rPr>
                <w:b/>
                <w:color w:val="F65100"/>
                <w:sz w:val="17"/>
              </w:rPr>
              <w:t>Customer outcomes</w:t>
            </w:r>
          </w:p>
        </w:tc>
        <w:tc>
          <w:tcPr>
            <w:tcW w:type="dxa" w:w="8496"/>
            <w:vAlign w:val="center"/>
            <w:shd w:fill="F7F5F1"/>
            <w:tcMar>
              <w:top w:w="80" w:type="dxa"/>
              <w:left w:w="80" w:type="dxa"/>
              <w:bottom w:w="80" w:type="dxa"/>
              <w:right w:w="80" w:type="dxa"/>
            </w:tcMar>
          </w:tcPr>
          <w:p>
            <w:r>
              <w:rPr>
                <w:sz w:val="17"/>
              </w:rPr>
              <w:t>Lawyers productive on day one.</w:t>
            </w:r>
          </w:p>
        </w:tc>
      </w:tr>
    </w:tbl>
    <w:p>
      <w:pPr>
        <w:spacing w:after="20"/>
      </w:pPr>
    </w:p>
    <w:p>
      <w:pPr>
        <w:pStyle w:val="Heading2"/>
      </w:pPr>
      <w:r>
        <w:t>pdfDocs</w:t>
      </w:r>
    </w:p>
    <w:p>
      <w:r>
        <w:t>PDF management, organization, and document production solution supporting finalization and distribution workflows.</w:t>
      </w:r>
    </w:p>
    <w:tbl>
      <w:tblPr>
        <w:tblW w:type="auto" w:w="0"/>
        <w:jc w:val="center"/>
        <w:tblLayout w:type="fixed"/>
        <w:tblLook w:firstColumn="1" w:firstRow="1" w:lastColumn="0" w:lastRow="0" w:noHBand="0" w:noVBand="1" w:val="04A0"/>
      </w:tblPr>
      <w:tblGrid>
        <w:gridCol w:w="1872"/>
        <w:gridCol w:w="8496"/>
      </w:tblGrid>
      <w:tr>
        <w:tc>
          <w:tcPr>
            <w:tcW w:type="dxa" w:w="1872"/>
            <w:vAlign w:val="center"/>
            <w:shd w:fill="F7F5F1"/>
            <w:tcMar>
              <w:top w:w="80" w:type="dxa"/>
              <w:left w:w="80" w:type="dxa"/>
              <w:bottom w:w="80" w:type="dxa"/>
              <w:right w:w="80" w:type="dxa"/>
            </w:tcMar>
          </w:tcPr>
          <w:p>
            <w:r>
              <w:rPr>
                <w:b/>
                <w:color w:val="F65100"/>
                <w:sz w:val="17"/>
              </w:rPr>
              <w:t>Performance figures</w:t>
            </w:r>
          </w:p>
        </w:tc>
        <w:tc>
          <w:tcPr>
            <w:tcW w:type="dxa" w:w="8496"/>
            <w:vAlign w:val="center"/>
            <w:shd w:fill="F7F5F1"/>
            <w:tcMar>
              <w:top w:w="80" w:type="dxa"/>
              <w:left w:w="80" w:type="dxa"/>
              <w:bottom w:w="80" w:type="dxa"/>
              <w:right w:w="80" w:type="dxa"/>
            </w:tcMar>
          </w:tcPr>
          <w:p>
            <w:r>
              <w:rPr>
                <w:sz w:val="17"/>
              </w:rPr>
              <w:t>[not specified in source]</w:t>
            </w:r>
          </w:p>
        </w:tc>
      </w:tr>
      <w:tr>
        <w:tc>
          <w:tcPr>
            <w:tcW w:type="dxa" w:w="1872"/>
            <w:vAlign w:val="center"/>
            <w:shd w:fill="FFFFFF"/>
            <w:tcMar>
              <w:top w:w="80" w:type="dxa"/>
              <w:left w:w="80" w:type="dxa"/>
              <w:bottom w:w="80" w:type="dxa"/>
              <w:right w:w="80" w:type="dxa"/>
            </w:tcMar>
          </w:tcPr>
          <w:p>
            <w:r>
              <w:rPr>
                <w:b/>
                <w:color w:val="F65100"/>
                <w:sz w:val="17"/>
              </w:rPr>
              <w:t>Named integrations</w:t>
            </w:r>
          </w:p>
        </w:tc>
        <w:tc>
          <w:tcPr>
            <w:tcW w:type="dxa" w:w="8496"/>
            <w:vAlign w:val="center"/>
            <w:shd w:fill="FFFFFF"/>
            <w:tcMar>
              <w:top w:w="80" w:type="dxa"/>
              <w:left w:w="80" w:type="dxa"/>
              <w:bottom w:w="80" w:type="dxa"/>
              <w:right w:w="80" w:type="dxa"/>
            </w:tcMar>
          </w:tcPr>
          <w:p>
            <w:r>
              <w:rPr>
                <w:sz w:val="17"/>
              </w:rPr>
              <w:t>[not specified in source]</w:t>
            </w:r>
          </w:p>
        </w:tc>
      </w:tr>
      <w:tr>
        <w:tc>
          <w:tcPr>
            <w:tcW w:type="dxa" w:w="1872"/>
            <w:vAlign w:val="center"/>
            <w:shd w:fill="F7F5F1"/>
            <w:tcMar>
              <w:top w:w="80" w:type="dxa"/>
              <w:left w:w="80" w:type="dxa"/>
              <w:bottom w:w="80" w:type="dxa"/>
              <w:right w:w="80" w:type="dxa"/>
            </w:tcMar>
          </w:tcPr>
          <w:p>
            <w:r>
              <w:rPr>
                <w:b/>
                <w:color w:val="F65100"/>
                <w:sz w:val="17"/>
              </w:rPr>
              <w:t>Customer outcomes</w:t>
            </w:r>
          </w:p>
        </w:tc>
        <w:tc>
          <w:tcPr>
            <w:tcW w:type="dxa" w:w="8496"/>
            <w:vAlign w:val="center"/>
            <w:shd w:fill="F7F5F1"/>
            <w:tcMar>
              <w:top w:w="80" w:type="dxa"/>
              <w:left w:w="80" w:type="dxa"/>
              <w:bottom w:w="80" w:type="dxa"/>
              <w:right w:w="80" w:type="dxa"/>
            </w:tcMar>
          </w:tcPr>
          <w:p>
            <w:r>
              <w:rPr>
                <w:sz w:val="17"/>
              </w:rPr>
              <w:t>[not specified in source]</w:t>
            </w:r>
          </w:p>
        </w:tc>
      </w:tr>
    </w:tbl>
    <w:p>
      <w:pPr>
        <w:spacing w:after="20"/>
      </w:pPr>
    </w:p>
    <w:p>
      <w:pPr>
        <w:pStyle w:val="Heading2"/>
      </w:pPr>
      <w:r>
        <w:t>Metadact (Clean)</w:t>
      </w:r>
    </w:p>
    <w:p>
      <w:r>
        <w:t>Metadata cleaning and document sanitization capability supporting the Protect workflow. Available in desktop, server, and Litera One experiences.</w:t>
      </w:r>
    </w:p>
    <w:tbl>
      <w:tblPr>
        <w:tblW w:type="auto" w:w="0"/>
        <w:jc w:val="center"/>
        <w:tblLayout w:type="fixed"/>
        <w:tblLook w:firstColumn="1" w:firstRow="1" w:lastColumn="0" w:lastRow="0" w:noHBand="0" w:noVBand="1" w:val="04A0"/>
      </w:tblPr>
      <w:tblGrid>
        <w:gridCol w:w="1872"/>
        <w:gridCol w:w="8496"/>
      </w:tblGrid>
      <w:tr>
        <w:tc>
          <w:tcPr>
            <w:tcW w:type="dxa" w:w="1872"/>
            <w:vAlign w:val="center"/>
            <w:shd w:fill="F7F5F1"/>
            <w:tcMar>
              <w:top w:w="80" w:type="dxa"/>
              <w:left w:w="80" w:type="dxa"/>
              <w:bottom w:w="80" w:type="dxa"/>
              <w:right w:w="80" w:type="dxa"/>
            </w:tcMar>
          </w:tcPr>
          <w:p>
            <w:r>
              <w:rPr>
                <w:b/>
                <w:color w:val="F65100"/>
                <w:sz w:val="17"/>
              </w:rPr>
              <w:t>Performance figures</w:t>
            </w:r>
          </w:p>
        </w:tc>
        <w:tc>
          <w:tcPr>
            <w:tcW w:type="dxa" w:w="8496"/>
            <w:vAlign w:val="center"/>
            <w:shd w:fill="F7F5F1"/>
            <w:tcMar>
              <w:top w:w="80" w:type="dxa"/>
              <w:left w:w="80" w:type="dxa"/>
              <w:bottom w:w="80" w:type="dxa"/>
              <w:right w:w="80" w:type="dxa"/>
            </w:tcMar>
          </w:tcPr>
          <w:p>
            <w:r>
              <w:rPr>
                <w:sz w:val="17"/>
              </w:rPr>
              <w:t>[not specified in source]</w:t>
            </w:r>
          </w:p>
        </w:tc>
      </w:tr>
      <w:tr>
        <w:tc>
          <w:tcPr>
            <w:tcW w:type="dxa" w:w="1872"/>
            <w:vAlign w:val="center"/>
            <w:shd w:fill="FFFFFF"/>
            <w:tcMar>
              <w:top w:w="80" w:type="dxa"/>
              <w:left w:w="80" w:type="dxa"/>
              <w:bottom w:w="80" w:type="dxa"/>
              <w:right w:w="80" w:type="dxa"/>
            </w:tcMar>
          </w:tcPr>
          <w:p>
            <w:r>
              <w:rPr>
                <w:b/>
                <w:color w:val="F65100"/>
                <w:sz w:val="17"/>
              </w:rPr>
              <w:t>Named integrations</w:t>
            </w:r>
          </w:p>
        </w:tc>
        <w:tc>
          <w:tcPr>
            <w:tcW w:type="dxa" w:w="8496"/>
            <w:vAlign w:val="center"/>
            <w:shd w:fill="FFFFFF"/>
            <w:tcMar>
              <w:top w:w="80" w:type="dxa"/>
              <w:left w:w="80" w:type="dxa"/>
              <w:bottom w:w="80" w:type="dxa"/>
              <w:right w:w="80" w:type="dxa"/>
            </w:tcMar>
          </w:tcPr>
          <w:p>
            <w:r>
              <w:rPr>
                <w:sz w:val="17"/>
              </w:rPr>
              <w:t>Litera One.</w:t>
            </w:r>
          </w:p>
        </w:tc>
      </w:tr>
      <w:tr>
        <w:tc>
          <w:tcPr>
            <w:tcW w:type="dxa" w:w="1872"/>
            <w:vAlign w:val="center"/>
            <w:shd w:fill="F7F5F1"/>
            <w:tcMar>
              <w:top w:w="80" w:type="dxa"/>
              <w:left w:w="80" w:type="dxa"/>
              <w:bottom w:w="80" w:type="dxa"/>
              <w:right w:w="80" w:type="dxa"/>
            </w:tcMar>
          </w:tcPr>
          <w:p>
            <w:r>
              <w:rPr>
                <w:b/>
                <w:color w:val="F65100"/>
                <w:sz w:val="17"/>
              </w:rPr>
              <w:t>Customer outcomes</w:t>
            </w:r>
          </w:p>
        </w:tc>
        <w:tc>
          <w:tcPr>
            <w:tcW w:type="dxa" w:w="8496"/>
            <w:vAlign w:val="center"/>
            <w:shd w:fill="F7F5F1"/>
            <w:tcMar>
              <w:top w:w="80" w:type="dxa"/>
              <w:left w:w="80" w:type="dxa"/>
              <w:bottom w:w="80" w:type="dxa"/>
              <w:right w:w="80" w:type="dxa"/>
            </w:tcMar>
          </w:tcPr>
          <w:p>
            <w:r>
              <w:rPr>
                <w:sz w:val="17"/>
              </w:rPr>
              <w:t>[not specified in source]</w:t>
            </w:r>
          </w:p>
        </w:tc>
      </w:tr>
    </w:tbl>
    <w:p>
      <w:pPr>
        <w:spacing w:after="20"/>
      </w:pPr>
    </w:p>
    <w:p>
      <w:pPr>
        <w:pStyle w:val="Heading2"/>
      </w:pPr>
      <w:r>
        <w:t>Foundation</w:t>
      </w:r>
    </w:p>
    <w:p>
      <w:r>
        <w:t>Experience management platform supporting matter intelligence, credentials, experience search, narratives, and reusable firm knowledge. It powers the Prove capability.</w:t>
      </w:r>
    </w:p>
    <w:tbl>
      <w:tblPr>
        <w:tblW w:type="auto" w:w="0"/>
        <w:jc w:val="center"/>
        <w:tblLayout w:type="fixed"/>
        <w:tblLook w:firstColumn="1" w:firstRow="1" w:lastColumn="0" w:lastRow="0" w:noHBand="0" w:noVBand="1" w:val="04A0"/>
      </w:tblPr>
      <w:tblGrid>
        <w:gridCol w:w="1872"/>
        <w:gridCol w:w="8496"/>
      </w:tblGrid>
      <w:tr>
        <w:tc>
          <w:tcPr>
            <w:tcW w:type="dxa" w:w="1872"/>
            <w:vAlign w:val="center"/>
            <w:shd w:fill="F7F5F1"/>
            <w:tcMar>
              <w:top w:w="80" w:type="dxa"/>
              <w:left w:w="80" w:type="dxa"/>
              <w:bottom w:w="80" w:type="dxa"/>
              <w:right w:w="80" w:type="dxa"/>
            </w:tcMar>
          </w:tcPr>
          <w:p>
            <w:r>
              <w:rPr>
                <w:b/>
                <w:color w:val="F65100"/>
                <w:sz w:val="17"/>
              </w:rPr>
              <w:t>Performance figures</w:t>
            </w:r>
          </w:p>
        </w:tc>
        <w:tc>
          <w:tcPr>
            <w:tcW w:type="dxa" w:w="8496"/>
            <w:vAlign w:val="center"/>
            <w:shd w:fill="F7F5F1"/>
            <w:tcMar>
              <w:top w:w="80" w:type="dxa"/>
              <w:left w:w="80" w:type="dxa"/>
              <w:bottom w:w="80" w:type="dxa"/>
              <w:right w:w="80" w:type="dxa"/>
            </w:tcMar>
          </w:tcPr>
          <w:p>
            <w:r>
              <w:rPr>
                <w:sz w:val="17"/>
              </w:rPr>
              <w:t>38,000+ matters enriched; 8,000 narratives generated.</w:t>
            </w:r>
          </w:p>
        </w:tc>
      </w:tr>
      <w:tr>
        <w:tc>
          <w:tcPr>
            <w:tcW w:type="dxa" w:w="1872"/>
            <w:vAlign w:val="center"/>
            <w:shd w:fill="FFFFFF"/>
            <w:tcMar>
              <w:top w:w="80" w:type="dxa"/>
              <w:left w:w="80" w:type="dxa"/>
              <w:bottom w:w="80" w:type="dxa"/>
              <w:right w:w="80" w:type="dxa"/>
            </w:tcMar>
          </w:tcPr>
          <w:p>
            <w:r>
              <w:rPr>
                <w:b/>
                <w:color w:val="F65100"/>
                <w:sz w:val="17"/>
              </w:rPr>
              <w:t>Named integrations</w:t>
            </w:r>
          </w:p>
        </w:tc>
        <w:tc>
          <w:tcPr>
            <w:tcW w:type="dxa" w:w="8496"/>
            <w:vAlign w:val="center"/>
            <w:shd w:fill="FFFFFF"/>
            <w:tcMar>
              <w:top w:w="80" w:type="dxa"/>
              <w:left w:w="80" w:type="dxa"/>
              <w:bottom w:w="80" w:type="dxa"/>
              <w:right w:w="80" w:type="dxa"/>
            </w:tcMar>
          </w:tcPr>
          <w:p>
            <w:r>
              <w:rPr>
                <w:sz w:val="17"/>
              </w:rPr>
              <w:t>Foundation Scoping; Foundation 365; Lito.</w:t>
            </w:r>
          </w:p>
        </w:tc>
      </w:tr>
      <w:tr>
        <w:tc>
          <w:tcPr>
            <w:tcW w:type="dxa" w:w="1872"/>
            <w:vAlign w:val="center"/>
            <w:shd w:fill="F7F5F1"/>
            <w:tcMar>
              <w:top w:w="80" w:type="dxa"/>
              <w:left w:w="80" w:type="dxa"/>
              <w:bottom w:w="80" w:type="dxa"/>
              <w:right w:w="80" w:type="dxa"/>
            </w:tcMar>
          </w:tcPr>
          <w:p>
            <w:r>
              <w:rPr>
                <w:b/>
                <w:color w:val="F65100"/>
                <w:sz w:val="17"/>
              </w:rPr>
              <w:t>Customer outcomes</w:t>
            </w:r>
          </w:p>
        </w:tc>
        <w:tc>
          <w:tcPr>
            <w:tcW w:type="dxa" w:w="8496"/>
            <w:vAlign w:val="center"/>
            <w:shd w:fill="F7F5F1"/>
            <w:tcMar>
              <w:top w:w="80" w:type="dxa"/>
              <w:left w:w="80" w:type="dxa"/>
              <w:bottom w:w="80" w:type="dxa"/>
              <w:right w:w="80" w:type="dxa"/>
            </w:tcMar>
          </w:tcPr>
          <w:p>
            <w:r>
              <w:rPr>
                <w:sz w:val="17"/>
              </w:rPr>
              <w:t>Experience-backed proposals and pursuit support.</w:t>
            </w:r>
          </w:p>
        </w:tc>
      </w:tr>
    </w:tbl>
    <w:p>
      <w:pPr>
        <w:spacing w:after="20"/>
      </w:pPr>
    </w:p>
    <w:p>
      <w:pPr>
        <w:pStyle w:val="Heading2"/>
      </w:pPr>
      <w:r>
        <w:t>Foundation 365</w:t>
      </w:r>
    </w:p>
    <w:p>
      <w:r>
        <w:t>Relationship intelligence and CRM-focused platform for growth opportunities, relationship management, AI summaries, whitespace discovery, and commercial intelligence.</w:t>
      </w:r>
    </w:p>
    <w:tbl>
      <w:tblPr>
        <w:tblW w:type="auto" w:w="0"/>
        <w:jc w:val="center"/>
        <w:tblLayout w:type="fixed"/>
        <w:tblLook w:firstColumn="1" w:firstRow="1" w:lastColumn="0" w:lastRow="0" w:noHBand="0" w:noVBand="1" w:val="04A0"/>
      </w:tblPr>
      <w:tblGrid>
        <w:gridCol w:w="1872"/>
        <w:gridCol w:w="8496"/>
      </w:tblGrid>
      <w:tr>
        <w:tc>
          <w:tcPr>
            <w:tcW w:type="dxa" w:w="1872"/>
            <w:vAlign w:val="center"/>
            <w:shd w:fill="F7F5F1"/>
            <w:tcMar>
              <w:top w:w="80" w:type="dxa"/>
              <w:left w:w="80" w:type="dxa"/>
              <w:bottom w:w="80" w:type="dxa"/>
              <w:right w:w="80" w:type="dxa"/>
            </w:tcMar>
          </w:tcPr>
          <w:p>
            <w:r>
              <w:rPr>
                <w:b/>
                <w:color w:val="F65100"/>
                <w:sz w:val="17"/>
              </w:rPr>
              <w:t>Performance figures</w:t>
            </w:r>
          </w:p>
        </w:tc>
        <w:tc>
          <w:tcPr>
            <w:tcW w:type="dxa" w:w="8496"/>
            <w:vAlign w:val="center"/>
            <w:shd w:fill="F7F5F1"/>
            <w:tcMar>
              <w:top w:w="80" w:type="dxa"/>
              <w:left w:w="80" w:type="dxa"/>
              <w:bottom w:w="80" w:type="dxa"/>
              <w:right w:w="80" w:type="dxa"/>
            </w:tcMar>
          </w:tcPr>
          <w:p>
            <w:r>
              <w:rPr>
                <w:sz w:val="17"/>
              </w:rPr>
              <w:t>[not specified in source]</w:t>
            </w:r>
          </w:p>
        </w:tc>
      </w:tr>
      <w:tr>
        <w:tc>
          <w:tcPr>
            <w:tcW w:type="dxa" w:w="1872"/>
            <w:vAlign w:val="center"/>
            <w:shd w:fill="FFFFFF"/>
            <w:tcMar>
              <w:top w:w="80" w:type="dxa"/>
              <w:left w:w="80" w:type="dxa"/>
              <w:bottom w:w="80" w:type="dxa"/>
              <w:right w:w="80" w:type="dxa"/>
            </w:tcMar>
          </w:tcPr>
          <w:p>
            <w:r>
              <w:rPr>
                <w:b/>
                <w:color w:val="F65100"/>
                <w:sz w:val="17"/>
              </w:rPr>
              <w:t>Named integrations</w:t>
            </w:r>
          </w:p>
        </w:tc>
        <w:tc>
          <w:tcPr>
            <w:tcW w:type="dxa" w:w="8496"/>
            <w:vAlign w:val="center"/>
            <w:shd w:fill="FFFFFF"/>
            <w:tcMar>
              <w:top w:w="80" w:type="dxa"/>
              <w:left w:w="80" w:type="dxa"/>
              <w:bottom w:w="80" w:type="dxa"/>
              <w:right w:w="80" w:type="dxa"/>
            </w:tcMar>
          </w:tcPr>
          <w:p>
            <w:r>
              <w:rPr>
                <w:sz w:val="17"/>
              </w:rPr>
              <w:t>Foundation; Foundation Proactive; Copilot Studio.</w:t>
            </w:r>
          </w:p>
        </w:tc>
      </w:tr>
      <w:tr>
        <w:tc>
          <w:tcPr>
            <w:tcW w:type="dxa" w:w="1872"/>
            <w:vAlign w:val="center"/>
            <w:shd w:fill="F7F5F1"/>
            <w:tcMar>
              <w:top w:w="80" w:type="dxa"/>
              <w:left w:w="80" w:type="dxa"/>
              <w:bottom w:w="80" w:type="dxa"/>
              <w:right w:w="80" w:type="dxa"/>
            </w:tcMar>
          </w:tcPr>
          <w:p>
            <w:r>
              <w:rPr>
                <w:b/>
                <w:color w:val="F65100"/>
                <w:sz w:val="17"/>
              </w:rPr>
              <w:t>Customer outcomes</w:t>
            </w:r>
          </w:p>
        </w:tc>
        <w:tc>
          <w:tcPr>
            <w:tcW w:type="dxa" w:w="8496"/>
            <w:vAlign w:val="center"/>
            <w:shd w:fill="F7F5F1"/>
            <w:tcMar>
              <w:top w:w="80" w:type="dxa"/>
              <w:left w:w="80" w:type="dxa"/>
              <w:bottom w:w="80" w:type="dxa"/>
              <w:right w:w="80" w:type="dxa"/>
            </w:tcMar>
          </w:tcPr>
          <w:p>
            <w:r>
              <w:rPr>
                <w:sz w:val="17"/>
              </w:rPr>
              <w:t>Foot Anstey cited Foundation 365 as a single source of truth across lead, opportunity, client, matter, and finance workflows.</w:t>
            </w:r>
          </w:p>
        </w:tc>
      </w:tr>
    </w:tbl>
    <w:p>
      <w:pPr>
        <w:spacing w:after="20"/>
      </w:pPr>
    </w:p>
    <w:p>
      <w:pPr>
        <w:pStyle w:val="Heading2"/>
      </w:pPr>
      <w:r>
        <w:t>Foundation Marketing</w:t>
      </w:r>
    </w:p>
    <w:p>
      <w:r>
        <w:t>Marketing engagement platform supporting campaigns, events, engagement measurement, and content refinement.</w:t>
      </w:r>
    </w:p>
    <w:tbl>
      <w:tblPr>
        <w:tblW w:type="auto" w:w="0"/>
        <w:jc w:val="center"/>
        <w:tblLayout w:type="fixed"/>
        <w:tblLook w:firstColumn="1" w:firstRow="1" w:lastColumn="0" w:lastRow="0" w:noHBand="0" w:noVBand="1" w:val="04A0"/>
      </w:tblPr>
      <w:tblGrid>
        <w:gridCol w:w="1872"/>
        <w:gridCol w:w="8496"/>
      </w:tblGrid>
      <w:tr>
        <w:tc>
          <w:tcPr>
            <w:tcW w:type="dxa" w:w="1872"/>
            <w:vAlign w:val="center"/>
            <w:shd w:fill="F7F5F1"/>
            <w:tcMar>
              <w:top w:w="80" w:type="dxa"/>
              <w:left w:w="80" w:type="dxa"/>
              <w:bottom w:w="80" w:type="dxa"/>
              <w:right w:w="80" w:type="dxa"/>
            </w:tcMar>
          </w:tcPr>
          <w:p>
            <w:r>
              <w:rPr>
                <w:b/>
                <w:color w:val="F65100"/>
                <w:sz w:val="17"/>
              </w:rPr>
              <w:t>Performance figures</w:t>
            </w:r>
          </w:p>
        </w:tc>
        <w:tc>
          <w:tcPr>
            <w:tcW w:type="dxa" w:w="8496"/>
            <w:vAlign w:val="center"/>
            <w:shd w:fill="F7F5F1"/>
            <w:tcMar>
              <w:top w:w="80" w:type="dxa"/>
              <w:left w:w="80" w:type="dxa"/>
              <w:bottom w:w="80" w:type="dxa"/>
              <w:right w:w="80" w:type="dxa"/>
            </w:tcMar>
          </w:tcPr>
          <w:p>
            <w:r>
              <w:rPr>
                <w:sz w:val="17"/>
              </w:rPr>
              <w:t>[not specified in source]</w:t>
            </w:r>
          </w:p>
        </w:tc>
      </w:tr>
      <w:tr>
        <w:tc>
          <w:tcPr>
            <w:tcW w:type="dxa" w:w="1872"/>
            <w:vAlign w:val="center"/>
            <w:shd w:fill="FFFFFF"/>
            <w:tcMar>
              <w:top w:w="80" w:type="dxa"/>
              <w:left w:w="80" w:type="dxa"/>
              <w:bottom w:w="80" w:type="dxa"/>
              <w:right w:w="80" w:type="dxa"/>
            </w:tcMar>
          </w:tcPr>
          <w:p>
            <w:r>
              <w:rPr>
                <w:b/>
                <w:color w:val="F65100"/>
                <w:sz w:val="17"/>
              </w:rPr>
              <w:t>Named integrations</w:t>
            </w:r>
          </w:p>
        </w:tc>
        <w:tc>
          <w:tcPr>
            <w:tcW w:type="dxa" w:w="8496"/>
            <w:vAlign w:val="center"/>
            <w:shd w:fill="FFFFFF"/>
            <w:tcMar>
              <w:top w:w="80" w:type="dxa"/>
              <w:left w:w="80" w:type="dxa"/>
              <w:bottom w:w="80" w:type="dxa"/>
              <w:right w:w="80" w:type="dxa"/>
            </w:tcMar>
          </w:tcPr>
          <w:p>
            <w:r>
              <w:rPr>
                <w:sz w:val="17"/>
              </w:rPr>
              <w:t>Foundation 365 enhancement roadmap.</w:t>
            </w:r>
          </w:p>
        </w:tc>
      </w:tr>
      <w:tr>
        <w:tc>
          <w:tcPr>
            <w:tcW w:type="dxa" w:w="1872"/>
            <w:vAlign w:val="center"/>
            <w:shd w:fill="F7F5F1"/>
            <w:tcMar>
              <w:top w:w="80" w:type="dxa"/>
              <w:left w:w="80" w:type="dxa"/>
              <w:bottom w:w="80" w:type="dxa"/>
              <w:right w:w="80" w:type="dxa"/>
            </w:tcMar>
          </w:tcPr>
          <w:p>
            <w:r>
              <w:rPr>
                <w:b/>
                <w:color w:val="F65100"/>
                <w:sz w:val="17"/>
              </w:rPr>
              <w:t>Customer outcomes</w:t>
            </w:r>
          </w:p>
        </w:tc>
        <w:tc>
          <w:tcPr>
            <w:tcW w:type="dxa" w:w="8496"/>
            <w:vAlign w:val="center"/>
            <w:shd w:fill="F7F5F1"/>
            <w:tcMar>
              <w:top w:w="80" w:type="dxa"/>
              <w:left w:w="80" w:type="dxa"/>
              <w:bottom w:w="80" w:type="dxa"/>
              <w:right w:w="80" w:type="dxa"/>
            </w:tcMar>
          </w:tcPr>
          <w:p>
            <w:r>
              <w:rPr>
                <w:sz w:val="17"/>
              </w:rPr>
              <w:t>Above-benchmark click rates across six offices.</w:t>
            </w:r>
          </w:p>
        </w:tc>
      </w:tr>
    </w:tbl>
    <w:p>
      <w:pPr>
        <w:spacing w:after="20"/>
      </w:pPr>
    </w:p>
    <w:p>
      <w:pPr>
        <w:pStyle w:val="Heading2"/>
      </w:pPr>
      <w:r>
        <w:t>Foundation Finance</w:t>
      </w:r>
    </w:p>
    <w:p>
      <w:r>
        <w:t>Financial intelligence and commercial performance platform used for profitability, realization, financial analytics, pricing insights, and matter economics.</w:t>
      </w:r>
    </w:p>
    <w:tbl>
      <w:tblPr>
        <w:tblW w:type="auto" w:w="0"/>
        <w:jc w:val="center"/>
        <w:tblLayout w:type="fixed"/>
        <w:tblLook w:firstColumn="1" w:firstRow="1" w:lastColumn="0" w:lastRow="0" w:noHBand="0" w:noVBand="1" w:val="04A0"/>
      </w:tblPr>
      <w:tblGrid>
        <w:gridCol w:w="1872"/>
        <w:gridCol w:w="8496"/>
      </w:tblGrid>
      <w:tr>
        <w:tc>
          <w:tcPr>
            <w:tcW w:type="dxa" w:w="1872"/>
            <w:vAlign w:val="center"/>
            <w:shd w:fill="F7F5F1"/>
            <w:tcMar>
              <w:top w:w="80" w:type="dxa"/>
              <w:left w:w="80" w:type="dxa"/>
              <w:bottom w:w="80" w:type="dxa"/>
              <w:right w:w="80" w:type="dxa"/>
            </w:tcMar>
          </w:tcPr>
          <w:p>
            <w:r>
              <w:rPr>
                <w:b/>
                <w:color w:val="F65100"/>
                <w:sz w:val="17"/>
              </w:rPr>
              <w:t>Performance figures</w:t>
            </w:r>
          </w:p>
        </w:tc>
        <w:tc>
          <w:tcPr>
            <w:tcW w:type="dxa" w:w="8496"/>
            <w:vAlign w:val="center"/>
            <w:shd w:fill="F7F5F1"/>
            <w:tcMar>
              <w:top w:w="80" w:type="dxa"/>
              <w:left w:w="80" w:type="dxa"/>
              <w:bottom w:w="80" w:type="dxa"/>
              <w:right w:w="80" w:type="dxa"/>
            </w:tcMar>
          </w:tcPr>
          <w:p>
            <w:r>
              <w:rPr>
                <w:sz w:val="17"/>
              </w:rPr>
              <w:t>[not specified in source]</w:t>
            </w:r>
          </w:p>
        </w:tc>
      </w:tr>
      <w:tr>
        <w:tc>
          <w:tcPr>
            <w:tcW w:type="dxa" w:w="1872"/>
            <w:vAlign w:val="center"/>
            <w:shd w:fill="FFFFFF"/>
            <w:tcMar>
              <w:top w:w="80" w:type="dxa"/>
              <w:left w:w="80" w:type="dxa"/>
              <w:bottom w:w="80" w:type="dxa"/>
              <w:right w:w="80" w:type="dxa"/>
            </w:tcMar>
          </w:tcPr>
          <w:p>
            <w:r>
              <w:rPr>
                <w:b/>
                <w:color w:val="F65100"/>
                <w:sz w:val="17"/>
              </w:rPr>
              <w:t>Named integrations</w:t>
            </w:r>
          </w:p>
        </w:tc>
        <w:tc>
          <w:tcPr>
            <w:tcW w:type="dxa" w:w="8496"/>
            <w:vAlign w:val="center"/>
            <w:shd w:fill="FFFFFF"/>
            <w:tcMar>
              <w:top w:w="80" w:type="dxa"/>
              <w:left w:w="80" w:type="dxa"/>
              <w:bottom w:w="80" w:type="dxa"/>
              <w:right w:w="80" w:type="dxa"/>
            </w:tcMar>
          </w:tcPr>
          <w:p>
            <w:r>
              <w:rPr>
                <w:sz w:val="17"/>
              </w:rPr>
              <w:t>Foundation Scoping; Lito; Financials Tab integration.</w:t>
            </w:r>
          </w:p>
        </w:tc>
      </w:tr>
      <w:tr>
        <w:tc>
          <w:tcPr>
            <w:tcW w:type="dxa" w:w="1872"/>
            <w:vAlign w:val="center"/>
            <w:shd w:fill="F7F5F1"/>
            <w:tcMar>
              <w:top w:w="80" w:type="dxa"/>
              <w:left w:w="80" w:type="dxa"/>
              <w:bottom w:w="80" w:type="dxa"/>
              <w:right w:w="80" w:type="dxa"/>
            </w:tcMar>
          </w:tcPr>
          <w:p>
            <w:r>
              <w:rPr>
                <w:b/>
                <w:color w:val="F65100"/>
                <w:sz w:val="17"/>
              </w:rPr>
              <w:t>Customer outcomes</w:t>
            </w:r>
          </w:p>
        </w:tc>
        <w:tc>
          <w:tcPr>
            <w:tcW w:type="dxa" w:w="8496"/>
            <w:vAlign w:val="center"/>
            <w:shd w:fill="F7F5F1"/>
            <w:tcMar>
              <w:top w:w="80" w:type="dxa"/>
              <w:left w:w="80" w:type="dxa"/>
              <w:bottom w:w="80" w:type="dxa"/>
              <w:right w:w="80" w:type="dxa"/>
            </w:tcMar>
          </w:tcPr>
          <w:p>
            <w:r>
              <w:rPr>
                <w:sz w:val="17"/>
              </w:rPr>
              <w:t>Used by firms with 1,800+ attorneys for data-driven pricing programs.</w:t>
            </w:r>
          </w:p>
        </w:tc>
      </w:tr>
    </w:tbl>
    <w:p>
      <w:pPr>
        <w:spacing w:after="20"/>
      </w:pPr>
    </w:p>
    <w:p>
      <w:pPr>
        <w:pStyle w:val="Heading2"/>
      </w:pPr>
      <w:r>
        <w:t>Foundation Scoping</w:t>
      </w:r>
    </w:p>
    <w:p>
      <w:r>
        <w:t>Matter scoping, pricing, budgeting, fee comparison, and work activity analytics solution.</w:t>
      </w:r>
    </w:p>
    <w:tbl>
      <w:tblPr>
        <w:tblW w:type="auto" w:w="0"/>
        <w:jc w:val="center"/>
        <w:tblLayout w:type="fixed"/>
        <w:tblLook w:firstColumn="1" w:firstRow="1" w:lastColumn="0" w:lastRow="0" w:noHBand="0" w:noVBand="1" w:val="04A0"/>
      </w:tblPr>
      <w:tblGrid>
        <w:gridCol w:w="1872"/>
        <w:gridCol w:w="8496"/>
      </w:tblGrid>
      <w:tr>
        <w:tc>
          <w:tcPr>
            <w:tcW w:type="dxa" w:w="1872"/>
            <w:vAlign w:val="center"/>
            <w:shd w:fill="F7F5F1"/>
            <w:tcMar>
              <w:top w:w="80" w:type="dxa"/>
              <w:left w:w="80" w:type="dxa"/>
              <w:bottom w:w="80" w:type="dxa"/>
              <w:right w:w="80" w:type="dxa"/>
            </w:tcMar>
          </w:tcPr>
          <w:p>
            <w:r>
              <w:rPr>
                <w:b/>
                <w:color w:val="F65100"/>
                <w:sz w:val="17"/>
              </w:rPr>
              <w:t>Performance figures</w:t>
            </w:r>
          </w:p>
        </w:tc>
        <w:tc>
          <w:tcPr>
            <w:tcW w:type="dxa" w:w="8496"/>
            <w:vAlign w:val="center"/>
            <w:shd w:fill="F7F5F1"/>
            <w:tcMar>
              <w:top w:w="80" w:type="dxa"/>
              <w:left w:w="80" w:type="dxa"/>
              <w:bottom w:w="80" w:type="dxa"/>
              <w:right w:w="80" w:type="dxa"/>
            </w:tcMar>
          </w:tcPr>
          <w:p>
            <w:r>
              <w:rPr>
                <w:sz w:val="17"/>
              </w:rPr>
              <w:t>[not specified in source]</w:t>
            </w:r>
          </w:p>
        </w:tc>
      </w:tr>
      <w:tr>
        <w:tc>
          <w:tcPr>
            <w:tcW w:type="dxa" w:w="1872"/>
            <w:vAlign w:val="center"/>
            <w:shd w:fill="FFFFFF"/>
            <w:tcMar>
              <w:top w:w="80" w:type="dxa"/>
              <w:left w:w="80" w:type="dxa"/>
              <w:bottom w:w="80" w:type="dxa"/>
              <w:right w:w="80" w:type="dxa"/>
            </w:tcMar>
          </w:tcPr>
          <w:p>
            <w:r>
              <w:rPr>
                <w:b/>
                <w:color w:val="F65100"/>
                <w:sz w:val="17"/>
              </w:rPr>
              <w:t>Named integrations</w:t>
            </w:r>
          </w:p>
        </w:tc>
        <w:tc>
          <w:tcPr>
            <w:tcW w:type="dxa" w:w="8496"/>
            <w:vAlign w:val="center"/>
            <w:shd w:fill="FFFFFF"/>
            <w:tcMar>
              <w:top w:w="80" w:type="dxa"/>
              <w:left w:w="80" w:type="dxa"/>
              <w:bottom w:w="80" w:type="dxa"/>
              <w:right w:w="80" w:type="dxa"/>
            </w:tcMar>
          </w:tcPr>
          <w:p>
            <w:r>
              <w:rPr>
                <w:sz w:val="17"/>
              </w:rPr>
              <w:t>Foundation; Foundation Finance; Lito roadmap support.</w:t>
            </w:r>
          </w:p>
        </w:tc>
      </w:tr>
      <w:tr>
        <w:tc>
          <w:tcPr>
            <w:tcW w:type="dxa" w:w="1872"/>
            <w:vAlign w:val="center"/>
            <w:shd w:fill="F7F5F1"/>
            <w:tcMar>
              <w:top w:w="80" w:type="dxa"/>
              <w:left w:w="80" w:type="dxa"/>
              <w:bottom w:w="80" w:type="dxa"/>
              <w:right w:w="80" w:type="dxa"/>
            </w:tcMar>
          </w:tcPr>
          <w:p>
            <w:r>
              <w:rPr>
                <w:b/>
                <w:color w:val="F65100"/>
                <w:sz w:val="17"/>
              </w:rPr>
              <w:t>Customer outcomes</w:t>
            </w:r>
          </w:p>
        </w:tc>
        <w:tc>
          <w:tcPr>
            <w:tcW w:type="dxa" w:w="8496"/>
            <w:vAlign w:val="center"/>
            <w:shd w:fill="F7F5F1"/>
            <w:tcMar>
              <w:top w:w="80" w:type="dxa"/>
              <w:left w:w="80" w:type="dxa"/>
              <w:bottom w:w="80" w:type="dxa"/>
              <w:right w:w="80" w:type="dxa"/>
            </w:tcMar>
          </w:tcPr>
          <w:p>
            <w:r>
              <w:rPr>
                <w:sz w:val="17"/>
              </w:rPr>
              <w:t>Customers use visual data comparisons to support pricing and commercial decisions.</w:t>
            </w:r>
          </w:p>
        </w:tc>
      </w:tr>
    </w:tbl>
    <w:p>
      <w:pPr>
        <w:spacing w:after="20"/>
      </w:pPr>
    </w:p>
    <w:p>
      <w:pPr>
        <w:pStyle w:val="Heading2"/>
      </w:pPr>
      <w:r>
        <w:t>Foundation Proactive</w:t>
      </w:r>
    </w:p>
    <w:p>
      <w:r>
        <w:t>Growth intelligence platform that helps identify opportunities, growth signals, and actionable business development activity. Powered by Postilize.</w:t>
      </w:r>
    </w:p>
    <w:tbl>
      <w:tblPr>
        <w:tblW w:type="auto" w:w="0"/>
        <w:jc w:val="center"/>
        <w:tblLayout w:type="fixed"/>
        <w:tblLook w:firstColumn="1" w:firstRow="1" w:lastColumn="0" w:lastRow="0" w:noHBand="0" w:noVBand="1" w:val="04A0"/>
      </w:tblPr>
      <w:tblGrid>
        <w:gridCol w:w="1872"/>
        <w:gridCol w:w="8496"/>
      </w:tblGrid>
      <w:tr>
        <w:tc>
          <w:tcPr>
            <w:tcW w:type="dxa" w:w="1872"/>
            <w:vAlign w:val="center"/>
            <w:shd w:fill="F7F5F1"/>
            <w:tcMar>
              <w:top w:w="80" w:type="dxa"/>
              <w:left w:w="80" w:type="dxa"/>
              <w:bottom w:w="80" w:type="dxa"/>
              <w:right w:w="80" w:type="dxa"/>
            </w:tcMar>
          </w:tcPr>
          <w:p>
            <w:r>
              <w:rPr>
                <w:b/>
                <w:color w:val="F65100"/>
                <w:sz w:val="17"/>
              </w:rPr>
              <w:t>Performance figures</w:t>
            </w:r>
          </w:p>
        </w:tc>
        <w:tc>
          <w:tcPr>
            <w:tcW w:type="dxa" w:w="8496"/>
            <w:vAlign w:val="center"/>
            <w:shd w:fill="F7F5F1"/>
            <w:tcMar>
              <w:top w:w="80" w:type="dxa"/>
              <w:left w:w="80" w:type="dxa"/>
              <w:bottom w:w="80" w:type="dxa"/>
              <w:right w:w="80" w:type="dxa"/>
            </w:tcMar>
          </w:tcPr>
          <w:p>
            <w:r>
              <w:rPr>
                <w:sz w:val="17"/>
              </w:rPr>
              <w:t>[not specified in source]</w:t>
            </w:r>
          </w:p>
        </w:tc>
      </w:tr>
      <w:tr>
        <w:tc>
          <w:tcPr>
            <w:tcW w:type="dxa" w:w="1872"/>
            <w:vAlign w:val="center"/>
            <w:shd w:fill="FFFFFF"/>
            <w:tcMar>
              <w:top w:w="80" w:type="dxa"/>
              <w:left w:w="80" w:type="dxa"/>
              <w:bottom w:w="80" w:type="dxa"/>
              <w:right w:w="80" w:type="dxa"/>
            </w:tcMar>
          </w:tcPr>
          <w:p>
            <w:r>
              <w:rPr>
                <w:b/>
                <w:color w:val="F65100"/>
                <w:sz w:val="17"/>
              </w:rPr>
              <w:t>Named integrations</w:t>
            </w:r>
          </w:p>
        </w:tc>
        <w:tc>
          <w:tcPr>
            <w:tcW w:type="dxa" w:w="8496"/>
            <w:vAlign w:val="center"/>
            <w:shd w:fill="FFFFFF"/>
            <w:tcMar>
              <w:top w:w="80" w:type="dxa"/>
              <w:left w:w="80" w:type="dxa"/>
              <w:bottom w:w="80" w:type="dxa"/>
              <w:right w:w="80" w:type="dxa"/>
            </w:tcMar>
          </w:tcPr>
          <w:p>
            <w:r>
              <w:rPr>
                <w:sz w:val="17"/>
              </w:rPr>
              <w:t>[not specified in source]</w:t>
            </w:r>
          </w:p>
        </w:tc>
      </w:tr>
      <w:tr>
        <w:tc>
          <w:tcPr>
            <w:tcW w:type="dxa" w:w="1872"/>
            <w:vAlign w:val="center"/>
            <w:shd w:fill="F7F5F1"/>
            <w:tcMar>
              <w:top w:w="80" w:type="dxa"/>
              <w:left w:w="80" w:type="dxa"/>
              <w:bottom w:w="80" w:type="dxa"/>
              <w:right w:w="80" w:type="dxa"/>
            </w:tcMar>
          </w:tcPr>
          <w:p>
            <w:r>
              <w:rPr>
                <w:b/>
                <w:color w:val="F65100"/>
                <w:sz w:val="17"/>
              </w:rPr>
              <w:t>Customer outcomes</w:t>
            </w:r>
          </w:p>
        </w:tc>
        <w:tc>
          <w:tcPr>
            <w:tcW w:type="dxa" w:w="8496"/>
            <w:vAlign w:val="center"/>
            <w:shd w:fill="F7F5F1"/>
            <w:tcMar>
              <w:top w:w="80" w:type="dxa"/>
              <w:left w:w="80" w:type="dxa"/>
              <w:bottom w:w="80" w:type="dxa"/>
              <w:right w:w="80" w:type="dxa"/>
            </w:tcMar>
          </w:tcPr>
          <w:p>
            <w:r>
              <w:rPr>
                <w:sz w:val="17"/>
              </w:rPr>
              <w:t>Supports relationship growth and opportunity identification.</w:t>
            </w:r>
          </w:p>
        </w:tc>
      </w:tr>
    </w:tbl>
    <w:p>
      <w:pPr>
        <w:spacing w:after="20"/>
      </w:pPr>
    </w:p>
    <w:p>
      <w:pPr>
        <w:pStyle w:val="Heading2"/>
      </w:pPr>
      <w:r>
        <w:t>CAM</w:t>
      </w:r>
    </w:p>
    <w:p>
      <w:r>
        <w:t>Information governance platform supporting records governance, governance operations, identity management, provisioning, and compliance.</w:t>
      </w:r>
    </w:p>
    <w:tbl>
      <w:tblPr>
        <w:tblW w:type="auto" w:w="0"/>
        <w:jc w:val="center"/>
        <w:tblLayout w:type="fixed"/>
        <w:tblLook w:firstColumn="1" w:firstRow="1" w:lastColumn="0" w:lastRow="0" w:noHBand="0" w:noVBand="1" w:val="04A0"/>
      </w:tblPr>
      <w:tblGrid>
        <w:gridCol w:w="1872"/>
        <w:gridCol w:w="8496"/>
      </w:tblGrid>
      <w:tr>
        <w:tc>
          <w:tcPr>
            <w:tcW w:type="dxa" w:w="1872"/>
            <w:vAlign w:val="center"/>
            <w:shd w:fill="F7F5F1"/>
            <w:tcMar>
              <w:top w:w="80" w:type="dxa"/>
              <w:left w:w="80" w:type="dxa"/>
              <w:bottom w:w="80" w:type="dxa"/>
              <w:right w:w="80" w:type="dxa"/>
            </w:tcMar>
          </w:tcPr>
          <w:p>
            <w:r>
              <w:rPr>
                <w:b/>
                <w:color w:val="F65100"/>
                <w:sz w:val="17"/>
              </w:rPr>
              <w:t>Performance figures</w:t>
            </w:r>
          </w:p>
        </w:tc>
        <w:tc>
          <w:tcPr>
            <w:tcW w:type="dxa" w:w="8496"/>
            <w:vAlign w:val="center"/>
            <w:shd w:fill="F7F5F1"/>
            <w:tcMar>
              <w:top w:w="80" w:type="dxa"/>
              <w:left w:w="80" w:type="dxa"/>
              <w:bottom w:w="80" w:type="dxa"/>
              <w:right w:w="80" w:type="dxa"/>
            </w:tcMar>
          </w:tcPr>
          <w:p>
            <w:r>
              <w:rPr>
                <w:sz w:val="17"/>
              </w:rPr>
              <w:t>[not specified in source]</w:t>
            </w:r>
          </w:p>
        </w:tc>
      </w:tr>
      <w:tr>
        <w:tc>
          <w:tcPr>
            <w:tcW w:type="dxa" w:w="1872"/>
            <w:vAlign w:val="center"/>
            <w:shd w:fill="FFFFFF"/>
            <w:tcMar>
              <w:top w:w="80" w:type="dxa"/>
              <w:left w:w="80" w:type="dxa"/>
              <w:bottom w:w="80" w:type="dxa"/>
              <w:right w:w="80" w:type="dxa"/>
            </w:tcMar>
          </w:tcPr>
          <w:p>
            <w:r>
              <w:rPr>
                <w:b/>
                <w:color w:val="F65100"/>
                <w:sz w:val="17"/>
              </w:rPr>
              <w:t>Named integrations</w:t>
            </w:r>
          </w:p>
        </w:tc>
        <w:tc>
          <w:tcPr>
            <w:tcW w:type="dxa" w:w="8496"/>
            <w:vAlign w:val="center"/>
            <w:shd w:fill="FFFFFF"/>
            <w:tcMar>
              <w:top w:w="80" w:type="dxa"/>
              <w:left w:w="80" w:type="dxa"/>
              <w:bottom w:w="80" w:type="dxa"/>
              <w:right w:w="80" w:type="dxa"/>
            </w:tcMar>
          </w:tcPr>
          <w:p>
            <w:r>
              <w:rPr>
                <w:sz w:val="17"/>
              </w:rPr>
              <w:t>EntraID; OneDrive; Microsoft 365 integration roadmap.</w:t>
            </w:r>
          </w:p>
        </w:tc>
      </w:tr>
      <w:tr>
        <w:tc>
          <w:tcPr>
            <w:tcW w:type="dxa" w:w="1872"/>
            <w:vAlign w:val="center"/>
            <w:shd w:fill="F7F5F1"/>
            <w:tcMar>
              <w:top w:w="80" w:type="dxa"/>
              <w:left w:w="80" w:type="dxa"/>
              <w:bottom w:w="80" w:type="dxa"/>
              <w:right w:w="80" w:type="dxa"/>
            </w:tcMar>
          </w:tcPr>
          <w:p>
            <w:r>
              <w:rPr>
                <w:b/>
                <w:color w:val="F65100"/>
                <w:sz w:val="17"/>
              </w:rPr>
              <w:t>Customer outcomes</w:t>
            </w:r>
          </w:p>
        </w:tc>
        <w:tc>
          <w:tcPr>
            <w:tcW w:type="dxa" w:w="8496"/>
            <w:vAlign w:val="center"/>
            <w:shd w:fill="F7F5F1"/>
            <w:tcMar>
              <w:top w:w="80" w:type="dxa"/>
              <w:left w:w="80" w:type="dxa"/>
              <w:bottom w:w="80" w:type="dxa"/>
              <w:right w:w="80" w:type="dxa"/>
            </w:tcMar>
          </w:tcPr>
          <w:p>
            <w:r>
              <w:rPr>
                <w:sz w:val="17"/>
              </w:rPr>
              <w:t>[not specified in source]</w:t>
            </w:r>
          </w:p>
        </w:tc>
      </w:tr>
    </w:tbl>
    <w:p>
      <w:pPr>
        <w:spacing w:after="20"/>
      </w:pPr>
    </w:p>
    <w:p>
      <w:pPr>
        <w:pStyle w:val="Heading2"/>
      </w:pPr>
      <w:r>
        <w:t>FileTrail</w:t>
      </w:r>
    </w:p>
    <w:p>
      <w:r>
        <w:t>Records management and governance platform used for records tracking, retention, governance operations, and compliance programs.</w:t>
      </w:r>
    </w:p>
    <w:tbl>
      <w:tblPr>
        <w:tblW w:type="auto" w:w="0"/>
        <w:jc w:val="center"/>
        <w:tblLayout w:type="fixed"/>
        <w:tblLook w:firstColumn="1" w:firstRow="1" w:lastColumn="0" w:lastRow="0" w:noHBand="0" w:noVBand="1" w:val="04A0"/>
      </w:tblPr>
      <w:tblGrid>
        <w:gridCol w:w="1872"/>
        <w:gridCol w:w="8496"/>
      </w:tblGrid>
      <w:tr>
        <w:tc>
          <w:tcPr>
            <w:tcW w:type="dxa" w:w="1872"/>
            <w:vAlign w:val="center"/>
            <w:shd w:fill="F7F5F1"/>
            <w:tcMar>
              <w:top w:w="80" w:type="dxa"/>
              <w:left w:w="80" w:type="dxa"/>
              <w:bottom w:w="80" w:type="dxa"/>
              <w:right w:w="80" w:type="dxa"/>
            </w:tcMar>
          </w:tcPr>
          <w:p>
            <w:r>
              <w:rPr>
                <w:b/>
                <w:color w:val="F65100"/>
                <w:sz w:val="17"/>
              </w:rPr>
              <w:t>Performance figures</w:t>
            </w:r>
          </w:p>
        </w:tc>
        <w:tc>
          <w:tcPr>
            <w:tcW w:type="dxa" w:w="8496"/>
            <w:vAlign w:val="center"/>
            <w:shd w:fill="F7F5F1"/>
            <w:tcMar>
              <w:top w:w="80" w:type="dxa"/>
              <w:left w:w="80" w:type="dxa"/>
              <w:bottom w:w="80" w:type="dxa"/>
              <w:right w:w="80" w:type="dxa"/>
            </w:tcMar>
          </w:tcPr>
          <w:p>
            <w:r>
              <w:rPr>
                <w:sz w:val="17"/>
              </w:rPr>
              <w:t>137 retention schedules consolidated into a single framework.</w:t>
            </w:r>
          </w:p>
        </w:tc>
      </w:tr>
      <w:tr>
        <w:tc>
          <w:tcPr>
            <w:tcW w:type="dxa" w:w="1872"/>
            <w:vAlign w:val="center"/>
            <w:shd w:fill="FFFFFF"/>
            <w:tcMar>
              <w:top w:w="80" w:type="dxa"/>
              <w:left w:w="80" w:type="dxa"/>
              <w:bottom w:w="80" w:type="dxa"/>
              <w:right w:w="80" w:type="dxa"/>
            </w:tcMar>
          </w:tcPr>
          <w:p>
            <w:r>
              <w:rPr>
                <w:b/>
                <w:color w:val="F65100"/>
                <w:sz w:val="17"/>
              </w:rPr>
              <w:t>Named integrations</w:t>
            </w:r>
          </w:p>
        </w:tc>
        <w:tc>
          <w:tcPr>
            <w:tcW w:type="dxa" w:w="8496"/>
            <w:vAlign w:val="center"/>
            <w:shd w:fill="FFFFFF"/>
            <w:tcMar>
              <w:top w:w="80" w:type="dxa"/>
              <w:left w:w="80" w:type="dxa"/>
              <w:bottom w:w="80" w:type="dxa"/>
              <w:right w:w="80" w:type="dxa"/>
            </w:tcMar>
          </w:tcPr>
          <w:p>
            <w:r>
              <w:rPr>
                <w:sz w:val="17"/>
              </w:rPr>
              <w:t>SharePoint Connector; FilersKeepers; Matter Mobility; expanded Microsoft 365 connectors roadmap.</w:t>
            </w:r>
          </w:p>
        </w:tc>
      </w:tr>
      <w:tr>
        <w:tc>
          <w:tcPr>
            <w:tcW w:type="dxa" w:w="1872"/>
            <w:vAlign w:val="center"/>
            <w:shd w:fill="F7F5F1"/>
            <w:tcMar>
              <w:top w:w="80" w:type="dxa"/>
              <w:left w:w="80" w:type="dxa"/>
              <w:bottom w:w="80" w:type="dxa"/>
              <w:right w:w="80" w:type="dxa"/>
            </w:tcMar>
          </w:tcPr>
          <w:p>
            <w:r>
              <w:rPr>
                <w:b/>
                <w:color w:val="F65100"/>
                <w:sz w:val="17"/>
              </w:rPr>
              <w:t>Customer outcomes</w:t>
            </w:r>
          </w:p>
        </w:tc>
        <w:tc>
          <w:tcPr>
            <w:tcW w:type="dxa" w:w="8496"/>
            <w:vAlign w:val="center"/>
            <w:shd w:fill="F7F5F1"/>
            <w:tcMar>
              <w:top w:w="80" w:type="dxa"/>
              <w:left w:w="80" w:type="dxa"/>
              <w:bottom w:w="80" w:type="dxa"/>
              <w:right w:w="80" w:type="dxa"/>
            </w:tcMar>
          </w:tcPr>
          <w:p>
            <w:r>
              <w:rPr>
                <w:sz w:val="17"/>
              </w:rPr>
              <w:t>Governance programs achieved organizational adoption and compliance alignment.</w:t>
            </w:r>
          </w:p>
        </w:tc>
      </w:tr>
    </w:tbl>
    <w:p>
      <w:pPr>
        <w:spacing w:after="20"/>
      </w:pPr>
    </w:p>
    <w:p>
      <w:pPr>
        <w:pStyle w:val="Heading2"/>
      </w:pPr>
      <w:r>
        <w:t>PowerDesktop</w:t>
      </w:r>
    </w:p>
    <w:p>
      <w:r>
        <w:t>Governance and records management solution within Litera's Manage portfolio.</w:t>
      </w:r>
    </w:p>
    <w:tbl>
      <w:tblPr>
        <w:tblW w:type="auto" w:w="0"/>
        <w:jc w:val="center"/>
        <w:tblLayout w:type="fixed"/>
        <w:tblLook w:firstColumn="1" w:firstRow="1" w:lastColumn="0" w:lastRow="0" w:noHBand="0" w:noVBand="1" w:val="04A0"/>
      </w:tblPr>
      <w:tblGrid>
        <w:gridCol w:w="1872"/>
        <w:gridCol w:w="8496"/>
      </w:tblGrid>
      <w:tr>
        <w:tc>
          <w:tcPr>
            <w:tcW w:type="dxa" w:w="1872"/>
            <w:vAlign w:val="center"/>
            <w:shd w:fill="F7F5F1"/>
            <w:tcMar>
              <w:top w:w="80" w:type="dxa"/>
              <w:left w:w="80" w:type="dxa"/>
              <w:bottom w:w="80" w:type="dxa"/>
              <w:right w:w="80" w:type="dxa"/>
            </w:tcMar>
          </w:tcPr>
          <w:p>
            <w:r>
              <w:rPr>
                <w:b/>
                <w:color w:val="F65100"/>
                <w:sz w:val="17"/>
              </w:rPr>
              <w:t>Performance figures</w:t>
            </w:r>
          </w:p>
        </w:tc>
        <w:tc>
          <w:tcPr>
            <w:tcW w:type="dxa" w:w="8496"/>
            <w:vAlign w:val="center"/>
            <w:shd w:fill="F7F5F1"/>
            <w:tcMar>
              <w:top w:w="80" w:type="dxa"/>
              <w:left w:w="80" w:type="dxa"/>
              <w:bottom w:w="80" w:type="dxa"/>
              <w:right w:w="80" w:type="dxa"/>
            </w:tcMar>
          </w:tcPr>
          <w:p>
            <w:r>
              <w:rPr>
                <w:sz w:val="17"/>
              </w:rPr>
              <w:t>[not specified in source]</w:t>
            </w:r>
          </w:p>
        </w:tc>
      </w:tr>
      <w:tr>
        <w:tc>
          <w:tcPr>
            <w:tcW w:type="dxa" w:w="1872"/>
            <w:vAlign w:val="center"/>
            <w:shd w:fill="FFFFFF"/>
            <w:tcMar>
              <w:top w:w="80" w:type="dxa"/>
              <w:left w:w="80" w:type="dxa"/>
              <w:bottom w:w="80" w:type="dxa"/>
              <w:right w:w="80" w:type="dxa"/>
            </w:tcMar>
          </w:tcPr>
          <w:p>
            <w:r>
              <w:rPr>
                <w:b/>
                <w:color w:val="F65100"/>
                <w:sz w:val="17"/>
              </w:rPr>
              <w:t>Named integrations</w:t>
            </w:r>
          </w:p>
        </w:tc>
        <w:tc>
          <w:tcPr>
            <w:tcW w:type="dxa" w:w="8496"/>
            <w:vAlign w:val="center"/>
            <w:shd w:fill="FFFFFF"/>
            <w:tcMar>
              <w:top w:w="80" w:type="dxa"/>
              <w:left w:w="80" w:type="dxa"/>
              <w:bottom w:w="80" w:type="dxa"/>
              <w:right w:w="80" w:type="dxa"/>
            </w:tcMar>
          </w:tcPr>
          <w:p>
            <w:r>
              <w:rPr>
                <w:sz w:val="17"/>
              </w:rPr>
              <w:t>[not specified in source]</w:t>
            </w:r>
          </w:p>
        </w:tc>
      </w:tr>
      <w:tr>
        <w:tc>
          <w:tcPr>
            <w:tcW w:type="dxa" w:w="1872"/>
            <w:vAlign w:val="center"/>
            <w:shd w:fill="F7F5F1"/>
            <w:tcMar>
              <w:top w:w="80" w:type="dxa"/>
              <w:left w:w="80" w:type="dxa"/>
              <w:bottom w:w="80" w:type="dxa"/>
              <w:right w:w="80" w:type="dxa"/>
            </w:tcMar>
          </w:tcPr>
          <w:p>
            <w:r>
              <w:rPr>
                <w:b/>
                <w:color w:val="F65100"/>
                <w:sz w:val="17"/>
              </w:rPr>
              <w:t>Customer outcomes</w:t>
            </w:r>
          </w:p>
        </w:tc>
        <w:tc>
          <w:tcPr>
            <w:tcW w:type="dxa" w:w="8496"/>
            <w:vAlign w:val="center"/>
            <w:shd w:fill="F7F5F1"/>
            <w:tcMar>
              <w:top w:w="80" w:type="dxa"/>
              <w:left w:w="80" w:type="dxa"/>
              <w:bottom w:w="80" w:type="dxa"/>
              <w:right w:w="80" w:type="dxa"/>
            </w:tcMar>
          </w:tcPr>
          <w:p>
            <w:r>
              <w:rPr>
                <w:sz w:val="17"/>
              </w:rPr>
              <w:t>[not specified in source]</w:t>
            </w:r>
          </w:p>
        </w:tc>
      </w:tr>
    </w:tbl>
    <w:p>
      <w:pPr>
        <w:spacing w:after="20"/>
      </w:pPr>
    </w:p>
    <w:p>
      <w:pPr>
        <w:pStyle w:val="Heading2"/>
      </w:pPr>
      <w:r>
        <w:t>PS|Ship</w:t>
      </w:r>
    </w:p>
    <w:p>
      <w:r>
        <w:t>Governance and operational workflow solution within Litera's Manage portfolio.</w:t>
      </w:r>
    </w:p>
    <w:tbl>
      <w:tblPr>
        <w:tblW w:type="auto" w:w="0"/>
        <w:jc w:val="center"/>
        <w:tblLayout w:type="fixed"/>
        <w:tblLook w:firstColumn="1" w:firstRow="1" w:lastColumn="0" w:lastRow="0" w:noHBand="0" w:noVBand="1" w:val="04A0"/>
      </w:tblPr>
      <w:tblGrid>
        <w:gridCol w:w="1872"/>
        <w:gridCol w:w="8496"/>
      </w:tblGrid>
      <w:tr>
        <w:tc>
          <w:tcPr>
            <w:tcW w:type="dxa" w:w="1872"/>
            <w:vAlign w:val="center"/>
            <w:shd w:fill="F7F5F1"/>
            <w:tcMar>
              <w:top w:w="80" w:type="dxa"/>
              <w:left w:w="80" w:type="dxa"/>
              <w:bottom w:w="80" w:type="dxa"/>
              <w:right w:w="80" w:type="dxa"/>
            </w:tcMar>
          </w:tcPr>
          <w:p>
            <w:r>
              <w:rPr>
                <w:b/>
                <w:color w:val="F65100"/>
                <w:sz w:val="17"/>
              </w:rPr>
              <w:t>Performance figures</w:t>
            </w:r>
          </w:p>
        </w:tc>
        <w:tc>
          <w:tcPr>
            <w:tcW w:type="dxa" w:w="8496"/>
            <w:vAlign w:val="center"/>
            <w:shd w:fill="F7F5F1"/>
            <w:tcMar>
              <w:top w:w="80" w:type="dxa"/>
              <w:left w:w="80" w:type="dxa"/>
              <w:bottom w:w="80" w:type="dxa"/>
              <w:right w:w="80" w:type="dxa"/>
            </w:tcMar>
          </w:tcPr>
          <w:p>
            <w:r>
              <w:rPr>
                <w:sz w:val="17"/>
              </w:rPr>
              <w:t>[not specified in source]</w:t>
            </w:r>
          </w:p>
        </w:tc>
      </w:tr>
      <w:tr>
        <w:tc>
          <w:tcPr>
            <w:tcW w:type="dxa" w:w="1872"/>
            <w:vAlign w:val="center"/>
            <w:shd w:fill="FFFFFF"/>
            <w:tcMar>
              <w:top w:w="80" w:type="dxa"/>
              <w:left w:w="80" w:type="dxa"/>
              <w:bottom w:w="80" w:type="dxa"/>
              <w:right w:w="80" w:type="dxa"/>
            </w:tcMar>
          </w:tcPr>
          <w:p>
            <w:r>
              <w:rPr>
                <w:b/>
                <w:color w:val="F65100"/>
                <w:sz w:val="17"/>
              </w:rPr>
              <w:t>Named integrations</w:t>
            </w:r>
          </w:p>
        </w:tc>
        <w:tc>
          <w:tcPr>
            <w:tcW w:type="dxa" w:w="8496"/>
            <w:vAlign w:val="center"/>
            <w:shd w:fill="FFFFFF"/>
            <w:tcMar>
              <w:top w:w="80" w:type="dxa"/>
              <w:left w:w="80" w:type="dxa"/>
              <w:bottom w:w="80" w:type="dxa"/>
              <w:right w:w="80" w:type="dxa"/>
            </w:tcMar>
          </w:tcPr>
          <w:p>
            <w:r>
              <w:rPr>
                <w:sz w:val="17"/>
              </w:rPr>
              <w:t>[not specified in source]</w:t>
            </w:r>
          </w:p>
        </w:tc>
      </w:tr>
      <w:tr>
        <w:tc>
          <w:tcPr>
            <w:tcW w:type="dxa" w:w="1872"/>
            <w:vAlign w:val="center"/>
            <w:shd w:fill="F7F5F1"/>
            <w:tcMar>
              <w:top w:w="80" w:type="dxa"/>
              <w:left w:w="80" w:type="dxa"/>
              <w:bottom w:w="80" w:type="dxa"/>
              <w:right w:w="80" w:type="dxa"/>
            </w:tcMar>
          </w:tcPr>
          <w:p>
            <w:r>
              <w:rPr>
                <w:b/>
                <w:color w:val="F65100"/>
                <w:sz w:val="17"/>
              </w:rPr>
              <w:t>Customer outcomes</w:t>
            </w:r>
          </w:p>
        </w:tc>
        <w:tc>
          <w:tcPr>
            <w:tcW w:type="dxa" w:w="8496"/>
            <w:vAlign w:val="center"/>
            <w:shd w:fill="F7F5F1"/>
            <w:tcMar>
              <w:top w:w="80" w:type="dxa"/>
              <w:left w:w="80" w:type="dxa"/>
              <w:bottom w:w="80" w:type="dxa"/>
              <w:right w:w="80" w:type="dxa"/>
            </w:tcMar>
          </w:tcPr>
          <w:p>
            <w:r>
              <w:rPr>
                <w:sz w:val="17"/>
              </w:rPr>
              <w:t>[not specified in source]</w:t>
            </w:r>
          </w:p>
        </w:tc>
      </w:tr>
    </w:tbl>
    <w:p>
      <w:pPr>
        <w:spacing w:after="20"/>
      </w:pPr>
    </w:p>
    <w:p>
      <w:pPr>
        <w:pStyle w:val="Heading2"/>
      </w:pPr>
      <w:r>
        <w:t>CE Manager</w:t>
      </w:r>
    </w:p>
    <w:p>
      <w:r>
        <w:t>Continuing education and talent management platform supporting compliance, development plans, and learning workflows.</w:t>
      </w:r>
    </w:p>
    <w:tbl>
      <w:tblPr>
        <w:tblW w:type="auto" w:w="0"/>
        <w:jc w:val="center"/>
        <w:tblLayout w:type="fixed"/>
        <w:tblLook w:firstColumn="1" w:firstRow="1" w:lastColumn="0" w:lastRow="0" w:noHBand="0" w:noVBand="1" w:val="04A0"/>
      </w:tblPr>
      <w:tblGrid>
        <w:gridCol w:w="1872"/>
        <w:gridCol w:w="8496"/>
      </w:tblGrid>
      <w:tr>
        <w:tc>
          <w:tcPr>
            <w:tcW w:type="dxa" w:w="1872"/>
            <w:vAlign w:val="center"/>
            <w:shd w:fill="F7F5F1"/>
            <w:tcMar>
              <w:top w:w="80" w:type="dxa"/>
              <w:left w:w="80" w:type="dxa"/>
              <w:bottom w:w="80" w:type="dxa"/>
              <w:right w:w="80" w:type="dxa"/>
            </w:tcMar>
          </w:tcPr>
          <w:p>
            <w:r>
              <w:rPr>
                <w:b/>
                <w:color w:val="F65100"/>
                <w:sz w:val="17"/>
              </w:rPr>
              <w:t>Performance figures</w:t>
            </w:r>
          </w:p>
        </w:tc>
        <w:tc>
          <w:tcPr>
            <w:tcW w:type="dxa" w:w="8496"/>
            <w:vAlign w:val="center"/>
            <w:shd w:fill="F7F5F1"/>
            <w:tcMar>
              <w:top w:w="80" w:type="dxa"/>
              <w:left w:w="80" w:type="dxa"/>
              <w:bottom w:w="80" w:type="dxa"/>
              <w:right w:w="80" w:type="dxa"/>
            </w:tcMar>
          </w:tcPr>
          <w:p>
            <w:r>
              <w:rPr>
                <w:sz w:val="17"/>
              </w:rPr>
              <w:t>[not specified in source]</w:t>
            </w:r>
          </w:p>
        </w:tc>
      </w:tr>
      <w:tr>
        <w:tc>
          <w:tcPr>
            <w:tcW w:type="dxa" w:w="1872"/>
            <w:vAlign w:val="center"/>
            <w:shd w:fill="FFFFFF"/>
            <w:tcMar>
              <w:top w:w="80" w:type="dxa"/>
              <w:left w:w="80" w:type="dxa"/>
              <w:bottom w:w="80" w:type="dxa"/>
              <w:right w:w="80" w:type="dxa"/>
            </w:tcMar>
          </w:tcPr>
          <w:p>
            <w:r>
              <w:rPr>
                <w:b/>
                <w:color w:val="F65100"/>
                <w:sz w:val="17"/>
              </w:rPr>
              <w:t>Named integrations</w:t>
            </w:r>
          </w:p>
        </w:tc>
        <w:tc>
          <w:tcPr>
            <w:tcW w:type="dxa" w:w="8496"/>
            <w:vAlign w:val="center"/>
            <w:shd w:fill="FFFFFF"/>
            <w:tcMar>
              <w:top w:w="80" w:type="dxa"/>
              <w:left w:w="80" w:type="dxa"/>
              <w:bottom w:w="80" w:type="dxa"/>
              <w:right w:w="80" w:type="dxa"/>
            </w:tcMar>
          </w:tcPr>
          <w:p>
            <w:r>
              <w:rPr>
                <w:sz w:val="17"/>
              </w:rPr>
              <w:t>Third-party content roadmap.</w:t>
            </w:r>
          </w:p>
        </w:tc>
      </w:tr>
      <w:tr>
        <w:tc>
          <w:tcPr>
            <w:tcW w:type="dxa" w:w="1872"/>
            <w:vAlign w:val="center"/>
            <w:shd w:fill="F7F5F1"/>
            <w:tcMar>
              <w:top w:w="80" w:type="dxa"/>
              <w:left w:w="80" w:type="dxa"/>
              <w:bottom w:w="80" w:type="dxa"/>
              <w:right w:w="80" w:type="dxa"/>
            </w:tcMar>
          </w:tcPr>
          <w:p>
            <w:r>
              <w:rPr>
                <w:b/>
                <w:color w:val="F65100"/>
                <w:sz w:val="17"/>
              </w:rPr>
              <w:t>Customer outcomes</w:t>
            </w:r>
          </w:p>
        </w:tc>
        <w:tc>
          <w:tcPr>
            <w:tcW w:type="dxa" w:w="8496"/>
            <w:vAlign w:val="center"/>
            <w:shd w:fill="F7F5F1"/>
            <w:tcMar>
              <w:top w:w="80" w:type="dxa"/>
              <w:left w:w="80" w:type="dxa"/>
              <w:bottom w:w="80" w:type="dxa"/>
              <w:right w:w="80" w:type="dxa"/>
            </w:tcMar>
          </w:tcPr>
          <w:p>
            <w:r>
              <w:rPr>
                <w:sz w:val="17"/>
              </w:rPr>
              <w:t>[not specified in source]</w:t>
            </w:r>
          </w:p>
        </w:tc>
      </w:tr>
    </w:tbl>
    <w:p>
      <w:pPr>
        <w:spacing w:after="20"/>
      </w:pPr>
    </w:p>
    <w:p>
      <w:pPr>
        <w:pStyle w:val="Heading1"/>
      </w:pPr>
      <w:r>
        <w:t>3. Positioning</w:t>
      </w:r>
    </w:p>
    <w:p>
      <w:pPr>
        <w:pStyle w:val="Heading2"/>
      </w:pPr>
      <w:r>
        <w:t>How We Differentiate</w:t>
      </w:r>
    </w:p>
    <w:p>
      <w:pPr>
        <w:spacing w:after="140"/>
        <w:ind w:left="360" w:right="216"/>
      </w:pPr>
      <w:r>
        <w:rPr>
          <w:i/>
          <w:color w:val="0F1A27"/>
        </w:rPr>
        <w:t>“Most vendors help legal teams do one thing faster. Litera connects the entire matter lifecycle and the commercial lifecycle around it, so firms can create legal value and capture commercial value in the same system.”</w:t>
      </w:r>
    </w:p>
    <w:p>
      <w:pPr>
        <w:spacing w:after="140"/>
        <w:ind w:left="360" w:right="216"/>
      </w:pPr>
      <w:r>
        <w:rPr>
          <w:i/>
          <w:color w:val="0F1A27"/>
        </w:rPr>
        <w:t>“Anyone can rent a model. What competitors can't replicate is Litera's 30 years of legal intelligence, legal workflows, deterministic engines, and the customer's own approved knowledge working together.”</w:t>
      </w:r>
    </w:p>
    <w:p>
      <w:pPr>
        <w:spacing w:after="140"/>
        <w:ind w:left="360" w:right="216"/>
      </w:pPr>
      <w:r>
        <w:rPr>
          <w:i/>
          <w:color w:val="0F1A27"/>
        </w:rPr>
        <w:t>“Lito isn't positioned as another AI assistant. It's one Legal AI agent spanning Practice of Law and Business of Law, embedded in the workflows lawyers already use.”</w:t>
      </w:r>
    </w:p>
    <w:p>
      <w:pPr>
        <w:spacing w:after="140"/>
        <w:ind w:left="360" w:right="216"/>
      </w:pPr>
      <w:r>
        <w:rPr>
          <w:i/>
          <w:color w:val="0F1A27"/>
        </w:rPr>
        <w:t>“We combine deterministic legal technology where accuracy matters with generative AI where flexibility helps. Lito is exact where it counts and flexible where it helps.”</w:t>
      </w:r>
    </w:p>
    <w:p>
      <w:pPr>
        <w:spacing w:after="140"/>
        <w:ind w:left="360" w:right="216"/>
      </w:pPr>
      <w:r>
        <w:rPr>
          <w:i/>
          <w:color w:val="0F1A27"/>
        </w:rPr>
        <w:t>“Unlike disconnected point solutions, Litera can demonstrate connected workflows across drafting, review, negotiation, governance, growth, pricing, experience management, and AI within one portfolio.”</w:t>
      </w:r>
    </w:p>
    <w:p>
      <w:pPr>
        <w:pStyle w:val="Heading2"/>
      </w:pPr>
      <w:r>
        <w:t>Objection Reframes</w:t>
      </w:r>
    </w:p>
    <w:p>
      <w:r>
        <w:rPr>
          <w:b/>
          <w:color w:val="F65100"/>
        </w:rPr>
        <w:t xml:space="preserve">General-purpose AI: </w:t>
      </w:r>
      <w:r>
        <w:t>“Fast generation is helpful, but legal teams still need legal workflows, verification, governance, and matter execution around the output.”</w:t>
      </w:r>
    </w:p>
    <w:p>
      <w:r>
        <w:rPr>
          <w:b/>
          <w:color w:val="F65100"/>
        </w:rPr>
        <w:t xml:space="preserve">AI-first legal point solutions: </w:t>
      </w:r>
      <w:r>
        <w:t>“Many point solutions solve one task well, but the knowledge, workflow, and intelligence often stop at that task. Litera connects the entire matter.”</w:t>
      </w:r>
    </w:p>
    <w:p>
      <w:r>
        <w:rPr>
          <w:b/>
          <w:color w:val="F65100"/>
        </w:rPr>
        <w:t xml:space="preserve">Separate Practice and Business systems: </w:t>
      </w:r>
      <w:r>
        <w:t>“Most firms already have deep systems of record. The challenge is connecting legal delivery and commercial intelligence. That is where Litera focuses.”</w:t>
      </w:r>
    </w:p>
    <w:p>
      <w:r>
        <w:rPr>
          <w:b/>
          <w:color w:val="F65100"/>
        </w:rPr>
        <w:t xml:space="preserve">Probabilistic AI tools: </w:t>
      </w:r>
      <w:r>
        <w:t>“If lawyers spend the time they saved verifying results, the efficiency was not real. Litera combines deterministic engines and AI so accuracy and speed work together.”</w:t>
      </w:r>
    </w:p>
    <w:p>
      <w:pPr>
        <w:pStyle w:val="Heading1"/>
      </w:pPr>
      <w:r>
        <w:t>4. Ideal Customer Profile</w:t>
      </w:r>
    </w:p>
    <w:p>
      <w:pPr>
        <w:pStyle w:val="Heading2"/>
      </w:pPr>
      <w:r>
        <w:t>Where Litera Wins</w:t>
      </w:r>
    </w:p>
    <w:p>
      <w:pPr>
        <w:pStyle w:val="ListBullet"/>
      </w:pPr>
      <w:r>
        <w:t>Am Law 200 and large law firms pursuing AI-enabled legal workflows, client service innovation, and business-of-law transformation.</w:t>
      </w:r>
    </w:p>
    <w:p>
      <w:pPr>
        <w:pStyle w:val="ListBullet"/>
      </w:pPr>
      <w:r>
        <w:t>Firms looking to connect drafting, review, negotiation, governance, experience management, pricing, and relationship intelligence into a unified platform.</w:t>
      </w:r>
    </w:p>
    <w:p>
      <w:pPr>
        <w:pStyle w:val="ListBullet"/>
      </w:pPr>
      <w:r>
        <w:t>Organizations that want AI adoption embedded inside Microsoft 365 workflows rather than standalone user experiences.</w:t>
      </w:r>
    </w:p>
    <w:p>
      <w:pPr>
        <w:pStyle w:val="ListBullet"/>
      </w:pPr>
      <w:r>
        <w:t>Firms focused on both operational efficiency and measurable commercial outcomes such as growth, realization, pricing, and relationship expansion.</w:t>
      </w:r>
    </w:p>
    <w:p>
      <w:pPr>
        <w:pStyle w:val="Heading2"/>
      </w:pPr>
      <w:r>
        <w:t>Where Litera Does Not Position Itself Strongly</w:t>
      </w:r>
    </w:p>
    <w:p>
      <w:pPr>
        <w:pStyle w:val="ListBullet"/>
      </w:pPr>
      <w:r>
        <w:t>Buyers seeking only a standalone AI drafting assistant with no interest in connected legal workflows, governance, commercial intelligence, or platform consolidation. This is an inference from Litera's repeated emphasis on connected workflows and portfolio breadth.</w:t>
      </w:r>
    </w:p>
    <w:p>
      <w:pPr>
        <w:pStyle w:val="Heading1"/>
      </w:pPr>
      <w:r>
        <w:t>Conflicts to review</w:t>
      </w:r>
    </w:p>
    <w:p>
      <w:r>
        <w:t>No external web facts were used. All information was derived from available internal source materials; therefore, no document-versus-web conflicts were identified.</w:t>
      </w:r>
    </w:p>
    <w:p>
      <w:pPr>
        <w:pStyle w:val="Heading1"/>
      </w:pPr>
      <w:r>
        <w:t>Source materials used</w:t>
      </w:r>
    </w:p>
    <w:p>
      <w:pPr>
        <w:pStyle w:val="ListBullet"/>
      </w:pPr>
      <w:r>
        <w:t>Litera New Company Narrative Summary</w:t>
      </w:r>
    </w:p>
    <w:p>
      <w:pPr>
        <w:pStyle w:val="ListBullet"/>
      </w:pPr>
      <w:r>
        <w:t>Litera Current GTM Strategy - August 2026</w:t>
      </w:r>
    </w:p>
    <w:p>
      <w:pPr>
        <w:pStyle w:val="ListBullet"/>
      </w:pPr>
      <w:r>
        <w:t>Portfolio Pillars Matrix</w:t>
      </w:r>
    </w:p>
    <w:p>
      <w:pPr>
        <w:pStyle w:val="ListBullet"/>
      </w:pPr>
      <w:r>
        <w:t>Litera Pitch Deck - Law Firms - August 7, 2026</w:t>
      </w:r>
    </w:p>
    <w:p>
      <w:pPr>
        <w:pStyle w:val="ListBullet"/>
      </w:pPr>
      <w:r>
        <w:t>Integrated Product Marketing - Q3 Plan - July 8, 2026</w:t>
      </w:r>
    </w:p>
    <w:sectPr w:rsidR="00FC693F" w:rsidRPr="0006063C" w:rsidSect="00034616">
      <w:headerReference w:type="default" r:id="rId9"/>
      <w:footerReference w:type="default" r:id="rId10"/>
      <w:pgSz w:w="12240" w:h="15840"/>
      <w:pgMar w:top="1008"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A61"/>
        <w:sz w:val="16"/>
      </w:rPr>
      <w:t xml:space="preserve">Confidential - AI context input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6E6A61"/>
        <w:sz w:val="16"/>
      </w:rPr>
      <w:t>LITERA  |  COMPANY CONTEXT PROFILE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232F44"/>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200" w:after="100"/>
      <w:outlineLvl w:val="0"/>
    </w:pPr>
    <w:rPr>
      <w:rFonts w:asciiTheme="majorHAnsi" w:eastAsiaTheme="majorEastAsia" w:hAnsiTheme="majorHAnsi" w:cstheme="majorBidi" w:ascii="Aptos Display" w:hAnsi="Aptos Display"/>
      <w:b/>
      <w:bCs/>
      <w:color w:val="F65100"/>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0F1A27"/>
      <w:sz w:val="25"/>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23C3BF"/>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200"/>
      <w:contextualSpacing/>
    </w:pPr>
    <w:rPr>
      <w:rFonts w:asciiTheme="majorHAnsi" w:eastAsiaTheme="majorEastAsia" w:hAnsiTheme="majorHAnsi" w:cstheme="majorBidi" w:ascii="Aptos Display" w:hAnsi="Aptos Display"/>
      <w:b/>
      <w:color w:val="0F1A27"/>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eldLabel">
    <w:name w:val="Field Label"/>
    <w:pPr>
      <w:spacing w:before="80" w:after="20"/>
    </w:pPr>
    <w:rPr>
      <w:rFonts w:ascii="Aptos" w:hAnsi="Aptos"/>
      <w:b/>
      <w:color w:val="6E6A61"/>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Litera Company Context Profile</dc:title>
  <dc:subject>Company context for downstream competitive intelligence</dc:subject>
  <dc:creator>Dale Harris</dc:creator>
  <keywords>Litera, competitive intelligence, company context, products, positioning</keywords>
  <dc:description>generated by python-docx</dc:description>
  <lastModifiedBy>Dale Harris</lastModifiedBy>
  <revision>1</revision>
  <dcterms:created xsi:type="dcterms:W3CDTF">2026-08-24T14:40:41.4227707Z</dcterms:created>
  <dcterms:modified xsi:type="dcterms:W3CDTF">2026-08-24T14:40:41.4227707Z</dcterms:modified>
  <category/>
</coreProperties>
</file>