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Aptos" w:hAnsi="Aptos"/>
          <w:b/>
          <w:color w:val="1C8C88"/>
          <w:sz w:val="22"/>
        </w:rPr>
        <w:t>GROWTH TECH</w:t>
      </w:r>
    </w:p>
    <w:p>
      <w:pPr>
        <w:pStyle w:val="Title"/>
      </w:pPr>
      <w:r>
        <w:t>Litera's Growth Tech Story</w:t>
      </w:r>
    </w:p>
    <w:p>
      <w:pPr>
        <w:pStyle w:val="Subtitle"/>
      </w:pPr>
      <w:r>
        <w:t>How Litera helps law firms turn intelligence, relationships, experience, and commercial data into sustainable growth</w:t>
      </w:r>
    </w:p>
    <w:tbl>
      <w:tblPr>
        <w:tblW w:type="auto" w:w="0"/>
        <w:jc w:val="center"/>
        <w:tblLayout w:type="fixed"/>
        <w:tblLook w:firstColumn="1" w:firstRow="1" w:lastColumn="0" w:lastRow="0" w:noHBand="0" w:noVBand="1" w:val="04A0"/>
      </w:tblPr>
      <w:tblGrid>
        <w:gridCol w:w="130"/>
        <w:gridCol w:w="9864"/>
      </w:tblGrid>
      <w:tr>
        <w:tc>
          <w:tcPr>
            <w:tcW w:type="dxa" w:w="4968"/>
            <w:shd w:fill="1C8C88"/>
            <w:tcMar>
              <w:top w:w="0" w:type="dxa"/>
              <w:start w:w="0" w:type="dxa"/>
              <w:bottom w:w="0" w:type="dxa"/>
              <w:end w:w="0" w:type="dxa"/>
            </w:tcMar>
          </w:tcPr>
          <w:p/>
        </w:tc>
        <w:tc>
          <w:tcPr>
            <w:tcW w:type="dxa" w:w="4968"/>
            <w:shd w:fill="EEF7F6"/>
            <w:tcMar>
              <w:top w:w="150" w:type="dxa"/>
              <w:start w:w="180" w:type="dxa"/>
              <w:bottom w:w="150" w:type="dxa"/>
              <w:end w:w="180" w:type="dxa"/>
            </w:tcMar>
          </w:tcPr>
          <w:p>
            <w:pPr>
              <w:spacing w:after="60"/>
            </w:pPr>
            <w:r>
              <w:rPr>
                <w:b/>
                <w:color w:val="14213D"/>
                <w:sz w:val="22"/>
              </w:rPr>
              <w:t>Executive premise</w:t>
            </w:r>
          </w:p>
          <w:p>
            <w:pPr>
              <w:spacing w:after="0"/>
            </w:pPr>
            <w:r>
              <w:t>AI-driven efficiency alone does not create growth. Firms need a deliberate way to convert efficiency gains and connected firm data into stronger client value, deeper engagement, and new revenue opportunities.</w:t>
            </w:r>
          </w:p>
        </w:tc>
      </w:tr>
    </w:tbl>
    <w:p>
      <w:pPr>
        <w:spacing w:after="0"/>
      </w:pPr>
    </w:p>
    <w:p>
      <w:pPr>
        <w:spacing w:before="320"/>
      </w:pPr>
      <w:r>
        <w:rPr>
          <w:b/>
          <w:color w:val="5B6573"/>
          <w:sz w:val="16"/>
        </w:rPr>
        <w:t>PRIMARY SOURCE</w:t>
      </w:r>
    </w:p>
    <w:p>
      <w:pPr>
        <w:spacing w:after="40"/>
      </w:pPr>
      <w:r>
        <w:rPr>
          <w:b/>
          <w:color w:val="14213D"/>
        </w:rPr>
        <w:t>GrowthTech_Narrative_Revised_wBB Notes_v2.docx</w:t>
      </w:r>
    </w:p>
    <w:p>
      <w:r>
        <w:t>Authored by Anne Perisho with contributors; revised July 2026. Supporting alignment: Litera Messaging House - 2026.</w:t>
      </w:r>
    </w:p>
    <w:p>
      <w:r>
        <w:br w:type="page"/>
      </w:r>
    </w:p>
    <w:p>
      <w:pPr>
        <w:pStyle w:val="Heading1"/>
      </w:pPr>
      <w:r>
        <w:t>Executive Summary</w:t>
      </w:r>
    </w:p>
    <w:p>
      <w:r>
        <w:t>Litera's Growth Tech story is built around a simple premise: AI-driven efficiency alone does not create growth. As AI compresses billable work and raises client expectations around value and pricing, law firms need a deliberate strategy for turning their data, relationships, experience, and commercial intelligence into measurable revenue growth.</w:t>
      </w:r>
    </w:p>
    <w:p>
      <w:r>
        <w:t>Growth Tech is Litera's answer to this challenge. It extends beyond traditional CRM and relationship management by connecting the client engagement lifecycle. The story focuses on helping firms build engagement, guide strategic outreach, identify growth opportunities, demonstrate credibility, and create client value.</w:t>
      </w:r>
    </w:p>
    <w:tbl>
      <w:tblPr>
        <w:tblW w:type="auto" w:w="0"/>
        <w:jc w:val="center"/>
        <w:tblLayout w:type="fixed"/>
        <w:tblLook w:firstColumn="1" w:firstRow="1" w:lastColumn="0" w:lastRow="0" w:noHBand="0" w:noVBand="1" w:val="04A0"/>
      </w:tblPr>
      <w:tblGrid>
        <w:gridCol w:w="130"/>
        <w:gridCol w:w="9864"/>
      </w:tblGrid>
      <w:tr>
        <w:tc>
          <w:tcPr>
            <w:tcW w:type="dxa" w:w="4968"/>
            <w:shd w:fill="246BCE"/>
            <w:tcMar>
              <w:top w:w="0" w:type="dxa"/>
              <w:start w:w="0" w:type="dxa"/>
              <w:bottom w:w="0" w:type="dxa"/>
              <w:end w:w="0" w:type="dxa"/>
            </w:tcMar>
          </w:tcPr>
          <w:p/>
        </w:tc>
        <w:tc>
          <w:tcPr>
            <w:tcW w:type="dxa" w:w="4968"/>
            <w:shd w:fill="EAF2FB"/>
            <w:tcMar>
              <w:top w:w="150" w:type="dxa"/>
              <w:start w:w="180" w:type="dxa"/>
              <w:bottom w:w="150" w:type="dxa"/>
              <w:end w:w="180" w:type="dxa"/>
            </w:tcMar>
          </w:tcPr>
          <w:p>
            <w:pPr>
              <w:spacing w:after="60"/>
            </w:pPr>
            <w:r>
              <w:rPr>
                <w:b/>
                <w:color w:val="14213D"/>
                <w:sz w:val="22"/>
              </w:rPr>
              <w:t>Recommended one-sentence description</w:t>
            </w:r>
          </w:p>
          <w:p>
            <w:pPr>
              <w:spacing w:after="0"/>
            </w:pPr>
            <w:r>
              <w:t>Litera Growth Tech turns disconnected relationship, engagement, experience, and financial data into commercial intelligence that helps law firms build engagement, identify opportunities, create client value, and drive sustainable growth in the age of AI.</w:t>
            </w:r>
          </w:p>
        </w:tc>
      </w:tr>
    </w:tbl>
    <w:p>
      <w:pPr>
        <w:spacing w:after="0"/>
      </w:pPr>
    </w:p>
    <w:p>
      <w:pPr>
        <w:pStyle w:val="Heading1"/>
      </w:pPr>
      <w:r>
        <w:t>The Market Problem: The AI Efficiency Trap</w:t>
      </w:r>
    </w:p>
    <w:p>
      <w:r>
        <w:t>Law firms are rapidly adopting AI to improve productivity. Those gains are valuable, but the narrative argues that they also create a commercial challenge:</w:t>
      </w:r>
    </w:p>
    <w:p>
      <w:pPr>
        <w:pStyle w:val="ListBullet"/>
        <w:spacing w:after="60"/>
        <w:ind w:left="360" w:hanging="230"/>
      </w:pPr>
      <w:r>
        <w:t>Billable work can become compressed.</w:t>
      </w:r>
    </w:p>
    <w:p>
      <w:pPr>
        <w:pStyle w:val="ListBullet"/>
        <w:spacing w:after="60"/>
        <w:ind w:left="360" w:hanging="230"/>
      </w:pPr>
      <w:r>
        <w:t>Clients can expect greater value and pricing transparency.</w:t>
      </w:r>
    </w:p>
    <w:p>
      <w:pPr>
        <w:pStyle w:val="ListBullet"/>
        <w:spacing w:after="60"/>
        <w:ind w:left="360" w:hanging="230"/>
      </w:pPr>
      <w:r>
        <w:t>Revenue growth becomes harder to achieve through efficiency alone.</w:t>
      </w:r>
    </w:p>
    <w:p>
      <w:r>
        <w:t>The firms that succeed will be those that convert efficiency gains into new client value, stronger engagement, and expanded revenue opportunities. Growth Tech is positioned as the framework for making that transition.</w:t>
      </w:r>
    </w:p>
    <w:p>
      <w:pPr>
        <w:pStyle w:val="Heading1"/>
      </w:pPr>
      <w:r>
        <w:t>The Core Insight</w:t>
      </w:r>
    </w:p>
    <w:tbl>
      <w:tblPr>
        <w:tblW w:type="auto" w:w="0"/>
        <w:jc w:val="center"/>
        <w:tblLayout w:type="fixed"/>
        <w:tblLook w:firstColumn="1" w:firstRow="1" w:lastColumn="0" w:lastRow="0" w:noHBand="0" w:noVBand="1" w:val="04A0"/>
      </w:tblPr>
      <w:tblGrid>
        <w:gridCol w:w="130"/>
        <w:gridCol w:w="9864"/>
      </w:tblGrid>
      <w:tr>
        <w:tc>
          <w:tcPr>
            <w:tcW w:type="dxa" w:w="4968"/>
            <w:shd w:fill="E8A23A"/>
            <w:tcMar>
              <w:top w:w="0" w:type="dxa"/>
              <w:start w:w="0" w:type="dxa"/>
              <w:bottom w:w="0" w:type="dxa"/>
              <w:end w:w="0" w:type="dxa"/>
            </w:tcMar>
          </w:tcPr>
          <w:p/>
        </w:tc>
        <w:tc>
          <w:tcPr>
            <w:tcW w:type="dxa" w:w="4968"/>
            <w:shd w:fill="FFF7E8"/>
            <w:tcMar>
              <w:top w:w="150" w:type="dxa"/>
              <w:start w:w="180" w:type="dxa"/>
              <w:bottom w:w="150" w:type="dxa"/>
              <w:end w:w="180" w:type="dxa"/>
            </w:tcMar>
          </w:tcPr>
          <w:p>
            <w:pPr>
              <w:spacing w:after="60"/>
            </w:pPr>
            <w:r>
              <w:rPr>
                <w:b/>
                <w:color w:val="14213D"/>
                <w:sz w:val="22"/>
              </w:rPr>
              <w:t>Central positioning statement</w:t>
            </w:r>
          </w:p>
          <w:p>
            <w:pPr>
              <w:spacing w:after="0"/>
            </w:pPr>
            <w:r>
              <w:t>Relationships are the outcome of creating value, not the primary driver of winning business.</w:t>
            </w:r>
          </w:p>
        </w:tc>
      </w:tr>
    </w:tbl>
    <w:p>
      <w:pPr>
        <w:spacing w:after="0"/>
      </w:pPr>
    </w:p>
    <w:p>
      <w:r>
        <w:t>This represents an evolution from traditional legal CRM messaging. The story argues that firms do not grow simply because they possess relationships. They grow when they create measurable value for clients and use intelligence to deliver that value consistently. Relationships deepen as a result.</w:t>
      </w:r>
    </w:p>
    <w:p>
      <w:pPr>
        <w:pStyle w:val="Heading1"/>
      </w:pPr>
      <w:r>
        <w:t>The Client Growth Lifecycle</w:t>
      </w:r>
    </w:p>
    <w:p>
      <w:pPr>
        <w:pStyle w:val="Heading2"/>
      </w:pPr>
      <w:r>
        <w:t>1. Build Engagement</w:t>
      </w:r>
    </w:p>
    <w:p>
      <w:r>
        <w:t>Understand clients beyond simple relationship mapping by connecting relationship networks, marketing engagement, event participation, work history, and client activity signals. The objective is to institutionalize client intelligence rather than leave it inside individual partner relationships.</w:t>
      </w:r>
    </w:p>
    <w:p>
      <w:pPr>
        <w:pStyle w:val="Heading2"/>
      </w:pPr>
      <w:r>
        <w:t>2. Drive Engagement</w:t>
      </w:r>
    </w:p>
    <w:p>
      <w:r>
        <w:t>Move from reactive outreach to strategic engagement. Help teams understand when to reach out, who to engage, which conversations matter, and which signals warrant action. The emphasis is client service, not selling.</w:t>
      </w:r>
    </w:p>
    <w:p>
      <w:pPr>
        <w:pStyle w:val="Heading2"/>
      </w:pPr>
      <w:r>
        <w:t>3. Identify Opportunities</w:t>
      </w:r>
    </w:p>
    <w:p>
      <w:r>
        <w:t>Surface growth signals such as leadership changes, business events, matter completions, emerging client needs, and cross-sell opportunities. The aim is earlier visibility into potential demand.</w:t>
      </w:r>
    </w:p>
    <w:p>
      <w:pPr>
        <w:pStyle w:val="Heading2"/>
      </w:pPr>
      <w:r>
        <w:t>4. Demonstrate Credibility</w:t>
      </w:r>
    </w:p>
    <w:p>
      <w:r>
        <w:t>Connect experience, expertise, credentials, and matter history so firms can show why they are the right choice, using evidence rather than anecdotes.</w:t>
      </w:r>
    </w:p>
    <w:p>
      <w:pPr>
        <w:pStyle w:val="Heading2"/>
      </w:pPr>
      <w:r>
        <w:t>5. Create Client Value</w:t>
      </w:r>
    </w:p>
    <w:p>
      <w:r>
        <w:t>Use commercial intelligence, scoping, and profitability data to improve client outcomes and reinforce the principle that relationships are earned through delivered value.</w:t>
      </w:r>
    </w:p>
    <w:p>
      <w:pPr>
        <w:pStyle w:val="Heading1"/>
      </w:pPr>
      <w:r>
        <w:t>Litera's Five Growth Tech Capabilities</w:t>
      </w:r>
    </w:p>
    <w:tbl>
      <w:tblPr>
        <w:tblW w:type="auto" w:w="0"/>
        <w:jc w:val="center"/>
        <w:tblLayout w:type="fixed"/>
        <w:tblLook w:firstColumn="1" w:firstRow="1" w:lastColumn="0" w:lastRow="0" w:noHBand="0" w:noVBand="1" w:val="04A0"/>
      </w:tblPr>
      <w:tblGrid>
        <w:gridCol w:w="1944"/>
        <w:gridCol w:w="7992"/>
      </w:tblGrid>
      <w:tr>
        <w:tc>
          <w:tcPr>
            <w:tcW w:type="dxa" w:w="4968"/>
            <w:vAlign w:val="center"/>
            <w:tcMar>
              <w:top w:w="110" w:type="dxa"/>
              <w:start w:w="130" w:type="dxa"/>
              <w:bottom w:w="110" w:type="dxa"/>
              <w:end w:w="130" w:type="dxa"/>
            </w:tcMar>
            <w:shd w:fill="14213D"/>
          </w:tcPr>
          <w:p>
            <w:pPr>
              <w:spacing w:after="0" w:line="252" w:lineRule="auto"/>
            </w:pPr>
            <w:r/>
            <w:r>
              <w:rPr>
                <w:rFonts w:ascii="Aptos" w:hAnsi="Aptos"/>
                <w:b/>
                <w:color w:val="FFFFFF"/>
                <w:sz w:val="19"/>
              </w:rPr>
              <w:t>Capability</w:t>
            </w:r>
          </w:p>
        </w:tc>
        <w:tc>
          <w:tcPr>
            <w:tcW w:type="dxa" w:w="4968"/>
            <w:vAlign w:val="center"/>
            <w:tcMar>
              <w:top w:w="110" w:type="dxa"/>
              <w:start w:w="130" w:type="dxa"/>
              <w:bottom w:w="110" w:type="dxa"/>
              <w:end w:w="130" w:type="dxa"/>
            </w:tcMar>
            <w:shd w:fill="14213D"/>
          </w:tcPr>
          <w:p>
            <w:pPr>
              <w:spacing w:after="0" w:line="252" w:lineRule="auto"/>
            </w:pPr>
            <w:r/>
            <w:r>
              <w:rPr>
                <w:rFonts w:ascii="Aptos" w:hAnsi="Aptos"/>
                <w:b/>
                <w:color w:val="FFFFFF"/>
                <w:sz w:val="19"/>
              </w:rPr>
              <w:t>Purpose</w:t>
            </w:r>
          </w:p>
        </w:tc>
      </w:tr>
      <w:tr>
        <w:tc>
          <w:tcPr>
            <w:tcW w:type="dxa" w:w="1944"/>
            <w:vAlign w:val="center"/>
            <w:tcMar>
              <w:top w:w="110" w:type="dxa"/>
              <w:start w:w="130" w:type="dxa"/>
              <w:bottom w:w="110" w:type="dxa"/>
              <w:end w:w="130" w:type="dxa"/>
            </w:tcMar>
            <w:shd w:fill="F4F7FA"/>
          </w:tcPr>
          <w:p>
            <w:pPr>
              <w:spacing w:after="0" w:line="252" w:lineRule="auto"/>
            </w:pPr>
            <w:r/>
            <w:r>
              <w:rPr>
                <w:rFonts w:ascii="Aptos" w:hAnsi="Aptos"/>
                <w:b/>
                <w:color w:val="246BCE"/>
                <w:sz w:val="19"/>
              </w:rPr>
              <w:t>Grow</w:t>
            </w:r>
          </w:p>
        </w:tc>
        <w:tc>
          <w:tcPr>
            <w:tcW w:type="dxa" w:w="7992"/>
            <w:vAlign w:val="center"/>
            <w:tcMar>
              <w:top w:w="110" w:type="dxa"/>
              <w:start w:w="130" w:type="dxa"/>
              <w:bottom w:w="110" w:type="dxa"/>
              <w:end w:w="130" w:type="dxa"/>
            </w:tcMar>
            <w:shd w:fill="F4F7FA"/>
          </w:tcPr>
          <w:p>
            <w:pPr>
              <w:spacing w:after="0" w:line="252" w:lineRule="auto"/>
            </w:pPr>
            <w:r/>
            <w:r>
              <w:rPr>
                <w:rFonts w:ascii="Aptos" w:hAnsi="Aptos"/>
                <w:b w:val="0"/>
                <w:color w:val="1F2937"/>
                <w:sz w:val="19"/>
              </w:rPr>
              <w:t>Identify expansion opportunities and whitespace across clients and practices.</w:t>
            </w:r>
          </w:p>
        </w:tc>
      </w:tr>
      <w:tr>
        <w:tc>
          <w:tcPr>
            <w:tcW w:type="dxa" w:w="1944"/>
            <w:vAlign w:val="center"/>
            <w:tcMar>
              <w:top w:w="110" w:type="dxa"/>
              <w:start w:w="130" w:type="dxa"/>
              <w:bottom w:w="110" w:type="dxa"/>
              <w:end w:w="130" w:type="dxa"/>
            </w:tcMar>
            <w:shd w:fill="FFFFFF"/>
          </w:tcPr>
          <w:p>
            <w:pPr>
              <w:spacing w:after="0" w:line="252" w:lineRule="auto"/>
            </w:pPr>
            <w:r/>
            <w:r>
              <w:rPr>
                <w:rFonts w:ascii="Aptos" w:hAnsi="Aptos"/>
                <w:b/>
                <w:color w:val="246BCE"/>
                <w:sz w:val="19"/>
              </w:rPr>
              <w:t>Prove</w:t>
            </w:r>
          </w:p>
        </w:tc>
        <w:tc>
          <w:tcPr>
            <w:tcW w:type="dxa" w:w="7992"/>
            <w:vAlign w:val="center"/>
            <w:tcMar>
              <w:top w:w="110" w:type="dxa"/>
              <w:start w:w="130" w:type="dxa"/>
              <w:bottom w:w="110" w:type="dxa"/>
              <w:end w:w="130" w:type="dxa"/>
            </w:tcMar>
            <w:shd w:fill="FFFFFF"/>
          </w:tcPr>
          <w:p>
            <w:pPr>
              <w:spacing w:after="0" w:line="252" w:lineRule="auto"/>
            </w:pPr>
            <w:r/>
            <w:r>
              <w:rPr>
                <w:rFonts w:ascii="Aptos" w:hAnsi="Aptos"/>
                <w:b w:val="0"/>
                <w:color w:val="1F2937"/>
                <w:sz w:val="19"/>
              </w:rPr>
              <w:t>Demonstrate credibility using experience, expertise, and matter history.</w:t>
            </w:r>
          </w:p>
        </w:tc>
      </w:tr>
      <w:tr>
        <w:tc>
          <w:tcPr>
            <w:tcW w:type="dxa" w:w="1944"/>
            <w:vAlign w:val="center"/>
            <w:tcMar>
              <w:top w:w="110" w:type="dxa"/>
              <w:start w:w="130" w:type="dxa"/>
              <w:bottom w:w="110" w:type="dxa"/>
              <w:end w:w="130" w:type="dxa"/>
            </w:tcMar>
            <w:shd w:fill="F4F7FA"/>
          </w:tcPr>
          <w:p>
            <w:pPr>
              <w:spacing w:after="0" w:line="252" w:lineRule="auto"/>
            </w:pPr>
            <w:r/>
            <w:r>
              <w:rPr>
                <w:rFonts w:ascii="Aptos" w:hAnsi="Aptos"/>
                <w:b/>
                <w:color w:val="246BCE"/>
                <w:sz w:val="19"/>
              </w:rPr>
              <w:t>Engage</w:t>
            </w:r>
          </w:p>
        </w:tc>
        <w:tc>
          <w:tcPr>
            <w:tcW w:type="dxa" w:w="7992"/>
            <w:vAlign w:val="center"/>
            <w:tcMar>
              <w:top w:w="110" w:type="dxa"/>
              <w:start w:w="130" w:type="dxa"/>
              <w:bottom w:w="110" w:type="dxa"/>
              <w:end w:w="130" w:type="dxa"/>
            </w:tcMar>
            <w:shd w:fill="F4F7FA"/>
          </w:tcPr>
          <w:p>
            <w:pPr>
              <w:spacing w:after="0" w:line="252" w:lineRule="auto"/>
            </w:pPr>
            <w:r/>
            <w:r>
              <w:rPr>
                <w:rFonts w:ascii="Aptos" w:hAnsi="Aptos"/>
                <w:b w:val="0"/>
                <w:color w:val="1F2937"/>
                <w:sz w:val="19"/>
              </w:rPr>
              <w:t>Guide strategic outreach using engagement and opportunity signals.</w:t>
            </w:r>
          </w:p>
        </w:tc>
      </w:tr>
      <w:tr>
        <w:tc>
          <w:tcPr>
            <w:tcW w:type="dxa" w:w="1944"/>
            <w:vAlign w:val="center"/>
            <w:tcMar>
              <w:top w:w="110" w:type="dxa"/>
              <w:start w:w="130" w:type="dxa"/>
              <w:bottom w:w="110" w:type="dxa"/>
              <w:end w:w="130" w:type="dxa"/>
            </w:tcMar>
            <w:shd w:fill="FFFFFF"/>
          </w:tcPr>
          <w:p>
            <w:pPr>
              <w:spacing w:after="0" w:line="252" w:lineRule="auto"/>
            </w:pPr>
            <w:r/>
            <w:r>
              <w:rPr>
                <w:rFonts w:ascii="Aptos" w:hAnsi="Aptos"/>
                <w:b/>
                <w:color w:val="246BCE"/>
                <w:sz w:val="19"/>
              </w:rPr>
              <w:t>Price</w:t>
            </w:r>
          </w:p>
        </w:tc>
        <w:tc>
          <w:tcPr>
            <w:tcW w:type="dxa" w:w="7992"/>
            <w:vAlign w:val="center"/>
            <w:tcMar>
              <w:top w:w="110" w:type="dxa"/>
              <w:start w:w="130" w:type="dxa"/>
              <w:bottom w:w="110" w:type="dxa"/>
              <w:end w:w="130" w:type="dxa"/>
            </w:tcMar>
            <w:shd w:fill="FFFFFF"/>
          </w:tcPr>
          <w:p>
            <w:pPr>
              <w:spacing w:after="0" w:line="252" w:lineRule="auto"/>
            </w:pPr>
            <w:r/>
            <w:r>
              <w:rPr>
                <w:rFonts w:ascii="Aptos" w:hAnsi="Aptos"/>
                <w:b w:val="0"/>
                <w:color w:val="1F2937"/>
                <w:sz w:val="19"/>
              </w:rPr>
              <w:t>Improve profitability through financial intelligence and scoping insight.</w:t>
            </w:r>
          </w:p>
        </w:tc>
      </w:tr>
      <w:tr>
        <w:tc>
          <w:tcPr>
            <w:tcW w:type="dxa" w:w="1944"/>
            <w:vAlign w:val="center"/>
            <w:tcMar>
              <w:top w:w="110" w:type="dxa"/>
              <w:start w:w="130" w:type="dxa"/>
              <w:bottom w:w="110" w:type="dxa"/>
              <w:end w:w="130" w:type="dxa"/>
            </w:tcMar>
            <w:shd w:fill="F4F7FA"/>
          </w:tcPr>
          <w:p>
            <w:pPr>
              <w:spacing w:after="0" w:line="252" w:lineRule="auto"/>
            </w:pPr>
            <w:r/>
            <w:r>
              <w:rPr>
                <w:rFonts w:ascii="Aptos" w:hAnsi="Aptos"/>
                <w:b/>
                <w:color w:val="246BCE"/>
                <w:sz w:val="19"/>
              </w:rPr>
              <w:t>Scope</w:t>
            </w:r>
          </w:p>
        </w:tc>
        <w:tc>
          <w:tcPr>
            <w:tcW w:type="dxa" w:w="7992"/>
            <w:vAlign w:val="center"/>
            <w:tcMar>
              <w:top w:w="110" w:type="dxa"/>
              <w:start w:w="130" w:type="dxa"/>
              <w:bottom w:w="110" w:type="dxa"/>
              <w:end w:w="130" w:type="dxa"/>
            </w:tcMar>
            <w:shd w:fill="F4F7FA"/>
          </w:tcPr>
          <w:p>
            <w:pPr>
              <w:spacing w:after="0" w:line="252" w:lineRule="auto"/>
            </w:pPr>
            <w:r/>
            <w:r>
              <w:rPr>
                <w:rFonts w:ascii="Aptos" w:hAnsi="Aptos"/>
                <w:b w:val="0"/>
                <w:color w:val="1F2937"/>
                <w:sz w:val="19"/>
              </w:rPr>
              <w:t>Understand matter delivery, cost, outcomes, and value creation.</w:t>
            </w:r>
          </w:p>
        </w:tc>
      </w:tr>
    </w:tbl>
    <w:p>
      <w:r>
        <w:t>Together, these capabilities are positioned as one connected lifecycle rather than a collection of standalone products.</w:t>
      </w:r>
    </w:p>
    <w:p>
      <w:pPr>
        <w:pStyle w:val="Heading1"/>
      </w:pPr>
      <w:r>
        <w:t>The Role of Lito</w:t>
      </w:r>
    </w:p>
    <w:p>
      <w:r>
        <w:t>The narrative positions Lito as the intelligence layer connecting the Growth Tech ecosystem.</w:t>
      </w:r>
    </w:p>
    <w:p>
      <w:pPr>
        <w:pStyle w:val="Heading2"/>
      </w:pPr>
      <w:r>
        <w:t>For lawyers</w:t>
      </w:r>
    </w:p>
    <w:p>
      <w:pPr>
        <w:pStyle w:val="ListBullet"/>
        <w:spacing w:after="60"/>
        <w:ind w:left="360" w:hanging="230"/>
      </w:pPr>
      <w:r>
        <w:t>Intelligence appears within existing workflows.</w:t>
      </w:r>
    </w:p>
    <w:p>
      <w:pPr>
        <w:pStyle w:val="ListBullet"/>
        <w:spacing w:after="60"/>
        <w:ind w:left="360" w:hanging="230"/>
      </w:pPr>
      <w:r>
        <w:t>Disruption to current ways of working is minimized.</w:t>
      </w:r>
    </w:p>
    <w:p>
      <w:pPr>
        <w:pStyle w:val="ListBullet"/>
        <w:spacing w:after="60"/>
        <w:ind w:left="360" w:hanging="230"/>
      </w:pPr>
      <w:r>
        <w:t>Relevant context surfaces when needed.</w:t>
      </w:r>
    </w:p>
    <w:p>
      <w:pPr>
        <w:pStyle w:val="Heading2"/>
      </w:pPr>
      <w:r>
        <w:t>For business development and marketing teams</w:t>
      </w:r>
    </w:p>
    <w:p>
      <w:pPr>
        <w:pStyle w:val="ListBullet"/>
        <w:spacing w:after="60"/>
        <w:ind w:left="360" w:hanging="230"/>
      </w:pPr>
      <w:r>
        <w:t>Structured workflows</w:t>
      </w:r>
    </w:p>
    <w:p>
      <w:pPr>
        <w:pStyle w:val="ListBullet"/>
        <w:spacing w:after="60"/>
        <w:ind w:left="360" w:hanging="230"/>
      </w:pPr>
      <w:r>
        <w:t>Event and campaign execution</w:t>
      </w:r>
    </w:p>
    <w:p>
      <w:pPr>
        <w:pStyle w:val="ListBullet"/>
        <w:spacing w:after="60"/>
        <w:ind w:left="360" w:hanging="230"/>
      </w:pPr>
      <w:r>
        <w:t>Opportunity management</w:t>
      </w:r>
    </w:p>
    <w:p>
      <w:r>
        <w:t>The narrative emphasizes participation rather than adoption: lawyers should be able to consume intelligence naturally instead of being forced into a separate system.</w:t>
      </w:r>
    </w:p>
    <w:p>
      <w:pPr>
        <w:pStyle w:val="Heading1"/>
      </w:pPr>
      <w:r>
        <w:t>Key Differentiators</w:t>
      </w:r>
    </w:p>
    <w:p>
      <w:pPr>
        <w:pStyle w:val="Heading2"/>
      </w:pPr>
      <w:r>
        <w:t>End-to-end lifecycle coverage</w:t>
      </w:r>
    </w:p>
    <w:p>
      <w:r>
        <w:t>Connect engagement intelligence, marketing, opportunity identification, experience management, and commercial intelligence across the growth lifecycle.</w:t>
      </w:r>
    </w:p>
    <w:p>
      <w:pPr>
        <w:pStyle w:val="Heading2"/>
      </w:pPr>
      <w:r>
        <w:t>Faster time to value</w:t>
      </w:r>
    </w:p>
    <w:p>
      <w:r>
        <w:t>Emphasize early workflow impact and implementation measured in weeks rather than quarters.</w:t>
      </w:r>
    </w:p>
    <w:p>
      <w:pPr>
        <w:pStyle w:val="Heading2"/>
      </w:pPr>
      <w:r>
        <w:t>CRM by stealth</w:t>
      </w:r>
    </w:p>
    <w:p>
      <w:r>
        <w:t>Deliver growth intelligence where lawyers already work to minimize change management and encourage participation.</w:t>
      </w:r>
    </w:p>
    <w:p>
      <w:pPr>
        <w:pStyle w:val="Heading2"/>
      </w:pPr>
      <w:r>
        <w:t>Legal-specific expertise</w:t>
      </w:r>
    </w:p>
    <w:p>
      <w:r>
        <w:t>Build around how law firms grow rather than generic CRM logic.</w:t>
      </w:r>
    </w:p>
    <w:p>
      <w:pPr>
        <w:pStyle w:val="Heading2"/>
      </w:pPr>
      <w:r>
        <w:t>Flexibility</w:t>
      </w:r>
    </w:p>
    <w:p>
      <w:r>
        <w:t>Work alongside existing technologies rather than requiring a closed ecosystem.</w:t>
      </w:r>
    </w:p>
    <w:p>
      <w:pPr>
        <w:pStyle w:val="Heading2"/>
      </w:pPr>
      <w:r>
        <w:t>Unified Practice + Business of Law vision</w:t>
      </w:r>
    </w:p>
    <w:p>
      <w:r>
        <w:t>Bring together the practice and business of law on a connected platform powered by Legal AI.</w:t>
      </w:r>
    </w:p>
    <w:p>
      <w:pPr>
        <w:pStyle w:val="Heading1"/>
      </w:pPr>
      <w:r>
        <w:t>Alignment to Litera's Corporate Narrative</w:t>
      </w:r>
    </w:p>
    <w:p>
      <w:r>
        <w:t>The Growth Tech story aligns to the broader Litera messaging framework:</w:t>
      </w:r>
    </w:p>
    <w:p>
      <w:pPr>
        <w:pStyle w:val="ListBullet"/>
        <w:spacing w:after="60"/>
        <w:ind w:left="360" w:hanging="230"/>
      </w:pPr>
      <w:r>
        <w:t>Litera unifies the practice and business of law.</w:t>
      </w:r>
    </w:p>
    <w:p>
      <w:pPr>
        <w:pStyle w:val="ListBullet"/>
        <w:spacing w:after="60"/>
        <w:ind w:left="360" w:hanging="230"/>
      </w:pPr>
      <w:r>
        <w:t>Efficiency alone cannot grow a firm.</w:t>
      </w:r>
    </w:p>
    <w:p>
      <w:pPr>
        <w:pStyle w:val="ListBullet"/>
        <w:spacing w:after="60"/>
        <w:ind w:left="360" w:hanging="230"/>
      </w:pPr>
      <w:r>
        <w:t>Growth comes from turning firm data into commercial action.</w:t>
      </w:r>
    </w:p>
    <w:p>
      <w:pPr>
        <w:pStyle w:val="ListBullet"/>
        <w:spacing w:after="60"/>
        <w:ind w:left="360" w:hanging="230"/>
      </w:pPr>
      <w:r>
        <w:t>Growth is created through the combination of efficiency, client relationships, and business outcomes.</w:t>
      </w:r>
    </w:p>
    <w:tbl>
      <w:tblPr>
        <w:tblW w:type="auto" w:w="0"/>
        <w:jc w:val="center"/>
        <w:tblLayout w:type="fixed"/>
        <w:tblLook w:firstColumn="1" w:firstRow="1" w:lastColumn="0" w:lastRow="0" w:noHBand="0" w:noVBand="1" w:val="04A0"/>
      </w:tblPr>
      <w:tblGrid>
        <w:gridCol w:w="130"/>
        <w:gridCol w:w="9864"/>
      </w:tblGrid>
      <w:tr>
        <w:tc>
          <w:tcPr>
            <w:tcW w:type="dxa" w:w="4968"/>
            <w:shd w:fill="1C8C88"/>
            <w:tcMar>
              <w:top w:w="0" w:type="dxa"/>
              <w:start w:w="0" w:type="dxa"/>
              <w:bottom w:w="0" w:type="dxa"/>
              <w:end w:w="0" w:type="dxa"/>
            </w:tcMar>
          </w:tcPr>
          <w:p/>
        </w:tc>
        <w:tc>
          <w:tcPr>
            <w:tcW w:type="dxa" w:w="4968"/>
            <w:shd w:fill="EEF7F6"/>
            <w:tcMar>
              <w:top w:w="150" w:type="dxa"/>
              <w:start w:w="180" w:type="dxa"/>
              <w:bottom w:w="150" w:type="dxa"/>
              <w:end w:w="180" w:type="dxa"/>
            </w:tcMar>
          </w:tcPr>
          <w:p>
            <w:pPr>
              <w:spacing w:after="60"/>
            </w:pPr>
            <w:r>
              <w:rPr>
                <w:b/>
                <w:color w:val="14213D"/>
                <w:sz w:val="22"/>
              </w:rPr>
              <w:t>Bottom line</w:t>
            </w:r>
          </w:p>
          <w:p>
            <w:pPr>
              <w:spacing w:after="0"/>
            </w:pPr>
            <w:r>
              <w:t>Growth Tech is the commercial growth dimension of Litera's broader platform story. It explains how connected data and Legal AI can help firms move beyond time saved to create stronger client value, deepen relationships, win more work, and build a more profitable legal business.</w:t>
            </w:r>
          </w:p>
        </w:tc>
      </w:tr>
    </w:tbl>
    <w:p>
      <w:pPr>
        <w:spacing w:after="0"/>
      </w:pPr>
    </w:p>
    <w:p>
      <w:pPr>
        <w:pStyle w:val="Heading1"/>
      </w:pPr>
      <w:r>
        <w:t>Source Note</w:t>
      </w:r>
    </w:p>
    <w:p>
      <w:r>
        <w:t>This summary was developed primarily from GrowthTech_Narrative_Revised_wBB Notes_v2.docx, a document authored by Anne Perisho with contributors and shared in the GrowthTech Story Check-In thread in July 2026. Corporate narrative alignment was informed by Litera Messaging House - 2026.xlsx, associated with Rowan Noronha and Anne Perisho.</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Internal working summary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46BCE"/>
        <w:sz w:val="16"/>
      </w:rPr>
      <w:t>LITERA  |  GROWTH 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46BCE"/>
      <w:sz w:val="26"/>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Aptos" w:hAnsi="Aptos"/>
      <w:b/>
      <w:bCs/>
      <w:color w:val="1C8C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Litera's Growth Tech Story</dc:title>
  <dc:subject>Executive summary of the Litera Growth Tech narrative</dc:subject>
  <dc:creator>Dale Harris</dc:creator>
  <keywords>Litera, Growth Tech, GrowthTech, Lito, Business of Law</keywords>
  <dc:description>generated by python-docx</dc:description>
  <lastModifiedBy>Dale Harris</lastModifiedBy>
  <revision>1</revision>
  <dcterms:created xsi:type="dcterms:W3CDTF">2026-08-24T13:27:00.8032450Z</dcterms:created>
  <dcterms:modified xsi:type="dcterms:W3CDTF">2026-08-24T13:27:00.8032450Z</dcterms:modified>
  <category/>
</coreProperties>
</file>