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2chsh4j3vsa5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Project Setup Instructions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eg15oi9wdv8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Cloning the Project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Clone the project from the GitHub repository using the provided link.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228tka3bthc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Installation of Required Packages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the following packages are installed in your Python environment: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pgmpy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sklearn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can install these packages using pip: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tl w:val="0"/>
        </w:rPr>
        <w:t xml:space="preserve">!pip install pgmpy pandas numpy sklearn matplotlib seaborn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Uploading Dataset to Google Colab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the folder icon in Google Colab.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the "Upload session" button.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the dataset file downloaded from GitHub.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uploading, verify the name of the dataset file.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ca74oexc47w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Step-by-Step Instructions to Run the Code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8xvx1tvh2urx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a. Install Required Packages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First, install the required packages as mentioned in step 2.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x1nee5wrri8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b. Load Libraries and Dataset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 necessary libraries like pandas, numpy, pgmpy, sklearn, matplotlib, and seaborn.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Load your dataset. Replace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'path_to_your_dataset.xlsx'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the actual path to your dataset.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jcnbw15bel1p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c. Explore the Dataset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first few rows of your dataset to ensure it's loaded correctly.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kbxdut6jgmjb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d. Define Bayesian Network Structure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the structure of the Bayesian Network by specifying the directed edges between nodes.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yna3vi4y7rsr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e. Fit the Bayesian Network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Fit the Bayesian Network using Maximum Likelihood Estimator (MLE).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scopjg2e8ga6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f. Print Conditional Probability Tables (CPTs)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Print the learned Conditional Probability Tables (CPTs) for each node in the network.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y2nu5u4ccei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g. Discretize Continuous Variables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Discretize continuous variables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'LogP'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'Molecular Weight'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into discrete categories. Adjust discretization strategy according to your dataset.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4hhths4ogmmj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h. Handle Missing States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evidence for certain states and perform inference to predict the target variable. Adjust evidence according to your dataset.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rv83v7izxybb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i. Cross-Validation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Split the data into training and testing sets using k-fold cross-validation. Fit the model for each fold and evaluate its performance.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hop4fd3l3ej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j. Generate ROC Curve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Plot Receiver Operating Characteristic (ROC) curve to evaluate model performance.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cx70y6r49mlx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k. Visualize Data Distribution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Visualize the distribution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'LogP'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'Molecular Weight'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using histograms.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w5hogzrssvw7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l. Generate Confusion Matrix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a confusion matrix to evaluate classification performance.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v2kskqi4noy1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m. Calculate Metrics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metrics like accuracy, precision, recall, and F1-score.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7rmlvuwh052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n. Adjust Threshold for F1 Score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Adjust the decision threshold to optimize F1 score.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1cos6xf6lzc5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o. Final Cross-Validation and Evaluation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 k-fold cross-validation again and evaluate the model's performance.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civzop48apf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p. Plot F1 Scores and Accuracies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Plot F1 scores and accuracies for each fold.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