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Design Phase-II</w:t>
      </w:r>
    </w:p>
    <w:p>
      <w:pPr>
        <w:jc w:val="center"/>
      </w:pPr>
      <w:r>
        <w:rPr>
          <w:b/>
          <w:sz w:val="30"/>
        </w:rP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Date</w:t>
            </w:r>
          </w:p>
        </w:tc>
        <w:tc>
          <w:tcPr>
            <w:tcW w:type="dxa" w:w="2592"/>
          </w:tcPr>
          <w:p>
            <w:r>
              <w:t>01-10-2026</w:t>
            </w:r>
          </w:p>
        </w:tc>
        <w:tc>
          <w:tcPr>
            <w:tcW w:type="dxa" w:w="2592"/>
            <w:shd w:fill="D9EAF7"/>
          </w:tcPr>
          <w:p>
            <w:r>
              <w:t>Team ID</w:t>
            </w:r>
          </w:p>
        </w:tc>
        <w:tc>
          <w:tcPr>
            <w:tcW w:type="dxa" w:w="2592"/>
          </w:tcPr>
          <w:p>
            <w:r>
              <w:t>SWTID-2026-5415</w:t>
            </w:r>
          </w:p>
        </w:tc>
      </w:tr>
      <w:tr>
        <w:tc>
          <w:tcPr>
            <w:tcW w:type="dxa" w:w="2592"/>
            <w:shd w:fill="D9EAF7"/>
          </w:tcPr>
          <w:p>
            <w:r>
              <w:t>Project Name</w:t>
            </w:r>
          </w:p>
        </w:tc>
        <w:tc>
          <w:tcPr>
            <w:tcW w:type="dxa" w:w="2592"/>
          </w:tcPr>
          <w:p>
            <w:r>
              <w:t>Import Data Using Transform Maps (Spreadsheet)</w:t>
            </w:r>
          </w:p>
        </w:tc>
        <w:tc>
          <w:tcPr>
            <w:tcW w:type="dxa" w:w="2592"/>
            <w:shd w:fill="D9EAF7"/>
          </w:tcPr>
          <w:p>
            <w:r>
              <w:t>Maximum Marks</w:t>
            </w:r>
          </w:p>
        </w:tc>
        <w:tc>
          <w:tcPr>
            <w:tcW w:type="dxa" w:w="2592"/>
          </w:tcPr>
          <w:p>
            <w:r>
              <w:t>4 Marks</w:t>
            </w:r>
          </w:p>
        </w:tc>
      </w:tr>
    </w:tbl>
    <w:p>
      <w:r>
        <w:t>Functional Requirements: following are the functional requirements of the proposed spreadsheet-to-ServiceNow Transform Map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t>FR No.</w:t>
            </w:r>
          </w:p>
        </w:tc>
        <w:tc>
          <w:tcPr>
            <w:tcW w:type="dxa" w:w="3456"/>
            <w:shd w:fill="D9EAF7"/>
          </w:tcPr>
          <w:p>
            <w:r>
              <w:t>Functional Requirement (Epic)</w:t>
            </w:r>
          </w:p>
        </w:tc>
        <w:tc>
          <w:tcPr>
            <w:tcW w:type="dxa" w:w="3456"/>
            <w:shd w:fill="D9EAF7"/>
          </w:tcPr>
          <w:p>
            <w:r>
              <w:t>Sub Requirement (Story / Sub-Task)</w:t>
            </w:r>
          </w:p>
        </w:tc>
      </w:tr>
      <w:tr>
        <w:tc>
          <w:tcPr>
            <w:tcW w:type="dxa" w:w="3456"/>
          </w:tcPr>
          <w:p>
            <w:r>
              <w:t>FR-1</w:t>
            </w:r>
          </w:p>
        </w:tc>
        <w:tc>
          <w:tcPr>
            <w:tcW w:type="dxa" w:w="3456"/>
          </w:tcPr>
          <w:p>
            <w:r>
              <w:t>Spreadsheet Import</w:t>
            </w:r>
          </w:p>
        </w:tc>
        <w:tc>
          <w:tcPr>
            <w:tcW w:type="dxa" w:w="3456"/>
          </w:tcPr>
          <w:p>
            <w:r>
              <w:t>Prepare source spreadsheet; load through Import Set / Load Data.</w:t>
            </w:r>
          </w:p>
        </w:tc>
      </w:tr>
      <w:tr>
        <w:tc>
          <w:tcPr>
            <w:tcW w:type="dxa" w:w="3456"/>
          </w:tcPr>
          <w:p>
            <w:r>
              <w:t>FR-2</w:t>
            </w:r>
          </w:p>
        </w:tc>
        <w:tc>
          <w:tcPr>
            <w:tcW w:type="dxa" w:w="3456"/>
          </w:tcPr>
          <w:p>
            <w:r>
              <w:t>Transform Map</w:t>
            </w:r>
          </w:p>
        </w:tc>
        <w:tc>
          <w:tcPr>
            <w:tcW w:type="dxa" w:w="3456"/>
          </w:tcPr>
          <w:p>
            <w:r>
              <w:t>Create source-to-target field mappings and run the transform.</w:t>
            </w:r>
          </w:p>
        </w:tc>
      </w:tr>
      <w:tr>
        <w:tc>
          <w:tcPr>
            <w:tcW w:type="dxa" w:w="3456"/>
          </w:tcPr>
          <w:p>
            <w:r>
              <w:t>FR-3</w:t>
            </w:r>
          </w:p>
        </w:tc>
        <w:tc>
          <w:tcPr>
            <w:tcW w:type="dxa" w:w="3456"/>
          </w:tcPr>
          <w:p>
            <w:r>
              <w:t>Target Data</w:t>
            </w:r>
          </w:p>
        </w:tc>
        <w:tc>
          <w:tcPr>
            <w:tcW w:type="dxa" w:w="3456"/>
          </w:tcPr>
          <w:p>
            <w:r>
              <w:t>Create/store records in the project target table with the required fields.</w:t>
            </w:r>
          </w:p>
        </w:tc>
      </w:tr>
      <w:tr>
        <w:tc>
          <w:tcPr>
            <w:tcW w:type="dxa" w:w="3456"/>
          </w:tcPr>
          <w:p>
            <w:r>
              <w:t>FR-4</w:t>
            </w:r>
          </w:p>
        </w:tc>
        <w:tc>
          <w:tcPr>
            <w:tcW w:type="dxa" w:w="3456"/>
          </w:tcPr>
          <w:p>
            <w:r>
              <w:t>Employee Relationship</w:t>
            </w:r>
          </w:p>
        </w:tc>
        <w:tc>
          <w:tcPr>
            <w:tcW w:type="dxa" w:w="3456"/>
          </w:tcPr>
          <w:p>
            <w:r>
              <w:t>Use an Employee reference and access Department through dot-walking.</w:t>
            </w:r>
          </w:p>
        </w:tc>
      </w:tr>
      <w:tr>
        <w:tc>
          <w:tcPr>
            <w:tcW w:type="dxa" w:w="3456"/>
          </w:tcPr>
          <w:p>
            <w:r>
              <w:t>FR-5</w:t>
            </w:r>
          </w:p>
        </w:tc>
        <w:tc>
          <w:tcPr>
            <w:tcW w:type="dxa" w:w="3456"/>
          </w:tcPr>
          <w:p>
            <w:r>
              <w:t>Security</w:t>
            </w:r>
          </w:p>
        </w:tc>
        <w:tc>
          <w:tcPr>
            <w:tcW w:type="dxa" w:w="3456"/>
          </w:tcPr>
          <w:p>
            <w:r>
              <w:t>Configure role-based Read and Write ACLs.</w:t>
            </w:r>
          </w:p>
        </w:tc>
      </w:tr>
      <w:tr>
        <w:tc>
          <w:tcPr>
            <w:tcW w:type="dxa" w:w="3456"/>
          </w:tcPr>
          <w:p>
            <w:r>
              <w:t>FR-6</w:t>
            </w:r>
          </w:p>
        </w:tc>
        <w:tc>
          <w:tcPr>
            <w:tcW w:type="dxa" w:w="3456"/>
          </w:tcPr>
          <w:p>
            <w:r>
              <w:t>Validation</w:t>
            </w:r>
          </w:p>
        </w:tc>
        <w:tc>
          <w:tcPr>
            <w:tcW w:type="dxa" w:w="3456"/>
          </w:tcPr>
          <w:p>
            <w:r>
              <w:t>Use Impersonate to verify authorized and restricted access.</w:t>
            </w:r>
          </w:p>
        </w:tc>
      </w:tr>
    </w:tbl>
    <w:p>
      <w:pPr>
        <w:pStyle w:val="Heading1"/>
      </w:pPr>
      <w: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t>NFR No.</w:t>
            </w:r>
          </w:p>
        </w:tc>
        <w:tc>
          <w:tcPr>
            <w:tcW w:type="dxa" w:w="3456"/>
            <w:shd w:fill="D9EAF7"/>
          </w:tcPr>
          <w:p>
            <w:r>
              <w:t>Requirement</w:t>
            </w:r>
          </w:p>
        </w:tc>
        <w:tc>
          <w:tcPr>
            <w:tcW w:type="dxa" w:w="3456"/>
            <w:shd w:fill="D9EAF7"/>
          </w:tcPr>
          <w:p>
            <w:r>
              <w:t>Description</w:t>
            </w:r>
          </w:p>
        </w:tc>
      </w:tr>
      <w:tr>
        <w:tc>
          <w:tcPr>
            <w:tcW w:type="dxa" w:w="3456"/>
          </w:tcPr>
          <w:p>
            <w:r>
              <w:t>NFR-1</w:t>
            </w:r>
          </w:p>
        </w:tc>
        <w:tc>
          <w:tcPr>
            <w:tcW w:type="dxa" w:w="3456"/>
          </w:tcPr>
          <w:p>
            <w:r>
              <w:t>Data Accuracy</w:t>
            </w:r>
          </w:p>
        </w:tc>
        <w:tc>
          <w:tcPr>
            <w:tcW w:type="dxa" w:w="3456"/>
          </w:tcPr>
          <w:p>
            <w:r>
              <w:t>Imported values should map to the intended target fields.</w:t>
            </w:r>
          </w:p>
        </w:tc>
      </w:tr>
      <w:tr>
        <w:tc>
          <w:tcPr>
            <w:tcW w:type="dxa" w:w="3456"/>
          </w:tcPr>
          <w:p>
            <w:r>
              <w:t>NFR-2</w:t>
            </w:r>
          </w:p>
        </w:tc>
        <w:tc>
          <w:tcPr>
            <w:tcW w:type="dxa" w:w="3456"/>
          </w:tcPr>
          <w:p>
            <w:r>
              <w:t>Security</w:t>
            </w:r>
          </w:p>
        </w:tc>
        <w:tc>
          <w:tcPr>
            <w:tcW w:type="dxa" w:w="3456"/>
          </w:tcPr>
          <w:p>
            <w:r>
              <w:t>Only users with configured permissions should access protected records.</w:t>
            </w:r>
          </w:p>
        </w:tc>
      </w:tr>
      <w:tr>
        <w:tc>
          <w:tcPr>
            <w:tcW w:type="dxa" w:w="3456"/>
          </w:tcPr>
          <w:p>
            <w:r>
              <w:t>NFR-3</w:t>
            </w:r>
          </w:p>
        </w:tc>
        <w:tc>
          <w:tcPr>
            <w:tcW w:type="dxa" w:w="3456"/>
          </w:tcPr>
          <w:p>
            <w:r>
              <w:t>Usability</w:t>
            </w:r>
          </w:p>
        </w:tc>
        <w:tc>
          <w:tcPr>
            <w:tcW w:type="dxa" w:w="3456"/>
          </w:tcPr>
          <w:p>
            <w:r>
              <w:t>The import and verification process should be understandable to project users.</w:t>
            </w:r>
          </w:p>
        </w:tc>
      </w:tr>
      <w:tr>
        <w:tc>
          <w:tcPr>
            <w:tcW w:type="dxa" w:w="3456"/>
          </w:tcPr>
          <w:p>
            <w:r>
              <w:t>NFR-4</w:t>
            </w:r>
          </w:p>
        </w:tc>
        <w:tc>
          <w:tcPr>
            <w:tcW w:type="dxa" w:w="3456"/>
          </w:tcPr>
          <w:p>
            <w:r>
              <w:t>Maintainability</w:t>
            </w:r>
          </w:p>
        </w:tc>
        <w:tc>
          <w:tcPr>
            <w:tcW w:type="dxa" w:w="3456"/>
          </w:tcPr>
          <w:p>
            <w:r>
              <w:t>Transform mappings and access rules should remain clearly configurable.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