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ADB Desktop Tool — Technical Design Specification (TDS)</w:t>
      </w:r>
    </w:p>
    <w:p>
      <w:r>
        <w:t>This document describes the internal technical design of the ADB Desktop Tool, including architecture, data flow, IPC boundaries, and subsystem responsibilities.</w:t>
      </w:r>
    </w:p>
    <w:p>
      <w:pPr>
        <w:pStyle w:val="Heading2"/>
      </w:pPr>
      <w:r>
        <w:t>1. System Architecture</w:t>
      </w:r>
    </w:p>
    <w:p>
      <w:r>
        <w:t>The application follows a layered Electron architecture:</w:t>
        <w:br/>
        <w:br/>
        <w:t>• Electron Main Process: Owns ADB execution, filesystem access, OS dialogs</w:t>
        <w:br/>
        <w:t>• Preload Layer: Secure IPC bridge</w:t>
        <w:br/>
        <w:t>• Renderer (Next.js App Router): UI &amp; state management</w:t>
        <w:br/>
        <w:t>• Shared Package: Types, constants, contracts</w:t>
      </w:r>
    </w:p>
    <w:p>
      <w:pPr>
        <w:pStyle w:val="Heading2"/>
      </w:pPr>
      <w:r>
        <w:t>2. ADB Execution Model</w:t>
      </w:r>
    </w:p>
    <w:p>
      <w:r>
        <w:t>All ADB commands are executed exclusively in the Electron main process using child_process. The renderer never invokes ADB directly.</w:t>
      </w:r>
    </w:p>
    <w:p>
      <w:pPr>
        <w:pStyle w:val="Heading2"/>
      </w:pPr>
      <w:r>
        <w:t>3. IPC Contracts</w:t>
      </w:r>
    </w:p>
    <w:p>
      <w:r>
        <w:t>IPC is request-response based using ipcMain.handle / ipcRenderer.invoke.</w:t>
        <w:br/>
        <w:br/>
        <w:t>Examples:</w:t>
        <w:br/>
        <w:t>• device:listPackages(deviceId)</w:t>
        <w:br/>
        <w:t>• apk:install(deviceId, apkPath)</w:t>
        <w:br/>
        <w:t>• apk:uninstall(deviceId, packageName)</w:t>
        <w:br/>
        <w:t>• apk:launch(deviceId, packageName)</w:t>
      </w:r>
    </w:p>
    <w:p>
      <w:pPr>
        <w:pStyle w:val="Heading2"/>
      </w:pPr>
      <w:r>
        <w:t>4. APK Lifecycle</w:t>
      </w:r>
    </w:p>
    <w:p>
      <w:r>
        <w:t>APK metadata is parsed once on intake. Installation state is derived dynamically from device queries (`pm list packages`).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