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Nifty Scalping Strategy</w:t>
      </w:r>
    </w:p>
    <w:p>
      <w:pPr>
        <w:spacing w:after="300"/>
      </w:pPr>
      <w:r>
        <w:rPr>
          <w:color w:val="555555"/>
          <w:sz w:val="26"/>
          <w:szCs w:val="26"/>
        </w:rPr>
        <w:t xml:space="preserve">Active Concepts: #2, #3, #4 — Documentation &amp; Backtest Record</w:t>
      </w:r>
    </w:p>
    <w:p>
      <w:pPr>
        <w:pBdr>
          <w:bottom w:val="single" w:color="999999" w:sz="6" w:space="1"/>
        </w:pBdr>
        <w:spacing w:after="200"/>
      </w:pPr>
    </w:p>
    <w:p>
      <w:pPr>
        <w:pStyle w:val="Heading1"/>
        <w:spacing w:after="150" w:before="300"/>
      </w:pPr>
      <w:r>
        <w:t xml:space="preserve">1. Trading Profile</w:t>
      </w:r>
    </w:p>
    <w:p>
      <w:pPr>
        <w:spacing w:after="140"/>
      </w:pPr>
      <w:r>
        <w:t xml:space="preserve">Discretionary intraday scalping strategy on Nifty 50, traded exclusively through in-the-money (ITM) Call and Put options on the current weekly expiry. Every BUY signal buys the nearest ITM Call; every SELL signal buys the nearest ITM Put. Exits are fixed and mechanical, not discretionary or trailing.</w:t>
      </w:r>
    </w:p>
    <w:p>
      <w:pPr>
        <w:pStyle w:val="ListParagraph"/>
        <w:numPr>
          <w:ilvl w:val="0"/>
          <w:numId w:val="2"/>
        </w:numPr>
        <w:spacing w:after="80"/>
      </w:pPr>
      <w:r>
        <w:t xml:space="preserve">Instrument: Nifty 50 index options, ITM strike only (nearest strike in-the-money)</w:t>
      </w:r>
    </w:p>
    <w:p>
      <w:pPr>
        <w:pStyle w:val="ListParagraph"/>
        <w:numPr>
          <w:ilvl w:val="0"/>
          <w:numId w:val="2"/>
        </w:numPr>
        <w:spacing w:after="80"/>
      </w:pPr>
      <w:r>
        <w:t xml:space="preserve">Expiry: always the current weekly expiry</w:t>
      </w:r>
    </w:p>
    <w:p>
      <w:pPr>
        <w:pStyle w:val="ListParagraph"/>
        <w:numPr>
          <w:ilvl w:val="0"/>
          <w:numId w:val="2"/>
        </w:numPr>
        <w:spacing w:after="80"/>
      </w:pPr>
      <w:r>
        <w:t xml:space="preserve">Stop-loss: 5 points on the underlying</w:t>
      </w:r>
    </w:p>
    <w:p>
      <w:pPr>
        <w:pStyle w:val="ListParagraph"/>
        <w:numPr>
          <w:ilvl w:val="0"/>
          <w:numId w:val="2"/>
        </w:numPr>
        <w:spacing w:after="80"/>
      </w:pPr>
      <w:r>
        <w:t xml:space="preserve">Target: 5 points on the underlying (1:1 risk:reward)</w:t>
      </w:r>
    </w:p>
    <w:p>
      <w:pPr>
        <w:pStyle w:val="ListParagraph"/>
        <w:numPr>
          <w:ilvl w:val="0"/>
          <w:numId w:val="2"/>
        </w:numPr>
        <w:spacing w:after="80"/>
      </w:pPr>
      <w:r>
        <w:t xml:space="preserve">Time exit: 15 bars (roughly 15 minutes) if neither stop nor target is hit</w:t>
      </w:r>
    </w:p>
    <w:p>
      <w:pPr>
        <w:pStyle w:val="ListParagraph"/>
        <w:numPr>
          <w:ilvl w:val="0"/>
          <w:numId w:val="2"/>
        </w:numPr>
        <w:spacing w:after="80"/>
      </w:pPr>
      <w:r>
        <w:t xml:space="preserve">Confluence required: 1 vote (a single concept firing is enough to trigger a trade)</w:t>
      </w:r>
    </w:p>
    <w:p>
      <w:pPr>
        <w:pStyle w:val="Heading1"/>
        <w:spacing w:after="150" w:before="300"/>
      </w:pPr>
      <w:r>
        <w:t xml:space="preserve">2. Why Only Concepts 2, 3, and 4</w:t>
      </w:r>
    </w:p>
    <w:p>
      <w:pPr>
        <w:spacing w:after="140"/>
      </w:pPr>
      <w:r>
        <w:t xml:space="preserve">The original strategy had 9 discretionary price-action concepts running side by side. Backtesting across several window lengths (5 days, 2 weeks, 1 month, and 6 months of real Nifty 1-minute data via the Dhan API) was used to see which concepts actually held up versus which were noise or actively harmful.</w:t>
      </w:r>
    </w:p>
    <w:p>
      <w:pPr>
        <w:spacing w:after="140"/>
      </w:pPr>
      <w:r>
        <w:t xml:space="preserve">Concepts 1 (compression spike buy), 5 (failed-spike reversal buy), 6 (failed-spike reversal sell), and 9 (weakening domes sell) were dropped early after consistently underperforming or showing 0% win rates on real trade samples. Concepts 7 and 8 (leg-1/leg-2 anchor-confirm) never fired a single signal across any tested window, so there isn't enough data to judge them at all.</w:t>
      </w:r>
    </w:p>
    <w:p>
      <w:pPr>
        <w:spacing w:after="140"/>
      </w:pPr>
      <w:r>
        <w:t xml:space="preserve">Concepts 2, 3, and 4 were the only three that stayed net positive across the shorter windows. Note the honest caveat in Section 6: over a full 6-month test, concept 3 reversed from the best-looking performer to the worst, and concept 2's edge shrank to roughly flat. Concept 4 was the only one of the three that held a (thin) edge across every window tested, including 6 months. None of the three should be considered a fully proven, durable edge yet — see Section 6 before trading real money.</w:t>
      </w:r>
    </w:p>
    <w:p>
      <w:pPr>
        <w:pStyle w:val="Heading1"/>
        <w:spacing w:after="150" w:before="300"/>
      </w:pPr>
      <w:r>
        <w:t xml:space="preserve">3. Concept 2 — Compression Spike (Sell)</w:t>
      </w:r>
    </w:p>
    <w:p>
      <w:pPr>
        <w:pStyle w:val="Heading2"/>
        <w:spacing w:after="120" w:before="250"/>
      </w:pPr>
      <w:r>
        <w:t xml:space="preserve">The idea</w:t>
      </w:r>
    </w:p>
    <w:p>
      <w:pPr>
        <w:spacing w:after="140"/>
      </w:pPr>
      <w:r>
        <w:t xml:space="preserve">Price tightens into a narrow range (compression) as buyers and sellers repeatedly fail to gain control. Once one side finally overpowers the other, it breaks out with a sharp, high-range move (the spike). A downside spike out of compression is treated as the start of a fresh move, and the strategy sells into it -- provided the move isn't already exhausted (see the exhaustion filter below, which hands off to concept 6 instead when a spike has already failed).</w:t>
      </w:r>
    </w:p>
    <w:p>
      <w:pPr>
        <w:pStyle w:val="Heading2"/>
        <w:spacing w:after="120" w:before="250"/>
      </w:pPr>
      <w:r>
        <w:t xml:space="preserve">The precise rule (as coded)</w:t>
      </w:r>
    </w:p>
    <w:p>
      <w:pPr>
        <w:pStyle w:val="ListParagraph"/>
        <w:numPr>
          <w:ilvl w:val="0"/>
          <w:numId w:val="2"/>
        </w:numPr>
        <w:spacing w:after="80"/>
      </w:pPr>
      <w:r>
        <w:t xml:space="preserve">Compression built: over the last 10 bars, the high-low range is below 0.55x (10 x ATR) for at least 4 consecutive bars</w:t>
      </w:r>
    </w:p>
    <w:p>
      <w:pPr>
        <w:pStyle w:val="ListParagraph"/>
        <w:numPr>
          <w:ilvl w:val="0"/>
          <w:numId w:val="2"/>
        </w:numPr>
        <w:spacing w:after="80"/>
      </w:pPr>
      <w:r>
        <w:t xml:space="preserve">Spike bar: the current bar's range exceeds 1.7x ATR(14)</w:t>
      </w:r>
    </w:p>
    <w:p>
      <w:pPr>
        <w:pStyle w:val="ListParagraph"/>
        <w:numPr>
          <w:ilvl w:val="0"/>
          <w:numId w:val="2"/>
        </w:numPr>
        <w:spacing w:after="80"/>
      </w:pPr>
      <w:r>
        <w:t xml:space="preserve">Spike down confirmed: the spike bar's close is below the prior 10-bar low, and the bar closes below its own open (a real bearish close, not just a long wick)</w:t>
      </w:r>
    </w:p>
    <w:p>
      <w:pPr>
        <w:pStyle w:val="ListParagraph"/>
        <w:numPr>
          <w:ilvl w:val="0"/>
          <w:numId w:val="2"/>
        </w:numPr>
        <w:spacing w:after="80"/>
      </w:pPr>
      <w:r>
        <w:t xml:space="preserve">Not already exhausted: this is skipped if the market is within 3 bars of a prior upside spike that has already failed (i.e. price has closed back below that spike's breakout level) -- that situation is handed to concept 6 instead</w:t>
      </w:r>
    </w:p>
    <w:p>
      <w:pPr>
        <w:pStyle w:val="Heading2"/>
        <w:spacing w:after="120" w:before="250"/>
      </w:pPr>
      <w:r>
        <w:t xml:space="preserve">Entry</w:t>
      </w:r>
    </w:p>
    <w:p>
      <w:pPr>
        <w:spacing w:after="140"/>
      </w:pPr>
      <w:r>
        <w:t xml:space="preserve">SELL (buy ITM Put) on the close of the bar where compression + spike-down + not-exhausted all confirm.</w:t>
      </w:r>
    </w:p>
    <w:p>
      <w:pPr>
        <w:pStyle w:val="Heading2"/>
        <w:spacing w:after="120" w:before="250"/>
      </w:pPr>
      <w:r>
        <w:t xml:space="preserve">Backtest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rPr>
          <w:tblHeader/>
        </w:trPr>
        <w:tc>
          <w:tcPr>
            <w:tcW w:type="dxa" w:w="2400"/>
            <w:shd w:fill="DDEBF7" w:color="auto" w:val="clear"/>
            <w:tcMar>
              <w:top w:type="dxa" w:w="80"/>
              <w:left w:type="dxa" w:w="100"/>
              <w:bottom w:type="dxa" w:w="80"/>
              <w:right w:type="dxa" w:w="100"/>
            </w:tcMar>
          </w:tcPr>
          <w:p>
            <w:r>
              <w:rPr>
                <w:b/>
                <w:bCs/>
              </w:rPr>
              <w:t xml:space="preserve">Test window</w:t>
            </w:r>
          </w:p>
        </w:tc>
        <w:tc>
          <w:tcPr>
            <w:tcW w:type="dxa" w:w="1600"/>
            <w:shd w:fill="DDEBF7" w:color="auto" w:val="clear"/>
            <w:tcMar>
              <w:top w:type="dxa" w:w="80"/>
              <w:left w:type="dxa" w:w="100"/>
              <w:bottom w:type="dxa" w:w="80"/>
              <w:right w:type="dxa" w:w="100"/>
            </w:tcMar>
          </w:tcPr>
          <w:p>
            <w:r>
              <w:rPr>
                <w:b/>
                <w:bCs/>
              </w:rPr>
              <w:t xml:space="preserve">Trades</w:t>
            </w:r>
          </w:p>
        </w:tc>
        <w:tc>
          <w:tcPr>
            <w:tcW w:type="dxa" w:w="1600"/>
            <w:shd w:fill="DDEBF7" w:color="auto" w:val="clear"/>
            <w:tcMar>
              <w:top w:type="dxa" w:w="80"/>
              <w:left w:type="dxa" w:w="100"/>
              <w:bottom w:type="dxa" w:w="80"/>
              <w:right w:type="dxa" w:w="100"/>
            </w:tcMar>
          </w:tcPr>
          <w:p>
            <w:r>
              <w:rPr>
                <w:b/>
                <w:bCs/>
              </w:rPr>
              <w:t xml:space="preserve">Win rate</w:t>
            </w:r>
          </w:p>
        </w:tc>
        <w:tc>
          <w:tcPr>
            <w:tcW w:type="dxa" w:w="1600"/>
            <w:shd w:fill="DDEBF7" w:color="auto" w:val="clear"/>
            <w:tcMar>
              <w:top w:type="dxa" w:w="80"/>
              <w:left w:type="dxa" w:w="100"/>
              <w:bottom w:type="dxa" w:w="80"/>
              <w:right w:type="dxa" w:w="100"/>
            </w:tcMar>
          </w:tcPr>
          <w:p>
            <w:r>
              <w:rPr>
                <w:b/>
                <w:bCs/>
              </w:rPr>
              <w:t xml:space="preserve">Net (pts)</w:t>
            </w:r>
          </w:p>
        </w:tc>
        <w:tc>
          <w:tcPr>
            <w:tcW w:type="dxa" w:w="2160"/>
            <w:shd w:fill="DDEBF7" w:color="auto" w:val="clear"/>
            <w:tcMar>
              <w:top w:type="dxa" w:w="80"/>
              <w:left w:type="dxa" w:w="100"/>
              <w:bottom w:type="dxa" w:w="80"/>
              <w:right w:type="dxa" w:w="100"/>
            </w:tcMar>
          </w:tcPr>
          <w:p>
            <w:r>
              <w:rPr>
                <w:b/>
                <w:bCs/>
              </w:rPr>
              <w:t xml:space="preserve">Notes</w:t>
            </w:r>
          </w:p>
        </w:tc>
      </w:tr>
      <w:tr>
        <w:tc>
          <w:tcPr>
            <w:tcW w:type="dxa" w:w="2400"/>
            <w:tcMar>
              <w:top w:type="dxa" w:w="80"/>
              <w:left w:type="dxa" w:w="100"/>
              <w:bottom w:type="dxa" w:w="80"/>
              <w:right w:type="dxa" w:w="100"/>
            </w:tcMar>
          </w:tcPr>
          <w:p>
            <w:r>
              <w:rPr>
                <w:b w:val="false"/>
                <w:bCs w:val="false"/>
              </w:rPr>
              <w:t xml:space="preserve">5 trading days (Jul 20-24)</w:t>
            </w:r>
          </w:p>
        </w:tc>
        <w:tc>
          <w:tcPr>
            <w:tcW w:type="dxa" w:w="1600"/>
            <w:tcMar>
              <w:top w:type="dxa" w:w="80"/>
              <w:left w:type="dxa" w:w="100"/>
              <w:bottom w:type="dxa" w:w="80"/>
              <w:right w:type="dxa" w:w="100"/>
            </w:tcMar>
          </w:tcPr>
          <w:p>
            <w:r>
              <w:rPr>
                <w:b w:val="false"/>
                <w:bCs w:val="false"/>
              </w:rPr>
              <w:t xml:space="preserve">19</w:t>
            </w:r>
          </w:p>
        </w:tc>
        <w:tc>
          <w:tcPr>
            <w:tcW w:type="dxa" w:w="1600"/>
            <w:tcMar>
              <w:top w:type="dxa" w:w="80"/>
              <w:left w:type="dxa" w:w="100"/>
              <w:bottom w:type="dxa" w:w="80"/>
              <w:right w:type="dxa" w:w="100"/>
            </w:tcMar>
          </w:tcPr>
          <w:p>
            <w:r>
              <w:rPr>
                <w:b w:val="false"/>
                <w:bCs w:val="false"/>
              </w:rPr>
              <w:t xml:space="preserve">52.6%</w:t>
            </w:r>
          </w:p>
        </w:tc>
        <w:tc>
          <w:tcPr>
            <w:tcW w:type="dxa" w:w="1600"/>
            <w:tcMar>
              <w:top w:type="dxa" w:w="80"/>
              <w:left w:type="dxa" w:w="100"/>
              <w:bottom w:type="dxa" w:w="80"/>
              <w:right w:type="dxa" w:w="100"/>
            </w:tcMar>
          </w:tcPr>
          <w:p>
            <w:r>
              <w:rPr>
                <w:b w:val="false"/>
                <w:bCs w:val="false"/>
              </w:rPr>
              <w:t xml:space="preserve">+55.10</w:t>
            </w:r>
          </w:p>
        </w:tc>
        <w:tc>
          <w:tcPr>
            <w:tcW w:type="dxa" w:w="2160"/>
            <w:tcMar>
              <w:top w:type="dxa" w:w="80"/>
              <w:left w:type="dxa" w:w="100"/>
              <w:bottom w:type="dxa" w:w="80"/>
              <w:right w:type="dxa" w:w="100"/>
            </w:tcMar>
          </w:tcPr>
          <w:p>
            <w:r>
              <w:rPr>
                <w:b w:val="false"/>
                <w:bCs w:val="false"/>
              </w:rPr>
              <w:t xml:space="preserve">1:1.6 R:R, first test</w:t>
            </w:r>
          </w:p>
        </w:tc>
      </w:tr>
      <w:tr>
        <w:tc>
          <w:tcPr>
            <w:tcW w:type="dxa" w:w="2400"/>
            <w:tcMar>
              <w:top w:type="dxa" w:w="80"/>
              <w:left w:type="dxa" w:w="100"/>
              <w:bottom w:type="dxa" w:w="80"/>
              <w:right w:type="dxa" w:w="100"/>
            </w:tcMar>
          </w:tcPr>
          <w:p>
            <w:r>
              <w:rPr>
                <w:b w:val="false"/>
                <w:bCs w:val="false"/>
              </w:rPr>
              <w:t xml:space="preserve">1 month (~20 days)</w:t>
            </w:r>
          </w:p>
        </w:tc>
        <w:tc>
          <w:tcPr>
            <w:tcW w:type="dxa" w:w="1600"/>
            <w:tcMar>
              <w:top w:type="dxa" w:w="80"/>
              <w:left w:type="dxa" w:w="100"/>
              <w:bottom w:type="dxa" w:w="80"/>
              <w:right w:type="dxa" w:w="100"/>
            </w:tcMar>
          </w:tcPr>
          <w:p>
            <w:r>
              <w:rPr>
                <w:b w:val="false"/>
                <w:bCs w:val="false"/>
              </w:rPr>
              <w:t xml:space="preserve">91</w:t>
            </w:r>
          </w:p>
        </w:tc>
        <w:tc>
          <w:tcPr>
            <w:tcW w:type="dxa" w:w="1600"/>
            <w:tcMar>
              <w:top w:type="dxa" w:w="80"/>
              <w:left w:type="dxa" w:w="100"/>
              <w:bottom w:type="dxa" w:w="80"/>
              <w:right w:type="dxa" w:w="100"/>
            </w:tcMar>
          </w:tcPr>
          <w:p>
            <w:r>
              <w:rPr>
                <w:b w:val="false"/>
                <w:bCs w:val="false"/>
              </w:rPr>
              <w:t xml:space="preserve">51.6%</w:t>
            </w:r>
          </w:p>
        </w:tc>
        <w:tc>
          <w:tcPr>
            <w:tcW w:type="dxa" w:w="1600"/>
            <w:tcMar>
              <w:top w:type="dxa" w:w="80"/>
              <w:left w:type="dxa" w:w="100"/>
              <w:bottom w:type="dxa" w:w="80"/>
              <w:right w:type="dxa" w:w="100"/>
            </w:tcMar>
          </w:tcPr>
          <w:p>
            <w:r>
              <w:rPr>
                <w:b w:val="false"/>
                <w:bCs w:val="false"/>
              </w:rPr>
              <w:t xml:space="preserve">+69.85</w:t>
            </w:r>
          </w:p>
        </w:tc>
        <w:tc>
          <w:tcPr>
            <w:tcW w:type="dxa" w:w="2160"/>
            <w:tcMar>
              <w:top w:type="dxa" w:w="80"/>
              <w:left w:type="dxa" w:w="100"/>
              <w:bottom w:type="dxa" w:w="80"/>
              <w:right w:type="dxa" w:w="100"/>
            </w:tcMar>
          </w:tcPr>
          <w:p>
            <w:r>
              <w:rPr>
                <w:b w:val="false"/>
                <w:bCs w:val="false"/>
              </w:rPr>
              <w:t xml:space="preserve">1:1 R:R, held steady vs 5-day test</w:t>
            </w:r>
          </w:p>
        </w:tc>
      </w:tr>
      <w:tr>
        <w:tc>
          <w:tcPr>
            <w:tcW w:type="dxa" w:w="2400"/>
            <w:tcMar>
              <w:top w:type="dxa" w:w="80"/>
              <w:left w:type="dxa" w:w="100"/>
              <w:bottom w:type="dxa" w:w="80"/>
              <w:right w:type="dxa" w:w="100"/>
            </w:tcMar>
          </w:tcPr>
          <w:p>
            <w:r>
              <w:rPr>
                <w:b w:val="false"/>
                <w:bCs w:val="false"/>
              </w:rPr>
              <w:t xml:space="preserve">6 months (Jan-Jul)</w:t>
            </w:r>
          </w:p>
        </w:tc>
        <w:tc>
          <w:tcPr>
            <w:tcW w:type="dxa" w:w="1600"/>
            <w:tcMar>
              <w:top w:type="dxa" w:w="80"/>
              <w:left w:type="dxa" w:w="100"/>
              <w:bottom w:type="dxa" w:w="80"/>
              <w:right w:type="dxa" w:w="100"/>
            </w:tcMar>
          </w:tcPr>
          <w:p>
            <w:r>
              <w:rPr>
                <w:b w:val="false"/>
                <w:bCs w:val="false"/>
              </w:rPr>
              <w:t xml:space="preserve">549</w:t>
            </w:r>
          </w:p>
        </w:tc>
        <w:tc>
          <w:tcPr>
            <w:tcW w:type="dxa" w:w="1600"/>
            <w:tcMar>
              <w:top w:type="dxa" w:w="80"/>
              <w:left w:type="dxa" w:w="100"/>
              <w:bottom w:type="dxa" w:w="80"/>
              <w:right w:type="dxa" w:w="100"/>
            </w:tcMar>
          </w:tcPr>
          <w:p>
            <w:r>
              <w:rPr>
                <w:b w:val="false"/>
                <w:bCs w:val="false"/>
              </w:rPr>
              <w:t xml:space="preserve">49.4%</w:t>
            </w:r>
          </w:p>
        </w:tc>
        <w:tc>
          <w:tcPr>
            <w:tcW w:type="dxa" w:w="1600"/>
            <w:tcMar>
              <w:top w:type="dxa" w:w="80"/>
              <w:left w:type="dxa" w:w="100"/>
              <w:bottom w:type="dxa" w:w="80"/>
              <w:right w:type="dxa" w:w="100"/>
            </w:tcMar>
          </w:tcPr>
          <w:p>
            <w:r>
              <w:rPr>
                <w:b w:val="false"/>
                <w:bCs w:val="false"/>
              </w:rPr>
              <w:t xml:space="preserve">-4.90</w:t>
            </w:r>
          </w:p>
        </w:tc>
        <w:tc>
          <w:tcPr>
            <w:tcW w:type="dxa" w:w="2160"/>
            <w:tcMar>
              <w:top w:type="dxa" w:w="80"/>
              <w:left w:type="dxa" w:w="100"/>
              <w:bottom w:type="dxa" w:w="80"/>
              <w:right w:type="dxa" w:w="100"/>
            </w:tcMar>
          </w:tcPr>
          <w:p>
            <w:r>
              <w:rPr>
                <w:b w:val="false"/>
                <w:bCs w:val="false"/>
              </w:rPr>
              <w:t xml:space="preserve">Edge shrank to roughly flat at scale</w:t>
            </w:r>
          </w:p>
        </w:tc>
      </w:tr>
    </w:tbl>
    <w:p>
      <w:pPr>
        <w:pStyle w:val="Heading1"/>
        <w:spacing w:after="150" w:before="300"/>
      </w:pPr>
      <w:r>
        <w:t xml:space="preserve">4. Concept 3 — Rollover (Buy)</w:t>
      </w:r>
    </w:p>
    <w:p>
      <w:pPr>
        <w:pStyle w:val="Heading2"/>
        <w:spacing w:after="120" w:before="250"/>
      </w:pPr>
      <w:r>
        <w:t xml:space="preserve">The idea</w:t>
      </w:r>
    </w:p>
    <w:p>
      <w:pPr>
        <w:spacing w:after="140"/>
      </w:pPr>
      <w:r>
        <w:t xml:space="preserve">A stretched, weak trend -- one that has been directionless or grinding for a long stretch (weak ADX for many bars) -- tends to run out of energy near its own recent extreme. When price is sitting near the low of that stretched, weak move and shows a fast rejection candle (a long lower wick with a bullish close), it's read as the weak move rolling over and reversing upward.</w:t>
      </w:r>
    </w:p>
    <w:p>
      <w:pPr>
        <w:pStyle w:val="Heading2"/>
        <w:spacing w:after="120" w:before="250"/>
      </w:pPr>
      <w:r>
        <w:t xml:space="preserve">The precise rule (as coded)</w:t>
      </w:r>
    </w:p>
    <w:p>
      <w:pPr>
        <w:pStyle w:val="ListParagraph"/>
        <w:numPr>
          <w:ilvl w:val="0"/>
          <w:numId w:val="2"/>
        </w:numPr>
        <w:spacing w:after="80"/>
      </w:pPr>
      <w:r>
        <w:t xml:space="preserve">Weak trend: ADX(14) stays below 20 for at least 30 consecutive bars (the "stretched weak arc")</w:t>
      </w:r>
    </w:p>
    <w:p>
      <w:pPr>
        <w:pStyle w:val="ListParagraph"/>
        <w:numPr>
          <w:ilvl w:val="0"/>
          <w:numId w:val="2"/>
        </w:numPr>
        <w:spacing w:after="80"/>
      </w:pPr>
      <w:r>
        <w:t xml:space="preserve">Near the low: the current bar's low is within 0.5% of the lowest low of the last 30 bars</w:t>
      </w:r>
    </w:p>
    <w:p>
      <w:pPr>
        <w:pStyle w:val="ListParagraph"/>
        <w:numPr>
          <w:ilvl w:val="0"/>
          <w:numId w:val="2"/>
        </w:numPr>
        <w:spacing w:after="80"/>
      </w:pPr>
      <w:r>
        <w:t xml:space="preserve">Fast rejection wick: the lower wick is at least half the bar's total range, and the bar closes above its open</w:t>
      </w:r>
    </w:p>
    <w:p>
      <w:pPr>
        <w:pStyle w:val="ListParagraph"/>
        <w:numPr>
          <w:ilvl w:val="0"/>
          <w:numId w:val="2"/>
        </w:numPr>
        <w:spacing w:after="80"/>
      </w:pPr>
      <w:r>
        <w:t xml:space="preserve">Fires once per rollover: the signal only triggers on the bar the rejection condition first becomes true, not on every bar it stays true</w:t>
      </w:r>
    </w:p>
    <w:p>
      <w:pPr>
        <w:pStyle w:val="Heading2"/>
        <w:spacing w:after="120" w:before="250"/>
      </w:pPr>
      <w:r>
        <w:t xml:space="preserve">Entry</w:t>
      </w:r>
    </w:p>
    <w:p>
      <w:pPr>
        <w:spacing w:after="140"/>
      </w:pPr>
      <w:r>
        <w:t xml:space="preserve">BUY (buy ITM Call) on the close of the bar where the stretched weak arc, near-low, and fast rejection wick all confirm together.</w:t>
      </w:r>
    </w:p>
    <w:p>
      <w:pPr>
        <w:pStyle w:val="Heading2"/>
        <w:spacing w:after="120" w:before="250"/>
      </w:pPr>
      <w:r>
        <w:t xml:space="preserve">Backtest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rPr>
          <w:tblHeader/>
        </w:trPr>
        <w:tc>
          <w:tcPr>
            <w:tcW w:type="dxa" w:w="2400"/>
            <w:shd w:fill="DDEBF7" w:color="auto" w:val="clear"/>
            <w:tcMar>
              <w:top w:type="dxa" w:w="80"/>
              <w:left w:type="dxa" w:w="100"/>
              <w:bottom w:type="dxa" w:w="80"/>
              <w:right w:type="dxa" w:w="100"/>
            </w:tcMar>
          </w:tcPr>
          <w:p>
            <w:r>
              <w:rPr>
                <w:b/>
                <w:bCs/>
              </w:rPr>
              <w:t xml:space="preserve">Test window</w:t>
            </w:r>
          </w:p>
        </w:tc>
        <w:tc>
          <w:tcPr>
            <w:tcW w:type="dxa" w:w="1600"/>
            <w:shd w:fill="DDEBF7" w:color="auto" w:val="clear"/>
            <w:tcMar>
              <w:top w:type="dxa" w:w="80"/>
              <w:left w:type="dxa" w:w="100"/>
              <w:bottom w:type="dxa" w:w="80"/>
              <w:right w:type="dxa" w:w="100"/>
            </w:tcMar>
          </w:tcPr>
          <w:p>
            <w:r>
              <w:rPr>
                <w:b/>
                <w:bCs/>
              </w:rPr>
              <w:t xml:space="preserve">Trades</w:t>
            </w:r>
          </w:p>
        </w:tc>
        <w:tc>
          <w:tcPr>
            <w:tcW w:type="dxa" w:w="1600"/>
            <w:shd w:fill="DDEBF7" w:color="auto" w:val="clear"/>
            <w:tcMar>
              <w:top w:type="dxa" w:w="80"/>
              <w:left w:type="dxa" w:w="100"/>
              <w:bottom w:type="dxa" w:w="80"/>
              <w:right w:type="dxa" w:w="100"/>
            </w:tcMar>
          </w:tcPr>
          <w:p>
            <w:r>
              <w:rPr>
                <w:b/>
                <w:bCs/>
              </w:rPr>
              <w:t xml:space="preserve">Win rate</w:t>
            </w:r>
          </w:p>
        </w:tc>
        <w:tc>
          <w:tcPr>
            <w:tcW w:type="dxa" w:w="1600"/>
            <w:shd w:fill="DDEBF7" w:color="auto" w:val="clear"/>
            <w:tcMar>
              <w:top w:type="dxa" w:w="80"/>
              <w:left w:type="dxa" w:w="100"/>
              <w:bottom w:type="dxa" w:w="80"/>
              <w:right w:type="dxa" w:w="100"/>
            </w:tcMar>
          </w:tcPr>
          <w:p>
            <w:r>
              <w:rPr>
                <w:b/>
                <w:bCs/>
              </w:rPr>
              <w:t xml:space="preserve">Net (pts)</w:t>
            </w:r>
          </w:p>
        </w:tc>
        <w:tc>
          <w:tcPr>
            <w:tcW w:type="dxa" w:w="2160"/>
            <w:shd w:fill="DDEBF7" w:color="auto" w:val="clear"/>
            <w:tcMar>
              <w:top w:type="dxa" w:w="80"/>
              <w:left w:type="dxa" w:w="100"/>
              <w:bottom w:type="dxa" w:w="80"/>
              <w:right w:type="dxa" w:w="100"/>
            </w:tcMar>
          </w:tcPr>
          <w:p>
            <w:r>
              <w:rPr>
                <w:b/>
                <w:bCs/>
              </w:rPr>
              <w:t xml:space="preserve">Notes</w:t>
            </w:r>
          </w:p>
        </w:tc>
      </w:tr>
      <w:tr>
        <w:tc>
          <w:tcPr>
            <w:tcW w:type="dxa" w:w="2400"/>
            <w:tcMar>
              <w:top w:type="dxa" w:w="80"/>
              <w:left w:type="dxa" w:w="100"/>
              <w:bottom w:type="dxa" w:w="80"/>
              <w:right w:type="dxa" w:w="100"/>
            </w:tcMar>
          </w:tcPr>
          <w:p>
            <w:r>
              <w:rPr>
                <w:b w:val="false"/>
                <w:bCs w:val="false"/>
              </w:rPr>
              <w:t xml:space="preserve">5 trading days (Jul 20-24)</w:t>
            </w:r>
          </w:p>
        </w:tc>
        <w:tc>
          <w:tcPr>
            <w:tcW w:type="dxa" w:w="1600"/>
            <w:tcMar>
              <w:top w:type="dxa" w:w="80"/>
              <w:left w:type="dxa" w:w="100"/>
              <w:bottom w:type="dxa" w:w="80"/>
              <w:right w:type="dxa" w:w="100"/>
            </w:tcMar>
          </w:tcPr>
          <w:p>
            <w:r>
              <w:rPr>
                <w:b w:val="false"/>
                <w:bCs w:val="false"/>
              </w:rPr>
              <w:t xml:space="preserve">5</w:t>
            </w:r>
          </w:p>
        </w:tc>
        <w:tc>
          <w:tcPr>
            <w:tcW w:type="dxa" w:w="1600"/>
            <w:tcMar>
              <w:top w:type="dxa" w:w="80"/>
              <w:left w:type="dxa" w:w="100"/>
              <w:bottom w:type="dxa" w:w="80"/>
              <w:right w:type="dxa" w:w="100"/>
            </w:tcMar>
          </w:tcPr>
          <w:p>
            <w:r>
              <w:rPr>
                <w:b w:val="false"/>
                <w:bCs w:val="false"/>
              </w:rPr>
              <w:t xml:space="preserve">60.0%</w:t>
            </w:r>
          </w:p>
        </w:tc>
        <w:tc>
          <w:tcPr>
            <w:tcW w:type="dxa" w:w="1600"/>
            <w:tcMar>
              <w:top w:type="dxa" w:w="80"/>
              <w:left w:type="dxa" w:w="100"/>
              <w:bottom w:type="dxa" w:w="80"/>
              <w:right w:type="dxa" w:w="100"/>
            </w:tcMar>
          </w:tcPr>
          <w:p>
            <w:r>
              <w:rPr>
                <w:b w:val="false"/>
                <w:bCs w:val="false"/>
              </w:rPr>
              <w:t xml:space="preserve">+28.35</w:t>
            </w:r>
          </w:p>
        </w:tc>
        <w:tc>
          <w:tcPr>
            <w:tcW w:type="dxa" w:w="2160"/>
            <w:tcMar>
              <w:top w:type="dxa" w:w="80"/>
              <w:left w:type="dxa" w:w="100"/>
              <w:bottom w:type="dxa" w:w="80"/>
              <w:right w:type="dxa" w:w="100"/>
            </w:tcMar>
          </w:tcPr>
          <w:p>
            <w:r>
              <w:rPr>
                <w:b w:val="false"/>
                <w:bCs w:val="false"/>
              </w:rPr>
              <w:t xml:space="preserve">Very small sample</w:t>
            </w:r>
          </w:p>
        </w:tc>
      </w:tr>
      <w:tr>
        <w:tc>
          <w:tcPr>
            <w:tcW w:type="dxa" w:w="2400"/>
            <w:tcMar>
              <w:top w:type="dxa" w:w="80"/>
              <w:left w:type="dxa" w:w="100"/>
              <w:bottom w:type="dxa" w:w="80"/>
              <w:right w:type="dxa" w:w="100"/>
            </w:tcMar>
          </w:tcPr>
          <w:p>
            <w:r>
              <w:rPr>
                <w:b w:val="false"/>
                <w:bCs w:val="false"/>
              </w:rPr>
              <w:t xml:space="preserve">1 month (~20 days)</w:t>
            </w:r>
          </w:p>
        </w:tc>
        <w:tc>
          <w:tcPr>
            <w:tcW w:type="dxa" w:w="1600"/>
            <w:tcMar>
              <w:top w:type="dxa" w:w="80"/>
              <w:left w:type="dxa" w:w="100"/>
              <w:bottom w:type="dxa" w:w="80"/>
              <w:right w:type="dxa" w:w="100"/>
            </w:tcMar>
          </w:tcPr>
          <w:p>
            <w:r>
              <w:rPr>
                <w:b w:val="false"/>
                <w:bCs w:val="false"/>
              </w:rPr>
              <w:t xml:space="preserve">45</w:t>
            </w:r>
          </w:p>
        </w:tc>
        <w:tc>
          <w:tcPr>
            <w:tcW w:type="dxa" w:w="1600"/>
            <w:tcMar>
              <w:top w:type="dxa" w:w="80"/>
              <w:left w:type="dxa" w:w="100"/>
              <w:bottom w:type="dxa" w:w="80"/>
              <w:right w:type="dxa" w:w="100"/>
            </w:tcMar>
          </w:tcPr>
          <w:p>
            <w:r>
              <w:rPr>
                <w:b w:val="false"/>
                <w:bCs w:val="false"/>
              </w:rPr>
              <w:t xml:space="preserve">57.8%</w:t>
            </w:r>
          </w:p>
        </w:tc>
        <w:tc>
          <w:tcPr>
            <w:tcW w:type="dxa" w:w="1600"/>
            <w:tcMar>
              <w:top w:type="dxa" w:w="80"/>
              <w:left w:type="dxa" w:w="100"/>
              <w:bottom w:type="dxa" w:w="80"/>
              <w:right w:type="dxa" w:w="100"/>
            </w:tcMar>
          </w:tcPr>
          <w:p>
            <w:r>
              <w:rPr>
                <w:b w:val="false"/>
                <w:bCs w:val="false"/>
              </w:rPr>
              <w:t xml:space="preserve">+80.35</w:t>
            </w:r>
          </w:p>
        </w:tc>
        <w:tc>
          <w:tcPr>
            <w:tcW w:type="dxa" w:w="2160"/>
            <w:tcMar>
              <w:top w:type="dxa" w:w="80"/>
              <w:left w:type="dxa" w:w="100"/>
              <w:bottom w:type="dxa" w:w="80"/>
              <w:right w:type="dxa" w:w="100"/>
            </w:tcMar>
          </w:tcPr>
          <w:p>
            <w:r>
              <w:rPr>
                <w:b w:val="false"/>
                <w:bCs w:val="false"/>
              </w:rPr>
              <w:t xml:space="preserve">Best-looking performer at this scale</w:t>
            </w:r>
          </w:p>
        </w:tc>
      </w:tr>
      <w:tr>
        <w:tc>
          <w:tcPr>
            <w:tcW w:type="dxa" w:w="2400"/>
            <w:tcMar>
              <w:top w:type="dxa" w:w="80"/>
              <w:left w:type="dxa" w:w="100"/>
              <w:bottom w:type="dxa" w:w="80"/>
              <w:right w:type="dxa" w:w="100"/>
            </w:tcMar>
          </w:tcPr>
          <w:p>
            <w:r>
              <w:rPr>
                <w:b w:val="false"/>
                <w:bCs w:val="false"/>
              </w:rPr>
              <w:t xml:space="preserve">6 months (Jan-Jul)</w:t>
            </w:r>
          </w:p>
        </w:tc>
        <w:tc>
          <w:tcPr>
            <w:tcW w:type="dxa" w:w="1600"/>
            <w:tcMar>
              <w:top w:type="dxa" w:w="80"/>
              <w:left w:type="dxa" w:w="100"/>
              <w:bottom w:type="dxa" w:w="80"/>
              <w:right w:type="dxa" w:w="100"/>
            </w:tcMar>
          </w:tcPr>
          <w:p>
            <w:r>
              <w:rPr>
                <w:b w:val="false"/>
                <w:bCs w:val="false"/>
              </w:rPr>
              <w:t xml:space="preserve">194</w:t>
            </w:r>
          </w:p>
        </w:tc>
        <w:tc>
          <w:tcPr>
            <w:tcW w:type="dxa" w:w="1600"/>
            <w:tcMar>
              <w:top w:type="dxa" w:w="80"/>
              <w:left w:type="dxa" w:w="100"/>
              <w:bottom w:type="dxa" w:w="80"/>
              <w:right w:type="dxa" w:w="100"/>
            </w:tcMar>
          </w:tcPr>
          <w:p>
            <w:r>
              <w:rPr>
                <w:b w:val="false"/>
                <w:bCs w:val="false"/>
              </w:rPr>
              <w:t xml:space="preserve">44.8%</w:t>
            </w:r>
          </w:p>
        </w:tc>
        <w:tc>
          <w:tcPr>
            <w:tcW w:type="dxa" w:w="1600"/>
            <w:tcMar>
              <w:top w:type="dxa" w:w="80"/>
              <w:left w:type="dxa" w:w="100"/>
              <w:bottom w:type="dxa" w:w="80"/>
              <w:right w:type="dxa" w:w="100"/>
            </w:tcMar>
          </w:tcPr>
          <w:p>
            <w:r>
              <w:rPr>
                <w:b w:val="false"/>
                <w:bCs w:val="false"/>
              </w:rPr>
              <w:t xml:space="preserve">-193.85</w:t>
            </w:r>
          </w:p>
        </w:tc>
        <w:tc>
          <w:tcPr>
            <w:tcW w:type="dxa" w:w="2160"/>
            <w:tcMar>
              <w:top w:type="dxa" w:w="80"/>
              <w:left w:type="dxa" w:w="100"/>
              <w:bottom w:type="dxa" w:w="80"/>
              <w:right w:type="dxa" w:w="100"/>
            </w:tcMar>
          </w:tcPr>
          <w:p>
            <w:r>
              <w:rPr>
                <w:b w:val="false"/>
                <w:bCs w:val="false"/>
              </w:rPr>
              <w:t xml:space="preserve">Reversed hard -- worst performer at full scale</w:t>
            </w:r>
          </w:p>
        </w:tc>
      </w:tr>
    </w:tbl>
    <w:p>
      <w:pPr>
        <w:spacing w:after="140"/>
      </w:pPr>
      <w:r>
        <w:t xml:space="preserve">This is the concept to watch most closely. It looked like the strongest of the three on every short window, then became the single biggest loser once tested on 6 months of data -- a textbook sign of an edge that may have been fit to a specific recent stretch of market rather than a durable pattern.</w:t>
      </w:r>
    </w:p>
    <w:p>
      <w:pPr>
        <w:pStyle w:val="Heading1"/>
        <w:spacing w:after="150" w:before="300"/>
      </w:pPr>
      <w:r>
        <w:t xml:space="preserve">5. Concept 4 — Rollover (Sell)</w:t>
      </w:r>
    </w:p>
    <w:p>
      <w:pPr>
        <w:pStyle w:val="Heading2"/>
        <w:spacing w:after="120" w:before="250"/>
      </w:pPr>
      <w:r>
        <w:t xml:space="preserve">The idea</w:t>
      </w:r>
    </w:p>
    <w:p>
      <w:pPr>
        <w:spacing w:after="140"/>
      </w:pPr>
      <w:r>
        <w:t xml:space="preserve">The mirror image of concept 3. A stretched, weak trend that is sitting near its own recent high, showing a fast rejection candle downward (a long upper wick with a bearish close), is read as that weak move rolling over and reversing down.</w:t>
      </w:r>
    </w:p>
    <w:p>
      <w:pPr>
        <w:pStyle w:val="Heading2"/>
        <w:spacing w:after="120" w:before="250"/>
      </w:pPr>
      <w:r>
        <w:t xml:space="preserve">The precise rule (as coded)</w:t>
      </w:r>
    </w:p>
    <w:p>
      <w:pPr>
        <w:pStyle w:val="ListParagraph"/>
        <w:numPr>
          <w:ilvl w:val="0"/>
          <w:numId w:val="2"/>
        </w:numPr>
        <w:spacing w:after="80"/>
      </w:pPr>
      <w:r>
        <w:t xml:space="preserve">Weak trend: ADX(14) stays below 20 for at least 30 consecutive bars</w:t>
      </w:r>
    </w:p>
    <w:p>
      <w:pPr>
        <w:pStyle w:val="ListParagraph"/>
        <w:numPr>
          <w:ilvl w:val="0"/>
          <w:numId w:val="2"/>
        </w:numPr>
        <w:spacing w:after="80"/>
      </w:pPr>
      <w:r>
        <w:t xml:space="preserve">Near the high: the current bar's high is within 0.5% of the highest high of the last 30 bars</w:t>
      </w:r>
    </w:p>
    <w:p>
      <w:pPr>
        <w:pStyle w:val="ListParagraph"/>
        <w:numPr>
          <w:ilvl w:val="0"/>
          <w:numId w:val="2"/>
        </w:numPr>
        <w:spacing w:after="80"/>
      </w:pPr>
      <w:r>
        <w:t xml:space="preserve">Fast rejection wick: the upper wick is at least half the bar's total range, and the bar closes below its open</w:t>
      </w:r>
    </w:p>
    <w:p>
      <w:pPr>
        <w:pStyle w:val="ListParagraph"/>
        <w:numPr>
          <w:ilvl w:val="0"/>
          <w:numId w:val="2"/>
        </w:numPr>
        <w:spacing w:after="80"/>
      </w:pPr>
      <w:r>
        <w:t xml:space="preserve">Fires once per rollover: same edge-triggered behaviour as concept 3</w:t>
      </w:r>
    </w:p>
    <w:p>
      <w:pPr>
        <w:pStyle w:val="Heading2"/>
        <w:spacing w:after="120" w:before="250"/>
      </w:pPr>
      <w:r>
        <w:t xml:space="preserve">Entry</w:t>
      </w:r>
    </w:p>
    <w:p>
      <w:pPr>
        <w:spacing w:after="140"/>
      </w:pPr>
      <w:r>
        <w:t xml:space="preserve">SELL (buy ITM Put) on the close of the bar where the stretched weak arc, near-high, and fast rejection wick all confirm together.</w:t>
      </w:r>
    </w:p>
    <w:p>
      <w:pPr>
        <w:pStyle w:val="Heading2"/>
        <w:spacing w:after="120" w:before="250"/>
      </w:pPr>
      <w:r>
        <w:t xml:space="preserve">Backtest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rPr>
          <w:tblHeader/>
        </w:trPr>
        <w:tc>
          <w:tcPr>
            <w:tcW w:type="dxa" w:w="2400"/>
            <w:shd w:fill="DDEBF7" w:color="auto" w:val="clear"/>
            <w:tcMar>
              <w:top w:type="dxa" w:w="80"/>
              <w:left w:type="dxa" w:w="100"/>
              <w:bottom w:type="dxa" w:w="80"/>
              <w:right w:type="dxa" w:w="100"/>
            </w:tcMar>
          </w:tcPr>
          <w:p>
            <w:r>
              <w:rPr>
                <w:b/>
                <w:bCs/>
              </w:rPr>
              <w:t xml:space="preserve">Test window</w:t>
            </w:r>
          </w:p>
        </w:tc>
        <w:tc>
          <w:tcPr>
            <w:tcW w:type="dxa" w:w="1600"/>
            <w:shd w:fill="DDEBF7" w:color="auto" w:val="clear"/>
            <w:tcMar>
              <w:top w:type="dxa" w:w="80"/>
              <w:left w:type="dxa" w:w="100"/>
              <w:bottom w:type="dxa" w:w="80"/>
              <w:right w:type="dxa" w:w="100"/>
            </w:tcMar>
          </w:tcPr>
          <w:p>
            <w:r>
              <w:rPr>
                <w:b/>
                <w:bCs/>
              </w:rPr>
              <w:t xml:space="preserve">Trades</w:t>
            </w:r>
          </w:p>
        </w:tc>
        <w:tc>
          <w:tcPr>
            <w:tcW w:type="dxa" w:w="1600"/>
            <w:shd w:fill="DDEBF7" w:color="auto" w:val="clear"/>
            <w:tcMar>
              <w:top w:type="dxa" w:w="80"/>
              <w:left w:type="dxa" w:w="100"/>
              <w:bottom w:type="dxa" w:w="80"/>
              <w:right w:type="dxa" w:w="100"/>
            </w:tcMar>
          </w:tcPr>
          <w:p>
            <w:r>
              <w:rPr>
                <w:b/>
                <w:bCs/>
              </w:rPr>
              <w:t xml:space="preserve">Win rate</w:t>
            </w:r>
          </w:p>
        </w:tc>
        <w:tc>
          <w:tcPr>
            <w:tcW w:type="dxa" w:w="1600"/>
            <w:shd w:fill="DDEBF7" w:color="auto" w:val="clear"/>
            <w:tcMar>
              <w:top w:type="dxa" w:w="80"/>
              <w:left w:type="dxa" w:w="100"/>
              <w:bottom w:type="dxa" w:w="80"/>
              <w:right w:type="dxa" w:w="100"/>
            </w:tcMar>
          </w:tcPr>
          <w:p>
            <w:r>
              <w:rPr>
                <w:b/>
                <w:bCs/>
              </w:rPr>
              <w:t xml:space="preserve">Net (pts)</w:t>
            </w:r>
          </w:p>
        </w:tc>
        <w:tc>
          <w:tcPr>
            <w:tcW w:type="dxa" w:w="2160"/>
            <w:shd w:fill="DDEBF7" w:color="auto" w:val="clear"/>
            <w:tcMar>
              <w:top w:type="dxa" w:w="80"/>
              <w:left w:type="dxa" w:w="100"/>
              <w:bottom w:type="dxa" w:w="80"/>
              <w:right w:type="dxa" w:w="100"/>
            </w:tcMar>
          </w:tcPr>
          <w:p>
            <w:r>
              <w:rPr>
                <w:b/>
                <w:bCs/>
              </w:rPr>
              <w:t xml:space="preserve">Notes</w:t>
            </w:r>
          </w:p>
        </w:tc>
      </w:tr>
      <w:tr>
        <w:tc>
          <w:tcPr>
            <w:tcW w:type="dxa" w:w="2400"/>
            <w:tcMar>
              <w:top w:type="dxa" w:w="80"/>
              <w:left w:type="dxa" w:w="100"/>
              <w:bottom w:type="dxa" w:w="80"/>
              <w:right w:type="dxa" w:w="100"/>
            </w:tcMar>
          </w:tcPr>
          <w:p>
            <w:r>
              <w:rPr>
                <w:b w:val="false"/>
                <w:bCs w:val="false"/>
              </w:rPr>
              <w:t xml:space="preserve">5 trading days (Jul 20-24)</w:t>
            </w:r>
          </w:p>
        </w:tc>
        <w:tc>
          <w:tcPr>
            <w:tcW w:type="dxa" w:w="1600"/>
            <w:tcMar>
              <w:top w:type="dxa" w:w="80"/>
              <w:left w:type="dxa" w:w="100"/>
              <w:bottom w:type="dxa" w:w="80"/>
              <w:right w:type="dxa" w:w="100"/>
            </w:tcMar>
          </w:tcPr>
          <w:p>
            <w:r>
              <w:rPr>
                <w:b w:val="false"/>
                <w:bCs w:val="false"/>
              </w:rPr>
              <w:t xml:space="preserve">2</w:t>
            </w:r>
          </w:p>
        </w:tc>
        <w:tc>
          <w:tcPr>
            <w:tcW w:type="dxa" w:w="1600"/>
            <w:tcMar>
              <w:top w:type="dxa" w:w="80"/>
              <w:left w:type="dxa" w:w="100"/>
              <w:bottom w:type="dxa" w:w="80"/>
              <w:right w:type="dxa" w:w="100"/>
            </w:tcMar>
          </w:tcPr>
          <w:p>
            <w:r>
              <w:rPr>
                <w:b w:val="false"/>
                <w:bCs w:val="false"/>
              </w:rPr>
              <w:t xml:space="preserve">50.0%</w:t>
            </w:r>
          </w:p>
        </w:tc>
        <w:tc>
          <w:tcPr>
            <w:tcW w:type="dxa" w:w="1600"/>
            <w:tcMar>
              <w:top w:type="dxa" w:w="80"/>
              <w:left w:type="dxa" w:w="100"/>
              <w:bottom w:type="dxa" w:w="80"/>
              <w:right w:type="dxa" w:w="100"/>
            </w:tcMar>
          </w:tcPr>
          <w:p>
            <w:r>
              <w:rPr>
                <w:b w:val="false"/>
                <w:bCs w:val="false"/>
              </w:rPr>
              <w:t xml:space="preserve">-16.15</w:t>
            </w:r>
          </w:p>
        </w:tc>
        <w:tc>
          <w:tcPr>
            <w:tcW w:type="dxa" w:w="2160"/>
            <w:tcMar>
              <w:top w:type="dxa" w:w="80"/>
              <w:left w:type="dxa" w:w="100"/>
              <w:bottom w:type="dxa" w:w="80"/>
              <w:right w:type="dxa" w:w="100"/>
            </w:tcMar>
          </w:tcPr>
          <w:p>
            <w:r>
              <w:rPr>
                <w:b w:val="false"/>
                <w:bCs w:val="false"/>
              </w:rPr>
              <w:t xml:space="preserve">Only 2 trades -- too small to judge</w:t>
            </w:r>
          </w:p>
        </w:tc>
      </w:tr>
      <w:tr>
        <w:tc>
          <w:tcPr>
            <w:tcW w:type="dxa" w:w="2400"/>
            <w:tcMar>
              <w:top w:type="dxa" w:w="80"/>
              <w:left w:type="dxa" w:w="100"/>
              <w:bottom w:type="dxa" w:w="80"/>
              <w:right w:type="dxa" w:w="100"/>
            </w:tcMar>
          </w:tcPr>
          <w:p>
            <w:r>
              <w:rPr>
                <w:b w:val="false"/>
                <w:bCs w:val="false"/>
              </w:rPr>
              <w:t xml:space="preserve">1 month (~20 days)</w:t>
            </w:r>
          </w:p>
        </w:tc>
        <w:tc>
          <w:tcPr>
            <w:tcW w:type="dxa" w:w="1600"/>
            <w:tcMar>
              <w:top w:type="dxa" w:w="80"/>
              <w:left w:type="dxa" w:w="100"/>
              <w:bottom w:type="dxa" w:w="80"/>
              <w:right w:type="dxa" w:w="100"/>
            </w:tcMar>
          </w:tcPr>
          <w:p>
            <w:r>
              <w:rPr>
                <w:b w:val="false"/>
                <w:bCs w:val="false"/>
              </w:rPr>
              <w:t xml:space="preserve">34</w:t>
            </w:r>
          </w:p>
        </w:tc>
        <w:tc>
          <w:tcPr>
            <w:tcW w:type="dxa" w:w="1600"/>
            <w:tcMar>
              <w:top w:type="dxa" w:w="80"/>
              <w:left w:type="dxa" w:w="100"/>
              <w:bottom w:type="dxa" w:w="80"/>
              <w:right w:type="dxa" w:w="100"/>
            </w:tcMar>
          </w:tcPr>
          <w:p>
            <w:r>
              <w:rPr>
                <w:b w:val="false"/>
                <w:bCs w:val="false"/>
              </w:rPr>
              <w:t xml:space="preserve">61.8%</w:t>
            </w:r>
          </w:p>
        </w:tc>
        <w:tc>
          <w:tcPr>
            <w:tcW w:type="dxa" w:w="1600"/>
            <w:tcMar>
              <w:top w:type="dxa" w:w="80"/>
              <w:left w:type="dxa" w:w="100"/>
              <w:bottom w:type="dxa" w:w="80"/>
              <w:right w:type="dxa" w:w="100"/>
            </w:tcMar>
          </w:tcPr>
          <w:p>
            <w:r>
              <w:rPr>
                <w:b w:val="false"/>
                <w:bCs w:val="false"/>
              </w:rPr>
              <w:t xml:space="preserve">+91.10</w:t>
            </w:r>
          </w:p>
        </w:tc>
        <w:tc>
          <w:tcPr>
            <w:tcW w:type="dxa" w:w="2160"/>
            <w:tcMar>
              <w:top w:type="dxa" w:w="80"/>
              <w:left w:type="dxa" w:w="100"/>
              <w:bottom w:type="dxa" w:w="80"/>
              <w:right w:type="dxa" w:w="100"/>
            </w:tcMar>
          </w:tcPr>
          <w:p>
            <w:r>
              <w:rPr>
                <w:b w:val="false"/>
                <w:bCs w:val="false"/>
              </w:rPr>
              <w:t xml:space="preserve">Best win rate of the three concepts</w:t>
            </w:r>
          </w:p>
        </w:tc>
      </w:tr>
      <w:tr>
        <w:tc>
          <w:tcPr>
            <w:tcW w:type="dxa" w:w="2400"/>
            <w:tcMar>
              <w:top w:type="dxa" w:w="80"/>
              <w:left w:type="dxa" w:w="100"/>
              <w:bottom w:type="dxa" w:w="80"/>
              <w:right w:type="dxa" w:w="100"/>
            </w:tcMar>
          </w:tcPr>
          <w:p>
            <w:r>
              <w:rPr>
                <w:b w:val="false"/>
                <w:bCs w:val="false"/>
              </w:rPr>
              <w:t xml:space="preserve">6 months (Jan-Jul)</w:t>
            </w:r>
          </w:p>
        </w:tc>
        <w:tc>
          <w:tcPr>
            <w:tcW w:type="dxa" w:w="1600"/>
            <w:tcMar>
              <w:top w:type="dxa" w:w="80"/>
              <w:left w:type="dxa" w:w="100"/>
              <w:bottom w:type="dxa" w:w="80"/>
              <w:right w:type="dxa" w:w="100"/>
            </w:tcMar>
          </w:tcPr>
          <w:p>
            <w:r>
              <w:rPr>
                <w:b w:val="false"/>
                <w:bCs w:val="false"/>
              </w:rPr>
              <w:t xml:space="preserve">182</w:t>
            </w:r>
          </w:p>
        </w:tc>
        <w:tc>
          <w:tcPr>
            <w:tcW w:type="dxa" w:w="1600"/>
            <w:tcMar>
              <w:top w:type="dxa" w:w="80"/>
              <w:left w:type="dxa" w:w="100"/>
              <w:bottom w:type="dxa" w:w="80"/>
              <w:right w:type="dxa" w:w="100"/>
            </w:tcMar>
          </w:tcPr>
          <w:p>
            <w:r>
              <w:rPr>
                <w:b w:val="false"/>
                <w:bCs w:val="false"/>
              </w:rPr>
              <w:t xml:space="preserve">49.5%</w:t>
            </w:r>
          </w:p>
        </w:tc>
        <w:tc>
          <w:tcPr>
            <w:tcW w:type="dxa" w:w="1600"/>
            <w:tcMar>
              <w:top w:type="dxa" w:w="80"/>
              <w:left w:type="dxa" w:w="100"/>
              <w:bottom w:type="dxa" w:w="80"/>
              <w:right w:type="dxa" w:w="100"/>
            </w:tcMar>
          </w:tcPr>
          <w:p>
            <w:r>
              <w:rPr>
                <w:b w:val="false"/>
                <w:bCs w:val="false"/>
              </w:rPr>
              <w:t xml:space="preserve">+61.45</w:t>
            </w:r>
          </w:p>
        </w:tc>
        <w:tc>
          <w:tcPr>
            <w:tcW w:type="dxa" w:w="2160"/>
            <w:tcMar>
              <w:top w:type="dxa" w:w="80"/>
              <w:left w:type="dxa" w:w="100"/>
              <w:bottom w:type="dxa" w:w="80"/>
              <w:right w:type="dxa" w:w="100"/>
            </w:tcMar>
          </w:tcPr>
          <w:p>
            <w:r>
              <w:rPr>
                <w:b w:val="false"/>
                <w:bCs w:val="false"/>
              </w:rPr>
              <w:t xml:space="preserve">Only concept that stayed net positive at full scale</w:t>
            </w:r>
          </w:p>
        </w:tc>
      </w:tr>
    </w:tbl>
    <w:p>
      <w:pPr>
        <w:spacing w:after="140"/>
      </w:pPr>
      <w:r>
        <w:t xml:space="preserve">Concept 4 is the most consistent of the three -- it's the only one that never flipped to net-negative at any tested scale, though the edge is thin (roughly 0.34 points per trade on average over 6 months) and the win rate sits right around the 49-50% breakeven line for a 1:1 risk:reward setup.</w:t>
      </w:r>
    </w:p>
    <w:p>
      <w:pPr>
        <w:pStyle w:val="Heading1"/>
        <w:spacing w:after="150" w:before="300"/>
      </w:pPr>
      <w:r>
        <w:t xml:space="preserve">6. Honest Caveats Before Trading Real Money</w:t>
      </w:r>
    </w:p>
    <w:p>
      <w:pPr>
        <w:pStyle w:val="ListParagraph"/>
        <w:numPr>
          <w:ilvl w:val="0"/>
          <w:numId w:val="2"/>
        </w:numPr>
        <w:spacing w:after="80"/>
      </w:pPr>
      <w:r>
        <w:t xml:space="preserve">Short windows are misleading: every concept looked better on 1-2 week and 1-month tests than it did on 6 months. Concept 3 fully reversed. Treat any result under ~100 trades as a rough signal, not proof.</w:t>
      </w:r>
    </w:p>
    <w:p>
      <w:pPr>
        <w:pStyle w:val="ListParagraph"/>
        <w:numPr>
          <w:ilvl w:val="0"/>
          <w:numId w:val="2"/>
        </w:numPr>
        <w:spacing w:after="80"/>
      </w:pPr>
      <w:r>
        <w:t xml:space="preserve">No real historical option premium data: the money simulations done separately during testing used the underlying's point moves scaled by an assumed 0.6 delta, not actual historical ITM option prices (expired weekly contracts drop out of Dhan's instrument list, so exact past premiums aren't retrievable). Real fills will differ.</w:t>
      </w:r>
    </w:p>
    <w:p>
      <w:pPr>
        <w:pStyle w:val="ListParagraph"/>
        <w:numPr>
          <w:ilvl w:val="0"/>
          <w:numId w:val="2"/>
        </w:numPr>
        <w:spacing w:after="80"/>
      </w:pPr>
      <w:r>
        <w:t xml:space="preserve">Backtest fills use closing price only: stop and target hits are checked against each 1-minute bar's close, not true intrabar highs/lows, so real broker fills (especially on sharp spikes) may be worse than the backtest shows.</w:t>
      </w:r>
    </w:p>
    <w:p>
      <w:pPr>
        <w:pStyle w:val="ListParagraph"/>
        <w:numPr>
          <w:ilvl w:val="0"/>
          <w:numId w:val="2"/>
        </w:numPr>
        <w:spacing w:after="80"/>
      </w:pPr>
      <w:r>
        <w:t xml:space="preserve">Confluence = 1 means single-vote entries: any one of these three concepts firing alone is enough to trigger a trade; there's no requirement for agreement between concepts.</w:t>
      </w:r>
    </w:p>
    <w:p>
      <w:pPr>
        <w:pStyle w:val="ListParagraph"/>
        <w:numPr>
          <w:ilvl w:val="0"/>
          <w:numId w:val="2"/>
        </w:numPr>
        <w:spacing w:after="80"/>
      </w:pPr>
      <w:r>
        <w:t xml:space="preserve">None of the three concepts has a full 6-month win rate clearly above 50%, which is the breakeven line for a 1:1 stop/target. Their positive net points came from asymmetric average win/loss sizes, not from a strong win rate edge.</w:t>
      </w:r>
    </w:p>
    <w:p>
      <w:pPr>
        <w:pStyle w:val="Heading1"/>
        <w:spacing w:after="150" w:before="300"/>
      </w:pPr>
      <w:r>
        <w:t xml:space="preserve">7. Reference: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shd w:fill="DDEBF7" w:color="auto" w:val="clear"/>
            <w:tcMar>
              <w:top w:type="dxa" w:w="80"/>
              <w:left w:type="dxa" w:w="100"/>
              <w:bottom w:type="dxa" w:w="80"/>
              <w:right w:type="dxa" w:w="100"/>
            </w:tcMar>
          </w:tcPr>
          <w:p>
            <w:r>
              <w:rPr>
                <w:b/>
                <w:bCs/>
              </w:rPr>
              <w:t xml:space="preserve">Parameter</w:t>
            </w:r>
          </w:p>
        </w:tc>
        <w:tc>
          <w:tcPr>
            <w:tcW w:type="dxa" w:w="2880"/>
            <w:shd w:fill="DDEBF7" w:color="auto" w:val="clear"/>
            <w:tcMar>
              <w:top w:type="dxa" w:w="80"/>
              <w:left w:type="dxa" w:w="100"/>
              <w:bottom w:type="dxa" w:w="80"/>
              <w:right w:type="dxa" w:w="100"/>
            </w:tcMar>
          </w:tcPr>
          <w:p>
            <w:r>
              <w:rPr>
                <w:b/>
                <w:bCs/>
              </w:rPr>
              <w:t xml:space="preserve">Value</w:t>
            </w:r>
          </w:p>
        </w:tc>
        <w:tc>
          <w:tcPr>
            <w:tcW w:type="dxa" w:w="2880"/>
            <w:shd w:fill="DDEBF7" w:color="auto" w:val="clear"/>
            <w:tcMar>
              <w:top w:type="dxa" w:w="80"/>
              <w:left w:type="dxa" w:w="100"/>
              <w:bottom w:type="dxa" w:w="80"/>
              <w:right w:type="dxa" w:w="100"/>
            </w:tcMar>
          </w:tcPr>
          <w:p>
            <w:r>
              <w:rPr>
                <w:b/>
                <w:bCs/>
              </w:rPr>
              <w:t xml:space="preserve">Meaning</w:t>
            </w:r>
          </w:p>
        </w:tc>
      </w:tr>
      <w:tr>
        <w:tc>
          <w:tcPr>
            <w:tcW w:type="dxa" w:w="3600"/>
            <w:tcMar>
              <w:top w:type="dxa" w:w="80"/>
              <w:left w:type="dxa" w:w="100"/>
              <w:bottom w:type="dxa" w:w="80"/>
              <w:right w:type="dxa" w:w="100"/>
            </w:tcMar>
          </w:tcPr>
          <w:p>
            <w:r>
              <w:rPr>
                <w:b w:val="false"/>
                <w:bCs w:val="false"/>
              </w:rPr>
              <w:t xml:space="preserve">SL_POINTS</w:t>
            </w:r>
          </w:p>
        </w:tc>
        <w:tc>
          <w:tcPr>
            <w:tcW w:type="dxa" w:w="2880"/>
            <w:tcMar>
              <w:top w:type="dxa" w:w="80"/>
              <w:left w:type="dxa" w:w="100"/>
              <w:bottom w:type="dxa" w:w="80"/>
              <w:right w:type="dxa" w:w="100"/>
            </w:tcMar>
          </w:tcPr>
          <w:p>
            <w:r>
              <w:rPr>
                <w:b w:val="false"/>
                <w:bCs w:val="false"/>
              </w:rPr>
              <w:t xml:space="preserve">5</w:t>
            </w:r>
          </w:p>
        </w:tc>
        <w:tc>
          <w:tcPr>
            <w:tcW w:type="dxa" w:w="2880"/>
            <w:tcMar>
              <w:top w:type="dxa" w:w="80"/>
              <w:left w:type="dxa" w:w="100"/>
              <w:bottom w:type="dxa" w:w="80"/>
              <w:right w:type="dxa" w:w="100"/>
            </w:tcMar>
          </w:tcPr>
          <w:p>
            <w:r>
              <w:rPr>
                <w:b w:val="false"/>
                <w:bCs w:val="false"/>
              </w:rPr>
              <w:t xml:space="preserve">Fixed stop-loss, in Nifty points on the underlying</w:t>
            </w:r>
          </w:p>
        </w:tc>
      </w:tr>
      <w:tr>
        <w:tc>
          <w:tcPr>
            <w:tcW w:type="dxa" w:w="3600"/>
            <w:tcMar>
              <w:top w:type="dxa" w:w="80"/>
              <w:left w:type="dxa" w:w="100"/>
              <w:bottom w:type="dxa" w:w="80"/>
              <w:right w:type="dxa" w:w="100"/>
            </w:tcMar>
          </w:tcPr>
          <w:p>
            <w:r>
              <w:rPr>
                <w:b w:val="false"/>
                <w:bCs w:val="false"/>
              </w:rPr>
              <w:t xml:space="preserve">TP_POINTS</w:t>
            </w:r>
          </w:p>
        </w:tc>
        <w:tc>
          <w:tcPr>
            <w:tcW w:type="dxa" w:w="2880"/>
            <w:tcMar>
              <w:top w:type="dxa" w:w="80"/>
              <w:left w:type="dxa" w:w="100"/>
              <w:bottom w:type="dxa" w:w="80"/>
              <w:right w:type="dxa" w:w="100"/>
            </w:tcMar>
          </w:tcPr>
          <w:p>
            <w:r>
              <w:rPr>
                <w:b w:val="false"/>
                <w:bCs w:val="false"/>
              </w:rPr>
              <w:t xml:space="preserve">5</w:t>
            </w:r>
          </w:p>
        </w:tc>
        <w:tc>
          <w:tcPr>
            <w:tcW w:type="dxa" w:w="2880"/>
            <w:tcMar>
              <w:top w:type="dxa" w:w="80"/>
              <w:left w:type="dxa" w:w="100"/>
              <w:bottom w:type="dxa" w:w="80"/>
              <w:right w:type="dxa" w:w="100"/>
            </w:tcMar>
          </w:tcPr>
          <w:p>
            <w:r>
              <w:rPr>
                <w:b w:val="false"/>
                <w:bCs w:val="false"/>
              </w:rPr>
              <w:t xml:space="preserve">Fixed target, in Nifty points on the underlying (1:1 R:R)</w:t>
            </w:r>
          </w:p>
        </w:tc>
      </w:tr>
      <w:tr>
        <w:tc>
          <w:tcPr>
            <w:tcW w:type="dxa" w:w="3600"/>
            <w:tcMar>
              <w:top w:type="dxa" w:w="80"/>
              <w:left w:type="dxa" w:w="100"/>
              <w:bottom w:type="dxa" w:w="80"/>
              <w:right w:type="dxa" w:w="100"/>
            </w:tcMar>
          </w:tcPr>
          <w:p>
            <w:r>
              <w:rPr>
                <w:b w:val="false"/>
                <w:bCs w:val="false"/>
              </w:rPr>
              <w:t xml:space="preserve">MAX_BARS_IN_TRADE</w:t>
            </w:r>
          </w:p>
        </w:tc>
        <w:tc>
          <w:tcPr>
            <w:tcW w:type="dxa" w:w="2880"/>
            <w:tcMar>
              <w:top w:type="dxa" w:w="80"/>
              <w:left w:type="dxa" w:w="100"/>
              <w:bottom w:type="dxa" w:w="80"/>
              <w:right w:type="dxa" w:w="100"/>
            </w:tcMar>
          </w:tcPr>
          <w:p>
            <w:r>
              <w:rPr>
                <w:b w:val="false"/>
                <w:bCs w:val="false"/>
              </w:rPr>
              <w:t xml:space="preserve">15</w:t>
            </w:r>
          </w:p>
        </w:tc>
        <w:tc>
          <w:tcPr>
            <w:tcW w:type="dxa" w:w="2880"/>
            <w:tcMar>
              <w:top w:type="dxa" w:w="80"/>
              <w:left w:type="dxa" w:w="100"/>
              <w:bottom w:type="dxa" w:w="80"/>
              <w:right w:type="dxa" w:w="100"/>
            </w:tcMar>
          </w:tcPr>
          <w:p>
            <w:r>
              <w:rPr>
                <w:b w:val="false"/>
                <w:bCs w:val="false"/>
              </w:rPr>
              <w:t xml:space="preserve">Time-based exit if neither stop nor target is hit</w:t>
            </w:r>
          </w:p>
        </w:tc>
      </w:tr>
      <w:tr>
        <w:tc>
          <w:tcPr>
            <w:tcW w:type="dxa" w:w="3600"/>
            <w:tcMar>
              <w:top w:type="dxa" w:w="80"/>
              <w:left w:type="dxa" w:w="100"/>
              <w:bottom w:type="dxa" w:w="80"/>
              <w:right w:type="dxa" w:w="100"/>
            </w:tcMar>
          </w:tcPr>
          <w:p>
            <w:r>
              <w:rPr>
                <w:b w:val="false"/>
                <w:bCs w:val="false"/>
              </w:rPr>
              <w:t xml:space="preserve">CONFLUENCE_REQUIRED</w:t>
            </w:r>
          </w:p>
        </w:tc>
        <w:tc>
          <w:tcPr>
            <w:tcW w:type="dxa" w:w="2880"/>
            <w:tcMar>
              <w:top w:type="dxa" w:w="80"/>
              <w:left w:type="dxa" w:w="100"/>
              <w:bottom w:type="dxa" w:w="80"/>
              <w:right w:type="dxa" w:w="100"/>
            </w:tcMar>
          </w:tcPr>
          <w:p>
            <w:r>
              <w:rPr>
                <w:b w:val="false"/>
                <w:bCs w:val="false"/>
              </w:rPr>
              <w:t xml:space="preserve">1</w:t>
            </w:r>
          </w:p>
        </w:tc>
        <w:tc>
          <w:tcPr>
            <w:tcW w:type="dxa" w:w="2880"/>
            <w:tcMar>
              <w:top w:type="dxa" w:w="80"/>
              <w:left w:type="dxa" w:w="100"/>
              <w:bottom w:type="dxa" w:w="80"/>
              <w:right w:type="dxa" w:w="100"/>
            </w:tcMar>
          </w:tcPr>
          <w:p>
            <w:r>
              <w:rPr>
                <w:b w:val="false"/>
                <w:bCs w:val="false"/>
              </w:rPr>
              <w:t xml:space="preserve">Minimum votes needed to trigger a trade</w:t>
            </w:r>
          </w:p>
        </w:tc>
      </w:tr>
      <w:tr>
        <w:tc>
          <w:tcPr>
            <w:tcW w:type="dxa" w:w="3600"/>
            <w:tcMar>
              <w:top w:type="dxa" w:w="80"/>
              <w:left w:type="dxa" w:w="100"/>
              <w:bottom w:type="dxa" w:w="80"/>
              <w:right w:type="dxa" w:w="100"/>
            </w:tcMar>
          </w:tcPr>
          <w:p>
            <w:r>
              <w:rPr>
                <w:b w:val="false"/>
                <w:bCs w:val="false"/>
              </w:rPr>
              <w:t xml:space="preserve">COMP_LEN / COMP_THRESHOLD / MIN_TIGHT_BARS</w:t>
            </w:r>
          </w:p>
        </w:tc>
        <w:tc>
          <w:tcPr>
            <w:tcW w:type="dxa" w:w="2880"/>
            <w:tcMar>
              <w:top w:type="dxa" w:w="80"/>
              <w:left w:type="dxa" w:w="100"/>
              <w:bottom w:type="dxa" w:w="80"/>
              <w:right w:type="dxa" w:w="100"/>
            </w:tcMar>
          </w:tcPr>
          <w:p>
            <w:r>
              <w:rPr>
                <w:b w:val="false"/>
                <w:bCs w:val="false"/>
              </w:rPr>
              <w:t xml:space="preserve">10 / 0.55 / 4</w:t>
            </w:r>
          </w:p>
        </w:tc>
        <w:tc>
          <w:tcPr>
            <w:tcW w:type="dxa" w:w="2880"/>
            <w:tcMar>
              <w:top w:type="dxa" w:w="80"/>
              <w:left w:type="dxa" w:w="100"/>
              <w:bottom w:type="dxa" w:w="80"/>
              <w:right w:type="dxa" w:w="100"/>
            </w:tcMar>
          </w:tcPr>
          <w:p>
            <w:r>
              <w:rPr>
                <w:b w:val="false"/>
                <w:bCs w:val="false"/>
              </w:rPr>
              <w:t xml:space="preserve">Compression detection (concept 2)</w:t>
            </w:r>
          </w:p>
        </w:tc>
      </w:tr>
      <w:tr>
        <w:tc>
          <w:tcPr>
            <w:tcW w:type="dxa" w:w="3600"/>
            <w:tcMar>
              <w:top w:type="dxa" w:w="80"/>
              <w:left w:type="dxa" w:w="100"/>
              <w:bottom w:type="dxa" w:w="80"/>
              <w:right w:type="dxa" w:w="100"/>
            </w:tcMar>
          </w:tcPr>
          <w:p>
            <w:r>
              <w:rPr>
                <w:b w:val="false"/>
                <w:bCs w:val="false"/>
              </w:rPr>
              <w:t xml:space="preserve">ATR_LEN / SPIKE_MULT / BREAKOUT_LEN / EXHAUSTION_BARS</w:t>
            </w:r>
          </w:p>
        </w:tc>
        <w:tc>
          <w:tcPr>
            <w:tcW w:type="dxa" w:w="2880"/>
            <w:tcMar>
              <w:top w:type="dxa" w:w="80"/>
              <w:left w:type="dxa" w:w="100"/>
              <w:bottom w:type="dxa" w:w="80"/>
              <w:right w:type="dxa" w:w="100"/>
            </w:tcMar>
          </w:tcPr>
          <w:p>
            <w:r>
              <w:rPr>
                <w:b w:val="false"/>
                <w:bCs w:val="false"/>
              </w:rPr>
              <w:t xml:space="preserve">14 / 1.7 / 10 / 3</w:t>
            </w:r>
          </w:p>
        </w:tc>
        <w:tc>
          <w:tcPr>
            <w:tcW w:type="dxa" w:w="2880"/>
            <w:tcMar>
              <w:top w:type="dxa" w:w="80"/>
              <w:left w:type="dxa" w:w="100"/>
              <w:bottom w:type="dxa" w:w="80"/>
              <w:right w:type="dxa" w:w="100"/>
            </w:tcMar>
          </w:tcPr>
          <w:p>
            <w:r>
              <w:rPr>
                <w:b w:val="false"/>
                <w:bCs w:val="false"/>
              </w:rPr>
              <w:t xml:space="preserve">Spike + exhaustion detection (concept 2)</w:t>
            </w:r>
          </w:p>
        </w:tc>
      </w:tr>
      <w:tr>
        <w:tc>
          <w:tcPr>
            <w:tcW w:type="dxa" w:w="3600"/>
            <w:tcMar>
              <w:top w:type="dxa" w:w="80"/>
              <w:left w:type="dxa" w:w="100"/>
              <w:bottom w:type="dxa" w:w="80"/>
              <w:right w:type="dxa" w:w="100"/>
            </w:tcMar>
          </w:tcPr>
          <w:p>
            <w:r>
              <w:rPr>
                <w:b w:val="false"/>
                <w:bCs w:val="false"/>
              </w:rPr>
              <w:t xml:space="preserve">ADX_LEN / WEAK_ADX_THRESH / WEAK_ARC_BARS</w:t>
            </w:r>
          </w:p>
        </w:tc>
        <w:tc>
          <w:tcPr>
            <w:tcW w:type="dxa" w:w="2880"/>
            <w:tcMar>
              <w:top w:type="dxa" w:w="80"/>
              <w:left w:type="dxa" w:w="100"/>
              <w:bottom w:type="dxa" w:w="80"/>
              <w:right w:type="dxa" w:w="100"/>
            </w:tcMar>
          </w:tcPr>
          <w:p>
            <w:r>
              <w:rPr>
                <w:b w:val="false"/>
                <w:bCs w:val="false"/>
              </w:rPr>
              <w:t xml:space="preserve">14 / 20 / 30</w:t>
            </w:r>
          </w:p>
        </w:tc>
        <w:tc>
          <w:tcPr>
            <w:tcW w:type="dxa" w:w="2880"/>
            <w:tcMar>
              <w:top w:type="dxa" w:w="80"/>
              <w:left w:type="dxa" w:w="100"/>
              <w:bottom w:type="dxa" w:w="80"/>
              <w:right w:type="dxa" w:w="100"/>
            </w:tcMar>
          </w:tcPr>
          <w:p>
            <w:r>
              <w:rPr>
                <w:b w:val="false"/>
                <w:bCs w:val="false"/>
              </w:rPr>
              <w:t xml:space="preserve">Stretched weak-trend detection (concepts 3 &amp; 4)</w:t>
            </w:r>
          </w:p>
        </w:tc>
      </w:tr>
      <w:tr>
        <w:tc>
          <w:tcPr>
            <w:tcW w:type="dxa" w:w="3600"/>
            <w:tcMar>
              <w:top w:type="dxa" w:w="80"/>
              <w:left w:type="dxa" w:w="100"/>
              <w:bottom w:type="dxa" w:w="80"/>
              <w:right w:type="dxa" w:w="100"/>
            </w:tcMar>
          </w:tcPr>
          <w:p>
            <w:r>
              <w:rPr>
                <w:b w:val="false"/>
                <w:bCs w:val="false"/>
              </w:rPr>
              <w:t xml:space="preserve">NEAR_EXTREME_PCT</w:t>
            </w:r>
          </w:p>
        </w:tc>
        <w:tc>
          <w:tcPr>
            <w:tcW w:type="dxa" w:w="2880"/>
            <w:tcMar>
              <w:top w:type="dxa" w:w="80"/>
              <w:left w:type="dxa" w:w="100"/>
              <w:bottom w:type="dxa" w:w="80"/>
              <w:right w:type="dxa" w:w="100"/>
            </w:tcMar>
          </w:tcPr>
          <w:p>
            <w:r>
              <w:rPr>
                <w:b w:val="false"/>
                <w:bCs w:val="false"/>
              </w:rPr>
              <w:t xml:space="preserve">0.5%</w:t>
            </w:r>
          </w:p>
        </w:tc>
        <w:tc>
          <w:tcPr>
            <w:tcW w:type="dxa" w:w="2880"/>
            <w:tcMar>
              <w:top w:type="dxa" w:w="80"/>
              <w:left w:type="dxa" w:w="100"/>
              <w:bottom w:type="dxa" w:w="80"/>
              <w:right w:type="dxa" w:w="100"/>
            </w:tcMar>
          </w:tcPr>
          <w:p>
            <w:r>
              <w:rPr>
                <w:b w:val="false"/>
                <w:bCs w:val="false"/>
              </w:rPr>
              <w:t xml:space="preserve">How close to the 30-bar extreme counts as "near" (concepts 3 &amp; 4)</w:t>
            </w:r>
          </w:p>
        </w:tc>
      </w:tr>
      <w:tr>
        <w:tc>
          <w:tcPr>
            <w:tcW w:type="dxa" w:w="3600"/>
            <w:tcMar>
              <w:top w:type="dxa" w:w="80"/>
              <w:left w:type="dxa" w:w="100"/>
              <w:bottom w:type="dxa" w:w="80"/>
              <w:right w:type="dxa" w:w="100"/>
            </w:tcMar>
          </w:tcPr>
          <w:p>
            <w:r>
              <w:rPr>
                <w:b w:val="false"/>
                <w:bCs w:val="false"/>
              </w:rPr>
              <w:t xml:space="preserve">REJECTION_WICK_RATIO</w:t>
            </w:r>
          </w:p>
        </w:tc>
        <w:tc>
          <w:tcPr>
            <w:tcW w:type="dxa" w:w="2880"/>
            <w:tcMar>
              <w:top w:type="dxa" w:w="80"/>
              <w:left w:type="dxa" w:w="100"/>
              <w:bottom w:type="dxa" w:w="80"/>
              <w:right w:type="dxa" w:w="100"/>
            </w:tcMar>
          </w:tcPr>
          <w:p>
            <w:r>
              <w:rPr>
                <w:b w:val="false"/>
                <w:bCs w:val="false"/>
              </w:rPr>
              <w:t xml:space="preserve">0.5</w:t>
            </w:r>
          </w:p>
        </w:tc>
        <w:tc>
          <w:tcPr>
            <w:tcW w:type="dxa" w:w="2880"/>
            <w:tcMar>
              <w:top w:type="dxa" w:w="80"/>
              <w:left w:type="dxa" w:w="100"/>
              <w:bottom w:type="dxa" w:w="80"/>
              <w:right w:type="dxa" w:w="100"/>
            </w:tcMar>
          </w:tcPr>
          <w:p>
            <w:r>
              <w:rPr>
                <w:b w:val="false"/>
                <w:bCs w:val="false"/>
              </w:rPr>
              <w:t xml:space="preserve">Minimum wick-to-range ratio for a valid rejection candle (concepts 3 &amp; 4)</w:t>
            </w:r>
          </w:p>
        </w:tc>
      </w:tr>
      <w:tr>
        <w:tc>
          <w:tcPr>
            <w:tcW w:type="dxa" w:w="3600"/>
            <w:tcMar>
              <w:top w:type="dxa" w:w="80"/>
              <w:left w:type="dxa" w:w="100"/>
              <w:bottom w:type="dxa" w:w="80"/>
              <w:right w:type="dxa" w:w="100"/>
            </w:tcMar>
          </w:tcPr>
          <w:p>
            <w:r>
              <w:rPr>
                <w:b w:val="false"/>
                <w:bCs w:val="false"/>
              </w:rPr>
              <w:t xml:space="preserve">DISABLED_CONCEPTS</w:t>
            </w:r>
          </w:p>
        </w:tc>
        <w:tc>
          <w:tcPr>
            <w:tcW w:type="dxa" w:w="2880"/>
            <w:tcMar>
              <w:top w:type="dxa" w:w="80"/>
              <w:left w:type="dxa" w:w="100"/>
              <w:bottom w:type="dxa" w:w="80"/>
              <w:right w:type="dxa" w:w="100"/>
            </w:tcMar>
          </w:tcPr>
          <w:p>
            <w:r>
              <w:rPr>
                <w:b w:val="false"/>
                <w:bCs w:val="false"/>
              </w:rPr>
              <w:t xml:space="preserve">{1, 5, 6, 7, 8, 9}</w:t>
            </w:r>
          </w:p>
        </w:tc>
        <w:tc>
          <w:tcPr>
            <w:tcW w:type="dxa" w:w="2880"/>
            <w:tcMar>
              <w:top w:type="dxa" w:w="80"/>
              <w:left w:type="dxa" w:w="100"/>
              <w:bottom w:type="dxa" w:w="80"/>
              <w:right w:type="dxa" w:w="100"/>
            </w:tcMar>
          </w:tcPr>
          <w:p>
            <w:r>
              <w:rPr>
                <w:b w:val="false"/>
                <w:bCs w:val="false"/>
              </w:rPr>
              <w:t xml:space="preserve">All concepts except 2, 3, 4 are switched off</w:t>
            </w:r>
          </w:p>
        </w:tc>
      </w:tr>
      <w:tr>
        <w:tc>
          <w:tcPr>
            <w:tcW w:type="dxa" w:w="3600"/>
            <w:tcMar>
              <w:top w:type="dxa" w:w="80"/>
              <w:left w:type="dxa" w:w="100"/>
              <w:bottom w:type="dxa" w:w="80"/>
              <w:right w:type="dxa" w:w="100"/>
            </w:tcMar>
          </w:tcPr>
          <w:p>
            <w:r>
              <w:rPr>
                <w:b w:val="false"/>
                <w:bCs w:val="false"/>
              </w:rPr>
              <w:t xml:space="preserve">ITM_STRIKE_OFFSET</w:t>
            </w:r>
          </w:p>
        </w:tc>
        <w:tc>
          <w:tcPr>
            <w:tcW w:type="dxa" w:w="2880"/>
            <w:tcMar>
              <w:top w:type="dxa" w:w="80"/>
              <w:left w:type="dxa" w:w="100"/>
              <w:bottom w:type="dxa" w:w="80"/>
              <w:right w:type="dxa" w:w="100"/>
            </w:tcMar>
          </w:tcPr>
          <w:p>
            <w:r>
              <w:rPr>
                <w:b w:val="false"/>
                <w:bCs w:val="false"/>
              </w:rPr>
              <w:t xml:space="preserve">0</w:t>
            </w:r>
          </w:p>
        </w:tc>
        <w:tc>
          <w:tcPr>
            <w:tcW w:type="dxa" w:w="2880"/>
            <w:tcMar>
              <w:top w:type="dxa" w:w="80"/>
              <w:left w:type="dxa" w:w="100"/>
              <w:bottom w:type="dxa" w:w="80"/>
              <w:right w:type="dxa" w:w="100"/>
            </w:tcMar>
          </w:tcPr>
          <w:p>
            <w:r>
              <w:rPr>
                <w:b w:val="false"/>
                <w:bCs w:val="false"/>
              </w:rPr>
              <w:t xml:space="preserve">Nearest ITM strike (one strike in-the-money)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2026-07-26T16:12:02.643Z</dcterms:created>
  <dcterms:modified xsi:type="dcterms:W3CDTF">2026-07-26T16:12:02.654Z</dcterms:modified>
</cp:coreProperties>
</file>

<file path=docProps/custom.xml><?xml version="1.0" encoding="utf-8"?>
<Properties xmlns="http://schemas.openxmlformats.org/officeDocument/2006/custom-properties" xmlns:vt="http://schemas.openxmlformats.org/officeDocument/2006/docPropsVTypes"/>
</file>