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Fixed-Strike Opening-Range Breakout</w:t>
      </w:r>
    </w:p>
    <w:p>
      <w:pPr>
        <w:spacing w:after="40"/>
      </w:pPr>
      <w:r>
        <w:rPr>
          <w:b/>
          <w:bCs/>
          <w:color w:val="2E5C8A"/>
          <w:sz w:val="30"/>
          <w:szCs w:val="30"/>
        </w:rPr>
        <w:t xml:space="preserve">Target x Time-Exit Grid — Strategy &amp; Test Matrix</w:t>
      </w:r>
    </w:p>
    <w:p>
      <w:pPr>
        <w:spacing w:after="280"/>
      </w:pPr>
      <w:r>
        <w:rPr>
          <w:i/>
          <w:iCs/>
          <w:color w:val="666666"/>
          <w:sz w:val="20"/>
          <w:szCs w:val="20"/>
        </w:rPr>
        <w:t xml:space="preserve">Concept summarized for review · 30 July 2026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1. Overview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is a single-strike, single-direction breakout trade: pick one specific option strike ahead of time, mark its own opening 5-minute high/low, buy the call once that high is confirmed broken, and exit on whichever comes first — a fixed point target, or a fixed number of minutes in the trade. No trailing stop, no strike re-selection during the day, and no stop-loss as written — flagged below. This document also lists the full grid of target/time-exit combinations tested against 2 years of real Nifty data.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2. Setup — Fix the Strike &amp; Mark Its Opening Range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Before or at market open, fix one specific option strike to watch for the day (e.g., 24000 CE). This strike does not change during the 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On that strike’s own 1-minute premium chart, take the first 5 candles (09:15–09:20) and mark: Strike High = highest high of those 5 candles; Strike Low = lowest low of those 5 candles.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3. Entry Trigger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From 09:20 onward, watch the strike’s own premium against its Strike High.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When price trades above the Strike High, wait for a full 1-minute candle to close above it — a confirmed close, not just an intra-candle touch.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On that confirmation, buy the call option (long CE) at the prevailing premium.</w:t>
      </w:r>
    </w:p>
    <w:p>
      <w:pPr>
        <w:spacing w:after="160" w:line="276"/>
      </w:pPr>
      <w:r>
        <w:rPr>
          <w:i/>
          <w:iCs/>
          <w:color w:val="1A1A1A"/>
          <w:sz w:val="22"/>
          <w:szCs w:val="22"/>
        </w:rPr>
        <w:t xml:space="preserve">This entry rule is identical across every variant in this document — only the exit rule below changes from one test to the next.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4. Exit Rule — Point Target OR Time Exit, Whichever First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Two exit conditions run side by side from the moment of entry. The trade closes the instant either one is satisfied — there is no trailing and no partial exit.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Target exit: close the position as soon as the premium is N points above the entry price (N varies by test, see grid below).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Time exit: if the target has not been hit within M minutes of entry, close the position at the prevailing premium at that mark, regardless of profit or loss (M varies by test, see grid below).</w:t>
      </w:r>
    </w:p>
    <w:p>
      <w:pPr>
        <w:spacing w:after="100" w:before="160"/>
      </w:pPr>
      <w:r>
        <w:rPr>
          <w:b/>
          <w:bCs/>
          <w:sz w:val="22"/>
          <w:szCs w:val="22"/>
        </w:rPr>
        <w:t xml:space="preserve">Worked example (5-point / 3-minute case):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Strike watched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24000 CE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Entry condition met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1-min candle closes above the opening 5-min high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Entry price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₹150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Target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₹150 + 5 = ₹155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Time deadline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3 minutes after entry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Exit — target case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Sell the moment premium hits ₹155, if within 3 minutes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Exit — time case</w:t>
            </w:r>
          </w:p>
        </w:tc>
        <w:tc>
          <w:tcPr>
            <w:tcW w:type="dxa" w:w="5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If ₹155 is not reached within 3 minutes, sell at whatever the premium is at that mark</w:t>
            </w:r>
          </w:p>
        </w:tc>
      </w:tr>
    </w:tbl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5. Test Matrix — What Was Backtested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Every cell below uses the SAME entry signal (Section 3); only the target and the time deadline change. Each combination was run separately against 2 years of real Nifty 1-minute data via the fixed-strike-grid-sweep script.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2200"/>
            <w:shd w:fill="2E5C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 \ Target</w:t>
            </w:r>
          </w:p>
        </w:tc>
        <w:tc>
          <w:tcPr>
            <w:tcW w:type="dxa" w:w="2200"/>
            <w:shd w:fill="2E5C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3.5 pts</w:t>
            </w:r>
          </w:p>
        </w:tc>
        <w:tc>
          <w:tcPr>
            <w:tcW w:type="dxa" w:w="2200"/>
            <w:shd w:fill="2E5C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 pts</w:t>
            </w:r>
          </w:p>
        </w:tc>
        <w:tc>
          <w:tcPr>
            <w:tcW w:type="dxa" w:w="2200"/>
            <w:shd w:fill="2E5C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pts</w:t>
            </w:r>
          </w:p>
        </w:tc>
        <w:tc>
          <w:tcPr>
            <w:tcW w:type="dxa" w:w="2200"/>
            <w:shd w:fill="2E5C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 minutes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 minutes</w:t>
            </w:r>
          </w:p>
        </w:tc>
        <w:tc>
          <w:tcPr>
            <w:tcW w:type="dxa" w:w="2200"/>
            <w:shd w:fill="FA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A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A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  <w:tc>
          <w:tcPr>
            <w:tcW w:type="dxa" w:w="2200"/>
            <w:shd w:fill="FA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Tested</w:t>
            </w:r>
          </w:p>
        </w:tc>
      </w:tr>
    </w:tbl>
    <w:p>
      <w:pPr>
        <w:spacing w:after="160" w:before="200"/>
      </w:pPr>
    </w:p>
    <w:p>
      <w:pPr>
        <w:spacing w:after="160" w:line="276"/>
      </w:pPr>
      <w:r>
        <w:rPr>
          <w:color w:val="1A1A1A"/>
          <w:sz w:val="22"/>
          <w:szCs w:val="22"/>
        </w:rPr>
        <w:t xml:space="preserve">That's 8 combinations total: {2, 3} minutes × {3.5, 4, 5, 6} points. Real 2-year results (win rate, profit factor, net P&amp;L, max drawdown, SQN, and an in-sample/out-of-sample stability split for each) are reported separately once you run the script and share the output — this document describes the concept and the test design, not results.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6. Open Questions to Confirm Before Testing/Trading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No stop-loss is specified in any of these variants — as written, a losing trade is only bounded by the time exit, not by price. Confirm whether a hard point-stop (e.g., the 8–10-point stops used elsewhere in your other strategies) should also apply within the time window.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Strike selection criteria — how is “the one strike” chosen each day (ATM, a fixed offset from spot, previous day’s close, or a strike you pick manually)?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Downside case — this version only describes a call trade off a high-breakout. Is there a mirrored put trade off a low-breakout, or is this intentionally a call-only strategy?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Re-entry — if the time exit closes the trade and the premium later breaks a new high, can you re-enter the same day, or is it one trade per day?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Confirmation candle — “wait for one candle to close above the high” means the candle’s close price, not its high, must exceed the Strike High — confirm this reading is correct.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Time-deadline measurement — measured from the entry fill, checked on 1-minute candle boundaries (the underlying data is 1-minute bars, so sub-minute precision inside the deadline window isn’t achievable).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  <w:sz w:val="22"/>
          <w:szCs w:val="22"/>
        </w:rPr>
        <w:t xml:space="preserve">What happens if the high is never broken that day — no trade, and the setup simply expires unused?</w:t>
      </w:r>
    </w:p>
    <w:p>
      <w:pPr>
        <w:pStyle w:val="Heading1"/>
        <w:pBdr>
          <w:bottom w:val="single" w:color="2E5C8A" w:sz="6" w:space="4"/>
        </w:pBdr>
        <w:spacing w:after="160" w:before="320"/>
      </w:pPr>
      <w:r>
        <w:rPr>
          <w:b/>
          <w:bCs/>
          <w:color w:val="2E5C8A"/>
          <w:sz w:val="26"/>
          <w:szCs w:val="26"/>
        </w:rPr>
        <w:t xml:space="preserve">7. Disclaimer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is a plain-language summary of the concept and test design as described, for discussion and refinement only. It is not financial advice. In particular, confirm and add a stop-loss rule before treating any of these variants as tradeable — validate on historical data or in a paper account before risking real capital.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2026-07-30T08:10:49.862Z</dcterms:created>
  <dcterms:modified xsi:type="dcterms:W3CDTF">2026-07-30T08:10:49.863Z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