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COURIER MANAGEMENT SYSTEM</w:t>
      </w:r>
    </w:p>
    <w:p>
      <w:pPr>
        <w:jc w:val="center"/>
      </w:pPr>
      <w:r>
        <w:rPr>
          <w:b/>
          <w:sz w:val="28"/>
        </w:rPr>
        <w:t>6. PROJECT TESTING</w:t>
      </w:r>
    </w:p>
    <w:p>
      <w:pPr>
        <w:pStyle w:val="Heading2"/>
      </w:pPr>
      <w:r>
        <w:t>6.1 Testing Objective</w:t>
      </w:r>
    </w:p>
    <w:p>
      <w:r>
        <w:t>Testing verifies that the Courier Management System functions according to its requirements and that data, relationships, validation, security and analytics behave as expected.</w:t>
      </w:r>
    </w:p>
    <w:p>
      <w:pPr>
        <w:pStyle w:val="Heading2"/>
      </w:pPr>
      <w:r>
        <w:t>6.2 Test Areas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4"/>
        <w:gridCol w:w="2484"/>
        <w:gridCol w:w="2484"/>
        <w:gridCol w:w="2484"/>
      </w:tblGrid>
      <w:tr>
        <w:tc>
          <w:tcPr>
            <w:tcW w:type="dxa" w:w="2484"/>
            <w:shd w:fill="D9EAF7"/>
            <w:vAlign w:val="center"/>
          </w:tcPr>
          <w:p>
            <w:r>
              <w:rPr>
                <w:b/>
              </w:rPr>
              <w:t>Test ID</w:t>
            </w:r>
          </w:p>
        </w:tc>
        <w:tc>
          <w:tcPr>
            <w:tcW w:type="dxa" w:w="2484"/>
            <w:shd w:fill="D9EAF7"/>
            <w:vAlign w:val="center"/>
          </w:tcPr>
          <w:p>
            <w:r>
              <w:rPr>
                <w:b/>
              </w:rPr>
              <w:t>Area</w:t>
            </w:r>
          </w:p>
        </w:tc>
        <w:tc>
          <w:tcPr>
            <w:tcW w:type="dxa" w:w="2484"/>
            <w:shd w:fill="D9EAF7"/>
            <w:vAlign w:val="center"/>
          </w:tcPr>
          <w:p>
            <w:r>
              <w:rPr>
                <w:b/>
              </w:rPr>
              <w:t>Expected Result</w:t>
            </w:r>
          </w:p>
        </w:tc>
        <w:tc>
          <w:tcPr>
            <w:tcW w:type="dxa" w:w="2484"/>
            <w:shd w:fill="D9EAF7"/>
            <w:vAlign w:val="center"/>
          </w:tcPr>
          <w:p>
            <w:r>
              <w:rPr>
                <w:b/>
              </w:rPr>
              <w:t>Status</w:t>
            </w:r>
          </w:p>
        </w:tc>
      </w:tr>
      <w:tr>
        <w:tc>
          <w:tcPr>
            <w:tcW w:type="dxa" w:w="2484"/>
            <w:vAlign w:val="center"/>
          </w:tcPr>
          <w:p>
            <w:r>
              <w:t>TC-01</w:t>
            </w:r>
          </w:p>
        </w:tc>
        <w:tc>
          <w:tcPr>
            <w:tcW w:type="dxa" w:w="2484"/>
            <w:vAlign w:val="center"/>
          </w:tcPr>
          <w:p>
            <w:r>
              <w:t>Customer Record Creation</w:t>
            </w:r>
          </w:p>
        </w:tc>
        <w:tc>
          <w:tcPr>
            <w:tcW w:type="dxa" w:w="2484"/>
            <w:vAlign w:val="center"/>
          </w:tcPr>
          <w:p>
            <w:r>
              <w:t>Customer record can be created with required information.</w:t>
            </w:r>
          </w:p>
        </w:tc>
        <w:tc>
          <w:tcPr>
            <w:tcW w:type="dxa" w:w="2484"/>
            <w:vAlign w:val="center"/>
          </w:tcPr>
          <w:p>
            <w:r>
              <w:t>Tested</w:t>
            </w:r>
          </w:p>
        </w:tc>
      </w:tr>
      <w:tr>
        <w:tc>
          <w:tcPr>
            <w:tcW w:type="dxa" w:w="2484"/>
            <w:vAlign w:val="center"/>
          </w:tcPr>
          <w:p>
            <w:r>
              <w:t>TC-02</w:t>
            </w:r>
          </w:p>
        </w:tc>
        <w:tc>
          <w:tcPr>
            <w:tcW w:type="dxa" w:w="2484"/>
            <w:vAlign w:val="center"/>
          </w:tcPr>
          <w:p>
            <w:r>
              <w:t>Shipment Record Creation</w:t>
            </w:r>
          </w:p>
        </w:tc>
        <w:tc>
          <w:tcPr>
            <w:tcW w:type="dxa" w:w="2484"/>
            <w:vAlign w:val="center"/>
          </w:tcPr>
          <w:p>
            <w:r>
              <w:t>Shipment record stores dates, weight, charges, status and customer relationship correctly.</w:t>
            </w:r>
          </w:p>
        </w:tc>
        <w:tc>
          <w:tcPr>
            <w:tcW w:type="dxa" w:w="2484"/>
            <w:vAlign w:val="center"/>
          </w:tcPr>
          <w:p>
            <w:r>
              <w:t>Tested</w:t>
            </w:r>
          </w:p>
        </w:tc>
      </w:tr>
      <w:tr>
        <w:tc>
          <w:tcPr>
            <w:tcW w:type="dxa" w:w="2484"/>
            <w:vAlign w:val="center"/>
          </w:tcPr>
          <w:p>
            <w:r>
              <w:t>TC-03</w:t>
            </w:r>
          </w:p>
        </w:tc>
        <w:tc>
          <w:tcPr>
            <w:tcW w:type="dxa" w:w="2484"/>
            <w:vAlign w:val="center"/>
          </w:tcPr>
          <w:p>
            <w:r>
              <w:t>Delivery Agent Record Creation</w:t>
            </w:r>
          </w:p>
        </w:tc>
        <w:tc>
          <w:tcPr>
            <w:tcW w:type="dxa" w:w="2484"/>
            <w:vAlign w:val="center"/>
          </w:tcPr>
          <w:p>
            <w:r>
              <w:t>Delivery agent information can be created and stored correctly.</w:t>
            </w:r>
          </w:p>
        </w:tc>
        <w:tc>
          <w:tcPr>
            <w:tcW w:type="dxa" w:w="2484"/>
            <w:vAlign w:val="center"/>
          </w:tcPr>
          <w:p>
            <w:r>
              <w:t>Tested</w:t>
            </w:r>
          </w:p>
        </w:tc>
      </w:tr>
      <w:tr>
        <w:tc>
          <w:tcPr>
            <w:tcW w:type="dxa" w:w="2484"/>
            <w:vAlign w:val="center"/>
          </w:tcPr>
          <w:p>
            <w:r>
              <w:t>TC-04</w:t>
            </w:r>
          </w:p>
        </w:tc>
        <w:tc>
          <w:tcPr>
            <w:tcW w:type="dxa" w:w="2484"/>
            <w:vAlign w:val="center"/>
          </w:tcPr>
          <w:p>
            <w:r>
              <w:t>Branch Record Creation</w:t>
            </w:r>
          </w:p>
        </w:tc>
        <w:tc>
          <w:tcPr>
            <w:tcW w:type="dxa" w:w="2484"/>
            <w:vAlign w:val="center"/>
          </w:tcPr>
          <w:p>
            <w:r>
              <w:t>Branch contact and location information can be stored.</w:t>
            </w:r>
          </w:p>
        </w:tc>
        <w:tc>
          <w:tcPr>
            <w:tcW w:type="dxa" w:w="2484"/>
            <w:vAlign w:val="center"/>
          </w:tcPr>
          <w:p>
            <w:r>
              <w:t>Tested</w:t>
            </w:r>
          </w:p>
        </w:tc>
      </w:tr>
      <w:tr>
        <w:tc>
          <w:tcPr>
            <w:tcW w:type="dxa" w:w="2484"/>
            <w:vAlign w:val="center"/>
          </w:tcPr>
          <w:p>
            <w:r>
              <w:t>TC-05</w:t>
            </w:r>
          </w:p>
        </w:tc>
        <w:tc>
          <w:tcPr>
            <w:tcW w:type="dxa" w:w="2484"/>
            <w:vAlign w:val="center"/>
          </w:tcPr>
          <w:p>
            <w:r>
              <w:t>Mandatory Field Validation</w:t>
            </w:r>
          </w:p>
        </w:tc>
        <w:tc>
          <w:tcPr>
            <w:tcW w:type="dxa" w:w="2484"/>
            <w:vAlign w:val="center"/>
          </w:tcPr>
          <w:p>
            <w:r>
              <w:t>Required fields prevent incomplete records where rules apply.</w:t>
            </w:r>
          </w:p>
        </w:tc>
        <w:tc>
          <w:tcPr>
            <w:tcW w:type="dxa" w:w="2484"/>
            <w:vAlign w:val="center"/>
          </w:tcPr>
          <w:p>
            <w:r>
              <w:t>Tested</w:t>
            </w:r>
          </w:p>
        </w:tc>
      </w:tr>
      <w:tr>
        <w:tc>
          <w:tcPr>
            <w:tcW w:type="dxa" w:w="2484"/>
            <w:vAlign w:val="center"/>
          </w:tcPr>
          <w:p>
            <w:r>
              <w:t>TC-06</w:t>
            </w:r>
          </w:p>
        </w:tc>
        <w:tc>
          <w:tcPr>
            <w:tcW w:type="dxa" w:w="2484"/>
            <w:vAlign w:val="center"/>
          </w:tcPr>
          <w:p>
            <w:r>
              <w:t>Date Validation</w:t>
            </w:r>
          </w:p>
        </w:tc>
        <w:tc>
          <w:tcPr>
            <w:tcW w:type="dxa" w:w="2484"/>
            <w:vAlign w:val="center"/>
          </w:tcPr>
          <w:p>
            <w:r>
              <w:t>Invalid shipment and delivery date combinations are controlled.</w:t>
            </w:r>
          </w:p>
        </w:tc>
        <w:tc>
          <w:tcPr>
            <w:tcW w:type="dxa" w:w="2484"/>
            <w:vAlign w:val="center"/>
          </w:tcPr>
          <w:p>
            <w:r>
              <w:t>Tested</w:t>
            </w:r>
          </w:p>
        </w:tc>
      </w:tr>
      <w:tr>
        <w:tc>
          <w:tcPr>
            <w:tcW w:type="dxa" w:w="2484"/>
            <w:vAlign w:val="center"/>
          </w:tcPr>
          <w:p>
            <w:r>
              <w:t>TC-07</w:t>
            </w:r>
          </w:p>
        </w:tc>
        <w:tc>
          <w:tcPr>
            <w:tcW w:type="dxa" w:w="2484"/>
            <w:vAlign w:val="center"/>
          </w:tcPr>
          <w:p>
            <w:r>
              <w:t>Weight and Charge Validation</w:t>
            </w:r>
          </w:p>
        </w:tc>
        <w:tc>
          <w:tcPr>
            <w:tcW w:type="dxa" w:w="2484"/>
            <w:vAlign w:val="center"/>
          </w:tcPr>
          <w:p>
            <w:r>
              <w:t>Shipment weight and charge values are checked against configured rules.</w:t>
            </w:r>
          </w:p>
        </w:tc>
        <w:tc>
          <w:tcPr>
            <w:tcW w:type="dxa" w:w="2484"/>
            <w:vAlign w:val="center"/>
          </w:tcPr>
          <w:p>
            <w:r>
              <w:t>Tested</w:t>
            </w:r>
          </w:p>
        </w:tc>
      </w:tr>
      <w:tr>
        <w:tc>
          <w:tcPr>
            <w:tcW w:type="dxa" w:w="2484"/>
            <w:vAlign w:val="center"/>
          </w:tcPr>
          <w:p>
            <w:r>
              <w:t>TC-08</w:t>
            </w:r>
          </w:p>
        </w:tc>
        <w:tc>
          <w:tcPr>
            <w:tcW w:type="dxa" w:w="2484"/>
            <w:vAlign w:val="center"/>
          </w:tcPr>
          <w:p>
            <w:r>
              <w:t>Status Validation</w:t>
            </w:r>
          </w:p>
        </w:tc>
        <w:tc>
          <w:tcPr>
            <w:tcW w:type="dxa" w:w="2484"/>
            <w:vAlign w:val="center"/>
          </w:tcPr>
          <w:p>
            <w:r>
              <w:t>Shipment status changes follow the configured delivery process.</w:t>
            </w:r>
          </w:p>
        </w:tc>
        <w:tc>
          <w:tcPr>
            <w:tcW w:type="dxa" w:w="2484"/>
            <w:vAlign w:val="center"/>
          </w:tcPr>
          <w:p>
            <w:r>
              <w:t>Tested</w:t>
            </w:r>
          </w:p>
        </w:tc>
      </w:tr>
      <w:tr>
        <w:tc>
          <w:tcPr>
            <w:tcW w:type="dxa" w:w="2484"/>
            <w:vAlign w:val="center"/>
          </w:tcPr>
          <w:p>
            <w:r>
              <w:t>TC-09</w:t>
            </w:r>
          </w:p>
        </w:tc>
        <w:tc>
          <w:tcPr>
            <w:tcW w:type="dxa" w:w="2484"/>
            <w:vAlign w:val="center"/>
          </w:tcPr>
          <w:p>
            <w:r>
              <w:t>Relationship Testing</w:t>
            </w:r>
          </w:p>
        </w:tc>
        <w:tc>
          <w:tcPr>
            <w:tcW w:type="dxa" w:w="2484"/>
            <w:vAlign w:val="center"/>
          </w:tcPr>
          <w:p>
            <w:r>
              <w:t>Customer, Shipment, Delivery Agent and Branch relationships display connected records.</w:t>
            </w:r>
          </w:p>
        </w:tc>
        <w:tc>
          <w:tcPr>
            <w:tcW w:type="dxa" w:w="2484"/>
            <w:vAlign w:val="center"/>
          </w:tcPr>
          <w:p>
            <w:r>
              <w:t>Tested</w:t>
            </w:r>
          </w:p>
        </w:tc>
      </w:tr>
      <w:tr>
        <w:tc>
          <w:tcPr>
            <w:tcW w:type="dxa" w:w="2484"/>
            <w:vAlign w:val="center"/>
          </w:tcPr>
          <w:p>
            <w:r>
              <w:t>TC-10</w:t>
            </w:r>
          </w:p>
        </w:tc>
        <w:tc>
          <w:tcPr>
            <w:tcW w:type="dxa" w:w="2484"/>
            <w:vAlign w:val="center"/>
          </w:tcPr>
          <w:p>
            <w:r>
              <w:t>Security Testing</w:t>
            </w:r>
          </w:p>
        </w:tc>
        <w:tc>
          <w:tcPr>
            <w:tcW w:type="dxa" w:w="2484"/>
            <w:vAlign w:val="center"/>
          </w:tcPr>
          <w:p>
            <w:r>
              <w:t>Configured profiles and roles provide appropriate access.</w:t>
            </w:r>
          </w:p>
        </w:tc>
        <w:tc>
          <w:tcPr>
            <w:tcW w:type="dxa" w:w="2484"/>
            <w:vAlign w:val="center"/>
          </w:tcPr>
          <w:p>
            <w:r>
              <w:t>Tested</w:t>
            </w:r>
          </w:p>
        </w:tc>
      </w:tr>
      <w:tr>
        <w:tc>
          <w:tcPr>
            <w:tcW w:type="dxa" w:w="2484"/>
            <w:vAlign w:val="center"/>
          </w:tcPr>
          <w:p>
            <w:r>
              <w:t>TC-11</w:t>
            </w:r>
          </w:p>
        </w:tc>
        <w:tc>
          <w:tcPr>
            <w:tcW w:type="dxa" w:w="2484"/>
            <w:vAlign w:val="center"/>
          </w:tcPr>
          <w:p>
            <w:r>
              <w:t>Sharing Rules</w:t>
            </w:r>
          </w:p>
        </w:tc>
        <w:tc>
          <w:tcPr>
            <w:tcW w:type="dxa" w:w="2484"/>
            <w:vAlign w:val="center"/>
          </w:tcPr>
          <w:p>
            <w:r>
              <w:t>Records are visible/editable according to configured sharing rules.</w:t>
            </w:r>
          </w:p>
        </w:tc>
        <w:tc>
          <w:tcPr>
            <w:tcW w:type="dxa" w:w="2484"/>
            <w:vAlign w:val="center"/>
          </w:tcPr>
          <w:p>
            <w:r>
              <w:t>Tested</w:t>
            </w:r>
          </w:p>
        </w:tc>
      </w:tr>
      <w:tr>
        <w:tc>
          <w:tcPr>
            <w:tcW w:type="dxa" w:w="2484"/>
            <w:vAlign w:val="center"/>
          </w:tcPr>
          <w:p>
            <w:r>
              <w:t>TC-12</w:t>
            </w:r>
          </w:p>
        </w:tc>
        <w:tc>
          <w:tcPr>
            <w:tcW w:type="dxa" w:w="2484"/>
            <w:vAlign w:val="center"/>
          </w:tcPr>
          <w:p>
            <w:r>
              <w:t>Reports</w:t>
            </w:r>
          </w:p>
        </w:tc>
        <w:tc>
          <w:tcPr>
            <w:tcW w:type="dxa" w:w="2484"/>
            <w:vAlign w:val="center"/>
          </w:tcPr>
          <w:p>
            <w:r>
              <w:t>Reports display the relevant courier records and calculated information.</w:t>
            </w:r>
          </w:p>
        </w:tc>
        <w:tc>
          <w:tcPr>
            <w:tcW w:type="dxa" w:w="2484"/>
            <w:vAlign w:val="center"/>
          </w:tcPr>
          <w:p>
            <w:r>
              <w:t>Tested</w:t>
            </w:r>
          </w:p>
        </w:tc>
      </w:tr>
      <w:tr>
        <w:tc>
          <w:tcPr>
            <w:tcW w:type="dxa" w:w="2484"/>
            <w:vAlign w:val="center"/>
          </w:tcPr>
          <w:p>
            <w:r>
              <w:t>TC-13</w:t>
            </w:r>
          </w:p>
        </w:tc>
        <w:tc>
          <w:tcPr>
            <w:tcW w:type="dxa" w:w="2484"/>
            <w:vAlign w:val="center"/>
          </w:tcPr>
          <w:p>
            <w:r>
              <w:t>Dashboards</w:t>
            </w:r>
          </w:p>
        </w:tc>
        <w:tc>
          <w:tcPr>
            <w:tcW w:type="dxa" w:w="2484"/>
            <w:vAlign w:val="center"/>
          </w:tcPr>
          <w:p>
            <w:r>
              <w:t>Dashboard components reflect available report data.</w:t>
            </w:r>
          </w:p>
        </w:tc>
        <w:tc>
          <w:tcPr>
            <w:tcW w:type="dxa" w:w="2484"/>
            <w:vAlign w:val="center"/>
          </w:tcPr>
          <w:p>
            <w:r>
              <w:t>Tested</w:t>
            </w:r>
          </w:p>
        </w:tc>
      </w:tr>
      <w:tr>
        <w:tc>
          <w:tcPr>
            <w:tcW w:type="dxa" w:w="2484"/>
            <w:vAlign w:val="center"/>
          </w:tcPr>
          <w:p>
            <w:r>
              <w:t>TC-14</w:t>
            </w:r>
          </w:p>
        </w:tc>
        <w:tc>
          <w:tcPr>
            <w:tcW w:type="dxa" w:w="2484"/>
            <w:vAlign w:val="center"/>
          </w:tcPr>
          <w:p>
            <w:r>
              <w:t>Performance</w:t>
            </w:r>
          </w:p>
        </w:tc>
        <w:tc>
          <w:tcPr>
            <w:tcW w:type="dxa" w:w="2484"/>
            <w:vAlign w:val="center"/>
          </w:tcPr>
          <w:p>
            <w:r>
              <w:t>Queries/reports are checked against the target of approximately less than 3 seconds.</w:t>
            </w:r>
          </w:p>
        </w:tc>
        <w:tc>
          <w:tcPr>
            <w:tcW w:type="dxa" w:w="2484"/>
            <w:vAlign w:val="center"/>
          </w:tcPr>
          <w:p>
            <w:r>
              <w:t>Checked</w:t>
            </w:r>
          </w:p>
        </w:tc>
      </w:tr>
    </w:tbl>
    <w:p>
      <w:pPr>
        <w:pStyle w:val="Heading2"/>
      </w:pPr>
      <w:r>
        <w:t>6.3 Validation Testing</w:t>
      </w:r>
    </w:p>
    <w:p>
      <w:r>
        <w:t>Validation testing covers mandatory fields, date-related checks, shipment weight, charges and status-related rules. The purpose is to prevent incomplete or invalid courier records from being accepted.</w:t>
      </w:r>
    </w:p>
    <w:p>
      <w:pPr>
        <w:pStyle w:val="Heading2"/>
      </w:pPr>
      <w:r>
        <w:t>6.4 Security and Access Testing</w:t>
      </w:r>
    </w:p>
    <w:p>
      <w:r>
        <w:t>Security testing covers profiles, roles and sharing rules. The system is checked to ensure that Delivery Manager and Operations access follows the configured permissions.</w:t>
      </w:r>
    </w:p>
    <w:p>
      <w:pPr>
        <w:pStyle w:val="Heading2"/>
      </w:pPr>
      <w:r>
        <w:t>6.5 Analytics Testing</w:t>
      </w:r>
    </w:p>
    <w:p>
      <w:r>
        <w:t>Reports and dashboards are checked for correct display and updates based on the available customer, shipment, delivery agent and branch records.</w:t>
      </w:r>
    </w:p>
    <w:p>
      <w:pPr>
        <w:pStyle w:val="Heading2"/>
      </w:pPr>
      <w:r>
        <w:t>6.6 Testing Conclusion</w:t>
      </w:r>
    </w:p>
    <w:p>
      <w:r>
        <w:t>The testing phase covers the core data, validation, relationship, security and analytics areas of the Courier Management System. The documented test areas provide evidence that the implementation has been reviewed against the project requirements.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