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color w:val="7F8C8D"/>
          <w:spacing w:val="200"/>
          <w:sz w:val="20"/>
          <w:szCs w:val="20"/>
        </w:rPr>
        <w:t xml:space="preserve">RESEARCH PLAN</w:t>
      </w:r>
    </w:p>
    <w:p>
      <w:pPr>
        <w:pBdr>
          <w:bottom w:val="single" w:color="1B4F72" w:sz="6" w:space="8"/>
        </w:pBdr>
        <w:spacing w:after="200"/>
        <w:jc w:val="center"/>
      </w:pPr>
      <w:r>
        <w:rPr>
          <w:rFonts w:ascii="Arial" w:cs="Arial" w:eastAsia="Arial" w:hAnsi="Arial"/>
          <w:b/>
          <w:bCs/>
          <w:color w:val="1B4F72"/>
          <w:sz w:val="48"/>
          <w:szCs w:val="48"/>
        </w:rPr>
        <w:t xml:space="preserve">Retrieve, Assess, Route:</w:t>
      </w:r>
    </w:p>
    <w:p>
      <w:pPr>
        <w:spacing w:after="400"/>
        <w:jc w:val="center"/>
      </w:pPr>
      <w:r>
        <w:rPr>
          <w:rFonts w:ascii="Arial" w:cs="Arial" w:eastAsia="Arial" w:hAnsi="Arial"/>
          <w:color w:val="2C3E50"/>
          <w:sz w:val="36"/>
          <w:szCs w:val="36"/>
        </w:rPr>
        <w:t xml:space="preserve">Cost-Efficient RAG through Adaptive
Context Sufficiency Scoring</w:t>
      </w:r>
    </w:p>
    <w:p>
      <w:pPr>
        <w:spacing w:after="80"/>
      </w:pPr>
    </w:p>
    <w:p>
      <w:pPr>
        <w:spacing w:after="80"/>
      </w:pPr>
    </w:p>
    <w:p>
      <w:pPr>
        <w:spacing w:after="80"/>
        <w:jc w:val="center"/>
      </w:pPr>
      <w:r>
        <w:rPr>
          <w:rFonts w:ascii="Arial" w:cs="Arial" w:eastAsia="Arial" w:hAnsi="Arial"/>
          <w:color w:val="2C3E50"/>
          <w:sz w:val="26"/>
          <w:szCs w:val="26"/>
        </w:rPr>
        <w:t xml:space="preserve">Surya</w:t>
      </w:r>
    </w:p>
    <w:p>
      <w:pPr>
        <w:spacing w:after="80"/>
        <w:jc w:val="center"/>
      </w:pPr>
      <w:r>
        <w:rPr>
          <w:rFonts w:ascii="Arial" w:cs="Arial" w:eastAsia="Arial" w:hAnsi="Arial"/>
          <w:color w:val="7F8C8D"/>
          <w:sz w:val="22"/>
          <w:szCs w:val="22"/>
        </w:rPr>
        <w:t xml:space="preserve">University of Cincinnati</w:t>
      </w:r>
    </w:p>
    <w:p>
      <w:pPr>
        <w:spacing w:after="80"/>
        <w:jc w:val="center"/>
      </w:pPr>
      <w:r>
        <w:rPr>
          <w:rFonts w:ascii="Arial" w:cs="Arial" w:eastAsia="Arial" w:hAnsi="Arial"/>
          <w:color w:val="7F8C8D"/>
          <w:sz w:val="22"/>
          <w:szCs w:val="22"/>
        </w:rPr>
        <w:t xml:space="preserve">Master of Science in Computer Science</w:t>
      </w:r>
    </w:p>
    <w:p>
      <w:pPr>
        <w:spacing w:after="80"/>
      </w:pPr>
    </w:p>
    <w:p>
      <w:pPr>
        <w:spacing w:after="80"/>
      </w:pPr>
    </w:p>
    <w:p>
      <w:pPr>
        <w:spacing w:after="80"/>
      </w:pPr>
    </w:p>
    <w:p>
      <w:pPr>
        <w:spacing w:after="80"/>
      </w:pPr>
    </w:p>
    <w:p>
      <w:pPr>
        <w:jc w:val="center"/>
      </w:pPr>
      <w:r>
        <w:rPr>
          <w:rFonts w:ascii="Arial" w:cs="Arial" w:eastAsia="Arial" w:hAnsi="Arial"/>
          <w:color w:val="7F8C8D"/>
          <w:sz w:val="22"/>
          <w:szCs w:val="22"/>
        </w:rPr>
        <w:t xml:space="preserve">March 2026</w:t>
      </w:r>
    </w:p>
    <w:p>
      <w:pPr>
        <w:jc w:val="center"/>
      </w:pPr>
      <w:r>
        <w:rPr>
          <w:rFonts w:ascii="Arial" w:cs="Arial" w:eastAsia="Arial" w:hAnsi="Arial"/>
          <w:color w:val="7F8C8D"/>
          <w:sz w:val="22"/>
          <w:szCs w:val="22"/>
        </w:rPr>
        <w:t xml:space="preserve">Target: 5-6 Month Research Timeline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research plan outlines a novel approach to making Retrieval-Augmented Generation (RAG) systems significantly more cost-efficient while maintaining or improving answer quality. The core innovation is a lightweight context sufficiency scorer that evaluates whether retrieved documents provide enough information for a given query, then uses this signal to intelligently route queries between expensive frontier models and cheaper alternatives.</w:t>
      </w:r>
    </w:p>
    <w:p>
      <w:pPr>
        <w:spacing w:after="120"/>
      </w:pPr>
      <w:r>
        <w:t xml:space="preserve">The key insight is that existing LLM routing approaches ignore retrieval quality signals, and existing RAG sufficiency research does not connect to cost optimization. By bridging these two areas, we create a system that achieves 40-70% cost reduction while maintaining competitive accuracy and reducing hallucination rates through intelligent abstention.</w:t>
      </w:r>
    </w:p>
    <w:p>
      <w:pPr>
        <w:spacing w:after="80"/>
      </w:pPr>
    </w:p>
    <w:p>
      <w:pPr>
        <w:pStyle w:val="Heading1"/>
      </w:pPr>
      <w:r>
        <w:t xml:space="preserve">2. Research Questions</w:t>
      </w:r>
    </w:p>
    <w:p>
      <w:pPr>
        <w:spacing w:after="120"/>
      </w:pPr>
      <w:r>
        <w:t xml:space="preserve">This research addresses three interconnected questions:</w:t>
      </w:r>
    </w:p>
    <w:p>
      <w:pPr>
        <w:pStyle w:val="ListParagraph"/>
        <w:numPr>
          <w:ilvl w:val="0"/>
          <w:numId w:val="2"/>
        </w:numPr>
        <w:spacing w:after="60"/>
      </w:pPr>
      <w:r>
        <w:rPr>
          <w:rFonts w:ascii="Arial" w:cs="Arial" w:eastAsia="Arial" w:hAnsi="Arial"/>
          <w:b/>
          <w:bCs/>
          <w:sz w:val="22"/>
          <w:szCs w:val="22"/>
        </w:rPr>
        <w:t xml:space="preserve">Primary: </w:t>
      </w:r>
      <w:r>
        <w:rPr>
          <w:rFonts w:ascii="Arial" w:cs="Arial" w:eastAsia="Arial" w:hAnsi="Arial"/>
          <w:sz w:val="22"/>
          <w:szCs w:val="22"/>
        </w:rPr>
        <w:t xml:space="preserve">Can retrieval context sufficiency signals be used to build a cost-aware router that maintains RAG quality while significantly reducing inference costs?</w:t>
      </w:r>
    </w:p>
    <w:p>
      <w:pPr>
        <w:pStyle w:val="ListParagraph"/>
        <w:numPr>
          <w:ilvl w:val="0"/>
          <w:numId w:val="2"/>
        </w:numPr>
        <w:spacing w:after="60"/>
      </w:pPr>
      <w:r>
        <w:rPr>
          <w:rFonts w:ascii="Arial" w:cs="Arial" w:eastAsia="Arial" w:hAnsi="Arial"/>
          <w:b/>
          <w:bCs/>
          <w:sz w:val="22"/>
          <w:szCs w:val="22"/>
        </w:rPr>
        <w:t xml:space="preserve">Secondary: </w:t>
      </w:r>
      <w:r>
        <w:rPr>
          <w:rFonts w:ascii="Arial" w:cs="Arial" w:eastAsia="Arial" w:hAnsi="Arial"/>
          <w:sz w:val="22"/>
          <w:szCs w:val="22"/>
        </w:rPr>
        <w:t xml:space="preserve">Does incorporating sufficiency-aware abstention reduce hallucination rates compared to standard RAG pipelines?</w:t>
      </w:r>
    </w:p>
    <w:p>
      <w:pPr>
        <w:pStyle w:val="ListParagraph"/>
        <w:numPr>
          <w:ilvl w:val="0"/>
          <w:numId w:val="2"/>
        </w:numPr>
        <w:spacing w:after="60"/>
      </w:pPr>
      <w:r>
        <w:rPr>
          <w:rFonts w:ascii="Arial" w:cs="Arial" w:eastAsia="Arial" w:hAnsi="Arial"/>
          <w:b/>
          <w:bCs/>
          <w:sz w:val="22"/>
          <w:szCs w:val="22"/>
        </w:rPr>
        <w:t xml:space="preserve">Tertiary: </w:t>
      </w:r>
      <w:r>
        <w:rPr>
          <w:rFonts w:ascii="Arial" w:cs="Arial" w:eastAsia="Arial" w:hAnsi="Arial"/>
          <w:sz w:val="22"/>
          <w:szCs w:val="22"/>
        </w:rPr>
        <w:t xml:space="preserve">What is the optimal architecture for a lightweight sufficiency scorer that adds minimal latency overhead to RAG pipelines?</w:t>
      </w:r>
    </w:p>
    <w:p>
      <w:pPr>
        <w:spacing w:after="80"/>
      </w:pPr>
    </w:p>
    <w:p>
      <w:pPr>
        <w:pStyle w:val="Heading1"/>
      </w:pPr>
      <w:r>
        <w:t xml:space="preserve">3. Proposed Approach</w:t>
      </w:r>
    </w:p>
    <w:p>
      <w:pPr>
        <w:pStyle w:val="Heading2"/>
      </w:pPr>
      <w:r>
        <w:t xml:space="preserve">3.1 System Architecture</w:t>
      </w:r>
    </w:p>
    <w:p>
      <w:pPr>
        <w:spacing w:after="120"/>
      </w:pPr>
      <w:r>
        <w:t xml:space="preserve">The system consists of three main components that operate in sequence:</w:t>
      </w:r>
    </w:p>
    <w:p>
      <w:pPr>
        <w:spacing w:after="80"/>
      </w:pPr>
    </w:p>
    <w:p>
      <w:pPr>
        <w:spacing w:after="120"/>
      </w:pPr>
      <w:r>
        <w:rPr>
          <w:rFonts w:ascii="Arial" w:cs="Arial" w:eastAsia="Arial" w:hAnsi="Arial"/>
          <w:b/>
          <w:bCs/>
          <w:sz w:val="22"/>
          <w:szCs w:val="22"/>
        </w:rPr>
        <w:t xml:space="preserve">Component 1 - Standard RAG Pipeline (Baseline): </w:t>
      </w:r>
      <w:r>
        <w:rPr>
          <w:rFonts w:ascii="Arial" w:cs="Arial" w:eastAsia="Arial" w:hAnsi="Arial"/>
          <w:sz w:val="22"/>
          <w:szCs w:val="22"/>
        </w:rPr>
        <w:t xml:space="preserve">A retrieval-augmented generation pipeline using dense retrieval (Contriever or BGE embeddings) with FAISS indexing. Retrieved passages are concatenated with the query and fed to a generator LLM. We maintain two generator options: a strong model (GPT-4o / Claude 3.5 Sonnet) and a weak model (GPT-4o-mini / Llama-3-8B).</w:t>
      </w:r>
    </w:p>
    <w:p>
      <w:pPr>
        <w:spacing w:after="80"/>
      </w:pPr>
    </w:p>
    <w:p>
      <w:pPr>
        <w:spacing w:after="120"/>
      </w:pPr>
      <w:r>
        <w:rPr>
          <w:rFonts w:ascii="Arial" w:cs="Arial" w:eastAsia="Arial" w:hAnsi="Arial"/>
          <w:b/>
          <w:bCs/>
          <w:sz w:val="22"/>
          <w:szCs w:val="22"/>
        </w:rPr>
        <w:t xml:space="preserve">Component 2 - Context Sufficiency Scorer: </w:t>
      </w:r>
      <w:r>
        <w:rPr>
          <w:rFonts w:ascii="Arial" w:cs="Arial" w:eastAsia="Arial" w:hAnsi="Arial"/>
          <w:sz w:val="22"/>
          <w:szCs w:val="22"/>
        </w:rPr>
        <w:t xml:space="preserve">A lightweight classifier (fine-tuned DeBERTa-v3-base, ~86M parameters) that takes the query and retrieved passages as input and outputs a sufficiency score between 0 and 1. This score indicates whether the retrieved context contains enough information to answer the query correctly. Training data is generated automatically by comparing strong and weak model performance on the same query-context pairs.</w:t>
      </w:r>
    </w:p>
    <w:p>
      <w:pPr>
        <w:spacing w:after="80"/>
      </w:pPr>
    </w:p>
    <w:p>
      <w:pPr>
        <w:spacing w:after="120"/>
      </w:pPr>
      <w:r>
        <w:rPr>
          <w:rFonts w:ascii="Arial" w:cs="Arial" w:eastAsia="Arial" w:hAnsi="Arial"/>
          <w:b/>
          <w:bCs/>
          <w:sz w:val="22"/>
          <w:szCs w:val="22"/>
        </w:rPr>
        <w:t xml:space="preserve">Component 3 - Cost-Aware Router: </w:t>
      </w:r>
      <w:r>
        <w:rPr>
          <w:rFonts w:ascii="Arial" w:cs="Arial" w:eastAsia="Arial" w:hAnsi="Arial"/>
          <w:sz w:val="22"/>
          <w:szCs w:val="22"/>
        </w:rPr>
        <w:t xml:space="preserve">A routing module that uses the sufficiency score to make one of three decisions: (a) route to the weak/cheap model when sufficiency is high (the context is strong enough that even a small model can answer correctly), (b) route to the strong/expensive model when sufficiency is moderate (context exists but requires stronger reasoning), or (c) abstain when sufficiency is very low (insufficient context to answer reliably). The routing thresholds are tunable parameters that allow users to control the cost-quality tradeoff.</w:t>
      </w:r>
    </w:p>
    <w:p>
      <w:pPr>
        <w:spacing w:after="80"/>
      </w:pPr>
    </w:p>
    <w:p>
      <w:pPr>
        <w:pStyle w:val="Heading2"/>
      </w:pPr>
      <w:r>
        <w:t xml:space="preserve">3.2 Training Data Generation</w:t>
      </w:r>
    </w:p>
    <w:p>
      <w:pPr>
        <w:spacing w:after="120"/>
      </w:pPr>
      <w:r>
        <w:t xml:space="preserve">The sufficiency scorer is trained using automatically generated labels from existing QA datasets. For each (query, retrieved_context, ground_truth_answer) triple, we run both the strong and weak models and classify the instance into one of four categories:</w:t>
      </w:r>
    </w:p>
    <w:p>
      <w:pPr>
        <w:pStyle w:val="ListParagraph"/>
        <w:numPr>
          <w:ilvl w:val="0"/>
          <w:numId w:val="3"/>
        </w:numPr>
        <w:spacing w:after="60"/>
      </w:pPr>
      <w:r>
        <w:rPr>
          <w:rFonts w:ascii="Arial" w:cs="Arial" w:eastAsia="Arial" w:hAnsi="Arial"/>
          <w:b/>
          <w:bCs/>
          <w:sz w:val="22"/>
          <w:szCs w:val="22"/>
        </w:rPr>
        <w:t xml:space="preserve">Both correct: </w:t>
      </w:r>
      <w:r>
        <w:rPr>
          <w:rFonts w:ascii="Arial" w:cs="Arial" w:eastAsia="Arial" w:hAnsi="Arial"/>
          <w:sz w:val="22"/>
          <w:szCs w:val="22"/>
        </w:rPr>
        <w:t xml:space="preserve">High sufficiency (weak model is sufficient)</w:t>
      </w:r>
    </w:p>
    <w:p>
      <w:pPr>
        <w:pStyle w:val="ListParagraph"/>
        <w:numPr>
          <w:ilvl w:val="0"/>
          <w:numId w:val="3"/>
        </w:numPr>
        <w:spacing w:after="60"/>
      </w:pPr>
      <w:r>
        <w:rPr>
          <w:rFonts w:ascii="Arial" w:cs="Arial" w:eastAsia="Arial" w:hAnsi="Arial"/>
          <w:b/>
          <w:bCs/>
          <w:sz w:val="22"/>
          <w:szCs w:val="22"/>
        </w:rPr>
        <w:t xml:space="preserve">Strong correct, weak incorrect: </w:t>
      </w:r>
      <w:r>
        <w:rPr>
          <w:rFonts w:ascii="Arial" w:cs="Arial" w:eastAsia="Arial" w:hAnsi="Arial"/>
          <w:sz w:val="22"/>
          <w:szCs w:val="22"/>
        </w:rPr>
        <w:t xml:space="preserve">Moderate sufficiency (needs strong model)</w:t>
      </w:r>
    </w:p>
    <w:p>
      <w:pPr>
        <w:pStyle w:val="ListParagraph"/>
        <w:numPr>
          <w:ilvl w:val="0"/>
          <w:numId w:val="3"/>
        </w:numPr>
        <w:spacing w:after="60"/>
      </w:pPr>
      <w:r>
        <w:rPr>
          <w:rFonts w:ascii="Arial" w:cs="Arial" w:eastAsia="Arial" w:hAnsi="Arial"/>
          <w:b/>
          <w:bCs/>
          <w:sz w:val="22"/>
          <w:szCs w:val="22"/>
        </w:rPr>
        <w:t xml:space="preserve">Both incorrect: </w:t>
      </w:r>
      <w:r>
        <w:rPr>
          <w:rFonts w:ascii="Arial" w:cs="Arial" w:eastAsia="Arial" w:hAnsi="Arial"/>
          <w:sz w:val="22"/>
          <w:szCs w:val="22"/>
        </w:rPr>
        <w:t xml:space="preserve">Low sufficiency (context is insufficient, should abstain)</w:t>
      </w:r>
    </w:p>
    <w:p>
      <w:pPr>
        <w:pStyle w:val="ListParagraph"/>
        <w:numPr>
          <w:ilvl w:val="0"/>
          <w:numId w:val="3"/>
        </w:numPr>
        <w:spacing w:after="60"/>
      </w:pPr>
      <w:r>
        <w:rPr>
          <w:rFonts w:ascii="Arial" w:cs="Arial" w:eastAsia="Arial" w:hAnsi="Arial"/>
          <w:b/>
          <w:bCs/>
          <w:sz w:val="22"/>
          <w:szCs w:val="22"/>
        </w:rPr>
        <w:t xml:space="preserve">Weak correct, strong incorrect: </w:t>
      </w:r>
      <w:r>
        <w:rPr>
          <w:rFonts w:ascii="Arial" w:cs="Arial" w:eastAsia="Arial" w:hAnsi="Arial"/>
          <w:sz w:val="22"/>
          <w:szCs w:val="22"/>
        </w:rPr>
        <w:t xml:space="preserve">Rare edge case, treated as high sufficiency</w:t>
      </w:r>
    </w:p>
    <w:p>
      <w:pPr>
        <w:spacing w:after="120"/>
      </w:pPr>
      <w:r>
        <w:t xml:space="preserve">This approach requires no human annotation and produces labels directly aligned with the routing objective.</w:t>
      </w:r>
    </w:p>
    <w:p>
      <w:pPr>
        <w:spacing w:after="80"/>
      </w:pPr>
    </w:p>
    <w:p>
      <w:pPr>
        <w:pStyle w:val="Heading2"/>
      </w:pPr>
      <w:r>
        <w:t xml:space="preserve">3.3 Novelty Statement</w:t>
      </w:r>
    </w:p>
    <w:p>
      <w:pPr>
        <w:spacing w:after="120"/>
      </w:pPr>
      <w:r>
        <w:t xml:space="preserve">The key contributions that distinguish this work from prior art are:</w:t>
      </w:r>
    </w:p>
    <w:p>
      <w:pPr>
        <w:pStyle w:val="ListParagraph"/>
        <w:numPr>
          <w:ilvl w:val="0"/>
          <w:numId w:val="4"/>
        </w:numPr>
        <w:spacing w:after="60"/>
      </w:pPr>
      <w:r>
        <w:rPr>
          <w:rFonts w:ascii="Arial" w:cs="Arial" w:eastAsia="Arial" w:hAnsi="Arial"/>
          <w:b/>
          <w:bCs/>
          <w:sz w:val="22"/>
          <w:szCs w:val="22"/>
        </w:rPr>
        <w:t xml:space="preserve">First work to connect context sufficiency scoring to cost-aware model routing in RAG. </w:t>
      </w:r>
      <w:r>
        <w:rPr>
          <w:rFonts w:ascii="Arial" w:cs="Arial" w:eastAsia="Arial" w:hAnsi="Arial"/>
          <w:sz w:val="22"/>
          <w:szCs w:val="22"/>
        </w:rPr>
        <w:t xml:space="preserve">Prior routing work (RouteLLM, RouterBench) operates on raw queries without retrieval signals. Prior sufficiency work (Sufficient Context, ICLR 2025) does not address cost optimization.</w:t>
      </w:r>
    </w:p>
    <w:p>
      <w:pPr>
        <w:pStyle w:val="ListParagraph"/>
        <w:numPr>
          <w:ilvl w:val="0"/>
          <w:numId w:val="4"/>
        </w:numPr>
        <w:spacing w:after="60"/>
      </w:pPr>
      <w:r>
        <w:rPr>
          <w:rFonts w:ascii="Arial" w:cs="Arial" w:eastAsia="Arial" w:hAnsi="Arial"/>
          <w:b/>
          <w:bCs/>
          <w:sz w:val="22"/>
          <w:szCs w:val="22"/>
        </w:rPr>
        <w:t xml:space="preserve">A unified framework that jointly optimizes for accuracy, cost, and hallucination reduction. </w:t>
      </w:r>
      <w:r>
        <w:rPr>
          <w:rFonts w:ascii="Arial" w:cs="Arial" w:eastAsia="Arial" w:hAnsi="Arial"/>
          <w:sz w:val="22"/>
          <w:szCs w:val="22"/>
        </w:rPr>
        <w:t xml:space="preserve">The abstention mechanism directly addresses the paradox identified in prior work where RAG increases hallucinations by reducing appropriate abstention.</w:t>
      </w:r>
    </w:p>
    <w:p>
      <w:pPr>
        <w:pStyle w:val="ListParagraph"/>
        <w:numPr>
          <w:ilvl w:val="0"/>
          <w:numId w:val="4"/>
        </w:numPr>
        <w:spacing w:after="60"/>
      </w:pPr>
      <w:r>
        <w:rPr>
          <w:rFonts w:ascii="Arial" w:cs="Arial" w:eastAsia="Arial" w:hAnsi="Arial"/>
          <w:b/>
          <w:bCs/>
          <w:sz w:val="22"/>
          <w:szCs w:val="22"/>
        </w:rPr>
        <w:t xml:space="preserve">Practical and deployable. </w:t>
      </w:r>
      <w:r>
        <w:rPr>
          <w:rFonts w:ascii="Arial" w:cs="Arial" w:eastAsia="Arial" w:hAnsi="Arial"/>
          <w:sz w:val="22"/>
          <w:szCs w:val="22"/>
        </w:rPr>
        <w:t xml:space="preserve">The sufficiency scorer adds minimal latency (&lt;50ms) and can be plugged into any existing RAG pipeline.</w:t>
      </w:r>
    </w:p>
    <w:p>
      <w:pPr>
        <w:spacing w:after="80"/>
      </w:pPr>
    </w:p>
    <w:p>
      <w:pPr>
        <w:pStyle w:val="Heading1"/>
      </w:pPr>
      <w:r>
        <w:t xml:space="preserve">4. Datasets and Evaluation</w:t>
      </w:r>
    </w:p>
    <w:p>
      <w:pPr>
        <w:pStyle w:val="Heading2"/>
      </w:pPr>
      <w:r>
        <w:t xml:space="preserve">4.1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Dataset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Dataset</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Natural Questions</w:t>
            </w:r>
          </w:p>
        </w:tc>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Single-hop factual QA</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~3,500 (dev)</w:t>
            </w:r>
          </w:p>
        </w:tc>
        <w:tc>
          <w:tcPr>
            <w:tcW w:type="dxa" w:w="28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Baseline factoid retrieval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HotpotQA</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Multi-hop reasoning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~7,400 (dev)</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Tests sufficiency with complex queries</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FreshQA</w:t>
            </w:r>
          </w:p>
        </w:tc>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Time-sensitive QA</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~600</w:t>
            </w:r>
          </w:p>
        </w:tc>
        <w:tc>
          <w:tcPr>
            <w:tcW w:type="dxa" w:w="28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Tests temporal sufficiency</w:t>
            </w:r>
          </w:p>
        </w:tc>
      </w:tr>
    </w:tbl>
    <w:p>
      <w:pPr>
        <w:spacing w:after="80"/>
      </w:pPr>
    </w:p>
    <w:p>
      <w:pPr>
        <w:pStyle w:val="Heading2"/>
      </w:pPr>
      <w:r>
        <w:t xml:space="preserve">4.2 Metrics</w:t>
      </w:r>
    </w:p>
    <w:p>
      <w:pPr>
        <w:pStyle w:val="ListParagraph"/>
        <w:numPr>
          <w:ilvl w:val="0"/>
          <w:numId w:val="3"/>
        </w:numPr>
        <w:spacing w:after="60"/>
      </w:pPr>
      <w:r>
        <w:rPr>
          <w:rFonts w:ascii="Arial" w:cs="Arial" w:eastAsia="Arial" w:hAnsi="Arial"/>
          <w:b/>
          <w:bCs/>
          <w:sz w:val="22"/>
          <w:szCs w:val="22"/>
        </w:rPr>
        <w:t xml:space="preserve">Answer Accuracy: </w:t>
      </w:r>
      <w:r>
        <w:rPr>
          <w:rFonts w:ascii="Arial" w:cs="Arial" w:eastAsia="Arial" w:hAnsi="Arial"/>
          <w:sz w:val="22"/>
          <w:szCs w:val="22"/>
        </w:rPr>
        <w:t xml:space="preserve">Exact Match (EM) and F1 score against ground truth answers</w:t>
      </w:r>
    </w:p>
    <w:p>
      <w:pPr>
        <w:pStyle w:val="ListParagraph"/>
        <w:numPr>
          <w:ilvl w:val="0"/>
          <w:numId w:val="3"/>
        </w:numPr>
        <w:spacing w:after="60"/>
      </w:pPr>
      <w:r>
        <w:rPr>
          <w:rFonts w:ascii="Arial" w:cs="Arial" w:eastAsia="Arial" w:hAnsi="Arial"/>
          <w:b/>
          <w:bCs/>
          <w:sz w:val="22"/>
          <w:szCs w:val="22"/>
        </w:rPr>
        <w:t xml:space="preserve">Cost Reduction: </w:t>
      </w:r>
      <w:r>
        <w:rPr>
          <w:rFonts w:ascii="Arial" w:cs="Arial" w:eastAsia="Arial" w:hAnsi="Arial"/>
          <w:sz w:val="22"/>
          <w:szCs w:val="22"/>
        </w:rPr>
        <w:t xml:space="preserve">Percentage reduction in API costs compared to always using the strong model</w:t>
      </w:r>
    </w:p>
    <w:p>
      <w:pPr>
        <w:pStyle w:val="ListParagraph"/>
        <w:numPr>
          <w:ilvl w:val="0"/>
          <w:numId w:val="3"/>
        </w:numPr>
        <w:spacing w:after="60"/>
      </w:pPr>
      <w:r>
        <w:rPr>
          <w:rFonts w:ascii="Arial" w:cs="Arial" w:eastAsia="Arial" w:hAnsi="Arial"/>
          <w:b/>
          <w:bCs/>
          <w:sz w:val="22"/>
          <w:szCs w:val="22"/>
        </w:rPr>
        <w:t xml:space="preserve">Hallucination Rate: </w:t>
      </w:r>
      <w:r>
        <w:rPr>
          <w:rFonts w:ascii="Arial" w:cs="Arial" w:eastAsia="Arial" w:hAnsi="Arial"/>
          <w:sz w:val="22"/>
          <w:szCs w:val="22"/>
        </w:rPr>
        <w:t xml:space="preserve">Percentage of incorrect answers generated (vs. abstention)</w:t>
      </w:r>
    </w:p>
    <w:p>
      <w:pPr>
        <w:pStyle w:val="ListParagraph"/>
        <w:numPr>
          <w:ilvl w:val="0"/>
          <w:numId w:val="3"/>
        </w:numPr>
        <w:spacing w:after="60"/>
      </w:pPr>
      <w:r>
        <w:rPr>
          <w:rFonts w:ascii="Arial" w:cs="Arial" w:eastAsia="Arial" w:hAnsi="Arial"/>
          <w:b/>
          <w:bCs/>
          <w:sz w:val="22"/>
          <w:szCs w:val="22"/>
        </w:rPr>
        <w:t xml:space="preserve">Abstention Precision: </w:t>
      </w:r>
      <w:r>
        <w:rPr>
          <w:rFonts w:ascii="Arial" w:cs="Arial" w:eastAsia="Arial" w:hAnsi="Arial"/>
          <w:sz w:val="22"/>
          <w:szCs w:val="22"/>
        </w:rPr>
        <w:t xml:space="preserve">When the system abstains, how often was context truly insufficient?</w:t>
      </w:r>
    </w:p>
    <w:p>
      <w:pPr>
        <w:pStyle w:val="ListParagraph"/>
        <w:numPr>
          <w:ilvl w:val="0"/>
          <w:numId w:val="3"/>
        </w:numPr>
        <w:spacing w:after="60"/>
      </w:pPr>
      <w:r>
        <w:rPr>
          <w:rFonts w:ascii="Arial" w:cs="Arial" w:eastAsia="Arial" w:hAnsi="Arial"/>
          <w:b/>
          <w:bCs/>
          <w:sz w:val="22"/>
          <w:szCs w:val="22"/>
        </w:rPr>
        <w:t xml:space="preserve">Router Overhead: </w:t>
      </w:r>
      <w:r>
        <w:rPr>
          <w:rFonts w:ascii="Arial" w:cs="Arial" w:eastAsia="Arial" w:hAnsi="Arial"/>
          <w:sz w:val="22"/>
          <w:szCs w:val="22"/>
        </w:rPr>
        <w:t xml:space="preserve">Additional latency and compute cost of the sufficiency scorer + router</w:t>
      </w:r>
    </w:p>
    <w:p>
      <w:pPr>
        <w:spacing w:after="80"/>
      </w:pPr>
    </w:p>
    <w:p>
      <w:pPr>
        <w:pStyle w:val="Heading2"/>
      </w:pPr>
      <w:r>
        <w:t xml:space="preserve">4.3 Baselines</w:t>
      </w:r>
    </w:p>
    <w:p>
      <w:pPr>
        <w:pStyle w:val="ListParagraph"/>
        <w:numPr>
          <w:ilvl w:val="0"/>
          <w:numId w:val="3"/>
        </w:numPr>
        <w:spacing w:after="60"/>
      </w:pPr>
      <w:r>
        <w:rPr>
          <w:rFonts w:ascii="Arial" w:cs="Arial" w:eastAsia="Arial" w:hAnsi="Arial"/>
          <w:b/>
          <w:bCs/>
          <w:sz w:val="22"/>
          <w:szCs w:val="22"/>
        </w:rPr>
        <w:t xml:space="preserve">Always-Strong: </w:t>
      </w:r>
      <w:r>
        <w:rPr>
          <w:rFonts w:ascii="Arial" w:cs="Arial" w:eastAsia="Arial" w:hAnsi="Arial"/>
          <w:sz w:val="22"/>
          <w:szCs w:val="22"/>
        </w:rPr>
        <w:t xml:space="preserve">All queries routed to GPT-4o (upper bound on quality, highest cost)</w:t>
      </w:r>
    </w:p>
    <w:p>
      <w:pPr>
        <w:pStyle w:val="ListParagraph"/>
        <w:numPr>
          <w:ilvl w:val="0"/>
          <w:numId w:val="3"/>
        </w:numPr>
        <w:spacing w:after="60"/>
      </w:pPr>
      <w:r>
        <w:rPr>
          <w:rFonts w:ascii="Arial" w:cs="Arial" w:eastAsia="Arial" w:hAnsi="Arial"/>
          <w:b/>
          <w:bCs/>
          <w:sz w:val="22"/>
          <w:szCs w:val="22"/>
        </w:rPr>
        <w:t xml:space="preserve">Always-Weak: </w:t>
      </w:r>
      <w:r>
        <w:rPr>
          <w:rFonts w:ascii="Arial" w:cs="Arial" w:eastAsia="Arial" w:hAnsi="Arial"/>
          <w:sz w:val="22"/>
          <w:szCs w:val="22"/>
        </w:rPr>
        <w:t xml:space="preserve">All queries routed to GPT-4o-mini (lowest cost, lower quality)</w:t>
      </w:r>
    </w:p>
    <w:p>
      <w:pPr>
        <w:pStyle w:val="ListParagraph"/>
        <w:numPr>
          <w:ilvl w:val="0"/>
          <w:numId w:val="3"/>
        </w:numPr>
        <w:spacing w:after="60"/>
      </w:pPr>
      <w:r>
        <w:rPr>
          <w:rFonts w:ascii="Arial" w:cs="Arial" w:eastAsia="Arial" w:hAnsi="Arial"/>
          <w:b/>
          <w:bCs/>
          <w:sz w:val="22"/>
          <w:szCs w:val="22"/>
        </w:rPr>
        <w:t xml:space="preserve">Random Router: </w:t>
      </w:r>
      <w:r>
        <w:rPr>
          <w:rFonts w:ascii="Arial" w:cs="Arial" w:eastAsia="Arial" w:hAnsi="Arial"/>
          <w:sz w:val="22"/>
          <w:szCs w:val="22"/>
        </w:rPr>
        <w:t xml:space="preserve">50/50 random routing between models</w:t>
      </w:r>
    </w:p>
    <w:p>
      <w:pPr>
        <w:pStyle w:val="ListParagraph"/>
        <w:numPr>
          <w:ilvl w:val="0"/>
          <w:numId w:val="3"/>
        </w:numPr>
        <w:spacing w:after="60"/>
      </w:pPr>
      <w:r>
        <w:rPr>
          <w:rFonts w:ascii="Arial" w:cs="Arial" w:eastAsia="Arial" w:hAnsi="Arial"/>
          <w:b/>
          <w:bCs/>
          <w:sz w:val="22"/>
          <w:szCs w:val="22"/>
        </w:rPr>
        <w:t xml:space="preserve">RouteLLM: </w:t>
      </w:r>
      <w:r>
        <w:rPr>
          <w:rFonts w:ascii="Arial" w:cs="Arial" w:eastAsia="Arial" w:hAnsi="Arial"/>
          <w:sz w:val="22"/>
          <w:szCs w:val="22"/>
        </w:rPr>
        <w:t xml:space="preserve">State-of-the-art query-only routing (no retrieval signals)</w:t>
      </w:r>
    </w:p>
    <w:p>
      <w:pPr>
        <w:pStyle w:val="ListParagraph"/>
        <w:numPr>
          <w:ilvl w:val="0"/>
          <w:numId w:val="3"/>
        </w:numPr>
        <w:spacing w:after="60"/>
      </w:pPr>
      <w:r>
        <w:rPr>
          <w:rFonts w:ascii="Arial" w:cs="Arial" w:eastAsia="Arial" w:hAnsi="Arial"/>
          <w:b/>
          <w:bCs/>
          <w:sz w:val="22"/>
          <w:szCs w:val="22"/>
        </w:rPr>
        <w:t xml:space="preserve">Self-RAG: </w:t>
      </w:r>
      <w:r>
        <w:rPr>
          <w:rFonts w:ascii="Arial" w:cs="Arial" w:eastAsia="Arial" w:hAnsi="Arial"/>
          <w:sz w:val="22"/>
          <w:szCs w:val="22"/>
        </w:rPr>
        <w:t xml:space="preserve">Self-reflective RAG with retrieval tokens (more expensive but quality-focused)</w:t>
      </w:r>
    </w:p>
    <w:p>
      <w:pPr>
        <w:spacing w:after="80"/>
      </w:pPr>
    </w:p>
    <w:p>
      <w:pPr>
        <w:pStyle w:val="Heading1"/>
      </w:pPr>
      <w:r>
        <w:t xml:space="preserve">5. Research Timeline (24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Activities</w:t>
            </w:r>
          </w:p>
        </w:tc>
      </w:tr>
      <w:tr>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Weeks 1-3</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Literature Review</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Read 15-20 key papers; map the research landscape; identify exact baselines and gaps; write Related Work notes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Weeks 4-5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Environment Setup</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Set up RAG pipeline with FAISS + Contriever; implement baseline retrieval on NQ, HotpotQA, FreshQA; test GPT-4o and GPT-4o-mini as generator models</w:t>
            </w:r>
          </w:p>
        </w:tc>
      </w:tr>
      <w:tr>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Weeks 6-8</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Sufficiency Scorer</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Generate training data by running both strong/weak models on retrieved contexts; train DeBERTa-based sufficiency classifier; validate on held-out set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Weeks 9-10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Router Implementation</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Build the cost-aware routing module; implement threshold-based and learned routing strategies; integrate sufficiency scores into routing decisions</w:t>
            </w:r>
          </w:p>
        </w:tc>
      </w:tr>
      <w:tr>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Weeks 11-14</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Full Experiments</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Run evaluation across all 3 datasets; compute all metrics (accuracy, cost, hallucination rate, abstention precision); perform ablation studies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Weeks 15-16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Analysis &amp; Figures</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Create Pareto curves (cost vs. quality); build comparison tables; analyze failure cases; write Results and Discussion</w:t>
            </w:r>
          </w:p>
        </w:tc>
      </w:tr>
      <w:tr>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Weeks 17-20</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Paper Writing</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Write full draft following ACL format; Introduction, Related Work, Method, Experiments, Results, Conclusion</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Weeks 21-23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Revision</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Seek feedback from peers/professors; revise based on feedback; proofread and polish</w:t>
            </w:r>
          </w:p>
        </w:tc>
      </w:tr>
      <w:tr>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Week 24</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Submission</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Format for target venue; submit paper; upload code to GitHub</w:t>
            </w:r>
          </w:p>
        </w:tc>
      </w:tr>
    </w:tbl>
    <w:p>
      <w:pPr>
        <w:spacing w:after="80"/>
      </w:pPr>
    </w:p>
    <w:p>
      <w:pPr>
        <w:pStyle w:val="Heading1"/>
      </w:pPr>
      <w:r>
        <w:t xml:space="preserve">6. Key Literature</w:t>
      </w:r>
    </w:p>
    <w:p>
      <w:pPr>
        <w:spacing w:after="120"/>
      </w:pPr>
      <w:r>
        <w:t xml:space="preserve">The following papers form the essential reading list. They should be read in the order presented, as each builds context for the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Paper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Finding</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 to You</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Sufficient Context (ICLR 2025)</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Joren et al.</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Context sufficiency in RAG; shows RAG can paradoxically increase hallucinations</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Direct predecessor for sufficiency scoring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RouteLLM (ICLR 2025)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Ong et al.</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Framework for routing queries between strong/weak LLMs using preference data</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Your routing baseline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Self-RAG (NeurIPS 2023)</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Asai et al.</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LLMs that self-reflect on retrieval quality via special tokens</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Related approach (but more expensive)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Adaptive-RAG (NAACL 2024)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Jeong et al.</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Adapts retrieval strategy based on query complexity</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Related adaptive approach</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RAGAS (2024)</w:t>
            </w:r>
          </w:p>
        </w:tc>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Es et al.</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Standard evaluation framework for RAG systems</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You will use their metrics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When Not to Trust LMs (ACL 2023)</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Mallen et al.</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When parametric vs. non-parametric memory works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Informs routing logic</w:t>
            </w:r>
          </w:p>
        </w:tc>
      </w:tr>
    </w:tbl>
    <w:p>
      <w:pPr>
        <w:spacing w:after="80"/>
      </w:pPr>
    </w:p>
    <w:p>
      <w:pPr>
        <w:pStyle w:val="Heading1"/>
      </w:pPr>
      <w:r>
        <w:t xml:space="preserve">7. Compute and Budget Plan</w:t>
      </w:r>
    </w:p>
    <w:p>
      <w:pPr>
        <w:spacing w:after="120"/>
      </w:pPr>
      <w:r>
        <w:t xml:space="preserve">This research is designed to be executed on a student budget. Estimated total cost: $20-40.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Retrieval Index (FAISS)</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Google Colab / Local machine</w:t>
            </w:r>
          </w:p>
        </w:tc>
        <w:tc>
          <w:tcPr>
            <w:tcW w:type="dxa" w:w="3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Sufficiency Scorer Training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Google Colab free GPU (T4)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Weak Model Inference</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GPT-4o-mini API (~$0.15/1M tokens)</w:t>
            </w:r>
          </w:p>
        </w:tc>
        <w:tc>
          <w:tcPr>
            <w:tcW w:type="dxa" w:w="3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Strong Model Inference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GPT-4o API (~$2.50/1M tokens)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~$15-25</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Open-source alternatives</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Llama-3-8B on Colab / UC cluster</w:t>
            </w:r>
          </w:p>
        </w:tc>
        <w:tc>
          <w:tcPr>
            <w:tcW w:type="dxa" w:w="3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Total Estimated Cost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$20-40</w:t>
            </w:r>
          </w:p>
        </w:tc>
      </w:tr>
    </w:tbl>
    <w:p>
      <w:pPr>
        <w:spacing w:after="80"/>
      </w:pPr>
    </w:p>
    <w:p>
      <w:pPr>
        <w:pStyle w:val="Heading1"/>
      </w:pPr>
      <w:r>
        <w:t xml:space="preserve">8. Target Venues</w:t>
      </w:r>
    </w:p>
    <w:p>
      <w:pPr>
        <w:spacing w:after="120"/>
      </w:pPr>
      <w:r>
        <w:t xml:space="preserve">Recommended submission targets in priority order:</w:t>
      </w:r>
    </w:p>
    <w:p>
      <w:pPr>
        <w:spacing w:after="80"/>
      </w:pPr>
    </w:p>
    <w:p>
      <w:pPr>
        <w:pStyle w:val="ListParagraph"/>
        <w:numPr>
          <w:ilvl w:val="0"/>
          <w:numId w:val="2"/>
        </w:numPr>
        <w:spacing w:after="60"/>
      </w:pPr>
      <w:r>
        <w:rPr>
          <w:rFonts w:ascii="Arial" w:cs="Arial" w:eastAsia="Arial" w:hAnsi="Arial"/>
          <w:b/>
          <w:bCs/>
          <w:sz w:val="22"/>
          <w:szCs w:val="22"/>
        </w:rPr>
        <w:t xml:space="preserve">ACL 2026 Student Research Workshop: </w:t>
      </w:r>
      <w:r>
        <w:rPr>
          <w:rFonts w:ascii="Arial" w:cs="Arial" w:eastAsia="Arial" w:hAnsi="Arial"/>
          <w:sz w:val="22"/>
          <w:szCs w:val="22"/>
        </w:rPr>
        <w:t xml:space="preserve">Designed specifically for students; includes mentoring. Deadline typically March-April 2026. Ideal for a first paper.</w:t>
      </w:r>
    </w:p>
    <w:p>
      <w:pPr>
        <w:pStyle w:val="ListParagraph"/>
        <w:numPr>
          <w:ilvl w:val="0"/>
          <w:numId w:val="2"/>
        </w:numPr>
        <w:spacing w:after="60"/>
      </w:pPr>
      <w:r>
        <w:rPr>
          <w:rFonts w:ascii="Arial" w:cs="Arial" w:eastAsia="Arial" w:hAnsi="Arial"/>
          <w:b/>
          <w:bCs/>
          <w:sz w:val="22"/>
          <w:szCs w:val="22"/>
        </w:rPr>
        <w:t xml:space="preserve">EMNLP 2026 Workshop on Retrieval-Augmented Generation: </w:t>
      </w:r>
      <w:r>
        <w:rPr>
          <w:rFonts w:ascii="Arial" w:cs="Arial" w:eastAsia="Arial" w:hAnsi="Arial"/>
          <w:sz w:val="22"/>
          <w:szCs w:val="22"/>
        </w:rPr>
        <w:t xml:space="preserve">If such a workshop is announced (likely). Deadline typically July-August 2026. Perfect topical fit.</w:t>
      </w:r>
    </w:p>
    <w:p>
      <w:pPr>
        <w:pStyle w:val="ListParagraph"/>
        <w:numPr>
          <w:ilvl w:val="0"/>
          <w:numId w:val="2"/>
        </w:numPr>
        <w:spacing w:after="60"/>
      </w:pPr>
      <w:r>
        <w:rPr>
          <w:rFonts w:ascii="Arial" w:cs="Arial" w:eastAsia="Arial" w:hAnsi="Arial"/>
          <w:b/>
          <w:bCs/>
          <w:sz w:val="22"/>
          <w:szCs w:val="22"/>
        </w:rPr>
        <w:t xml:space="preserve">NAACL 2026 Workshops: </w:t>
      </w:r>
      <w:r>
        <w:rPr>
          <w:rFonts w:ascii="Arial" w:cs="Arial" w:eastAsia="Arial" w:hAnsi="Arial"/>
          <w:sz w:val="22"/>
          <w:szCs w:val="22"/>
        </w:rPr>
        <w:t xml:space="preserve">Multiple relevant workshops (Efficient NLP, etc.). Deadline typically June 2026.</w:t>
      </w:r>
    </w:p>
    <w:p>
      <w:pPr>
        <w:pStyle w:val="ListParagraph"/>
        <w:numPr>
          <w:ilvl w:val="0"/>
          <w:numId w:val="2"/>
        </w:numPr>
        <w:spacing w:after="60"/>
      </w:pPr>
      <w:r>
        <w:rPr>
          <w:rFonts w:ascii="Arial" w:cs="Arial" w:eastAsia="Arial" w:hAnsi="Arial"/>
          <w:b/>
          <w:bCs/>
          <w:sz w:val="22"/>
          <w:szCs w:val="22"/>
        </w:rPr>
        <w:t xml:space="preserve">AAAI 2027 Workshop Track: </w:t>
      </w:r>
      <w:r>
        <w:rPr>
          <w:rFonts w:ascii="Arial" w:cs="Arial" w:eastAsia="Arial" w:hAnsi="Arial"/>
          <w:sz w:val="22"/>
          <w:szCs w:val="22"/>
        </w:rPr>
        <w:t xml:space="preserve">Deadline around August 2026. Broader AI venue.</w:t>
      </w:r>
    </w:p>
    <w:p>
      <w:pPr>
        <w:pStyle w:val="ListParagraph"/>
        <w:numPr>
          <w:ilvl w:val="0"/>
          <w:numId w:val="2"/>
        </w:numPr>
        <w:spacing w:after="60"/>
      </w:pPr>
      <w:r>
        <w:rPr>
          <w:rFonts w:ascii="Arial" w:cs="Arial" w:eastAsia="Arial" w:hAnsi="Arial"/>
          <w:b/>
          <w:bCs/>
          <w:sz w:val="22"/>
          <w:szCs w:val="22"/>
        </w:rPr>
        <w:t xml:space="preserve">Fallback - arXiv Preprint: </w:t>
      </w:r>
      <w:r>
        <w:rPr>
          <w:rFonts w:ascii="Arial" w:cs="Arial" w:eastAsia="Arial" w:hAnsi="Arial"/>
          <w:sz w:val="22"/>
          <w:szCs w:val="22"/>
        </w:rPr>
        <w:t xml:space="preserve">If conference timing does not align, publish on arXiv first to establish priority, then submit to a venue. ArXiv preprints are widely cited and respected.</w:t>
      </w:r>
    </w:p>
    <w:p>
      <w:pPr>
        <w:spacing w:after="80"/>
      </w:pPr>
    </w:p>
    <w:p>
      <w:pPr>
        <w:pStyle w:val="Heading1"/>
      </w:pPr>
      <w:r>
        <w:t xml:space="preserve">9. Expected Results and Impact</w:t>
      </w:r>
    </w:p>
    <w:p>
      <w:pPr>
        <w:spacing w:after="120"/>
      </w:pPr>
      <w:r>
        <w:t xml:space="preserve">Based on prior work in LLM routing and RAG evaluation, we expect the following results:</w:t>
      </w:r>
    </w:p>
    <w:p>
      <w:pPr>
        <w:pStyle w:val="ListParagraph"/>
        <w:numPr>
          <w:ilvl w:val="0"/>
          <w:numId w:val="3"/>
        </w:numPr>
        <w:spacing w:after="60"/>
      </w:pPr>
      <w:r>
        <w:rPr>
          <w:rFonts w:ascii="Arial" w:cs="Arial" w:eastAsia="Arial" w:hAnsi="Arial"/>
          <w:b/>
          <w:bCs/>
          <w:sz w:val="22"/>
          <w:szCs w:val="22"/>
        </w:rPr>
        <w:t xml:space="preserve">Cost Reduction: </w:t>
      </w:r>
      <w:r>
        <w:rPr>
          <w:rFonts w:ascii="Arial" w:cs="Arial" w:eastAsia="Arial" w:hAnsi="Arial"/>
          <w:sz w:val="22"/>
          <w:szCs w:val="22"/>
        </w:rPr>
        <w:t xml:space="preserve">40-70% reduction in inference costs compared to always-strong baseline, by routing 50-70% of queries to the weak model when context sufficiency is high.</w:t>
      </w:r>
    </w:p>
    <w:p>
      <w:pPr>
        <w:pStyle w:val="ListParagraph"/>
        <w:numPr>
          <w:ilvl w:val="0"/>
          <w:numId w:val="3"/>
        </w:numPr>
        <w:spacing w:after="60"/>
      </w:pPr>
      <w:r>
        <w:rPr>
          <w:rFonts w:ascii="Arial" w:cs="Arial" w:eastAsia="Arial" w:hAnsi="Arial"/>
          <w:b/>
          <w:bCs/>
          <w:sz w:val="22"/>
          <w:szCs w:val="22"/>
        </w:rPr>
        <w:t xml:space="preserve">Accuracy Maintenance: </w:t>
      </w:r>
      <w:r>
        <w:rPr>
          <w:rFonts w:ascii="Arial" w:cs="Arial" w:eastAsia="Arial" w:hAnsi="Arial"/>
          <w:sz w:val="22"/>
          <w:szCs w:val="22"/>
        </w:rPr>
        <w:t xml:space="preserve">Less than 2% drop in F1 score compared to always-strong, with potential improvement on datasets where abstention prevents hallucination.</w:t>
      </w:r>
    </w:p>
    <w:p>
      <w:pPr>
        <w:pStyle w:val="ListParagraph"/>
        <w:numPr>
          <w:ilvl w:val="0"/>
          <w:numId w:val="3"/>
        </w:numPr>
        <w:spacing w:after="60"/>
      </w:pPr>
      <w:r>
        <w:rPr>
          <w:rFonts w:ascii="Arial" w:cs="Arial" w:eastAsia="Arial" w:hAnsi="Arial"/>
          <w:b/>
          <w:bCs/>
          <w:sz w:val="22"/>
          <w:szCs w:val="22"/>
        </w:rPr>
        <w:t xml:space="preserve">Hallucination Reduction: </w:t>
      </w:r>
      <w:r>
        <w:rPr>
          <w:rFonts w:ascii="Arial" w:cs="Arial" w:eastAsia="Arial" w:hAnsi="Arial"/>
          <w:sz w:val="22"/>
          <w:szCs w:val="22"/>
        </w:rPr>
        <w:t xml:space="preserve">10-25% reduction in hallucination rate through sufficiency-aware abstention, directly addressing the paradox identified in the Sufficient Context paper.</w:t>
      </w:r>
    </w:p>
    <w:p>
      <w:pPr>
        <w:pStyle w:val="ListParagraph"/>
        <w:numPr>
          <w:ilvl w:val="0"/>
          <w:numId w:val="3"/>
        </w:numPr>
        <w:spacing w:after="60"/>
      </w:pPr>
      <w:r>
        <w:rPr>
          <w:rFonts w:ascii="Arial" w:cs="Arial" w:eastAsia="Arial" w:hAnsi="Arial"/>
          <w:b/>
          <w:bCs/>
          <w:sz w:val="22"/>
          <w:szCs w:val="22"/>
        </w:rPr>
        <w:t xml:space="preserve">Minimal Overhead: </w:t>
      </w:r>
      <w:r>
        <w:rPr>
          <w:rFonts w:ascii="Arial" w:cs="Arial" w:eastAsia="Arial" w:hAnsi="Arial"/>
          <w:sz w:val="22"/>
          <w:szCs w:val="22"/>
        </w:rPr>
        <w:t xml:space="preserve">The DeBERTa-based sufficiency scorer should add less than 50ms latency per query, making the approach practical for production systems.</w:t>
      </w:r>
    </w:p>
    <w:p>
      <w:pPr>
        <w:spacing w:after="80"/>
      </w:pPr>
    </w:p>
    <w:p>
      <w:pPr>
        <w:pStyle w:val="Heading1"/>
      </w:pPr>
      <w:r>
        <w:t xml:space="preserve">10. Risks and Mitigation</w:t>
      </w:r>
    </w:p>
    <w:p>
      <w:pPr>
        <w:pStyle w:val="ListParagraph"/>
        <w:numPr>
          <w:ilvl w:val="0"/>
          <w:numId w:val="3"/>
        </w:numPr>
        <w:spacing w:after="60"/>
      </w:pPr>
      <w:r>
        <w:rPr>
          <w:rFonts w:ascii="Arial" w:cs="Arial" w:eastAsia="Arial" w:hAnsi="Arial"/>
          <w:b/>
          <w:bCs/>
          <w:sz w:val="22"/>
          <w:szCs w:val="22"/>
        </w:rPr>
        <w:t xml:space="preserve">Risk: Sufficiency scorer does not generalize across datasets. </w:t>
      </w:r>
      <w:r>
        <w:rPr>
          <w:rFonts w:ascii="Arial" w:cs="Arial" w:eastAsia="Arial" w:hAnsi="Arial"/>
          <w:sz w:val="22"/>
          <w:szCs w:val="22"/>
        </w:rPr>
        <w:t xml:space="preserve">Mitigation: Train on a mix of all three datasets; perform cross-dataset evaluation; use domain-agnostic features.</w:t>
      </w:r>
    </w:p>
    <w:p>
      <w:pPr>
        <w:pStyle w:val="ListParagraph"/>
        <w:numPr>
          <w:ilvl w:val="0"/>
          <w:numId w:val="3"/>
        </w:numPr>
        <w:spacing w:after="60"/>
      </w:pPr>
      <w:r>
        <w:rPr>
          <w:rFonts w:ascii="Arial" w:cs="Arial" w:eastAsia="Arial" w:hAnsi="Arial"/>
          <w:b/>
          <w:bCs/>
          <w:sz w:val="22"/>
          <w:szCs w:val="22"/>
        </w:rPr>
        <w:t xml:space="preserve">Risk: Cost savings are marginal. </w:t>
      </w:r>
      <w:r>
        <w:rPr>
          <w:rFonts w:ascii="Arial" w:cs="Arial" w:eastAsia="Arial" w:hAnsi="Arial"/>
          <w:sz w:val="22"/>
          <w:szCs w:val="22"/>
        </w:rPr>
        <w:t xml:space="preserve">Mitigation: Even 30% cost reduction is publishable if accuracy is maintained. The abstention/hallucination angle provides a second contribution.</w:t>
      </w:r>
    </w:p>
    <w:p>
      <w:pPr>
        <w:pStyle w:val="ListParagraph"/>
        <w:numPr>
          <w:ilvl w:val="0"/>
          <w:numId w:val="3"/>
        </w:numPr>
        <w:spacing w:after="60"/>
      </w:pPr>
      <w:r>
        <w:rPr>
          <w:rFonts w:ascii="Arial" w:cs="Arial" w:eastAsia="Arial" w:hAnsi="Arial"/>
          <w:b/>
          <w:bCs/>
          <w:sz w:val="22"/>
          <w:szCs w:val="22"/>
        </w:rPr>
        <w:t xml:space="preserve">Risk: API costs exceed budget. </w:t>
      </w:r>
      <w:r>
        <w:rPr>
          <w:rFonts w:ascii="Arial" w:cs="Arial" w:eastAsia="Arial" w:hAnsi="Arial"/>
          <w:sz w:val="22"/>
          <w:szCs w:val="22"/>
        </w:rPr>
        <w:t xml:space="preserve">Mitigation: Start with smaller subsets; use open-source models (Llama-3-8B) as the weak model to reduce costs; leverage UC compute resources.</w:t>
      </w:r>
    </w:p>
    <w:p>
      <w:pPr>
        <w:pStyle w:val="ListParagraph"/>
        <w:numPr>
          <w:ilvl w:val="0"/>
          <w:numId w:val="3"/>
        </w:numPr>
        <w:spacing w:after="60"/>
      </w:pPr>
      <w:r>
        <w:rPr>
          <w:rFonts w:ascii="Arial" w:cs="Arial" w:eastAsia="Arial" w:hAnsi="Arial"/>
          <w:b/>
          <w:bCs/>
          <w:sz w:val="22"/>
          <w:szCs w:val="22"/>
        </w:rPr>
        <w:t xml:space="preserve">Risk: Paper rejected from first venue. </w:t>
      </w:r>
      <w:r>
        <w:rPr>
          <w:rFonts w:ascii="Arial" w:cs="Arial" w:eastAsia="Arial" w:hAnsi="Arial"/>
          <w:sz w:val="22"/>
          <w:szCs w:val="22"/>
        </w:rPr>
        <w:t xml:space="preserve">Mitigation: Multiple target venues with staggered deadlines; arXiv preprint as fallback; reviewer feedback improves subsequent submissions.</w:t>
      </w:r>
    </w:p>
    <w:p>
      <w:pPr>
        <w:spacing w:after="80"/>
      </w:pPr>
    </w:p>
    <w:p>
      <w:pPr>
        <w:pStyle w:val="Heading1"/>
      </w:pPr>
      <w:r>
        <w:t xml:space="preserve">11. Immediate Next Steps</w:t>
      </w:r>
    </w:p>
    <w:p>
      <w:pPr>
        <w:spacing w:after="120"/>
      </w:pPr>
      <w:r>
        <w:t xml:space="preserve">To begin this research project this week:</w:t>
      </w:r>
    </w:p>
    <w:p>
      <w:pPr>
        <w:pStyle w:val="ListParagraph"/>
        <w:numPr>
          <w:ilvl w:val="0"/>
          <w:numId w:val="2"/>
        </w:numPr>
        <w:spacing w:after="60"/>
      </w:pPr>
      <w:r>
        <w:rPr>
          <w:rFonts w:ascii="Arial" w:cs="Arial" w:eastAsia="Arial" w:hAnsi="Arial"/>
          <w:sz w:val="22"/>
          <w:szCs w:val="22"/>
        </w:rPr>
        <w:t xml:space="preserve">Read the Sufficient Context paper (ICLR 2025) and RouteLLM paper end-to-end.</w:t>
      </w:r>
    </w:p>
    <w:p>
      <w:pPr>
        <w:pStyle w:val="ListParagraph"/>
        <w:numPr>
          <w:ilvl w:val="0"/>
          <w:numId w:val="2"/>
        </w:numPr>
        <w:spacing w:after="60"/>
      </w:pPr>
      <w:r>
        <w:rPr>
          <w:rFonts w:ascii="Arial" w:cs="Arial" w:eastAsia="Arial" w:hAnsi="Arial"/>
          <w:sz w:val="22"/>
          <w:szCs w:val="22"/>
        </w:rPr>
        <w:t xml:space="preserve">Set up a GitHub repository for the project with a clear README and MIT license.</w:t>
      </w:r>
    </w:p>
    <w:p>
      <w:pPr>
        <w:pStyle w:val="ListParagraph"/>
        <w:numPr>
          <w:ilvl w:val="0"/>
          <w:numId w:val="2"/>
        </w:numPr>
        <w:spacing w:after="60"/>
      </w:pPr>
      <w:r>
        <w:rPr>
          <w:rFonts w:ascii="Arial" w:cs="Arial" w:eastAsia="Arial" w:hAnsi="Arial"/>
          <w:sz w:val="22"/>
          <w:szCs w:val="22"/>
        </w:rPr>
        <w:t xml:space="preserve">Download the Natural Questions and HotpotQA datasets; explore their structure.</w:t>
      </w:r>
    </w:p>
    <w:p>
      <w:pPr>
        <w:pStyle w:val="ListParagraph"/>
        <w:numPr>
          <w:ilvl w:val="0"/>
          <w:numId w:val="2"/>
        </w:numPr>
        <w:spacing w:after="60"/>
      </w:pPr>
      <w:r>
        <w:rPr>
          <w:rFonts w:ascii="Arial" w:cs="Arial" w:eastAsia="Arial" w:hAnsi="Arial"/>
          <w:sz w:val="22"/>
          <w:szCs w:val="22"/>
        </w:rPr>
        <w:t xml:space="preserve">Create a Google Colab notebook for initial RAG pipeline experiments.</w:t>
      </w:r>
    </w:p>
    <w:p>
      <w:pPr>
        <w:pStyle w:val="ListParagraph"/>
        <w:numPr>
          <w:ilvl w:val="0"/>
          <w:numId w:val="2"/>
        </w:numPr>
        <w:spacing w:after="60"/>
      </w:pPr>
      <w:r>
        <w:rPr>
          <w:rFonts w:ascii="Arial" w:cs="Arial" w:eastAsia="Arial" w:hAnsi="Arial"/>
          <w:sz w:val="22"/>
          <w:szCs w:val="22"/>
        </w:rPr>
        <w:t xml:space="preserve">Consider reaching out to a UC NLP/IR professor for informal feedback (not as co-author, just a 15-minute chat).</w:t>
      </w:r>
    </w:p>
    <w:p>
      <w:pPr>
        <w:spacing w:after="80"/>
      </w:pPr>
    </w:p>
    <w:p>
      <w:pPr>
        <w:spacing w:after="120"/>
      </w:pPr>
      <w:r>
        <w:rPr>
          <w:i/>
          <w:iCs/>
          <w:color w:val="7F8C8D"/>
        </w:rPr>
        <w:t xml:space="preserve">This plan is a living document. Revisit and adjust the timeline as experiments reveal new insights or challenges.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Research Plan: Cost-Aware RAG with Context Sufficiency Routing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2026-03-05T09:03:30.682Z</dcterms:created>
  <dcterms:modified xsi:type="dcterms:W3CDTF">2026-03-05T09:03:30.683Z</dcterms:modified>
</cp:coreProperties>
</file>

<file path=docProps/custom.xml><?xml version="1.0" encoding="utf-8"?>
<Properties xmlns="http://schemas.openxmlformats.org/officeDocument/2006/custom-properties" xmlns:vt="http://schemas.openxmlformats.org/officeDocument/2006/docPropsVTypes"/>
</file>