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B9E" w:rsidRDefault="00096B9E" w:rsidP="00CB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hu-HU"/>
        </w:rPr>
      </w:pPr>
      <w:r w:rsidRPr="00096B9E">
        <w:rPr>
          <w:rFonts w:ascii="Tahoma" w:eastAsia="Times New Roman" w:hAnsi="Tahoma" w:cs="Tahoma"/>
          <w:b/>
          <w:color w:val="000000"/>
          <w:sz w:val="21"/>
          <w:szCs w:val="21"/>
          <w:lang w:eastAsia="hu-HU"/>
        </w:rPr>
        <w:t>﻿</w:t>
      </w:r>
      <w:r w:rsidRPr="00096B9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hu-HU"/>
        </w:rPr>
        <w:t>QR kód</w:t>
      </w:r>
    </w:p>
    <w:p w:rsidR="00CB5948" w:rsidRPr="00096B9E" w:rsidRDefault="00CB5948" w:rsidP="00CB59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hu-HU"/>
        </w:rPr>
      </w:pPr>
    </w:p>
    <w:p w:rsidR="00096B9E" w:rsidRPr="00096B9E" w:rsidRDefault="00B4432D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>
        <w:rPr>
          <w:rFonts w:ascii="Times New Roman" w:eastAsia="Times New Roman" w:hAnsi="Times New Roman" w:cs="Times New Roman"/>
          <w:noProof/>
          <w:color w:val="000000"/>
          <w:lang w:eastAsia="hu-HU"/>
        </w:rPr>
        <w:drawing>
          <wp:anchor distT="0" distB="0" distL="114300" distR="114300" simplePos="0" relativeHeight="251659264" behindDoc="0" locked="0" layoutInCell="1" allowOverlap="1" wp14:anchorId="7F062AB1" wp14:editId="2AA0CBF4">
            <wp:simplePos x="0" y="0"/>
            <wp:positionH relativeFrom="margin">
              <wp:align>center</wp:align>
            </wp:positionH>
            <wp:positionV relativeFrom="paragraph">
              <wp:posOffset>1301377</wp:posOffset>
            </wp:positionV>
            <wp:extent cx="3996690" cy="1432560"/>
            <wp:effectExtent l="0" t="0" r="3810" b="0"/>
            <wp:wrapTopAndBottom/>
            <wp:docPr id="2" name="Kép 2" descr="C:\Users\Dóra\AppData\Local\Microsoft\Windows\INetCache\Content.Word\2d_c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óra\AppData\Local\Microsoft\Windows\INetCache\Content.Word\2d_cod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9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5D1">
        <w:rPr>
          <w:rFonts w:ascii="Times New Roman" w:eastAsia="Times New Roman" w:hAnsi="Times New Roman" w:cs="Times New Roman"/>
          <w:noProof/>
          <w:color w:val="000000"/>
          <w:lang w:eastAsia="hu-HU"/>
        </w:rPr>
        <w:drawing>
          <wp:anchor distT="0" distB="0" distL="114300" distR="114300" simplePos="0" relativeHeight="251658240" behindDoc="1" locked="0" layoutInCell="1" allowOverlap="1" wp14:anchorId="6198C9F0" wp14:editId="3D87E52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720000" cy="720000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" name="Kép 1" descr="C:\Users\Dóra\AppData\Local\Microsoft\Windows\INetCache\Content.Word\qr_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óra\AppData\Local\Microsoft\Windows\INetCache\Content.Word\qr_lin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   A QR kód  egy kétdimenziós vonalkód, amit a japán Toyota-csoport autóalkatrészeket gyártó leányvállalata, a Denso-</w:t>
      </w:r>
      <w:proofErr w:type="spellStart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>Wave</w:t>
      </w:r>
      <w:proofErr w:type="spellEnd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cég fejlesztett ki 1994-ben.     A cél egy olyan azonosító kidolgozása volt, amely az akkor már 20 éve használt egydimenziós vonalkódnál több </w:t>
      </w:r>
      <w:proofErr w:type="gramStart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>információt</w:t>
      </w:r>
      <w:proofErr w:type="gramEnd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képes tárolni kis területen, több karakterkészletet támogat, és ahhoz hasonlóan egyszerűen, gyorsan beolvasható. A </w:t>
      </w:r>
      <w:proofErr w:type="gramStart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>problémára</w:t>
      </w:r>
      <w:proofErr w:type="gramEnd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a kétdimenziós (ún. </w:t>
      </w:r>
      <w:proofErr w:type="gramStart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>mátrix</w:t>
      </w:r>
      <w:proofErr w:type="gramEnd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) kód volt a megoldás.     Ez nemcsak lineárisan egymás mellé helyezett </w:t>
      </w:r>
      <w:proofErr w:type="gramStart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>információ</w:t>
      </w:r>
      <w:proofErr w:type="gramEnd"/>
      <w:r w:rsidR="00096B9E" w:rsidRPr="00096B9E">
        <w:rPr>
          <w:rFonts w:ascii="Times New Roman" w:eastAsia="Times New Roman" w:hAnsi="Times New Roman" w:cs="Times New Roman"/>
          <w:color w:val="000000"/>
          <w:lang w:eastAsia="hu-HU"/>
        </w:rPr>
        <w:t>hordozó vonalakból áll, mint a hagyományos vonalkód, hanem mind a vízszintes, mind a függőleges tengely mentén hordoz adatokat.</w:t>
      </w:r>
      <w:r w:rsidR="007A05D1" w:rsidRPr="007A05D1">
        <w:rPr>
          <w:rFonts w:ascii="Times New Roman" w:eastAsia="Times New Roman" w:hAnsi="Times New Roman" w:cs="Times New Roman"/>
          <w:noProof/>
          <w:color w:val="000000"/>
          <w:lang w:eastAsia="hu-HU"/>
        </w:rPr>
        <w:t xml:space="preserve"> </w:t>
      </w:r>
    </w:p>
    <w:p w:rsidR="00096B9E" w:rsidRPr="00096B9E" w:rsidRDefault="00096B9E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096B9E"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  <w:t>Tulajdonságai</w:t>
      </w:r>
    </w:p>
    <w:p w:rsidR="00096B9E" w:rsidRPr="00096B9E" w:rsidRDefault="00096B9E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Jó tulajdonsága, hogy a sarkokban található jellegzetes négyzet alakú mezők miatt -   amelyek egyébként szintén </w:t>
      </w:r>
      <w:proofErr w:type="gram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információ</w:t>
      </w:r>
      <w:proofErr w:type="gram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hordozók -   egyrészt könnyű </w:t>
      </w:r>
      <w:proofErr w:type="spell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szkennelni</w:t>
      </w:r>
      <w:proofErr w:type="spell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, másrészt pedig szinte bármilyen szögből fényképezve   (akár elforgatva is)   könnyedén azonosítható és feldolgozható jelet kaphat az eszköz.</w:t>
      </w:r>
    </w:p>
    <w:p w:rsidR="00865CAA" w:rsidRDefault="00096B9E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Másik jelen</w:t>
      </w:r>
      <w:r w:rsidR="00855944">
        <w:rPr>
          <w:rFonts w:ascii="Times New Roman" w:eastAsia="Times New Roman" w:hAnsi="Times New Roman" w:cs="Times New Roman"/>
          <w:color w:val="000000"/>
          <w:lang w:eastAsia="hu-HU"/>
        </w:rPr>
        <w:t>í</w:t>
      </w:r>
      <w:bookmarkStart w:id="0" w:name="_GoBack"/>
      <w:bookmarkEnd w:id="0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tős pozitív tulajdonsága a kód skálázhatósága, amit a Verzió 1-től Verzió 40-ig határoztak meg. A különböző verziók különböző adattárolási és hibatűrési tulajdonságokkal rendelkeznek.</w:t>
      </w:r>
    </w:p>
    <w:tbl>
      <w:tblPr>
        <w:tblStyle w:val="Rcsostblzat"/>
        <w:tblW w:w="8505" w:type="dxa"/>
        <w:tblLook w:val="04A0" w:firstRow="1" w:lastRow="0" w:firstColumn="1" w:lastColumn="0" w:noHBand="0" w:noVBand="1"/>
      </w:tblPr>
      <w:tblGrid>
        <w:gridCol w:w="476"/>
        <w:gridCol w:w="1872"/>
        <w:gridCol w:w="1782"/>
        <w:gridCol w:w="1489"/>
        <w:gridCol w:w="1443"/>
        <w:gridCol w:w="1443"/>
      </w:tblGrid>
      <w:tr w:rsidR="00B4432D" w:rsidRPr="00B4432D" w:rsidTr="00164A27">
        <w:tc>
          <w:tcPr>
            <w:tcW w:w="2479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bottom w:val="nil"/>
            </w:tcBorders>
            <w:shd w:val="clear" w:color="auto" w:fill="DEEAF6" w:themeFill="accent1" w:themeFillTint="33"/>
            <w:vAlign w:val="center"/>
          </w:tcPr>
          <w:p w:rsidR="00B4432D" w:rsidRPr="00164A27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64A2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QR kód</w:t>
            </w:r>
          </w:p>
        </w:tc>
        <w:tc>
          <w:tcPr>
            <w:tcW w:w="1540" w:type="dxa"/>
            <w:tcBorders>
              <w:bottom w:val="nil"/>
            </w:tcBorders>
            <w:shd w:val="clear" w:color="auto" w:fill="DEEAF6" w:themeFill="accent1" w:themeFillTint="33"/>
            <w:vAlign w:val="center"/>
          </w:tcPr>
          <w:p w:rsidR="00B4432D" w:rsidRPr="00164A27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64A2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PDF417</w:t>
            </w:r>
          </w:p>
        </w:tc>
        <w:tc>
          <w:tcPr>
            <w:tcW w:w="1503" w:type="dxa"/>
            <w:tcBorders>
              <w:bottom w:val="nil"/>
            </w:tcBorders>
            <w:shd w:val="clear" w:color="auto" w:fill="DEEAF6" w:themeFill="accent1" w:themeFillTint="33"/>
            <w:vAlign w:val="center"/>
          </w:tcPr>
          <w:p w:rsidR="00B4432D" w:rsidRPr="00164A27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164A2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DataMatrix</w:t>
            </w:r>
            <w:proofErr w:type="spellEnd"/>
          </w:p>
        </w:tc>
        <w:tc>
          <w:tcPr>
            <w:tcW w:w="1503" w:type="dxa"/>
            <w:tcBorders>
              <w:bottom w:val="nil"/>
            </w:tcBorders>
            <w:shd w:val="clear" w:color="auto" w:fill="DEEAF6" w:themeFill="accent1" w:themeFillTint="33"/>
            <w:vAlign w:val="center"/>
          </w:tcPr>
          <w:p w:rsidR="00B4432D" w:rsidRPr="00164A27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164A27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Maxi kód</w:t>
            </w:r>
          </w:p>
        </w:tc>
      </w:tr>
      <w:tr w:rsidR="00B4432D" w:rsidRPr="00B4432D" w:rsidTr="00164A27">
        <w:tc>
          <w:tcPr>
            <w:tcW w:w="2479" w:type="dxa"/>
            <w:gridSpan w:val="2"/>
            <w:tcBorders>
              <w:top w:val="nil"/>
              <w:left w:val="nil"/>
            </w:tcBorders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2040" w:type="dxa"/>
            <w:tcBorders>
              <w:top w:val="nil"/>
            </w:tcBorders>
            <w:vAlign w:val="center"/>
          </w:tcPr>
          <w:p w:rsidR="00B4432D" w:rsidRPr="00B4432D" w:rsidRDefault="00164A27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64A27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546735" cy="546735"/>
                  <wp:effectExtent l="0" t="0" r="5715" b="5715"/>
                  <wp:docPr id="3" name="Kép 3" descr="C:\Users\Dóra\Downloads\qr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óra\Downloads\qr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0" w:type="dxa"/>
            <w:tcBorders>
              <w:top w:val="nil"/>
            </w:tcBorders>
            <w:vAlign w:val="center"/>
          </w:tcPr>
          <w:p w:rsidR="00B4432D" w:rsidRPr="00B4432D" w:rsidRDefault="00164A27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64A27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547200" cy="442800"/>
                  <wp:effectExtent l="0" t="0" r="5715" b="0"/>
                  <wp:docPr id="4" name="Kép 4" descr="C:\Users\Dóra\Downloads\pdf4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óra\Downloads\pdf4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200" cy="44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tcBorders>
              <w:top w:val="nil"/>
            </w:tcBorders>
            <w:vAlign w:val="center"/>
          </w:tcPr>
          <w:p w:rsidR="00B4432D" w:rsidRPr="00B4432D" w:rsidRDefault="00164A27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64A27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546735" cy="546735"/>
                  <wp:effectExtent l="0" t="0" r="5715" b="5715"/>
                  <wp:docPr id="5" name="Kép 5" descr="C:\Users\Dóra\Downloads\data_matrix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óra\Downloads\data_matrix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  <w:tcBorders>
              <w:top w:val="nil"/>
            </w:tcBorders>
            <w:vAlign w:val="center"/>
          </w:tcPr>
          <w:p w:rsidR="00B4432D" w:rsidRPr="00B4432D" w:rsidRDefault="00164A27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164A27">
              <w:rPr>
                <w:rFonts w:ascii="Times New Roman" w:hAnsi="Times New Roman" w:cs="Times New Roman"/>
                <w:noProof/>
                <w:color w:val="000000"/>
                <w:sz w:val="22"/>
                <w:szCs w:val="22"/>
              </w:rPr>
              <w:drawing>
                <wp:inline distT="0" distB="0" distL="0" distR="0">
                  <wp:extent cx="546735" cy="546735"/>
                  <wp:effectExtent l="0" t="0" r="5715" b="5715"/>
                  <wp:docPr id="6" name="Kép 6" descr="C:\Users\Dóra\Downloads\maxi_cod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óra\Downloads\maxi_cod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546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32D" w:rsidRPr="00B4432D" w:rsidTr="00B4432D">
        <w:tc>
          <w:tcPr>
            <w:tcW w:w="2479" w:type="dxa"/>
            <w:gridSpan w:val="2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Fejlesztő (ország)</w:t>
            </w:r>
          </w:p>
        </w:tc>
        <w:tc>
          <w:tcPr>
            <w:tcW w:w="20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DENSO (Japán)</w:t>
            </w:r>
          </w:p>
        </w:tc>
        <w:tc>
          <w:tcPr>
            <w:tcW w:w="15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Symbol</w:t>
            </w:r>
            <w:proofErr w:type="spellEnd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Technologies (USA)</w:t>
            </w:r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RVSI </w:t>
            </w:r>
            <w:proofErr w:type="spellStart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Acuity</w:t>
            </w:r>
            <w:proofErr w:type="spellEnd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CiMatrix</w:t>
            </w:r>
            <w:proofErr w:type="spellEnd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(USA)</w:t>
            </w:r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UPS (USA)</w:t>
            </w:r>
          </w:p>
        </w:tc>
      </w:tr>
      <w:tr w:rsidR="00B4432D" w:rsidRPr="00B4432D" w:rsidTr="00B4432D">
        <w:trPr>
          <w:trHeight w:val="69"/>
        </w:trPr>
        <w:tc>
          <w:tcPr>
            <w:tcW w:w="2479" w:type="dxa"/>
            <w:gridSpan w:val="2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Típus</w:t>
            </w:r>
          </w:p>
        </w:tc>
        <w:tc>
          <w:tcPr>
            <w:tcW w:w="20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Mátrix</w:t>
            </w:r>
          </w:p>
        </w:tc>
        <w:tc>
          <w:tcPr>
            <w:tcW w:w="15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Halmozott vonal kód</w:t>
            </w:r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Mátrix</w:t>
            </w:r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Mátrix</w:t>
            </w:r>
          </w:p>
        </w:tc>
      </w:tr>
      <w:tr w:rsidR="00B4432D" w:rsidRPr="00B4432D" w:rsidTr="00B4432D">
        <w:trPr>
          <w:trHeight w:val="284"/>
        </w:trPr>
        <w:tc>
          <w:tcPr>
            <w:tcW w:w="468" w:type="dxa"/>
            <w:vMerge w:val="restart"/>
            <w:textDirection w:val="btLr"/>
          </w:tcPr>
          <w:p w:rsidR="00B4432D" w:rsidRPr="00B4432D" w:rsidRDefault="00B4432D" w:rsidP="00B443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color w:val="000000"/>
                <w:lang w:eastAsia="hu-HU"/>
              </w:rPr>
            </w:pPr>
            <w:proofErr w:type="gramStart"/>
            <w:r w:rsidRPr="00B4432D">
              <w:rPr>
                <w:rFonts w:ascii="Times New Roman" w:eastAsia="Times New Roman" w:hAnsi="Times New Roman" w:cs="Times New Roman"/>
                <w:b/>
                <w:color w:val="000000"/>
                <w:lang w:eastAsia="hu-HU"/>
              </w:rPr>
              <w:t>Kapacitás</w:t>
            </w:r>
            <w:proofErr w:type="gramEnd"/>
          </w:p>
        </w:tc>
        <w:tc>
          <w:tcPr>
            <w:tcW w:w="2011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Számok</w:t>
            </w:r>
          </w:p>
        </w:tc>
        <w:tc>
          <w:tcPr>
            <w:tcW w:w="20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7,089</w:t>
            </w:r>
          </w:p>
        </w:tc>
        <w:tc>
          <w:tcPr>
            <w:tcW w:w="15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2,710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3,116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138</w:t>
            </w:r>
          </w:p>
        </w:tc>
      </w:tr>
      <w:tr w:rsidR="00B4432D" w:rsidRPr="00B4432D" w:rsidTr="00B4432D">
        <w:trPr>
          <w:trHeight w:val="284"/>
        </w:trPr>
        <w:tc>
          <w:tcPr>
            <w:tcW w:w="468" w:type="dxa"/>
            <w:vMerge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Alfanumerikus</w:t>
            </w:r>
          </w:p>
        </w:tc>
        <w:tc>
          <w:tcPr>
            <w:tcW w:w="20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4,296</w:t>
            </w:r>
          </w:p>
        </w:tc>
        <w:tc>
          <w:tcPr>
            <w:tcW w:w="15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1,850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2,355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93</w:t>
            </w:r>
          </w:p>
        </w:tc>
      </w:tr>
      <w:tr w:rsidR="00B4432D" w:rsidRPr="00B4432D" w:rsidTr="00B4432D">
        <w:trPr>
          <w:trHeight w:val="284"/>
        </w:trPr>
        <w:tc>
          <w:tcPr>
            <w:tcW w:w="468" w:type="dxa"/>
            <w:vMerge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Bináris</w:t>
            </w:r>
          </w:p>
        </w:tc>
        <w:tc>
          <w:tcPr>
            <w:tcW w:w="20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2,953</w:t>
            </w:r>
          </w:p>
        </w:tc>
        <w:tc>
          <w:tcPr>
            <w:tcW w:w="15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1,018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1,556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4432D" w:rsidRPr="00B4432D" w:rsidTr="00B4432D">
        <w:trPr>
          <w:trHeight w:val="284"/>
        </w:trPr>
        <w:tc>
          <w:tcPr>
            <w:tcW w:w="468" w:type="dxa"/>
            <w:vMerge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011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proofErr w:type="spellStart"/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Kanji</w:t>
            </w:r>
            <w:proofErr w:type="spellEnd"/>
          </w:p>
        </w:tc>
        <w:tc>
          <w:tcPr>
            <w:tcW w:w="20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1,817</w:t>
            </w:r>
          </w:p>
        </w:tc>
        <w:tc>
          <w:tcPr>
            <w:tcW w:w="1540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778</w:t>
            </w:r>
          </w:p>
        </w:tc>
        <w:tc>
          <w:tcPr>
            <w:tcW w:w="1503" w:type="dxa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B4432D" w:rsidRPr="00B4432D" w:rsidTr="00B4432D">
        <w:trPr>
          <w:trHeight w:val="69"/>
        </w:trPr>
        <w:tc>
          <w:tcPr>
            <w:tcW w:w="2479" w:type="dxa"/>
            <w:gridSpan w:val="2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Főbb jellemzői</w:t>
            </w:r>
          </w:p>
        </w:tc>
        <w:tc>
          <w:tcPr>
            <w:tcW w:w="20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Nagy </w:t>
            </w:r>
            <w:proofErr w:type="gramStart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kapacitás</w:t>
            </w:r>
            <w:proofErr w:type="gramEnd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kis nyomtatási méret, gyors beolvasás</w:t>
            </w:r>
          </w:p>
        </w:tc>
        <w:tc>
          <w:tcPr>
            <w:tcW w:w="15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Nagy </w:t>
            </w:r>
            <w:proofErr w:type="gramStart"/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kapacitás</w:t>
            </w:r>
            <w:proofErr w:type="gramEnd"/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Kis nyomtatási méret</w:t>
            </w:r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Gyors beolvasás</w:t>
            </w:r>
          </w:p>
        </w:tc>
      </w:tr>
      <w:tr w:rsidR="00B4432D" w:rsidRPr="00B4432D" w:rsidTr="00B4432D">
        <w:tc>
          <w:tcPr>
            <w:tcW w:w="2479" w:type="dxa"/>
            <w:gridSpan w:val="2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b/>
                <w:color w:val="000000"/>
                <w:sz w:val="22"/>
                <w:szCs w:val="22"/>
              </w:rPr>
              <w:t>Szabványosítók</w:t>
            </w:r>
          </w:p>
        </w:tc>
        <w:tc>
          <w:tcPr>
            <w:tcW w:w="20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AIM International JIS</w:t>
            </w:r>
          </w:p>
        </w:tc>
        <w:tc>
          <w:tcPr>
            <w:tcW w:w="1540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ISO AIM International</w:t>
            </w:r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ISO AIM International</w:t>
            </w:r>
          </w:p>
        </w:tc>
        <w:tc>
          <w:tcPr>
            <w:tcW w:w="1503" w:type="dxa"/>
            <w:vAlign w:val="center"/>
          </w:tcPr>
          <w:p w:rsidR="00B4432D" w:rsidRPr="00B4432D" w:rsidRDefault="00B4432D" w:rsidP="00B4432D">
            <w:pPr>
              <w:pStyle w:val="HTML-kntformzott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B4432D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ISO AIM International</w:t>
            </w:r>
          </w:p>
        </w:tc>
      </w:tr>
    </w:tbl>
    <w:p w:rsidR="007A05D1" w:rsidRPr="00096B9E" w:rsidRDefault="007A05D1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</w:p>
    <w:p w:rsidR="005E3F7B" w:rsidRPr="004C04A4" w:rsidRDefault="005E3F7B" w:rsidP="004C04A4">
      <w:pPr>
        <w:spacing w:before="120"/>
        <w:jc w:val="center"/>
        <w:rPr>
          <w:rFonts w:ascii="Times New Roman" w:eastAsia="Times New Roman" w:hAnsi="Times New Roman" w:cs="Times New Roman"/>
          <w:i/>
          <w:color w:val="000000"/>
          <w:sz w:val="28"/>
          <w:lang w:eastAsia="hu-HU"/>
        </w:rPr>
      </w:pPr>
      <w:r w:rsidRPr="004C04A4">
        <w:rPr>
          <w:rFonts w:ascii="Times New Roman" w:eastAsia="Times New Roman" w:hAnsi="Times New Roman" w:cs="Times New Roman"/>
          <w:i/>
          <w:color w:val="000000"/>
          <w:sz w:val="28"/>
          <w:lang w:eastAsia="hu-HU"/>
        </w:rPr>
        <w:t>2D kódok összehasonlítása</w:t>
      </w:r>
    </w:p>
    <w:p w:rsidR="005E3F7B" w:rsidRDefault="005E3F7B">
      <w:pPr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  <w:br w:type="page"/>
      </w:r>
    </w:p>
    <w:p w:rsidR="00096B9E" w:rsidRDefault="00096B9E" w:rsidP="00096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</w:pPr>
      <w:r w:rsidRPr="00096B9E"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  <w:lastRenderedPageBreak/>
        <w:t>Szabványosítás</w:t>
      </w:r>
    </w:p>
    <w:p w:rsidR="00CB5948" w:rsidRPr="00096B9E" w:rsidRDefault="00CB5948" w:rsidP="00096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</w:pPr>
    </w:p>
    <w:p w:rsidR="00096B9E" w:rsidRPr="00096B9E" w:rsidRDefault="00096B9E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   Hibatűrő képessége és a támogatott adatformátumok miatt hamar népszerűvé vált a kétdimenziós kódok között is. A JIS (Japán Ipari Szabvány) X 0510 számmal szabványként fogadta el 1999 januárjában, majd az ISO szabványként is felterjesztették. 2000 júniusában ISO/IEC 18004 nemzetközi szabvánnyá vált, amit 2006-ban kiegészítettek.</w:t>
      </w:r>
    </w:p>
    <w:p w:rsidR="00096B9E" w:rsidRPr="00096B9E" w:rsidRDefault="00096B9E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Nemzetközi szabványként való elfogadása után még gyorsabb terjedésnek indult. Németországban például több városban is ilyen kódolással nyomtatnak vonaljegyet a tömegközlekedési eszközökön.</w:t>
      </w:r>
    </w:p>
    <w:p w:rsidR="00096B9E" w:rsidRPr="00096B9E" w:rsidRDefault="00096B9E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A QR-kód nyílt szabvány, a </w:t>
      </w:r>
      <w:proofErr w:type="gram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specifikációi</w:t>
      </w:r>
      <w:proofErr w:type="gram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nyilvánosak, de a tulajdonosi jogokat a Denso </w:t>
      </w:r>
      <w:proofErr w:type="spell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Wave</w:t>
      </w:r>
      <w:proofErr w:type="spell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továbbra is fenntartja. Amerikában fel is tüntetik mindenütt, hogy a QR-kód a Denso </w:t>
      </w:r>
      <w:proofErr w:type="spell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Wave</w:t>
      </w:r>
      <w:proofErr w:type="spell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regisztrált védjegye.</w:t>
      </w:r>
    </w:p>
    <w:p w:rsidR="00CB5948" w:rsidRDefault="00CB5948" w:rsidP="00096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</w:pPr>
    </w:p>
    <w:p w:rsidR="00096B9E" w:rsidRDefault="00096B9E" w:rsidP="00096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</w:pPr>
      <w:r w:rsidRPr="00096B9E">
        <w:rPr>
          <w:rFonts w:ascii="Times New Roman" w:eastAsia="Times New Roman" w:hAnsi="Times New Roman" w:cs="Times New Roman"/>
          <w:b/>
          <w:color w:val="000000"/>
          <w:sz w:val="28"/>
          <w:lang w:eastAsia="hu-HU"/>
        </w:rPr>
        <w:t>Érdekességek, tények</w:t>
      </w:r>
    </w:p>
    <w:p w:rsidR="00CB5948" w:rsidRPr="00096B9E" w:rsidRDefault="00CB5948" w:rsidP="00096B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hu-HU"/>
        </w:rPr>
      </w:pPr>
    </w:p>
    <w:p w:rsidR="00096B9E" w:rsidRPr="004C04A4" w:rsidRDefault="00096B9E" w:rsidP="00CB5948">
      <w:pPr>
        <w:pStyle w:val="Listaszerbekezds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A QR kódok használata 2010-ről 2011-re 4589%-</w:t>
      </w:r>
      <w:proofErr w:type="spell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kal</w:t>
      </w:r>
      <w:proofErr w:type="spell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nőtt.</w:t>
      </w:r>
    </w:p>
    <w:p w:rsidR="00096B9E" w:rsidRPr="004C04A4" w:rsidRDefault="00096B9E" w:rsidP="00CB5948">
      <w:pPr>
        <w:pStyle w:val="Listaszerbekezds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A QR kódok 56%-</w:t>
      </w:r>
      <w:proofErr w:type="gram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a</w:t>
      </w:r>
      <w:proofErr w:type="gram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</w:t>
      </w:r>
      <w:proofErr w:type="spell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a</w:t>
      </w:r>
      <w:proofErr w:type="spell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termékek csomagolásán jelenik meg.</w:t>
      </w:r>
    </w:p>
    <w:p w:rsidR="00096B9E" w:rsidRPr="004C04A4" w:rsidRDefault="00096B9E" w:rsidP="00CB5948">
      <w:pPr>
        <w:pStyle w:val="Listaszerbekezds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A QR kódokat 64%-</w:t>
      </w:r>
      <w:proofErr w:type="spell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ban</w:t>
      </w:r>
      <w:proofErr w:type="spell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nők </w:t>
      </w:r>
      <w:proofErr w:type="spell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szkennelik</w:t>
      </w:r>
      <w:proofErr w:type="spell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be.</w:t>
      </w:r>
    </w:p>
    <w:p w:rsidR="00096B9E" w:rsidRPr="004C04A4" w:rsidRDefault="00096B9E" w:rsidP="00CB5948">
      <w:pPr>
        <w:pStyle w:val="Listaszerbekezds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A felhasználók többsége arra számít, hogy </w:t>
      </w:r>
      <w:proofErr w:type="gram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kupont</w:t>
      </w:r>
      <w:proofErr w:type="gram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vagy árengedményt kap, ha </w:t>
      </w:r>
      <w:proofErr w:type="spell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beszkenneli</w:t>
      </w:r>
      <w:proofErr w:type="spell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a QR kódot.</w:t>
      </w:r>
    </w:p>
    <w:p w:rsidR="00096B9E" w:rsidRPr="004C04A4" w:rsidRDefault="00096B9E" w:rsidP="00CB5948">
      <w:pPr>
        <w:pStyle w:val="Listaszerbekezds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641" w:hanging="357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A </w:t>
      </w:r>
      <w:proofErr w:type="spellStart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>Fortune</w:t>
      </w:r>
      <w:proofErr w:type="spellEnd"/>
      <w:r w:rsidRPr="004C04A4">
        <w:rPr>
          <w:rFonts w:ascii="Times New Roman" w:eastAsia="Times New Roman" w:hAnsi="Times New Roman" w:cs="Times New Roman"/>
          <w:color w:val="000000"/>
          <w:lang w:eastAsia="hu-HU"/>
        </w:rPr>
        <w:t xml:space="preserve"> magazin listáján szereplő 50 cégből 11 már beépítette a QR kód alkalmazását saját marketing stratégiájába.</w:t>
      </w:r>
    </w:p>
    <w:p w:rsidR="00096B9E" w:rsidRDefault="00096B9E" w:rsidP="007A05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hu-HU"/>
        </w:rPr>
      </w:pPr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Az   egyik áruházlánc Koreában QR kódokat tartalmazó </w:t>
      </w:r>
      <w:proofErr w:type="gram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virtuális</w:t>
      </w:r>
      <w:proofErr w:type="gram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kirakatokat helyezett el forgalmas helyeken, pl. metrómegállókban, melyek az áruházlánc legnagyobb </w:t>
      </w:r>
      <w:proofErr w:type="spell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forgalmú</w:t>
      </w:r>
      <w:proofErr w:type="spell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termékeit, főleg napi fogyasztási cikkeket ábrázolnak. Minden termék QR kóddal van ellátva, melyet a vásárlók okostelefonjukkal leolvashatnak, és ezek a leolvasott termékek egy </w:t>
      </w:r>
      <w:proofErr w:type="gram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virtuális</w:t>
      </w:r>
      <w:proofErr w:type="gram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kosárba kerülnek. A megrendelt termékeket telefonon keresztül lehet fizetni, majd ezt a nap végén házhoz szállítják. A szolgáltatás olyan népszerű lett, hogy ezzel az ország első online értékesítőjévé vált 130%-</w:t>
      </w:r>
      <w:proofErr w:type="spell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os</w:t>
      </w:r>
      <w:proofErr w:type="spell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 xml:space="preserve"> növekedést </w:t>
      </w:r>
      <w:proofErr w:type="gramStart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produkálva</w:t>
      </w:r>
      <w:proofErr w:type="gramEnd"/>
      <w:r w:rsidRPr="00096B9E">
        <w:rPr>
          <w:rFonts w:ascii="Times New Roman" w:eastAsia="Times New Roman" w:hAnsi="Times New Roman" w:cs="Times New Roman"/>
          <w:color w:val="000000"/>
          <w:lang w:eastAsia="hu-HU"/>
        </w:rPr>
        <w:t>.</w:t>
      </w:r>
    </w:p>
    <w:p w:rsidR="004C04A4" w:rsidRPr="00096B9E" w:rsidRDefault="004C04A4" w:rsidP="004C04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hu-HU"/>
        </w:rPr>
      </w:pPr>
      <w:r w:rsidRPr="004C04A4">
        <w:rPr>
          <w:rFonts w:ascii="Times New Roman" w:eastAsia="Times New Roman" w:hAnsi="Times New Roman" w:cs="Times New Roman"/>
          <w:noProof/>
          <w:color w:val="000000"/>
          <w:lang w:eastAsia="hu-HU"/>
        </w:rPr>
        <w:drawing>
          <wp:inline distT="0" distB="0" distL="0" distR="0">
            <wp:extent cx="3600000" cy="2016000"/>
            <wp:effectExtent l="0" t="0" r="635" b="3810"/>
            <wp:docPr id="8" name="Kép 8" descr="C:\Users\Dóra\Downloads\vasar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óra\Downloads\vasarla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041" w:rsidRPr="00096B9E" w:rsidRDefault="00E55041" w:rsidP="007A05D1">
      <w:pPr>
        <w:jc w:val="both"/>
        <w:rPr>
          <w:rFonts w:ascii="Times New Roman" w:hAnsi="Times New Roman" w:cs="Times New Roman"/>
        </w:rPr>
      </w:pPr>
    </w:p>
    <w:sectPr w:rsidR="00E55041" w:rsidRPr="00096B9E" w:rsidSect="00096B9E">
      <w:pgSz w:w="11906" w:h="16838"/>
      <w:pgMar w:top="96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A1B" w:rsidRDefault="008C1A1B" w:rsidP="007A05D1">
      <w:pPr>
        <w:spacing w:after="0" w:line="240" w:lineRule="auto"/>
      </w:pPr>
      <w:r>
        <w:separator/>
      </w:r>
    </w:p>
  </w:endnote>
  <w:endnote w:type="continuationSeparator" w:id="0">
    <w:p w:rsidR="008C1A1B" w:rsidRDefault="008C1A1B" w:rsidP="007A0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A1B" w:rsidRDefault="008C1A1B" w:rsidP="007A05D1">
      <w:pPr>
        <w:spacing w:after="0" w:line="240" w:lineRule="auto"/>
      </w:pPr>
      <w:r>
        <w:separator/>
      </w:r>
    </w:p>
  </w:footnote>
  <w:footnote w:type="continuationSeparator" w:id="0">
    <w:p w:rsidR="008C1A1B" w:rsidRDefault="008C1A1B" w:rsidP="007A05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11E1E"/>
    <w:multiLevelType w:val="hybridMultilevel"/>
    <w:tmpl w:val="4D9003CA"/>
    <w:lvl w:ilvl="0" w:tplc="BF06E31A">
      <w:start w:val="1"/>
      <w:numFmt w:val="bullet"/>
      <w:lvlText w:val="!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B9E"/>
    <w:rsid w:val="00096B9E"/>
    <w:rsid w:val="00164A27"/>
    <w:rsid w:val="001C16EF"/>
    <w:rsid w:val="004C04A4"/>
    <w:rsid w:val="005E3F7B"/>
    <w:rsid w:val="007A05D1"/>
    <w:rsid w:val="00855944"/>
    <w:rsid w:val="00865CAA"/>
    <w:rsid w:val="008C1A1B"/>
    <w:rsid w:val="00B4432D"/>
    <w:rsid w:val="00CB5948"/>
    <w:rsid w:val="00E5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EF770"/>
  <w15:chartTrackingRefBased/>
  <w15:docId w15:val="{4750E3E6-ABCC-40C9-9338-72E9162A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96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96B9E"/>
    <w:rPr>
      <w:rFonts w:ascii="Courier New" w:eastAsia="Times New Roman" w:hAnsi="Courier New" w:cs="Courier New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7A0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7A0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A05D1"/>
  </w:style>
  <w:style w:type="paragraph" w:styleId="llb">
    <w:name w:val="footer"/>
    <w:basedOn w:val="Norml"/>
    <w:link w:val="llbChar"/>
    <w:uiPriority w:val="99"/>
    <w:unhideWhenUsed/>
    <w:rsid w:val="007A05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A05D1"/>
  </w:style>
  <w:style w:type="paragraph" w:styleId="Listaszerbekezds">
    <w:name w:val="List Paragraph"/>
    <w:basedOn w:val="Norml"/>
    <w:uiPriority w:val="34"/>
    <w:qFormat/>
    <w:rsid w:val="004C0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B9F6E-7B25-44F9-838D-755E9449A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438</Words>
  <Characters>3030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2023-03-29T13:47:00Z</dcterms:created>
  <dcterms:modified xsi:type="dcterms:W3CDTF">2023-03-29T14:49:00Z</dcterms:modified>
</cp:coreProperties>
</file>