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98E" w:rsidRPr="005018C6" w:rsidRDefault="0089198E" w:rsidP="00795E74">
      <w:pPr>
        <w:pStyle w:val="Csakszveg"/>
        <w:spacing w:after="120"/>
        <w:jc w:val="both"/>
        <w:rPr>
          <w:rFonts w:ascii="Times New Roman" w:hAnsi="Times New Roman"/>
          <w:b/>
          <w:sz w:val="56"/>
          <w:szCs w:val="56"/>
        </w:rPr>
      </w:pPr>
      <w:bookmarkStart w:id="0" w:name="_GoBack"/>
      <w:bookmarkEnd w:id="0"/>
      <w:r w:rsidRPr="005018C6">
        <w:rPr>
          <w:rFonts w:ascii="Times New Roman" w:hAnsi="Times New Roman"/>
          <w:b/>
          <w:sz w:val="56"/>
          <w:szCs w:val="56"/>
        </w:rPr>
        <w:t>Hazugság a tiszta autó?</w:t>
      </w:r>
    </w:p>
    <w:p w:rsidR="00795E74" w:rsidRPr="00FB1D93" w:rsidRDefault="0089198E" w:rsidP="00795E74">
      <w:pPr>
        <w:pStyle w:val="Csakszveg"/>
        <w:spacing w:after="120"/>
        <w:jc w:val="both"/>
        <w:rPr>
          <w:rFonts w:ascii="Times New Roman" w:hAnsi="Times New Roman"/>
          <w:b/>
          <w:sz w:val="26"/>
          <w:szCs w:val="26"/>
        </w:rPr>
      </w:pPr>
      <w:r w:rsidRPr="00FB1D93">
        <w:rPr>
          <w:rFonts w:ascii="Times New Roman" w:hAnsi="Times New Roman"/>
          <w:b/>
          <w:sz w:val="26"/>
          <w:szCs w:val="26"/>
        </w:rPr>
        <w:t>„A víz lesz a jövő szene, a holnap energiája. A vízbontáskor keletkező hidrogénnel és oxigénnel meghatározatlan ideig biztosítható a föld energiaellátása” – írta Jules Verne 1874-ben. A leírt technológiát azóta kifejlesztették, autóba is építették, de a jövő, amelyben a víz mozgatja a világot, még nem kezdődött el. Zéró füst és zaj, tehát maximálisan környezetbarát – így reklámozzák a villanyautókat.</w:t>
      </w:r>
    </w:p>
    <w:p w:rsidR="0089198E" w:rsidRPr="00795E74" w:rsidRDefault="0089198E" w:rsidP="00795E74">
      <w:pPr>
        <w:pStyle w:val="Csakszveg"/>
        <w:pBdr>
          <w:top w:val="single" w:sz="12" w:space="4" w:color="auto"/>
          <w:bottom w:val="single" w:sz="4" w:space="12" w:color="auto"/>
        </w:pBdr>
        <w:spacing w:after="120"/>
        <w:jc w:val="both"/>
        <w:rPr>
          <w:rFonts w:ascii="Times New Roman" w:hAnsi="Times New Roman"/>
          <w:sz w:val="26"/>
          <w:szCs w:val="26"/>
        </w:rPr>
      </w:pPr>
      <w:r w:rsidRPr="00897DCD">
        <w:rPr>
          <w:rFonts w:ascii="Times New Roman" w:hAnsi="Times New Roman"/>
          <w:b/>
          <w:sz w:val="26"/>
          <w:szCs w:val="26"/>
        </w:rPr>
        <w:t>Boros Jenő</w:t>
      </w:r>
      <w:r w:rsidR="00795E74">
        <w:rPr>
          <w:rStyle w:val="Lbjegyzet-hivatkozs"/>
          <w:rFonts w:ascii="Times New Roman" w:hAnsi="Times New Roman"/>
          <w:sz w:val="26"/>
          <w:szCs w:val="26"/>
        </w:rPr>
        <w:footnoteReference w:id="1"/>
      </w:r>
    </w:p>
    <w:p w:rsidR="00FB1D93" w:rsidRDefault="0089198E" w:rsidP="00795E74">
      <w:pPr>
        <w:pStyle w:val="Csakszveg"/>
        <w:spacing w:after="120"/>
        <w:jc w:val="both"/>
        <w:rPr>
          <w:rFonts w:ascii="Times New Roman" w:hAnsi="Times New Roman"/>
          <w:sz w:val="26"/>
          <w:szCs w:val="26"/>
        </w:rPr>
      </w:pPr>
      <w:r w:rsidRPr="00795E74">
        <w:rPr>
          <w:rFonts w:ascii="Times New Roman" w:hAnsi="Times New Roman"/>
          <w:sz w:val="26"/>
          <w:szCs w:val="26"/>
        </w:rPr>
        <w:t>Az energiacellában rejlő lehetőséget már a francia író előtt felismerte Sir William Grove, aki 1830-ban leírta a tüzelőanyag-cella működési elvét. Utópiák és tervek után a XX. század hatvanas éveiben az Apollo és Gemini űrhajók energiaforrásaként szolgált. Az akkumulátorok térfogatának huszadát és tömegének negyedét elfoglaló üzemanyagcella bevált, bár a villanyszámla drága volt, mert százezer dollárért termelt egy kilowattórányi áramot. Napjainkban már olcsóbb az eljárás, és akár autóba is beépíthető, ám a költségek még közel sem versenyképesek a sorozatgyártású modellekkel, és drágábbak a villanyautóknál is.</w:t>
      </w:r>
    </w:p>
    <w:p w:rsidR="00FB1D93" w:rsidRDefault="00FB1D93" w:rsidP="009E3A96">
      <w:pPr>
        <w:pStyle w:val="Csakszveg"/>
        <w:spacing w:after="120"/>
        <w:ind w:firstLine="284"/>
        <w:jc w:val="both"/>
        <w:rPr>
          <w:rFonts w:ascii="Times New Roman" w:hAnsi="Times New Roman"/>
          <w:sz w:val="26"/>
          <w:szCs w:val="26"/>
        </w:rPr>
      </w:pPr>
      <w:r w:rsidRPr="00FB1D93">
        <w:rPr>
          <w:rFonts w:ascii="Times New Roman" w:hAnsi="Times New Roman"/>
          <w:noProof/>
          <w:sz w:val="26"/>
          <w:szCs w:val="26"/>
          <w:lang w:eastAsia="hu-H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1143</wp:posOffset>
            </wp:positionV>
            <wp:extent cx="1985314" cy="1799539"/>
            <wp:effectExtent l="19050" t="19050" r="14936" b="10211"/>
            <wp:wrapSquare wrapText="bothSides"/>
            <wp:docPr id="2" name="Kép 0" descr="vizgo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zgoz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5314" cy="17995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89198E" w:rsidRPr="00795E74">
        <w:rPr>
          <w:rFonts w:ascii="Times New Roman" w:hAnsi="Times New Roman"/>
          <w:sz w:val="26"/>
          <w:szCs w:val="26"/>
        </w:rPr>
        <w:t>Tizenkét éve vezettem először üzemanyagcellás villanyautót, ami akkor félmilliárd dollárt ért, így a volán mögött nem a zéró volt az első szám, ami eszembe jutott, hiába volt nulla az autó károsanyag-kibocsátási értéke. Ha a General Motors Chevrolet Sequel nevű kísérleti modelljét a közúton összetörtem volna, még ükunokáim is törlesztenék az árát. Gondoltak erre vendéglátóim is, mert előttünk és mögöttünk is rendőrautó óvta kocsink épségét. Bár baj nem történt, a következő hidrogénautó, a Hy Wire tesztjét már egy zárt repülőtéren szervezték. Igaz, a kevésbé utópisztikus formájú, de nagyjából azonos technológiájú Zafirákat már közúton vezethettem. Akkoriban a Honda hidrogénhajtású FXC-je százmillió forintnyi jenbe került.</w:t>
      </w:r>
    </w:p>
    <w:p w:rsidR="00FB1D93" w:rsidRDefault="0089198E" w:rsidP="009E3A96">
      <w:pPr>
        <w:pStyle w:val="Csakszveg"/>
        <w:spacing w:after="120"/>
        <w:ind w:firstLine="284"/>
        <w:jc w:val="both"/>
        <w:rPr>
          <w:rFonts w:ascii="Times New Roman" w:hAnsi="Times New Roman"/>
          <w:sz w:val="26"/>
          <w:szCs w:val="26"/>
        </w:rPr>
      </w:pPr>
      <w:r w:rsidRPr="00795E74">
        <w:rPr>
          <w:rFonts w:ascii="Times New Roman" w:hAnsi="Times New Roman"/>
          <w:sz w:val="26"/>
          <w:szCs w:val="26"/>
        </w:rPr>
        <w:t xml:space="preserve">A költségcsökkentés érdekében a vetélytársak közösen fejlesztik a folyékony hidrogénből áramot termelő villanyautókat: a technológiára szövetségre lépett a General Motors a Hondával, a BMW a Toyotával, a Daimler pedig a Forddal és a Nissannal. Továbbra is gondot jelent az üzemanyag előállítása, tárolása és szállítása, mert cseppfolyósításához a hidrogént mínusz 253 </w:t>
      </w:r>
      <w:r w:rsidR="008D1C5C">
        <w:rPr>
          <w:rFonts w:ascii="Times New Roman" w:hAnsi="Times New Roman"/>
          <w:sz w:val="26"/>
          <w:szCs w:val="26"/>
        </w:rPr>
        <w:t>°C-</w:t>
      </w:r>
      <w:r w:rsidRPr="00795E74">
        <w:rPr>
          <w:rFonts w:ascii="Times New Roman" w:hAnsi="Times New Roman"/>
          <w:sz w:val="26"/>
          <w:szCs w:val="26"/>
        </w:rPr>
        <w:t>ra kell hűteni, ami energiaigényes, a mérleget szélkerékkel vagy tengeri árapályerőművel lehet javítani. És késik a globális szállító- és töltőhálózat kiépítése, ami nem az összeesküvés-elméletekben említett olajlobbi, hanem a költségek miatt lassú.</w:t>
      </w:r>
    </w:p>
    <w:p w:rsidR="0089198E" w:rsidRPr="00795E74" w:rsidRDefault="0089198E" w:rsidP="009E3A96">
      <w:pPr>
        <w:pStyle w:val="Csakszveg"/>
        <w:spacing w:after="120"/>
        <w:ind w:firstLine="284"/>
        <w:jc w:val="both"/>
        <w:rPr>
          <w:rFonts w:ascii="Times New Roman" w:hAnsi="Times New Roman"/>
          <w:sz w:val="26"/>
          <w:szCs w:val="26"/>
        </w:rPr>
      </w:pPr>
      <w:r w:rsidRPr="00795E74">
        <w:rPr>
          <w:rFonts w:ascii="Times New Roman" w:hAnsi="Times New Roman"/>
          <w:sz w:val="26"/>
          <w:szCs w:val="26"/>
        </w:rPr>
        <w:t xml:space="preserve">Szóval jól hangzik a zéró emisszió, és hogy a kipufogócsövön füst helyett csak vízgőz jön ki, de mindez eddig csak reklámértékben jött be a gyártóknak. Ráadásul a villanyautókhoz hasonlóan ezek is inkább lokálisan tisztábbak a belső égésű motoros járműveknél, de ha az energia előállítását is beleszámoljuk a rendszerbe, vagyis nemcsak a tankból a kerékre, hanem forrástól a tankig, majd onnan kerékig költségeket és a folyamat során </w:t>
      </w:r>
      <w:r w:rsidRPr="00795E74">
        <w:rPr>
          <w:rFonts w:ascii="Times New Roman" w:hAnsi="Times New Roman"/>
          <w:sz w:val="26"/>
          <w:szCs w:val="26"/>
        </w:rPr>
        <w:lastRenderedPageBreak/>
        <w:t>keletkező káros anyagot is, akkor bizony már elég tekintélyes méretű lesz ezek ökolábnyoma is.</w:t>
      </w:r>
    </w:p>
    <w:p w:rsidR="00FB1D93" w:rsidRPr="00897DCD" w:rsidRDefault="0089198E" w:rsidP="005018C6">
      <w:pPr>
        <w:pStyle w:val="Csakszveg"/>
        <w:keepNext/>
        <w:spacing w:after="120"/>
        <w:jc w:val="both"/>
        <w:rPr>
          <w:rFonts w:ascii="Times New Roman" w:hAnsi="Times New Roman"/>
          <w:sz w:val="40"/>
          <w:szCs w:val="40"/>
        </w:rPr>
      </w:pPr>
      <w:r w:rsidRPr="00897DCD">
        <w:rPr>
          <w:rFonts w:ascii="Times New Roman" w:hAnsi="Times New Roman"/>
          <w:sz w:val="40"/>
          <w:szCs w:val="40"/>
        </w:rPr>
        <w:t>Sós vízzel is megy</w:t>
      </w:r>
    </w:p>
    <w:tbl>
      <w:tblPr>
        <w:tblStyle w:val="Rcsostblzat"/>
        <w:tblpPr w:leftFromText="141" w:rightFromText="141" w:vertAnchor="text" w:tblpXSpec="right" w:tblpY="1"/>
        <w:tblOverlap w:val="never"/>
        <w:tblW w:w="0" w:type="auto"/>
        <w:jc w:val="right"/>
        <w:tblLook w:val="04A0" w:firstRow="1" w:lastRow="0" w:firstColumn="1" w:lastColumn="0" w:noHBand="0" w:noVBand="1"/>
      </w:tblPr>
      <w:tblGrid>
        <w:gridCol w:w="3402"/>
      </w:tblGrid>
      <w:tr w:rsidR="009E3A96" w:rsidRPr="00FB1D93" w:rsidTr="003A6003">
        <w:trPr>
          <w:trHeight w:val="567"/>
          <w:jc w:val="right"/>
        </w:trPr>
        <w:tc>
          <w:tcPr>
            <w:tcW w:w="3402" w:type="dxa"/>
            <w:shd w:val="pct40" w:color="auto" w:fill="auto"/>
            <w:tcMar>
              <w:top w:w="57" w:type="dxa"/>
              <w:bottom w:w="57" w:type="dxa"/>
            </w:tcMar>
            <w:vAlign w:val="center"/>
          </w:tcPr>
          <w:p w:rsidR="00BB0BA4" w:rsidRPr="003C6033" w:rsidRDefault="00BB0BA4" w:rsidP="00BB0BA4">
            <w:pPr>
              <w:pStyle w:val="Csakszveg"/>
              <w:rPr>
                <w:rFonts w:ascii="Times New Roman" w:hAnsi="Times New Roman"/>
                <w:smallCaps/>
                <w:color w:val="FFFFFF" w:themeColor="background1"/>
                <w:sz w:val="32"/>
                <w:szCs w:val="32"/>
              </w:rPr>
            </w:pPr>
            <w:r w:rsidRPr="003C6033">
              <w:rPr>
                <w:rFonts w:ascii="Times New Roman" w:hAnsi="Times New Roman"/>
                <w:smallCaps/>
                <w:color w:val="FFFFFF" w:themeColor="background1"/>
                <w:sz w:val="32"/>
                <w:szCs w:val="32"/>
              </w:rPr>
              <w:t>Technikai kisokos</w:t>
            </w:r>
          </w:p>
        </w:tc>
      </w:tr>
      <w:tr w:rsidR="009E3A96" w:rsidRPr="00FB1D93" w:rsidTr="003A6003">
        <w:trPr>
          <w:jc w:val="right"/>
        </w:trPr>
        <w:tc>
          <w:tcPr>
            <w:tcW w:w="3402" w:type="dxa"/>
            <w:tcMar>
              <w:top w:w="57" w:type="dxa"/>
              <w:bottom w:w="57" w:type="dxa"/>
            </w:tcMar>
          </w:tcPr>
          <w:p w:rsidR="00BB0BA4" w:rsidRPr="00BB0BA4" w:rsidRDefault="00BB0BA4" w:rsidP="00BB0BA4">
            <w:pPr>
              <w:pStyle w:val="Csakszveg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B0BA4">
              <w:rPr>
                <w:rFonts w:ascii="Times New Roman" w:hAnsi="Times New Roman"/>
                <w:sz w:val="20"/>
                <w:szCs w:val="20"/>
              </w:rPr>
              <w:t>Az elektrolízissel ellentétes folyamatnál a levegőből nyert oxigén és a cseppfolyósított hidrogén reakciójánál víz-, hő- és elektromos energia szabadul fel. A hidrogént és oxigént egymásra fektetett cellalemezek keskeny járataiba vezetik, a gázokat platina bevonatú protonáteresztő polimer-elektrolit fólia választja el. A hidrogén az anódon protonokra és neutronokra bomlik, a pozitív töltésű protonok a membránfólián keresztül a katód oxigénatomjaihoz igyekeznek, miközben az elektronok az anódon maradnak, így a két pólus között feszültség jön létre.</w:t>
            </w:r>
          </w:p>
        </w:tc>
      </w:tr>
      <w:tr w:rsidR="009E3A96" w:rsidRPr="00FB1D93" w:rsidTr="003A6003">
        <w:trPr>
          <w:jc w:val="right"/>
        </w:trPr>
        <w:tc>
          <w:tcPr>
            <w:tcW w:w="3402" w:type="dxa"/>
            <w:tcMar>
              <w:top w:w="57" w:type="dxa"/>
              <w:bottom w:w="57" w:type="dxa"/>
            </w:tcMar>
          </w:tcPr>
          <w:p w:rsidR="00BB0BA4" w:rsidRPr="00BB0BA4" w:rsidRDefault="009D1917" w:rsidP="00E405E3">
            <w:pPr>
              <w:jc w:val="both"/>
            </w:pPr>
            <w:r>
              <w:rPr>
                <w:b/>
                <w:noProof/>
                <w:lang w:eastAsia="hu-HU"/>
              </w:rPr>
              <w:pict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_x0000_s1029" type="#_x0000_t68" style="position:absolute;left:0;text-align:left;margin-left:0;margin-top:2.4pt;width:11.35pt;height:17pt;z-index:-251655168;mso-position-horizontal:left;mso-position-horizontal-relative:text;mso-position-vertical:absolute;mso-position-vertical-relative:text" wrapcoords="8452 -939 -1878 3757 -1878 5635 2817 14087 2817 21600 17843 21600 17843 14087 22539 4696 12209 -939 8452 -939" fillcolor="black [3213]">
                  <v:textbox style="layout-flow:vertical-ideographic"/>
                  <w10:wrap type="tight"/>
                </v:shape>
              </w:pict>
            </w:r>
            <w:r w:rsidR="00BB0BA4" w:rsidRPr="009E3A96">
              <w:rPr>
                <w:b/>
              </w:rPr>
              <w:t>Előnyök:</w:t>
            </w:r>
            <w:r w:rsidR="00BB0BA4" w:rsidRPr="00BB0BA4">
              <w:t xml:space="preserve"> Zéró károsanyag-kibocsátás, zajtalan működés, kis térfogat, tömeg és méret.</w:t>
            </w:r>
          </w:p>
        </w:tc>
      </w:tr>
      <w:tr w:rsidR="009E3A96" w:rsidRPr="00795E74" w:rsidTr="003A6003">
        <w:trPr>
          <w:jc w:val="right"/>
        </w:trPr>
        <w:tc>
          <w:tcPr>
            <w:tcW w:w="3402" w:type="dxa"/>
            <w:tcMar>
              <w:top w:w="57" w:type="dxa"/>
              <w:bottom w:w="57" w:type="dxa"/>
            </w:tcMar>
          </w:tcPr>
          <w:p w:rsidR="00BB0BA4" w:rsidRPr="00BB0BA4" w:rsidRDefault="009D1917" w:rsidP="00BB0BA4">
            <w:pPr>
              <w:pStyle w:val="Csakszveg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sz w:val="20"/>
                <w:szCs w:val="20"/>
                <w:lang w:eastAsia="hu-HU"/>
              </w:rPr>
              <w:pict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_x0000_s1030" type="#_x0000_t67" style="position:absolute;left:0;text-align:left;margin-left:0;margin-top:2.2pt;width:11.35pt;height:17pt;z-index:-251654144;mso-position-horizontal:left;mso-position-horizontal-relative:text;mso-position-vertical-relative:text" wrapcoords="2817 -939 2817 14087 -1878 15026 -939 16904 7513 21600 13148 21600 21600 17843 22539 15026 17843 14087 17843 -939 2817 -939" fillcolor="black [3213]">
                  <v:textbox style="layout-flow:vertical-ideographic"/>
                  <w10:wrap type="tight"/>
                </v:shape>
              </w:pict>
            </w:r>
            <w:r w:rsidR="00BB0BA4" w:rsidRPr="009E3A96">
              <w:rPr>
                <w:rFonts w:ascii="Times New Roman" w:hAnsi="Times New Roman"/>
                <w:b/>
                <w:sz w:val="20"/>
                <w:szCs w:val="20"/>
              </w:rPr>
              <w:t>Hátrányok:</w:t>
            </w:r>
            <w:r w:rsidR="00BB0BA4" w:rsidRPr="00BB0BA4">
              <w:rPr>
                <w:rFonts w:ascii="Times New Roman" w:hAnsi="Times New Roman"/>
                <w:sz w:val="20"/>
                <w:szCs w:val="20"/>
              </w:rPr>
              <w:t xml:space="preserve"> magas gyártási költség, korlátozott teljesítmény, energiaigényes hidrogéncseppfolyósítás, költséges üzemanyag-szállítás, parkoláskor is 2-3 százalékos párolgási veszteség, ritka töltőállomás- és szervizhálózat.</w:t>
            </w:r>
          </w:p>
        </w:tc>
      </w:tr>
    </w:tbl>
    <w:p w:rsidR="00795E74" w:rsidRDefault="0089198E" w:rsidP="00795E74">
      <w:pPr>
        <w:pStyle w:val="Csakszveg"/>
        <w:spacing w:after="120"/>
        <w:jc w:val="both"/>
        <w:rPr>
          <w:rFonts w:ascii="Times New Roman" w:hAnsi="Times New Roman"/>
          <w:sz w:val="26"/>
          <w:szCs w:val="26"/>
        </w:rPr>
      </w:pPr>
      <w:r w:rsidRPr="00795E74">
        <w:rPr>
          <w:rFonts w:ascii="Times New Roman" w:hAnsi="Times New Roman"/>
          <w:sz w:val="26"/>
          <w:szCs w:val="26"/>
        </w:rPr>
        <w:t>Zéró füst és zaj, tehát maximálisan környezetbarát, így reklámozzák a villanyautókat, amelyek között egyre több akkumulátorát tölti és motorjait hajtja cseppfolyós hidrogénből nyert elektromos energia.</w:t>
      </w:r>
    </w:p>
    <w:p w:rsidR="00FB1D93" w:rsidRDefault="0089198E" w:rsidP="009E3A96">
      <w:pPr>
        <w:pStyle w:val="Csakszveg"/>
        <w:spacing w:after="120"/>
        <w:ind w:firstLine="284"/>
        <w:jc w:val="both"/>
        <w:rPr>
          <w:rFonts w:ascii="Times New Roman" w:hAnsi="Times New Roman"/>
          <w:sz w:val="26"/>
          <w:szCs w:val="26"/>
        </w:rPr>
      </w:pPr>
      <w:r w:rsidRPr="00795E74">
        <w:rPr>
          <w:rFonts w:ascii="Times New Roman" w:hAnsi="Times New Roman"/>
          <w:sz w:val="26"/>
          <w:szCs w:val="26"/>
        </w:rPr>
        <w:t>Vannak márkák, melyek évtizedek óta készítenek üzemanyagcellás autókat, a legújabbakat a két klasszikus hidrogénaktivista, a Honda és a Toyota mutatta be, az egyik már jövőre kereskedelmi forgalomba kerül, ahogy az új szereplő német Quant is, mely továbbfejlesztette a technológiát.</w:t>
      </w:r>
    </w:p>
    <w:p w:rsidR="00FB1D93" w:rsidRDefault="0089198E" w:rsidP="009E3A96">
      <w:pPr>
        <w:pStyle w:val="Csakszveg"/>
        <w:spacing w:after="120"/>
        <w:ind w:firstLine="284"/>
        <w:jc w:val="both"/>
        <w:rPr>
          <w:rFonts w:ascii="Times New Roman" w:hAnsi="Times New Roman"/>
          <w:sz w:val="26"/>
          <w:szCs w:val="26"/>
        </w:rPr>
      </w:pPr>
      <w:r w:rsidRPr="00795E74">
        <w:rPr>
          <w:rFonts w:ascii="Times New Roman" w:hAnsi="Times New Roman"/>
          <w:sz w:val="26"/>
          <w:szCs w:val="26"/>
        </w:rPr>
        <w:t>Bármennyire is szeretnénk óvni a környezetet, ebben a műfajban sem a tudatosság hiányzik, a vásárlásnak határt szab az autó magas ára, a ritka és drágán üzemeltethető töltőhálózat. A modellek népszerűsítése érdekében a kevés kútnál ingyen lehet tankolni, akárcsak a villanyautóknak a töltőoszlopok többségénél. A leglátványosabbat és műszakilag is a legérdekesebbet a német nano Flowcell AG mutatta be: a cseppfolyós hidrogénnel és sós vízzel működő Quant modellt márciusban mutatta be a német cég, melynek működéséről nem sokat árultak el eddig. Az autó megkapta a TÜV németországi típusbizonyítványát, így decembertől valamennyi európai közúton közlekedhet.</w:t>
      </w:r>
    </w:p>
    <w:p w:rsidR="00FB1D93" w:rsidRDefault="0089198E" w:rsidP="009E3A96">
      <w:pPr>
        <w:pStyle w:val="Csakszveg"/>
        <w:spacing w:after="120"/>
        <w:ind w:firstLine="284"/>
        <w:jc w:val="both"/>
        <w:rPr>
          <w:rFonts w:ascii="Times New Roman" w:hAnsi="Times New Roman"/>
          <w:sz w:val="26"/>
          <w:szCs w:val="26"/>
        </w:rPr>
      </w:pPr>
      <w:r w:rsidRPr="00795E74">
        <w:rPr>
          <w:rFonts w:ascii="Times New Roman" w:hAnsi="Times New Roman"/>
          <w:sz w:val="26"/>
          <w:szCs w:val="26"/>
        </w:rPr>
        <w:t>A négyüléses Quant e-Sportlimousine NanoFlowcell hosszú neve nemcsak egy autót, hanem érdekes technológiai megoldást is jelez: a rendszer különlegessége, hogy a klasszikus lítiumion, lítiumpolimer akkuk helyett újszerű energiatároló-technológiát alkalmaz, amely a hagyományos akkumulátorok jellemzőit a hidrogén-üzemanyagcella működési elvével kombinálja. A két külön tartályban tárolt elektrolit membránon átfolyva állít elő elektromos áramot, méghozzá sós vízzel kombinálva. A Quant egy tankolással 600 kilométernyi útra képes, és 670 kilowattnyi teljesítményű villanymotorjaival álló helyzetből 2,8 másodperc alatt éri el a százas tempót, miközben akár 300 km/órás sebességre gyorsulhat.</w:t>
      </w:r>
    </w:p>
    <w:p w:rsidR="00FB1D93" w:rsidRDefault="0089198E" w:rsidP="009E3A96">
      <w:pPr>
        <w:pStyle w:val="Csakszveg"/>
        <w:spacing w:after="120"/>
        <w:ind w:firstLine="284"/>
        <w:jc w:val="both"/>
        <w:rPr>
          <w:rFonts w:ascii="Times New Roman" w:hAnsi="Times New Roman"/>
          <w:sz w:val="26"/>
          <w:szCs w:val="26"/>
        </w:rPr>
      </w:pPr>
      <w:r w:rsidRPr="00795E74">
        <w:rPr>
          <w:rFonts w:ascii="Times New Roman" w:hAnsi="Times New Roman"/>
          <w:sz w:val="26"/>
          <w:szCs w:val="26"/>
        </w:rPr>
        <w:t>A német szuperautóhoz hasonlóan jövőre megvásárolható a Toyota hidrogénhajtásúja is: a Mirai ára Japánban hétmillió jen lesz, ami átszámolva 14,7 millió forint. A Prius méretű autó ötperces tankolás után ötszáz kilométeres utat tud megtenni. A működéshez szükséges hidrogént vízből vagy akár szemétből is elő lehet állítani, a kocsi pedig annyi áramot termel, ami egy családi ház egyheti szükségletét is fedezi. A hasonló árú Honda FCV üzemanyagcellájának mérete már harmada elődjének, miközben hatékonysága hatvan százalékkal javult. Három perc alatt tankol hétszáz kilométerre elegendő cseppfolyós hidrogént. A Honda tartozéka egy kilenc kilowattos teljesítményű mobil áramfejlesztő.</w:t>
      </w:r>
    </w:p>
    <w:p w:rsidR="0089198E" w:rsidRPr="00795E74" w:rsidRDefault="0089198E" w:rsidP="009E3A96">
      <w:pPr>
        <w:pStyle w:val="Csakszveg"/>
        <w:spacing w:after="120"/>
        <w:ind w:firstLine="284"/>
        <w:jc w:val="both"/>
        <w:rPr>
          <w:rFonts w:ascii="Times New Roman" w:hAnsi="Times New Roman"/>
          <w:sz w:val="26"/>
          <w:szCs w:val="26"/>
        </w:rPr>
      </w:pPr>
      <w:r w:rsidRPr="00795E74">
        <w:rPr>
          <w:rFonts w:ascii="Times New Roman" w:hAnsi="Times New Roman"/>
          <w:sz w:val="26"/>
          <w:szCs w:val="26"/>
        </w:rPr>
        <w:t>A japánok bizakodóak, és előrejelzéseik szerint 2020-ban már 3600 kútnál tankolhat majd az ötmillió üzemanyagcellás autó. Nem kevésbé érdekes, hogy nem csak a járművek működnek majd folyékony hidrogénnel: a program keretében a napelemes tetővel épült házakat szélerőművek is táplálnák, erről üzemelne minden háztartási eszköz, sőt a házi átalakító segítségével a hidrogén cseppfolyósítása is otthon történne, vagyis saját garázsban lehet majd autót tankolni.</w:t>
      </w:r>
    </w:p>
    <w:sectPr w:rsidR="0089198E" w:rsidRPr="00795E74" w:rsidSect="00E751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numFmt w:val="chicago"/>
      </w:footnotePr>
      <w:pgSz w:w="11906" w:h="16838"/>
      <w:pgMar w:top="1701" w:right="1247" w:bottom="1247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1917" w:rsidRDefault="009D1917" w:rsidP="00E75108">
      <w:r>
        <w:separator/>
      </w:r>
    </w:p>
  </w:endnote>
  <w:endnote w:type="continuationSeparator" w:id="0">
    <w:p w:rsidR="009D1917" w:rsidRDefault="009D1917" w:rsidP="00E75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E29" w:rsidRDefault="00382E29">
    <w:pPr>
      <w:pStyle w:val="ll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E29" w:rsidRDefault="00382E29">
    <w:pPr>
      <w:pStyle w:val="llb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E29" w:rsidRDefault="00382E29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1917" w:rsidRDefault="009D1917" w:rsidP="00E75108">
      <w:r>
        <w:separator/>
      </w:r>
    </w:p>
  </w:footnote>
  <w:footnote w:type="continuationSeparator" w:id="0">
    <w:p w:rsidR="009D1917" w:rsidRDefault="009D1917" w:rsidP="00E75108">
      <w:r>
        <w:continuationSeparator/>
      </w:r>
    </w:p>
  </w:footnote>
  <w:footnote w:id="1">
    <w:p w:rsidR="00795E74" w:rsidRDefault="00795E74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 w:rsidRPr="00711D91">
        <w:rPr>
          <w:i/>
        </w:rPr>
        <w:t>Népszabadság, 2014. december 3., szerda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E29" w:rsidRDefault="00382E29">
    <w:pPr>
      <w:pStyle w:val="lfej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5108" w:rsidRPr="00E75108" w:rsidRDefault="00244418" w:rsidP="00382E29">
    <w:pPr>
      <w:pStyle w:val="lfej"/>
      <w:pBdr>
        <w:bottom w:val="double" w:sz="12" w:space="1" w:color="auto"/>
      </w:pBdr>
      <w:tabs>
        <w:tab w:val="clear" w:pos="4536"/>
        <w:tab w:val="clear" w:pos="9072"/>
        <w:tab w:val="center" w:pos="4706"/>
        <w:tab w:val="right" w:pos="9412"/>
      </w:tabs>
      <w:rPr>
        <w:sz w:val="40"/>
        <w:szCs w:val="40"/>
      </w:rPr>
    </w:pPr>
    <w:r w:rsidRPr="00E75108">
      <w:rPr>
        <w:sz w:val="40"/>
        <w:szCs w:val="40"/>
      </w:rPr>
      <w:fldChar w:fldCharType="begin"/>
    </w:r>
    <w:r w:rsidR="00E75108" w:rsidRPr="00E75108">
      <w:rPr>
        <w:sz w:val="40"/>
        <w:szCs w:val="40"/>
      </w:rPr>
      <w:instrText xml:space="preserve"> PAGE   \* MERGEFORMAT </w:instrText>
    </w:r>
    <w:r w:rsidRPr="00E75108">
      <w:rPr>
        <w:sz w:val="40"/>
        <w:szCs w:val="40"/>
      </w:rPr>
      <w:fldChar w:fldCharType="separate"/>
    </w:r>
    <w:r w:rsidR="009D1917">
      <w:rPr>
        <w:noProof/>
        <w:sz w:val="40"/>
        <w:szCs w:val="40"/>
      </w:rPr>
      <w:t>1</w:t>
    </w:r>
    <w:r w:rsidRPr="00E75108">
      <w:rPr>
        <w:sz w:val="40"/>
        <w:szCs w:val="40"/>
      </w:rPr>
      <w:fldChar w:fldCharType="end"/>
    </w:r>
    <w:r w:rsidR="003A6003">
      <w:rPr>
        <w:sz w:val="40"/>
        <w:szCs w:val="40"/>
      </w:rPr>
      <w:tab/>
    </w:r>
    <w:r w:rsidR="00C3780D">
      <w:rPr>
        <w:noProof/>
        <w:sz w:val="40"/>
        <w:szCs w:val="40"/>
        <w:lang w:eastAsia="hu-HU"/>
      </w:rPr>
      <w:drawing>
        <wp:inline distT="0" distB="0" distL="0" distR="0">
          <wp:extent cx="685714" cy="361905"/>
          <wp:effectExtent l="19050" t="0" r="86" b="0"/>
          <wp:docPr id="7" name="Kép 6" descr="kiskocs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iskocsi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5714" cy="3619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75108" w:rsidRPr="00E75108">
      <w:rPr>
        <w:sz w:val="40"/>
        <w:szCs w:val="40"/>
      </w:rPr>
      <w:tab/>
      <w:t>Kerékvilág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E29" w:rsidRDefault="00382E29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characterSpacingControl w:val="doNotCompress"/>
  <w:savePreviewPicture/>
  <w:hdrShapeDefaults>
    <o:shapedefaults v:ext="edit" spidmax="2049"/>
  </w:hdrShapeDefaults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56A6"/>
    <w:rsid w:val="00082FAC"/>
    <w:rsid w:val="000D6A6E"/>
    <w:rsid w:val="000F147E"/>
    <w:rsid w:val="00125B2B"/>
    <w:rsid w:val="001B7BC0"/>
    <w:rsid w:val="001E7F36"/>
    <w:rsid w:val="00244418"/>
    <w:rsid w:val="002971E9"/>
    <w:rsid w:val="00321FCA"/>
    <w:rsid w:val="00376D22"/>
    <w:rsid w:val="00382E29"/>
    <w:rsid w:val="003A6003"/>
    <w:rsid w:val="003C10EC"/>
    <w:rsid w:val="003C6033"/>
    <w:rsid w:val="00423D0A"/>
    <w:rsid w:val="004B442B"/>
    <w:rsid w:val="005018C6"/>
    <w:rsid w:val="00534B54"/>
    <w:rsid w:val="00562841"/>
    <w:rsid w:val="005A24D9"/>
    <w:rsid w:val="00647C0C"/>
    <w:rsid w:val="006E419D"/>
    <w:rsid w:val="00711D91"/>
    <w:rsid w:val="007757F1"/>
    <w:rsid w:val="00795E74"/>
    <w:rsid w:val="00857F1A"/>
    <w:rsid w:val="0089198E"/>
    <w:rsid w:val="00897DCD"/>
    <w:rsid w:val="008D1C5C"/>
    <w:rsid w:val="0097650A"/>
    <w:rsid w:val="009D0DC6"/>
    <w:rsid w:val="009D1917"/>
    <w:rsid w:val="009E3A96"/>
    <w:rsid w:val="00A35575"/>
    <w:rsid w:val="00A556A6"/>
    <w:rsid w:val="00B0270F"/>
    <w:rsid w:val="00B12572"/>
    <w:rsid w:val="00B2664D"/>
    <w:rsid w:val="00BA6677"/>
    <w:rsid w:val="00BB0BA4"/>
    <w:rsid w:val="00BB2059"/>
    <w:rsid w:val="00C3780D"/>
    <w:rsid w:val="00C7301A"/>
    <w:rsid w:val="00CE6A1D"/>
    <w:rsid w:val="00CF29D0"/>
    <w:rsid w:val="00D1748C"/>
    <w:rsid w:val="00D531E3"/>
    <w:rsid w:val="00DE15C8"/>
    <w:rsid w:val="00DF70AD"/>
    <w:rsid w:val="00E405E3"/>
    <w:rsid w:val="00E75108"/>
    <w:rsid w:val="00EA790D"/>
    <w:rsid w:val="00EB4EAF"/>
    <w:rsid w:val="00F46F43"/>
    <w:rsid w:val="00F535CD"/>
    <w:rsid w:val="00F57715"/>
    <w:rsid w:val="00FB1D93"/>
    <w:rsid w:val="00FC1F3C"/>
    <w:rsid w:val="00FC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4942CBE-729B-4F69-962D-97CD6F0E1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hu-H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B0270F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Fjl">
    <w:name w:val="Fájl"/>
    <w:basedOn w:val="Bekezdsalapbettpusa"/>
    <w:qFormat/>
    <w:rsid w:val="007757F1"/>
    <w:rPr>
      <w:rFonts w:ascii="Courier New" w:hAnsi="Courier New"/>
      <w:i/>
      <w:sz w:val="22"/>
    </w:rPr>
  </w:style>
  <w:style w:type="paragraph" w:customStyle="1" w:styleId="Megolds">
    <w:name w:val="Megoldás"/>
    <w:basedOn w:val="Norml"/>
    <w:autoRedefine/>
    <w:qFormat/>
    <w:rsid w:val="005A24D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284"/>
      </w:tabs>
      <w:ind w:left="567"/>
    </w:pPr>
    <w:rPr>
      <w:rFonts w:ascii="Courier New" w:eastAsia="Calibri" w:hAnsi="Courier New" w:cs="Courier New"/>
      <w:sz w:val="24"/>
      <w:szCs w:val="24"/>
    </w:rPr>
  </w:style>
  <w:style w:type="paragraph" w:styleId="Csakszveg">
    <w:name w:val="Plain Text"/>
    <w:basedOn w:val="Norml"/>
    <w:link w:val="CsakszvegChar"/>
    <w:uiPriority w:val="99"/>
    <w:unhideWhenUsed/>
    <w:rsid w:val="002D7A11"/>
    <w:rPr>
      <w:rFonts w:ascii="Consolas" w:hAnsi="Consolas"/>
      <w:sz w:val="21"/>
      <w:szCs w:val="21"/>
    </w:rPr>
  </w:style>
  <w:style w:type="character" w:customStyle="1" w:styleId="CsakszvegChar">
    <w:name w:val="Csak szöveg Char"/>
    <w:basedOn w:val="Bekezdsalapbettpusa"/>
    <w:link w:val="Csakszveg"/>
    <w:uiPriority w:val="99"/>
    <w:rsid w:val="002D7A11"/>
    <w:rPr>
      <w:rFonts w:ascii="Consolas" w:hAnsi="Consolas"/>
      <w:sz w:val="21"/>
      <w:szCs w:val="21"/>
    </w:rPr>
  </w:style>
  <w:style w:type="paragraph" w:styleId="lfej">
    <w:name w:val="header"/>
    <w:basedOn w:val="Norml"/>
    <w:link w:val="lfejChar"/>
    <w:uiPriority w:val="99"/>
    <w:unhideWhenUsed/>
    <w:rsid w:val="00E75108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E75108"/>
  </w:style>
  <w:style w:type="paragraph" w:styleId="llb">
    <w:name w:val="footer"/>
    <w:basedOn w:val="Norml"/>
    <w:link w:val="llbChar"/>
    <w:uiPriority w:val="99"/>
    <w:unhideWhenUsed/>
    <w:rsid w:val="00E75108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E75108"/>
  </w:style>
  <w:style w:type="paragraph" w:styleId="Lbjegyzetszveg">
    <w:name w:val="footnote text"/>
    <w:basedOn w:val="Norml"/>
    <w:link w:val="LbjegyzetszvegChar"/>
    <w:uiPriority w:val="99"/>
    <w:semiHidden/>
    <w:unhideWhenUsed/>
    <w:rsid w:val="00795E74"/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795E74"/>
  </w:style>
  <w:style w:type="character" w:styleId="Lbjegyzet-hivatkozs">
    <w:name w:val="footnote reference"/>
    <w:basedOn w:val="Bekezdsalapbettpusa"/>
    <w:uiPriority w:val="99"/>
    <w:semiHidden/>
    <w:unhideWhenUsed/>
    <w:rsid w:val="00795E74"/>
    <w:rPr>
      <w:vertAlign w:val="superscript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FB1D93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B1D93"/>
    <w:rPr>
      <w:rFonts w:ascii="Tahoma" w:hAnsi="Tahoma" w:cs="Tahoma"/>
      <w:sz w:val="16"/>
      <w:szCs w:val="16"/>
    </w:rPr>
  </w:style>
  <w:style w:type="table" w:styleId="Rcsostblzat">
    <w:name w:val="Table Grid"/>
    <w:basedOn w:val="Normltblzat"/>
    <w:uiPriority w:val="59"/>
    <w:rsid w:val="00FB1D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BC1114-6644-4E24-B844-EC3591204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914</Words>
  <Characters>5911</Characters>
  <Application>Microsoft Office Word</Application>
  <DocSecurity>0</DocSecurity>
  <Lines>103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Oktatási Hivatal</cp:lastModifiedBy>
  <cp:revision>18</cp:revision>
  <cp:lastPrinted>2014-12-08T15:48:00Z</cp:lastPrinted>
  <dcterms:created xsi:type="dcterms:W3CDTF">2014-12-08T14:30:00Z</dcterms:created>
  <dcterms:modified xsi:type="dcterms:W3CDTF">2015-02-19T08:29:00Z</dcterms:modified>
</cp:coreProperties>
</file>