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390C" w14:textId="77777777" w:rsidR="004B7E90" w:rsidRPr="0007756E" w:rsidRDefault="00282CEF" w:rsidP="00282CEF">
      <w:pPr>
        <w:jc w:val="center"/>
        <w:rPr>
          <w:b/>
        </w:rPr>
      </w:pPr>
      <w:r w:rsidRPr="0007756E">
        <w:rPr>
          <w:b/>
        </w:rPr>
        <w:t>miRNA target prediction - Deep learning approach</w:t>
      </w:r>
    </w:p>
    <w:p w14:paraId="4A641F95" w14:textId="77777777" w:rsidR="00F72F63" w:rsidRDefault="00F72F63" w:rsidP="00834289">
      <w:pPr>
        <w:pBdr>
          <w:bottom w:val="single" w:sz="6" w:space="1" w:color="auto"/>
        </w:pBdr>
        <w:jc w:val="both"/>
      </w:pPr>
    </w:p>
    <w:p w14:paraId="669A863F" w14:textId="77777777" w:rsidR="00F72F63" w:rsidRDefault="00F72F63" w:rsidP="00F72F63">
      <w:pPr>
        <w:pBdr>
          <w:bottom w:val="single" w:sz="6" w:space="1" w:color="auto"/>
        </w:pBdr>
        <w:jc w:val="both"/>
      </w:pPr>
    </w:p>
    <w:p w14:paraId="25F29713" w14:textId="77777777" w:rsidR="00F72F63" w:rsidRDefault="00F72F63" w:rsidP="00834289">
      <w:pPr>
        <w:pBdr>
          <w:bottom w:val="single" w:sz="6" w:space="1" w:color="auto"/>
        </w:pBdr>
        <w:jc w:val="both"/>
      </w:pPr>
    </w:p>
    <w:p w14:paraId="5B40BE83" w14:textId="7E1C7CF4" w:rsidR="00F72F63" w:rsidRDefault="00F72F63" w:rsidP="00834289">
      <w:pPr>
        <w:pBdr>
          <w:bottom w:val="single" w:sz="6" w:space="1" w:color="auto"/>
        </w:pBdr>
        <w:jc w:val="both"/>
      </w:pPr>
      <w:r w:rsidRPr="00E3711C">
        <w:rPr>
          <w:b/>
          <w:bCs/>
        </w:rPr>
        <w:t>Template</w:t>
      </w:r>
      <w:r>
        <w:t>: Machine Learning and Neural Networks – Deep learning on a public dataset</w:t>
      </w:r>
    </w:p>
    <w:p w14:paraId="0EFC440A" w14:textId="77777777" w:rsidR="00F72F63" w:rsidRDefault="00F72F63" w:rsidP="00F72F63">
      <w:pPr>
        <w:pBdr>
          <w:bottom w:val="single" w:sz="6" w:space="1" w:color="auto"/>
        </w:pBdr>
        <w:jc w:val="both"/>
      </w:pPr>
    </w:p>
    <w:p w14:paraId="180E4F15" w14:textId="77777777" w:rsidR="00F72F63" w:rsidRPr="0007756E" w:rsidRDefault="00F72F63" w:rsidP="00834289">
      <w:pPr>
        <w:jc w:val="both"/>
      </w:pPr>
    </w:p>
    <w:p w14:paraId="46598EE9" w14:textId="77777777" w:rsidR="00380F38" w:rsidRPr="0007756E" w:rsidRDefault="005F32C2" w:rsidP="00834289">
      <w:pPr>
        <w:jc w:val="both"/>
        <w:rPr>
          <w:b/>
        </w:rPr>
      </w:pPr>
      <w:r w:rsidRPr="0007756E">
        <w:rPr>
          <w:b/>
        </w:rPr>
        <w:t>Abbreviations</w:t>
      </w:r>
    </w:p>
    <w:p w14:paraId="74CC5F20" w14:textId="77777777" w:rsidR="005F32C2" w:rsidRPr="0007756E" w:rsidRDefault="005F32C2" w:rsidP="00834289">
      <w:pPr>
        <w:jc w:val="both"/>
      </w:pPr>
      <w:r w:rsidRPr="0007756E">
        <w:t>nt: Nucleotides</w:t>
      </w:r>
    </w:p>
    <w:p w14:paraId="5F6A50B3" w14:textId="77777777" w:rsidR="00BE0256" w:rsidRPr="0007756E" w:rsidRDefault="00BE0256" w:rsidP="00834289">
      <w:pPr>
        <w:jc w:val="both"/>
      </w:pPr>
      <w:r w:rsidRPr="0007756E">
        <w:t>ncRNA: non-coding RNA</w:t>
      </w:r>
    </w:p>
    <w:p w14:paraId="130362A5" w14:textId="77777777" w:rsidR="00D22087" w:rsidRPr="00FB13A2" w:rsidRDefault="00D22087" w:rsidP="00D22087">
      <w:pPr>
        <w:jc w:val="both"/>
        <w:rPr>
          <w:lang w:val="es-419"/>
        </w:rPr>
      </w:pPr>
      <w:r w:rsidRPr="00FB13A2">
        <w:rPr>
          <w:lang w:val="es-419"/>
        </w:rPr>
        <w:t>miRNA: micro RNA</w:t>
      </w:r>
    </w:p>
    <w:p w14:paraId="03EC03D3" w14:textId="77777777" w:rsidR="00D22087" w:rsidRPr="00FB13A2" w:rsidRDefault="00D22087" w:rsidP="00D22087">
      <w:pPr>
        <w:jc w:val="both"/>
        <w:rPr>
          <w:lang w:val="es-419"/>
        </w:rPr>
      </w:pPr>
      <w:r w:rsidRPr="00FB13A2">
        <w:rPr>
          <w:lang w:val="es-419"/>
        </w:rPr>
        <w:t>mRNA: messenger RNA</w:t>
      </w:r>
    </w:p>
    <w:p w14:paraId="105B6BC1" w14:textId="77777777" w:rsidR="00D22087" w:rsidRPr="0007756E" w:rsidRDefault="00D22087" w:rsidP="00D22087">
      <w:pPr>
        <w:jc w:val="both"/>
      </w:pPr>
      <w:r w:rsidRPr="0007756E">
        <w:t>DNN: Deep Neural Network</w:t>
      </w:r>
    </w:p>
    <w:p w14:paraId="1E418423" w14:textId="77777777" w:rsidR="00D22087" w:rsidRPr="0007756E" w:rsidRDefault="00D22087" w:rsidP="00D22087">
      <w:pPr>
        <w:jc w:val="both"/>
      </w:pPr>
      <w:r w:rsidRPr="0007756E">
        <w:t>DL: Deep Learning</w:t>
      </w:r>
    </w:p>
    <w:p w14:paraId="5276EEF5" w14:textId="77777777" w:rsidR="00D22087" w:rsidRPr="0007756E" w:rsidRDefault="00D22087" w:rsidP="00D22087">
      <w:pPr>
        <w:pBdr>
          <w:bottom w:val="single" w:sz="6" w:space="1" w:color="auto"/>
        </w:pBdr>
        <w:jc w:val="both"/>
      </w:pPr>
      <w:r w:rsidRPr="0007756E">
        <w:t>ML: Machine Learning</w:t>
      </w:r>
    </w:p>
    <w:p w14:paraId="3F8B1E8B" w14:textId="6764FE3D" w:rsidR="00CC1EE3" w:rsidRPr="0007756E" w:rsidRDefault="00CC1EE3" w:rsidP="00D22087">
      <w:pPr>
        <w:pBdr>
          <w:bottom w:val="single" w:sz="6" w:space="1" w:color="auto"/>
        </w:pBdr>
        <w:jc w:val="both"/>
      </w:pPr>
      <w:r w:rsidRPr="0007756E">
        <w:t>SdA: Stacked denoising Autoencoders</w:t>
      </w:r>
    </w:p>
    <w:p w14:paraId="3FCABD56" w14:textId="77777777" w:rsidR="007757BA" w:rsidRPr="0007756E" w:rsidRDefault="007757BA" w:rsidP="00D22087">
      <w:pPr>
        <w:pBdr>
          <w:bottom w:val="single" w:sz="6" w:space="1" w:color="auto"/>
        </w:pBdr>
        <w:jc w:val="both"/>
      </w:pPr>
    </w:p>
    <w:p w14:paraId="16021951" w14:textId="77777777" w:rsidR="007757BA" w:rsidRPr="0007756E" w:rsidRDefault="007757BA" w:rsidP="00D22087">
      <w:pPr>
        <w:jc w:val="both"/>
      </w:pPr>
    </w:p>
    <w:p w14:paraId="76DEDB8D" w14:textId="77777777" w:rsidR="00D22087" w:rsidRPr="0007756E" w:rsidRDefault="00D22087" w:rsidP="00D22087">
      <w:pPr>
        <w:jc w:val="both"/>
        <w:rPr>
          <w:b/>
        </w:rPr>
      </w:pPr>
      <w:r w:rsidRPr="0007756E">
        <w:rPr>
          <w:b/>
        </w:rPr>
        <w:t>Background</w:t>
      </w:r>
    </w:p>
    <w:p w14:paraId="634620FE" w14:textId="3AD1F9D3" w:rsidR="007757BA" w:rsidRPr="0007756E" w:rsidRDefault="007757BA" w:rsidP="007757BA">
      <w:pPr>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7757BA">
      <w:pPr>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834289">
      <w:pPr>
        <w:jc w:val="both"/>
      </w:pPr>
      <w:r w:rsidRPr="0007756E">
        <w:t xml:space="preserve">Among </w:t>
      </w:r>
      <w:r w:rsidR="00B10C97" w:rsidRPr="0007756E">
        <w:t>all</w:t>
      </w:r>
      <w:r w:rsidRPr="0007756E">
        <w:t xml:space="preserve"> types of RNA, m</w:t>
      </w:r>
      <w:r w:rsidR="00D22087" w:rsidRPr="0007756E">
        <w:t xml:space="preserve">iRNAs </w:t>
      </w:r>
      <w:r w:rsidR="00750541" w:rsidRPr="0007756E">
        <w:t>constitute key components of the network of gene regulatory 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w:t>
      </w:r>
      <w:r w:rsidR="00D22087" w:rsidRPr="0007756E">
        <w:lastRenderedPageBreak/>
        <w:t>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2B254F53" w14:textId="5650B064" w:rsidR="00D22087" w:rsidRPr="0007756E" w:rsidRDefault="00872FE3" w:rsidP="00834289">
      <w:pPr>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7C063ACE" w14:textId="77777777" w:rsidR="00380F38" w:rsidRPr="0007756E" w:rsidRDefault="00380F38" w:rsidP="00834289">
      <w:pPr>
        <w:jc w:val="both"/>
      </w:pPr>
    </w:p>
    <w:p w14:paraId="160AFE14" w14:textId="77777777" w:rsidR="00834289" w:rsidRPr="0007756E" w:rsidRDefault="00834289" w:rsidP="00834289">
      <w:pPr>
        <w:jc w:val="both"/>
        <w:rPr>
          <w:b/>
        </w:rPr>
      </w:pPr>
      <w:r w:rsidRPr="0007756E">
        <w:rPr>
          <w:b/>
        </w:rPr>
        <w:t>Objectives</w:t>
      </w:r>
    </w:p>
    <w:p w14:paraId="3EC207E1" w14:textId="2873D8DF" w:rsidR="00B71E01" w:rsidRPr="0007756E" w:rsidRDefault="00B71E01" w:rsidP="00B71E01">
      <w:pPr>
        <w:pStyle w:val="ListParagraph"/>
        <w:numPr>
          <w:ilvl w:val="0"/>
          <w:numId w:val="1"/>
        </w:numPr>
        <w:jc w:val="both"/>
      </w:pPr>
      <w:r w:rsidRPr="0007756E">
        <w:t xml:space="preserve">Gather and prepare publicly available data about curated miRNA-mRNA target interactions on </w:t>
      </w:r>
      <w:r w:rsidR="001D3186" w:rsidRPr="0007756E">
        <w:t xml:space="preserve">the </w:t>
      </w:r>
      <w:r w:rsidRPr="0007756E">
        <w:t>selected organism (</w:t>
      </w:r>
      <w:r w:rsidR="00544455" w:rsidRPr="0007756E">
        <w:t xml:space="preserve">i.e., </w:t>
      </w:r>
      <w:r w:rsidRPr="0007756E">
        <w:t xml:space="preserve">A.thaliana). </w:t>
      </w:r>
    </w:p>
    <w:p w14:paraId="34B50893" w14:textId="77777777" w:rsidR="00B71E01" w:rsidRPr="0007756E" w:rsidRDefault="00B71E01" w:rsidP="00544455">
      <w:pPr>
        <w:pStyle w:val="ListParagraph"/>
        <w:numPr>
          <w:ilvl w:val="0"/>
          <w:numId w:val="1"/>
        </w:numPr>
        <w:jc w:val="both"/>
      </w:pPr>
      <w:r w:rsidRPr="0007756E">
        <w:t>Build and train a DNN to predict mRNA targets for miRNA candidates.</w:t>
      </w:r>
    </w:p>
    <w:p w14:paraId="2016ADF8" w14:textId="77777777" w:rsidR="00006260" w:rsidRPr="0007756E" w:rsidRDefault="00006260" w:rsidP="009A3A12">
      <w:pPr>
        <w:pStyle w:val="ListParagraph"/>
        <w:numPr>
          <w:ilvl w:val="0"/>
          <w:numId w:val="1"/>
        </w:numPr>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834289">
      <w:pPr>
        <w:jc w:val="both"/>
      </w:pPr>
    </w:p>
    <w:p w14:paraId="696EC45A" w14:textId="77777777" w:rsidR="003357A3" w:rsidRPr="0007756E" w:rsidRDefault="003357A3" w:rsidP="00834289">
      <w:pPr>
        <w:jc w:val="both"/>
        <w:rPr>
          <w:b/>
        </w:rPr>
      </w:pPr>
      <w:r w:rsidRPr="0007756E">
        <w:rPr>
          <w:b/>
        </w:rPr>
        <w:t>Justification</w:t>
      </w:r>
    </w:p>
    <w:p w14:paraId="596F9001" w14:textId="41635D83" w:rsidR="002746D1" w:rsidRPr="0007756E" w:rsidRDefault="00C63F91" w:rsidP="00282CEF">
      <w:pPr>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282CEF">
      <w:pPr>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manageable size, which are then further confirmed either in vitro or in vivo. </w:t>
      </w:r>
    </w:p>
    <w:p w14:paraId="62FAA975" w14:textId="77777777" w:rsidR="00D83D89" w:rsidRPr="0007756E" w:rsidRDefault="002746D1" w:rsidP="00282CEF">
      <w:pPr>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w:t>
      </w:r>
      <w:r w:rsidR="008F5604" w:rsidRPr="0007756E">
        <w:lastRenderedPageBreak/>
        <w:t xml:space="preserve">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282CEF">
      <w:pPr>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282CEF">
      <w:pPr>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282CEF">
      <w:pPr>
        <w:jc w:val="both"/>
      </w:pPr>
    </w:p>
    <w:p w14:paraId="588B92AE" w14:textId="4044EF6C" w:rsidR="00B47890" w:rsidRPr="00B47890" w:rsidRDefault="00B47890" w:rsidP="00282CEF">
      <w:pPr>
        <w:jc w:val="both"/>
        <w:rPr>
          <w:b/>
          <w:bCs/>
        </w:rPr>
      </w:pPr>
      <w:r w:rsidRPr="00B47890">
        <w:rPr>
          <w:b/>
          <w:bCs/>
        </w:rPr>
        <w:t>Scope</w:t>
      </w:r>
    </w:p>
    <w:p w14:paraId="7E4ECD0A" w14:textId="2F12554F" w:rsidR="00686E62" w:rsidRPr="00FA64D8" w:rsidRDefault="00686E62" w:rsidP="00282CEF">
      <w:pPr>
        <w:jc w:val="both"/>
        <w:rPr>
          <w:b/>
          <w:bCs/>
        </w:rPr>
      </w:pPr>
      <w:r w:rsidRPr="00FA64D8">
        <w:rPr>
          <w:b/>
          <w:bCs/>
        </w:rPr>
        <w:t>Domain</w:t>
      </w:r>
    </w:p>
    <w:p w14:paraId="0ABC0B1B" w14:textId="77777777" w:rsidR="006F3B71" w:rsidRDefault="00686E62" w:rsidP="00282CEF">
      <w:pPr>
        <w:jc w:val="both"/>
      </w:pPr>
      <w:r>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282CEF">
      <w:pPr>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282CEF">
      <w:pPr>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69108837" w:rsidR="00686E62" w:rsidRPr="00FA64D8" w:rsidRDefault="00686E62" w:rsidP="00282CEF">
      <w:pPr>
        <w:jc w:val="both"/>
        <w:rPr>
          <w:b/>
          <w:bCs/>
        </w:rPr>
      </w:pPr>
      <w:r w:rsidRPr="00FA64D8">
        <w:rPr>
          <w:b/>
          <w:bCs/>
        </w:rPr>
        <w:t>Users</w:t>
      </w:r>
    </w:p>
    <w:p w14:paraId="12215612" w14:textId="37E3A328" w:rsidR="00FA64D8" w:rsidRDefault="00FA64D8" w:rsidP="00282CEF">
      <w:pPr>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2FC6C0C4" w:rsidR="0025596B" w:rsidRPr="000C71F8" w:rsidRDefault="0025596B" w:rsidP="00282CEF">
      <w:pPr>
        <w:jc w:val="both"/>
        <w:rPr>
          <w:b/>
          <w:bCs/>
        </w:rPr>
      </w:pPr>
      <w:r w:rsidRPr="000C71F8">
        <w:rPr>
          <w:b/>
          <w:bCs/>
        </w:rPr>
        <w:t>Use cases</w:t>
      </w:r>
    </w:p>
    <w:p w14:paraId="39DD545C" w14:textId="05E9208F" w:rsidR="0025596B" w:rsidRDefault="0025596B" w:rsidP="00282CEF">
      <w:pPr>
        <w:jc w:val="both"/>
      </w:pPr>
      <w:r>
        <w:t>Academic:</w:t>
      </w:r>
    </w:p>
    <w:p w14:paraId="28863F19" w14:textId="3D6605C2" w:rsidR="0025596B" w:rsidRDefault="00AD338D" w:rsidP="0025596B">
      <w:pPr>
        <w:pStyle w:val="ListParagraph"/>
        <w:numPr>
          <w:ilvl w:val="0"/>
          <w:numId w:val="3"/>
        </w:numPr>
        <w:jc w:val="both"/>
      </w:pPr>
      <w:r>
        <w:t>Contribute to the understanding of gene regulation mechanisms mediated by miRNAs.</w:t>
      </w:r>
    </w:p>
    <w:p w14:paraId="7593ADAC" w14:textId="6120EC84" w:rsidR="00AD338D" w:rsidRDefault="00AD338D" w:rsidP="0025596B">
      <w:pPr>
        <w:pStyle w:val="ListParagraph"/>
        <w:numPr>
          <w:ilvl w:val="0"/>
          <w:numId w:val="3"/>
        </w:numPr>
        <w:jc w:val="both"/>
      </w:pPr>
      <w:r>
        <w:t xml:space="preserve">Assist in the </w:t>
      </w:r>
      <w:r w:rsidR="00E0093C">
        <w:t xml:space="preserve">functional </w:t>
      </w:r>
      <w:r>
        <w:t>annotation task for known and novel miRNAs.</w:t>
      </w:r>
    </w:p>
    <w:p w14:paraId="48696E59" w14:textId="685138E6" w:rsidR="00547737" w:rsidRDefault="00547737" w:rsidP="0025596B">
      <w:pPr>
        <w:pStyle w:val="ListParagraph"/>
        <w:numPr>
          <w:ilvl w:val="0"/>
          <w:numId w:val="3"/>
        </w:numPr>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25596B">
      <w:pPr>
        <w:pStyle w:val="ListParagraph"/>
        <w:numPr>
          <w:ilvl w:val="0"/>
          <w:numId w:val="3"/>
        </w:numPr>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046476">
      <w:pPr>
        <w:jc w:val="both"/>
      </w:pPr>
      <w:r>
        <w:lastRenderedPageBreak/>
        <w:t>Industry:</w:t>
      </w:r>
    </w:p>
    <w:p w14:paraId="2D974288" w14:textId="605DE407" w:rsidR="00AB19B8" w:rsidRDefault="00AB19B8" w:rsidP="00AB19B8">
      <w:pPr>
        <w:pStyle w:val="ListParagraph"/>
        <w:numPr>
          <w:ilvl w:val="0"/>
          <w:numId w:val="3"/>
        </w:numPr>
        <w:jc w:val="both"/>
      </w:pPr>
      <w:r>
        <w:t>Reduce the number of candidate miRNA-mRNA pairs to validate experimentally</w:t>
      </w:r>
      <w:r w:rsidR="00111814">
        <w:t xml:space="preserve"> in drug discovery research</w:t>
      </w:r>
      <w:r>
        <w:t>.</w:t>
      </w:r>
    </w:p>
    <w:p w14:paraId="3F85FD64" w14:textId="382EAAF7" w:rsidR="000D67F0" w:rsidRDefault="002A4B70" w:rsidP="00AB19B8">
      <w:pPr>
        <w:pStyle w:val="ListParagraph"/>
        <w:numPr>
          <w:ilvl w:val="0"/>
          <w:numId w:val="3"/>
        </w:numPr>
        <w:jc w:val="both"/>
      </w:pPr>
      <w:r>
        <w:t>Assessing the potential risk of side effects due to interacting targets in clinical trials.</w:t>
      </w:r>
    </w:p>
    <w:p w14:paraId="47706107" w14:textId="2565C249" w:rsidR="00FA64D8" w:rsidRPr="0007756E" w:rsidRDefault="00DA5F82" w:rsidP="00282CEF">
      <w:pPr>
        <w:jc w:val="both"/>
      </w:pPr>
      <w:r>
        <w:t xml:space="preserve">Note: </w:t>
      </w:r>
      <w:r w:rsidR="00655B7D">
        <w:t>This paper differentiates between academic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465EAAE6" w14:textId="48C28279" w:rsidR="003357A3" w:rsidRPr="0007756E" w:rsidRDefault="00915C60" w:rsidP="00282CEF">
      <w:pPr>
        <w:jc w:val="both"/>
        <w:rPr>
          <w:b/>
        </w:rPr>
      </w:pPr>
      <w:r w:rsidRPr="0007756E">
        <w:rPr>
          <w:b/>
        </w:rPr>
        <w:t>Literature review</w:t>
      </w:r>
    </w:p>
    <w:p w14:paraId="5E5DDEAF" w14:textId="34B7EE64" w:rsidR="00D644AB" w:rsidRPr="0007756E" w:rsidRDefault="00B90FE1" w:rsidP="00282CEF">
      <w:pPr>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In terms of interpretability, there are few RNA sequencing publications exploring the explainability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2E0F3281" w:rsidR="00420D14" w:rsidRPr="0007756E" w:rsidRDefault="00420D14" w:rsidP="00420D14">
      <w:pPr>
        <w:pStyle w:val="ListParagraph"/>
        <w:numPr>
          <w:ilvl w:val="0"/>
          <w:numId w:val="2"/>
        </w:numPr>
        <w:jc w:val="both"/>
        <w:rPr>
          <w:bCs/>
          <w:i/>
          <w:iCs/>
        </w:rPr>
      </w:pPr>
      <w:r w:rsidRPr="0007756E">
        <w:rPr>
          <w:bCs/>
          <w:i/>
          <w:iCs/>
        </w:rPr>
        <w:t>“Biological interpretation of deep neural network for phenotype prediction based on gene expression”</w:t>
      </w:r>
      <w:r w:rsidR="00F92C0D" w:rsidRPr="0007756E">
        <w:rPr>
          <w:bCs/>
          <w:i/>
          <w:iCs/>
        </w:rPr>
        <w:t xml:space="preserve"> [19]</w:t>
      </w:r>
      <w:r w:rsidRPr="0007756E">
        <w:rPr>
          <w:bCs/>
          <w:i/>
          <w:iCs/>
        </w:rPr>
        <w:t>:</w:t>
      </w:r>
    </w:p>
    <w:p w14:paraId="64158D1B" w14:textId="77777777" w:rsidR="00420D14" w:rsidRPr="0007756E" w:rsidRDefault="00420D14" w:rsidP="00420D14">
      <w:pPr>
        <w:pStyle w:val="ListParagraph"/>
        <w:ind w:left="360"/>
        <w:jc w:val="both"/>
        <w:rPr>
          <w:bCs/>
        </w:rPr>
      </w:pPr>
    </w:p>
    <w:p w14:paraId="552AFEF4" w14:textId="4C41373B" w:rsidR="0007756E" w:rsidRPr="0007756E" w:rsidRDefault="00420D14" w:rsidP="0007756E">
      <w:pPr>
        <w:pStyle w:val="ListParagraph"/>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0ADFF15A" w14:textId="52EA201F" w:rsidR="00551C63" w:rsidRPr="0007756E" w:rsidRDefault="0007756E" w:rsidP="0007756E">
      <w:pPr>
        <w:pStyle w:val="ListParagraph"/>
        <w:ind w:left="360"/>
        <w:jc w:val="center"/>
        <w:rPr>
          <w:bCs/>
        </w:rPr>
      </w:pPr>
      <w:r>
        <w:rPr>
          <w:noProof/>
        </w:rPr>
        <w:drawing>
          <wp:inline distT="0" distB="0" distL="0" distR="0" wp14:anchorId="6051652E" wp14:editId="4B07076F">
            <wp:extent cx="3598877" cy="2473074"/>
            <wp:effectExtent l="0" t="0" r="0" b="3810"/>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9978" cy="2563164"/>
                    </a:xfrm>
                    <a:prstGeom prst="rect">
                      <a:avLst/>
                    </a:prstGeom>
                  </pic:spPr>
                </pic:pic>
              </a:graphicData>
            </a:graphic>
          </wp:inline>
        </w:drawing>
      </w:r>
    </w:p>
    <w:p w14:paraId="02989315" w14:textId="46AF35F7" w:rsidR="00420D14" w:rsidRPr="0007756E" w:rsidRDefault="009258DE" w:rsidP="00420D14">
      <w:pPr>
        <w:pStyle w:val="ListParagraph"/>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420D14">
      <w:pPr>
        <w:pStyle w:val="ListParagraph"/>
        <w:ind w:left="360"/>
        <w:jc w:val="both"/>
        <w:rPr>
          <w:bCs/>
        </w:rPr>
      </w:pPr>
    </w:p>
    <w:p w14:paraId="57ED0FF2" w14:textId="38546F30" w:rsidR="00420D14" w:rsidRPr="0007756E" w:rsidRDefault="00074ADE" w:rsidP="005270F3">
      <w:pPr>
        <w:pStyle w:val="ListParagraph"/>
        <w:ind w:left="360"/>
        <w:jc w:val="both"/>
        <w:rPr>
          <w:bCs/>
        </w:rPr>
      </w:pPr>
      <w:r w:rsidRPr="0007756E">
        <w:rPr>
          <w:bCs/>
        </w:rPr>
        <w:t xml:space="preserve">The results proved that given a </w:t>
      </w:r>
      <w:r w:rsidR="00E50F27" w:rsidRPr="0007756E">
        <w:rPr>
          <w:bCs/>
        </w:rPr>
        <w:t xml:space="preserve">DL </w:t>
      </w:r>
      <w:r w:rsidRPr="0007756E">
        <w:rPr>
          <w:bCs/>
        </w:rPr>
        <w:t xml:space="preserve">model that successfully finds relationships between gene expression levels and phenotypes, there should be a link between both variables and therefore, by </w:t>
      </w:r>
      <w:r w:rsidRPr="0007756E">
        <w:rPr>
          <w:bCs/>
        </w:rPr>
        <w:lastRenderedPageBreak/>
        <w:t>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5270F3">
      <w:pPr>
        <w:pStyle w:val="ListParagraph"/>
        <w:ind w:left="360"/>
        <w:jc w:val="both"/>
        <w:rPr>
          <w:bCs/>
        </w:rPr>
      </w:pPr>
    </w:p>
    <w:p w14:paraId="6E23E2A6" w14:textId="4FBED08A" w:rsidR="00AD3D26" w:rsidRPr="0007756E" w:rsidRDefault="005E7DE9" w:rsidP="00AD3D26">
      <w:pPr>
        <w:pStyle w:val="ListParagraph"/>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There is also a strong ethical component motivating the researchers because of the high relevance of the decisions that such a model could have when applied to real-world patients.</w:t>
      </w:r>
      <w:r w:rsidR="001109D4" w:rsidRPr="0007756E">
        <w:rPr>
          <w:bCs/>
        </w:rPr>
        <w:t xml:space="preserve"> Although this study is similar to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5270F3">
      <w:pPr>
        <w:pStyle w:val="ListParagraph"/>
        <w:ind w:left="360"/>
        <w:jc w:val="both"/>
        <w:rPr>
          <w:bCs/>
        </w:rPr>
      </w:pPr>
    </w:p>
    <w:p w14:paraId="0F034FBF" w14:textId="06D38087" w:rsidR="00420D14" w:rsidRPr="0007756E" w:rsidRDefault="00420D14" w:rsidP="00420D14">
      <w:pPr>
        <w:pStyle w:val="ListParagraph"/>
        <w:numPr>
          <w:ilvl w:val="0"/>
          <w:numId w:val="2"/>
        </w:numPr>
        <w:jc w:val="both"/>
        <w:rPr>
          <w:bCs/>
          <w:i/>
          <w:iCs/>
        </w:rPr>
      </w:pPr>
      <w:r w:rsidRPr="0007756E">
        <w:rPr>
          <w:bCs/>
          <w:i/>
          <w:iCs/>
        </w:rPr>
        <w:t>“</w:t>
      </w:r>
      <w:r w:rsidR="004759F8" w:rsidRPr="0007756E">
        <w:rPr>
          <w:bCs/>
          <w:i/>
          <w:iCs/>
        </w:rPr>
        <w:t>DeepMirTar: a deep-learning approach for predicting human miRNA targets</w:t>
      </w:r>
      <w:r w:rsidRPr="0007756E">
        <w:rPr>
          <w:bCs/>
          <w:i/>
          <w:iCs/>
        </w:rPr>
        <w:t>”</w:t>
      </w:r>
      <w:r w:rsidR="004759F8" w:rsidRPr="0007756E">
        <w:rPr>
          <w:bCs/>
          <w:i/>
          <w:iCs/>
        </w:rPr>
        <w:t xml:space="preserve"> [23]</w:t>
      </w:r>
    </w:p>
    <w:p w14:paraId="3BE3EF8F" w14:textId="35C63575" w:rsidR="004759F8" w:rsidRPr="0007756E" w:rsidRDefault="004759F8" w:rsidP="004759F8">
      <w:pPr>
        <w:pStyle w:val="ListParagraph"/>
        <w:ind w:left="360"/>
        <w:jc w:val="both"/>
        <w:rPr>
          <w:bCs/>
        </w:rPr>
      </w:pPr>
    </w:p>
    <w:p w14:paraId="65E228E5" w14:textId="090B8A9D" w:rsidR="00B9366D" w:rsidRPr="0007756E" w:rsidRDefault="004F5EBB" w:rsidP="00FA59F9">
      <w:pPr>
        <w:pStyle w:val="ListParagraph"/>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SdA,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FA59F9">
      <w:pPr>
        <w:pStyle w:val="ListParagraph"/>
        <w:ind w:left="360"/>
        <w:jc w:val="both"/>
        <w:rPr>
          <w:bCs/>
        </w:rPr>
      </w:pPr>
    </w:p>
    <w:p w14:paraId="3B475892" w14:textId="50D1E01D" w:rsidR="00916899" w:rsidRPr="0007756E" w:rsidRDefault="00916899" w:rsidP="00FA59F9">
      <w:pPr>
        <w:pStyle w:val="ListParagraph"/>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FA59F9">
      <w:pPr>
        <w:pStyle w:val="ListParagraph"/>
        <w:ind w:left="360"/>
        <w:jc w:val="both"/>
        <w:rPr>
          <w:bCs/>
        </w:rPr>
      </w:pPr>
    </w:p>
    <w:p w14:paraId="4DCAFC1D" w14:textId="08C0D420" w:rsidR="00B9366D" w:rsidRPr="0007756E" w:rsidRDefault="00B9366D" w:rsidP="004759F8">
      <w:pPr>
        <w:pStyle w:val="ListParagraph"/>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4759F8">
      <w:pPr>
        <w:pStyle w:val="ListParagraph"/>
        <w:ind w:left="360"/>
        <w:jc w:val="both"/>
        <w:rPr>
          <w:bCs/>
        </w:rPr>
      </w:pPr>
    </w:p>
    <w:p w14:paraId="413B307A" w14:textId="6283F906" w:rsidR="004759F8" w:rsidRPr="0007756E" w:rsidRDefault="00B9366D" w:rsidP="006E2D34">
      <w:pPr>
        <w:pStyle w:val="ListParagraph"/>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6E2D34">
      <w:pPr>
        <w:pStyle w:val="ListParagraph"/>
        <w:ind w:left="360"/>
        <w:jc w:val="both"/>
        <w:rPr>
          <w:bCs/>
        </w:rPr>
      </w:pPr>
    </w:p>
    <w:p w14:paraId="6B31F08A" w14:textId="736F1FD6" w:rsidR="00420D14" w:rsidRDefault="00420D14" w:rsidP="00420D14">
      <w:pPr>
        <w:pStyle w:val="ListParagraph"/>
        <w:numPr>
          <w:ilvl w:val="0"/>
          <w:numId w:val="2"/>
        </w:numPr>
        <w:jc w:val="both"/>
        <w:rPr>
          <w:bCs/>
          <w:i/>
          <w:iCs/>
        </w:rPr>
      </w:pPr>
      <w:r w:rsidRPr="0007756E">
        <w:rPr>
          <w:bCs/>
          <w:i/>
          <w:iCs/>
        </w:rPr>
        <w:t>“</w:t>
      </w:r>
      <w:r w:rsidR="006E2D34" w:rsidRPr="0007756E">
        <w:rPr>
          <w:i/>
          <w:iCs/>
        </w:rPr>
        <w:t>miRAW: A deep learning-based approach to predict microRNA targets by analyzing whole microRNA transcripts</w:t>
      </w:r>
      <w:r w:rsidRPr="0007756E">
        <w:rPr>
          <w:bCs/>
          <w:i/>
          <w:iCs/>
        </w:rPr>
        <w:t>”</w:t>
      </w:r>
      <w:r w:rsidR="006E2D34" w:rsidRPr="0007756E">
        <w:rPr>
          <w:bCs/>
          <w:i/>
          <w:iCs/>
        </w:rPr>
        <w:t xml:space="preserve"> [1]</w:t>
      </w:r>
    </w:p>
    <w:p w14:paraId="138D0D07" w14:textId="77777777" w:rsidR="00AD3108" w:rsidRDefault="00AD3108" w:rsidP="00AD3108">
      <w:pPr>
        <w:pStyle w:val="ListParagraph"/>
        <w:ind w:left="360"/>
        <w:jc w:val="both"/>
        <w:rPr>
          <w:bCs/>
        </w:rPr>
      </w:pPr>
    </w:p>
    <w:p w14:paraId="05094936" w14:textId="77777777" w:rsidR="00AD3108" w:rsidRPr="0007756E" w:rsidRDefault="00AD3108" w:rsidP="00AD3108">
      <w:pPr>
        <w:pStyle w:val="ListParagraph"/>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AD3108">
      <w:pPr>
        <w:pStyle w:val="ListParagraph"/>
        <w:ind w:left="360"/>
        <w:jc w:val="both"/>
        <w:rPr>
          <w:bCs/>
        </w:rPr>
      </w:pPr>
    </w:p>
    <w:p w14:paraId="50621E32" w14:textId="4843DBE4" w:rsidR="00AD3108" w:rsidRPr="0007756E" w:rsidRDefault="00AD3108" w:rsidP="00AD3108">
      <w:pPr>
        <w:pStyle w:val="ListParagraph"/>
        <w:ind w:left="360"/>
        <w:jc w:val="both"/>
        <w:rPr>
          <w:bCs/>
        </w:rPr>
      </w:pPr>
      <w:r w:rsidRPr="0007756E">
        <w:rPr>
          <w:bCs/>
        </w:rPr>
        <w:lastRenderedPageBreak/>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miRNA processes, the whole strands should be </w:t>
      </w:r>
      <w:r w:rsidR="004632B2" w:rsidRPr="0007756E">
        <w:rPr>
          <w:bCs/>
        </w:rPr>
        <w:t>considered</w:t>
      </w:r>
      <w:r w:rsidRPr="0007756E">
        <w:rPr>
          <w:bCs/>
        </w:rPr>
        <w:t>. [1]</w:t>
      </w:r>
    </w:p>
    <w:p w14:paraId="5F2D53E1" w14:textId="77777777" w:rsidR="00AD3108" w:rsidRPr="0007756E" w:rsidRDefault="00AD3108" w:rsidP="00AD3108">
      <w:pPr>
        <w:pStyle w:val="ListParagraph"/>
        <w:ind w:left="360"/>
        <w:jc w:val="both"/>
        <w:rPr>
          <w:bCs/>
        </w:rPr>
      </w:pPr>
    </w:p>
    <w:p w14:paraId="4A5309D5" w14:textId="68F7D845" w:rsidR="00AD3108" w:rsidRDefault="00AD3108" w:rsidP="00AD3108">
      <w:pPr>
        <w:pStyle w:val="ListParagraph"/>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AD3108">
      <w:pPr>
        <w:pStyle w:val="ListParagraph"/>
        <w:ind w:left="360"/>
        <w:jc w:val="both"/>
        <w:rPr>
          <w:bCs/>
        </w:rPr>
      </w:pPr>
    </w:p>
    <w:p w14:paraId="33528894" w14:textId="615CF528" w:rsidR="00AD3108" w:rsidRDefault="00A65977" w:rsidP="00420D14">
      <w:pPr>
        <w:pStyle w:val="ListParagraph"/>
        <w:numPr>
          <w:ilvl w:val="0"/>
          <w:numId w:val="2"/>
        </w:numPr>
        <w:jc w:val="both"/>
        <w:rPr>
          <w:bCs/>
          <w:i/>
          <w:iCs/>
        </w:rPr>
      </w:pPr>
      <w:r>
        <w:rPr>
          <w:bCs/>
          <w:i/>
          <w:iCs/>
        </w:rPr>
        <w:t>“</w:t>
      </w:r>
      <w:r w:rsidR="00AD3108">
        <w:rPr>
          <w:bCs/>
          <w:i/>
          <w:iCs/>
        </w:rPr>
        <w:t>Interpretable drug target prediction using deep neural representation</w:t>
      </w:r>
      <w:r>
        <w:rPr>
          <w:bCs/>
          <w:i/>
          <w:iCs/>
        </w:rPr>
        <w:t>”</w:t>
      </w:r>
      <w:r w:rsidR="00AD3108">
        <w:rPr>
          <w:bCs/>
          <w:i/>
          <w:iCs/>
        </w:rPr>
        <w:t xml:space="preserve"> [28]</w:t>
      </w:r>
    </w:p>
    <w:p w14:paraId="0DE92661" w14:textId="77777777" w:rsidR="003501E9" w:rsidRDefault="003501E9" w:rsidP="003501E9">
      <w:pPr>
        <w:pStyle w:val="ListParagraph"/>
        <w:ind w:left="360"/>
        <w:jc w:val="both"/>
        <w:rPr>
          <w:bCs/>
        </w:rPr>
      </w:pPr>
    </w:p>
    <w:p w14:paraId="380DBB43" w14:textId="68E39054" w:rsidR="00EE4041" w:rsidRDefault="003501E9" w:rsidP="003501E9">
      <w:pPr>
        <w:pStyle w:val="ListParagraph"/>
        <w:ind w:left="360"/>
        <w:jc w:val="both"/>
        <w:rPr>
          <w:bCs/>
        </w:rPr>
      </w:pPr>
      <w:r>
        <w:rPr>
          <w:bCs/>
        </w:rPr>
        <w:t xml:space="preserve">The authors of this paper aimed to propose a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3501E9">
      <w:pPr>
        <w:pStyle w:val="ListParagraph"/>
        <w:ind w:left="360"/>
        <w:jc w:val="both"/>
        <w:rPr>
          <w:bCs/>
        </w:rPr>
      </w:pPr>
    </w:p>
    <w:p w14:paraId="75DF703A" w14:textId="3AC31403" w:rsidR="00EE4041" w:rsidRDefault="009C5F9A" w:rsidP="003501E9">
      <w:pPr>
        <w:pStyle w:val="ListParagraph"/>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3501E9">
      <w:pPr>
        <w:pStyle w:val="ListParagraph"/>
        <w:ind w:left="360"/>
        <w:jc w:val="both"/>
        <w:rPr>
          <w:bCs/>
        </w:rPr>
      </w:pPr>
    </w:p>
    <w:p w14:paraId="17B94E3B" w14:textId="6DD5B664" w:rsidR="00EE4041" w:rsidRDefault="004D04E3" w:rsidP="003501E9">
      <w:pPr>
        <w:pStyle w:val="ListParagraph"/>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sequential structures should be converted into chemical structure graphs that become dense vector representations and can be exploited by attention mechanisms; the conversion was carried out using LSTM RNN. </w:t>
      </w:r>
      <w:r w:rsidR="00EE4041">
        <w:rPr>
          <w:bCs/>
        </w:rPr>
        <w:t>[28]</w:t>
      </w:r>
    </w:p>
    <w:p w14:paraId="46BB2EFF" w14:textId="77777777" w:rsidR="00EE4041" w:rsidRDefault="00EE4041" w:rsidP="003501E9">
      <w:pPr>
        <w:pStyle w:val="ListParagraph"/>
        <w:ind w:left="360"/>
        <w:jc w:val="both"/>
        <w:rPr>
          <w:bCs/>
        </w:rPr>
      </w:pPr>
    </w:p>
    <w:p w14:paraId="1C88ED0A" w14:textId="090A5E70" w:rsidR="00EE4041" w:rsidRDefault="00560950" w:rsidP="003501E9">
      <w:pPr>
        <w:pStyle w:val="ListParagraph"/>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5D4C3413" w14:textId="77777777" w:rsidR="00EE4041" w:rsidRDefault="00EE4041" w:rsidP="003501E9">
      <w:pPr>
        <w:pStyle w:val="ListParagraph"/>
        <w:ind w:left="360"/>
        <w:jc w:val="both"/>
        <w:rPr>
          <w:bCs/>
        </w:rPr>
      </w:pPr>
    </w:p>
    <w:p w14:paraId="14BB1A9A" w14:textId="7FC6CF44" w:rsidR="00EE4041" w:rsidRDefault="007D1881" w:rsidP="003501E9">
      <w:pPr>
        <w:pStyle w:val="ListParagraph"/>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w:t>
      </w:r>
      <w:r w:rsidR="00E54169">
        <w:rPr>
          <w:bCs/>
        </w:rPr>
        <w:lastRenderedPageBreak/>
        <w:t xml:space="preserve">the targets. The attention weights are normalized by SoftMax to get the attention-based vector representations. </w:t>
      </w:r>
      <w:r w:rsidR="00EE4041">
        <w:rPr>
          <w:bCs/>
        </w:rPr>
        <w:t>[28]</w:t>
      </w:r>
    </w:p>
    <w:p w14:paraId="175AC36A" w14:textId="77777777" w:rsidR="00EE4041" w:rsidRDefault="00EE4041" w:rsidP="003501E9">
      <w:pPr>
        <w:pStyle w:val="ListParagraph"/>
        <w:ind w:left="360"/>
        <w:jc w:val="both"/>
        <w:rPr>
          <w:bCs/>
        </w:rPr>
      </w:pPr>
    </w:p>
    <w:p w14:paraId="5AA6744B" w14:textId="0B8787B5" w:rsidR="003501E9" w:rsidRPr="003501E9" w:rsidRDefault="00E54169" w:rsidP="003501E9">
      <w:pPr>
        <w:pStyle w:val="ListParagraph"/>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based on it, the prediction is formulated.</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25D8166" w14:textId="77777777" w:rsidR="00D644AB" w:rsidRPr="0007756E" w:rsidRDefault="00D644AB" w:rsidP="00282CEF">
      <w:pPr>
        <w:jc w:val="both"/>
        <w:rPr>
          <w:bCs/>
        </w:rPr>
      </w:pPr>
    </w:p>
    <w:p w14:paraId="24B03F24" w14:textId="77777777" w:rsidR="00D644AB" w:rsidRPr="0007756E" w:rsidRDefault="00D644AB" w:rsidP="00282CEF">
      <w:pPr>
        <w:jc w:val="both"/>
        <w:rPr>
          <w:bCs/>
        </w:rPr>
      </w:pPr>
    </w:p>
    <w:p w14:paraId="10796D9F" w14:textId="77777777" w:rsidR="00D644AB" w:rsidRPr="0007756E" w:rsidRDefault="00D644AB" w:rsidP="00282CEF">
      <w:pPr>
        <w:jc w:val="both"/>
        <w:rPr>
          <w:bCs/>
        </w:rPr>
      </w:pPr>
    </w:p>
    <w:p w14:paraId="4A659F25" w14:textId="77777777" w:rsidR="00D644AB" w:rsidRPr="0007756E" w:rsidRDefault="00D644AB" w:rsidP="00282CEF">
      <w:pPr>
        <w:jc w:val="both"/>
        <w:rPr>
          <w:bCs/>
        </w:rPr>
      </w:pPr>
    </w:p>
    <w:p w14:paraId="38CF2108" w14:textId="77777777" w:rsidR="00282CEF" w:rsidRPr="0007756E" w:rsidRDefault="00834289" w:rsidP="00282CEF">
      <w:pPr>
        <w:jc w:val="both"/>
        <w:rPr>
          <w:b/>
        </w:rPr>
      </w:pPr>
      <w:r w:rsidRPr="0007756E">
        <w:rPr>
          <w:b/>
        </w:rPr>
        <w:t>References</w:t>
      </w:r>
    </w:p>
    <w:p w14:paraId="056D44CE" w14:textId="77777777" w:rsidR="00FD068C" w:rsidRPr="0007756E" w:rsidRDefault="00FD068C" w:rsidP="00FD068C">
      <w:pPr>
        <w:jc w:val="both"/>
      </w:pPr>
      <w:r w:rsidRPr="0007756E">
        <w:t>[1] A. Pla, X. Zhong, and S. Rayner, “miRAW: A deep learning-based approach to predict microRNA targets by analyzing whole microRNA transcripts,” PLOS Computational Biology, vol. 14, no. 7, p. e1006185, Jul. 2018, doi: 10.1371/journal.pcbi.1006185.</w:t>
      </w:r>
    </w:p>
    <w:p w14:paraId="4BF53620" w14:textId="77777777" w:rsidR="00FD068C" w:rsidRPr="0007756E" w:rsidRDefault="00FD068C" w:rsidP="00FD068C">
      <w:pPr>
        <w:jc w:val="both"/>
      </w:pPr>
      <w:r w:rsidRPr="0007756E">
        <w:t>[2] J. O’Brien, H. Hayder,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FD068C">
      <w:pPr>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FD068C">
      <w:pPr>
        <w:jc w:val="both"/>
      </w:pPr>
      <w:r w:rsidRPr="0007756E">
        <w:t>[4] H. Nakayashiki, ‘RNA silencing in fungi: Mechanisms and applications’, FEBS Letters, vol. 579, no. 26, pp. 5950–5957, Oct. 2005, doi: 10.1016/j.febslet.2005.08.016.</w:t>
      </w:r>
    </w:p>
    <w:p w14:paraId="5C726F5D" w14:textId="77777777" w:rsidR="00FD068C" w:rsidRPr="0007756E" w:rsidRDefault="00FD068C" w:rsidP="00FD068C">
      <w:pPr>
        <w:jc w:val="both"/>
      </w:pPr>
      <w:r w:rsidRPr="0007756E">
        <w:t>[5] T. Kakati, D. K. Bhattacharyya, J. K. Kalita, and T. M. Norden-Krichmar, ‘DEGnext: classification of differentially expressed genes from RNA-seq data using a convolutional neural network with transfer learning’, BMC Bioinformatics, vol. 23, no. 1, p. 17, Jan. 2022, doi: 10.1186/s12859-021-04527-4.</w:t>
      </w:r>
    </w:p>
    <w:p w14:paraId="2D272E4F" w14:textId="77777777" w:rsidR="00FD068C" w:rsidRPr="0007756E" w:rsidRDefault="00FD068C" w:rsidP="00FD068C">
      <w:pPr>
        <w:jc w:val="both"/>
      </w:pPr>
      <w:r w:rsidRPr="0007756E">
        <w:t>[6] B. Hanczar, F. Zehraoui, T. Issa, and M. Arles, ‘Biological interpretation of deep neural network for phenotype prediction based on gene expression’, BMC Bioinformatics, vol. 21, no. 1, p. 501, Nov. 2020, doi: 10.1186/s12859-020-03836-4.</w:t>
      </w:r>
    </w:p>
    <w:p w14:paraId="53285946" w14:textId="77777777" w:rsidR="00FD068C" w:rsidRPr="0007756E" w:rsidRDefault="00FD068C" w:rsidP="00FD068C">
      <w:pPr>
        <w:jc w:val="both"/>
      </w:pPr>
      <w:r w:rsidRPr="0007756E">
        <w:t>[7] D. Urda, J. Montes-Torres, F. Moreno, L. Franco, and J. M. Jerez, ‘Deep Learning to Analyze RNA-Seq Gene Expression Data’, in Advances in Computational Intelligence, I. Rojas, G. Joya, and A. Catala, Eds., in Lecture Notes in Computer Science, vol. 10306. Cham: Springer International Publishing, 2017, pp. 50–59. doi: 10.1007/978-3-319-59147-6_5.</w:t>
      </w:r>
    </w:p>
    <w:p w14:paraId="41EF105F" w14:textId="1047CA25" w:rsidR="00250122" w:rsidRPr="0007756E" w:rsidRDefault="00FD068C" w:rsidP="00282CEF">
      <w:pPr>
        <w:jc w:val="both"/>
      </w:pPr>
      <w:r w:rsidRPr="0007756E">
        <w:lastRenderedPageBreak/>
        <w:t>[8] ‘Central Dogma’, Genome.gov, Sep. 14, 2022. https://www.genome.gov/genetics-glossary/Central-Dogma (accessed May 07, 2023).</w:t>
      </w:r>
    </w:p>
    <w:p w14:paraId="0B53E96D" w14:textId="77777777" w:rsidR="00250122" w:rsidRPr="0007756E" w:rsidRDefault="00250122" w:rsidP="00282CEF">
      <w:pPr>
        <w:jc w:val="both"/>
      </w:pPr>
      <w:r w:rsidRPr="0007756E">
        <w:t>[9] A. Talukder, W. Zhang, X. Li, and H. Hu, “A deep learning method for miRNA/isomiR target detection,” Sci Rep, vol. 12, no. 1, Art. no. 1, Jun. 2022, doi: 10.1038/s41598-022-14890-8.</w:t>
      </w:r>
    </w:p>
    <w:p w14:paraId="2D2EB711" w14:textId="77777777" w:rsidR="004C718F" w:rsidRPr="0007756E" w:rsidRDefault="004C718F" w:rsidP="004C718F">
      <w:pPr>
        <w:jc w:val="both"/>
      </w:pPr>
      <w:r w:rsidRPr="0007756E">
        <w:t>[10] O. P. Gupta, P. Sharma, R. K. Gupta, and I. Sharma, “Current status on role of miRNAs during plant–fungus interaction,” Physiological and Molecular Plant Pathology, vol. 85, pp. 1–7, Jan. 2014, doi: 10.1016/j.pmpp.2013.10.002.</w:t>
      </w:r>
    </w:p>
    <w:p w14:paraId="7431D10D" w14:textId="77777777" w:rsidR="004C718F" w:rsidRPr="0007756E" w:rsidRDefault="004C718F" w:rsidP="004C718F">
      <w:pPr>
        <w:jc w:val="both"/>
      </w:pPr>
      <w:r w:rsidRPr="0007756E">
        <w:t>[11] E. Marín-González and P. Suárez-López, “‘And yet it moves’: Cell-to-cell and long-distance signaling by plant microRNAs,” Plant Science, vol. 196, pp. 18–30, Nov. 2012, doi: 10.1016/j.plantsci.2012.07.009.</w:t>
      </w:r>
    </w:p>
    <w:p w14:paraId="362DE3AC" w14:textId="77777777" w:rsidR="004C718F" w:rsidRPr="0007756E" w:rsidRDefault="004C718F" w:rsidP="004C718F">
      <w:pPr>
        <w:jc w:val="both"/>
      </w:pPr>
      <w:r w:rsidRPr="0007756E">
        <w:t>[12] T. Siddika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840DCA">
      <w:pPr>
        <w:jc w:val="both"/>
      </w:pPr>
      <w:r w:rsidRPr="0007756E">
        <w:t>[13] J. K. W. Lam, M. Y. T. Chow, Y. Zhang, and S. W. S. Leung, “siRNA Versus miRNA as Therapeutics for Gene Silencing,” Mol Ther Nucleic Acids, vol. 4, no. 9, p. e252, Sep. 2015, doi: 10.1038/mtna.2015.23.</w:t>
      </w:r>
    </w:p>
    <w:p w14:paraId="7AC1E55B" w14:textId="77777777" w:rsidR="00B83456" w:rsidRPr="0007756E" w:rsidRDefault="00B83456" w:rsidP="00840DCA">
      <w:pPr>
        <w:jc w:val="both"/>
      </w:pPr>
      <w:r w:rsidRPr="0007756E">
        <w:t>[14] “miRTarBase: the experimentally validated microRNA-target interactions database.” https://mirtarbase.cuhk.edu.cn/~miRTarBase/miRTarBase_2022/php/index.php (accessed May 08, 2023).</w:t>
      </w:r>
    </w:p>
    <w:p w14:paraId="7B88D741" w14:textId="77777777" w:rsidR="00840DCA" w:rsidRPr="0007756E" w:rsidRDefault="009E408C" w:rsidP="00840DCA">
      <w:pPr>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840DCA">
      <w:pPr>
        <w:jc w:val="both"/>
      </w:pPr>
      <w:r w:rsidRPr="0007756E">
        <w:t>[16] C. Stylianopoulou, “Carbohydrates: Regulation of metabolism,” in Encyclopedia of Human Nutrition (Fourth Edition), B. Caballero, Ed., Oxford: Academic Press, 2023, pp. 126–135. doi: 10.1016/B978-0-12-821848-8.00173-6.</w:t>
      </w:r>
    </w:p>
    <w:p w14:paraId="40F9180D" w14:textId="77777777" w:rsidR="00195DD2" w:rsidRPr="0007756E" w:rsidRDefault="00195DD2" w:rsidP="00840DCA">
      <w:pPr>
        <w:jc w:val="both"/>
      </w:pPr>
      <w:r w:rsidRPr="0007756E">
        <w:t>[17] L. He and G. J. Hannon, “MicroRNAs: small RNAs with a big role in gene regulation,” Nat Rev Genet, vol. 5, no. 7, Art. no. 7, Jul. 2004, doi: 10.1038/nrg1379.</w:t>
      </w:r>
    </w:p>
    <w:p w14:paraId="2F1C8AC8" w14:textId="77777777" w:rsidR="00B83456" w:rsidRPr="0007756E" w:rsidRDefault="006F6355" w:rsidP="00840DCA">
      <w:pPr>
        <w:jc w:val="both"/>
      </w:pPr>
      <w:r w:rsidRPr="0007756E">
        <w:t>[1</w:t>
      </w:r>
      <w:r w:rsidR="00647C02" w:rsidRPr="0007756E">
        <w:t>8</w:t>
      </w:r>
      <w:r w:rsidRPr="0007756E">
        <w:t>] D. Pradhan, A. Kumar, H. Singh, and U. Agrawal, “Chapter 4 - High-throughput sequencing,” in Data Processing Handbook for Complex Biological Data Sources, G. Misra, Ed., Academic Press, 2019, pp. 39–52. doi: 10.1016/B978-0-12-816548-5.00004-6.</w:t>
      </w:r>
    </w:p>
    <w:p w14:paraId="7504EF3F" w14:textId="77777777" w:rsidR="006A30A4" w:rsidRPr="0007756E" w:rsidRDefault="00D83D89" w:rsidP="00840DCA">
      <w:pPr>
        <w:jc w:val="both"/>
      </w:pPr>
      <w:r w:rsidRPr="0007756E">
        <w:t>[19] B. Hanczar, F. Zehraoui, T. Issa, and M. Arles, “Biological interpretation of deep neural network for phenotype prediction based on gene expression,” BMC Bioinformatics, vol. 21, no. 1, p. 501, Nov. 2020, doi: 10.1186/s12859-020-03836-4.</w:t>
      </w:r>
    </w:p>
    <w:p w14:paraId="595B46DC" w14:textId="4E2BC2AD" w:rsidR="006A30A4" w:rsidRPr="0007756E" w:rsidRDefault="006A30A4" w:rsidP="00840DCA">
      <w:pPr>
        <w:jc w:val="both"/>
      </w:pPr>
      <w:r w:rsidRPr="0007756E">
        <w:t>[</w:t>
      </w:r>
      <w:r w:rsidR="00E55782" w:rsidRPr="0007756E">
        <w:t>20</w:t>
      </w:r>
      <w:r w:rsidRPr="0007756E">
        <w:t>] A. L. Leitão and F. J. Enguita, “A Structural View of miRNA Biogenesis and Function,” Non-Coding RNA, vol. 8, no. 1, Art. no. 1, Feb. 2022, doi: 10.3390/ncrna8010010.</w:t>
      </w:r>
    </w:p>
    <w:p w14:paraId="025D1413" w14:textId="4DC185F1" w:rsidR="00FD068C" w:rsidRPr="0007756E" w:rsidRDefault="00FD068C" w:rsidP="00FD068C">
      <w:pPr>
        <w:jc w:val="both"/>
      </w:pPr>
      <w:r w:rsidRPr="0007756E">
        <w:t>[21] ‘Gene Expression | Learn Science at Scitable’. https://www.nature.com/scitable/topicpage/gene-expression-14121669/ (accessed May 07, 2023).</w:t>
      </w:r>
    </w:p>
    <w:p w14:paraId="35C08784" w14:textId="260A8C6F" w:rsidR="00120E4F" w:rsidRPr="0007756E" w:rsidRDefault="00120E4F" w:rsidP="00FD068C">
      <w:pPr>
        <w:jc w:val="both"/>
      </w:pPr>
      <w:r w:rsidRPr="0007756E">
        <w:t>[22] W. Guo, Y. Xu, and X. Feng, ‘DeepMetabolism: A Deep Learning System to Predict Phenotype from Genome Sequencing’. arXiv, May 08, 2017. doi: 10.48550/arXiv.1705.03094.</w:t>
      </w:r>
    </w:p>
    <w:p w14:paraId="71FC97EB" w14:textId="471EDF11" w:rsidR="00FD068C" w:rsidRPr="0007756E" w:rsidRDefault="009320D4" w:rsidP="00840DCA">
      <w:pPr>
        <w:jc w:val="both"/>
      </w:pPr>
      <w:r w:rsidRPr="0007756E">
        <w:lastRenderedPageBreak/>
        <w:t>[23] M. Wen, P. Cong, Z. Zhang, H. Lu, and T. Li, ‘DeepMirTar: a deep-learning approach for predicting human miRNA targets’, Bioinformatics, vol. 34, no. 22, pp. 3781–3787, Nov. 2018, doi: 10.1093/bioinformatics/bty424.</w:t>
      </w:r>
    </w:p>
    <w:p w14:paraId="639A9746" w14:textId="5243E9AE" w:rsidR="00210DEE" w:rsidRDefault="00210DEE" w:rsidP="00840DCA">
      <w:pPr>
        <w:jc w:val="both"/>
      </w:pPr>
      <w:r w:rsidRPr="0007756E">
        <w:t>[24] X. M. Xu and S. G. Møller, ‘The value of Arabidopsis research in understanding human disease states’, Curr Opin Biotechnol, vol. 22, no. 2, pp. 300–307, Apr. 2011, doi: 10.1016/j.copbio.2010.11.007.</w:t>
      </w:r>
    </w:p>
    <w:p w14:paraId="646C67F9" w14:textId="41D33D5E" w:rsidR="00FA11E6" w:rsidRDefault="00FA11E6" w:rsidP="00840DCA">
      <w:pPr>
        <w:jc w:val="both"/>
      </w:pPr>
      <w:r w:rsidRPr="00FA11E6">
        <w:t>[</w:t>
      </w:r>
      <w:r>
        <w:t>25</w:t>
      </w:r>
      <w:r w:rsidRPr="00FA11E6">
        <w:t>] G. P. Way and C. S. Greene, ‘Extracting a Biologically Relevant Latent Space from Cancer Transcriptomes with Variational Autoencoders’. bioRxiv, p. 174474, Aug. 11, 2017. doi: 10.1101/174474.</w:t>
      </w:r>
    </w:p>
    <w:p w14:paraId="02DE0315" w14:textId="0121F708" w:rsidR="009A2571" w:rsidRPr="0007756E" w:rsidRDefault="009A2571" w:rsidP="00840DCA">
      <w:pPr>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840DCA">
      <w:pPr>
        <w:jc w:val="both"/>
      </w:pPr>
      <w:r w:rsidRPr="0078536C">
        <w:t>[</w:t>
      </w:r>
      <w:r>
        <w:t>27</w:t>
      </w:r>
      <w:r w:rsidRPr="0078536C">
        <w:t>] C. H. Grønbech, M. F. Vording, P. Timshel, C. K. Sønderby, T. H. Pers, and O. Winther, ‘scVAE: Variational auto-encoders for single-cell gene expression data’. bioRxiv, p. 318295, Oct. 02, 2019. doi: 10.1101/318295.</w:t>
      </w:r>
    </w:p>
    <w:p w14:paraId="145D8D89" w14:textId="14C1B59C" w:rsidR="004254D7" w:rsidRDefault="00F373FF" w:rsidP="00840DCA">
      <w:pPr>
        <w:jc w:val="both"/>
      </w:pPr>
      <w:r w:rsidRPr="00F373FF">
        <w:t>[</w:t>
      </w:r>
      <w:r>
        <w:t>28</w:t>
      </w:r>
      <w:r w:rsidRPr="00F373FF">
        <w:t>] K. Y. Gao, A. Fokoue, H. Luo, A. Iyengar, S. Dey, and P. Zhang, ‘Interpretable Drug Target Prediction Using Deep Neural Representation’, in Proceedings of the Twenty-Seventh International Joint Conference on Artificial Intelligence, Stockholm, Sweden: International Joint Conferences on Artificial Intelligence Organization, Jul. 2018, pp. 3371–3377. doi: 10.24963/ijcai.2018/468.</w:t>
      </w:r>
    </w:p>
    <w:p w14:paraId="2626EA2E" w14:textId="50277509" w:rsidR="004254D7" w:rsidRDefault="004254D7" w:rsidP="00840DCA">
      <w:pPr>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840DCA">
      <w:pPr>
        <w:jc w:val="both"/>
      </w:pPr>
      <w:r w:rsidRPr="005F57E6">
        <w:t>[</w:t>
      </w:r>
      <w:r>
        <w:t>30</w:t>
      </w:r>
      <w:r w:rsidRPr="005F57E6">
        <w:t>] G. B. Or and I. Veksler-Lublinsky, ‘Comprehensive machine-learning-based analysis of microRNA-target interactions reveals variable transferability of interaction rules across species’. bioRxiv, p. 2021.03.28.437385, Mar. 29, 2021. doi: 10.1101/2021.03.28.437385.</w:t>
      </w:r>
    </w:p>
    <w:p w14:paraId="7B8597D1" w14:textId="1A6E60F1" w:rsidR="00F37580" w:rsidRDefault="00F37580" w:rsidP="00840DCA">
      <w:pPr>
        <w:jc w:val="both"/>
      </w:pPr>
      <w:r w:rsidRPr="00F37580">
        <w:t>[</w:t>
      </w:r>
      <w:r>
        <w:t>3</w:t>
      </w:r>
      <w:r w:rsidRPr="00F37580">
        <w:t>1] ‘Arabidopsis thaliana (ID 4) - Genome - NCBI’. https://www.ncbi.nlm.nih.gov/genome/4?genome_assembly_id=380024 (accessed Jul. 02, 2023).</w:t>
      </w:r>
    </w:p>
    <w:p w14:paraId="17B55297" w14:textId="45132676" w:rsidR="00F37580" w:rsidRPr="0007756E" w:rsidRDefault="00F37580" w:rsidP="00840DCA">
      <w:pPr>
        <w:jc w:val="both"/>
      </w:pPr>
      <w:r w:rsidRPr="00F37580">
        <w:t>[</w:t>
      </w:r>
      <w:r>
        <w:t>32</w:t>
      </w:r>
      <w:r w:rsidRPr="00F37580">
        <w:t>] X. Chen, ‘Small RNAs – secrets and surprises of the genome’, Plant J, vol. 61, no. 6, pp. 941–958, Mar. 2010, doi: 10.1111/j.1365-313X.2009.04089.x.</w:t>
      </w:r>
    </w:p>
    <w:p w14:paraId="6EAF37AE" w14:textId="77777777" w:rsidR="004C718F" w:rsidRDefault="004C718F" w:rsidP="00282CEF">
      <w:pPr>
        <w:jc w:val="both"/>
      </w:pPr>
    </w:p>
    <w:p w14:paraId="25318B55" w14:textId="77777777" w:rsidR="00EE77E9" w:rsidRPr="0007756E" w:rsidRDefault="00EE77E9" w:rsidP="00282CEF">
      <w:pPr>
        <w:jc w:val="both"/>
      </w:pPr>
    </w:p>
    <w:sectPr w:rsidR="00EE77E9" w:rsidRPr="0007756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0B24" w14:textId="77777777" w:rsidR="006875D8" w:rsidRDefault="006875D8" w:rsidP="00D83D89">
      <w:pPr>
        <w:spacing w:after="0" w:line="240" w:lineRule="auto"/>
      </w:pPr>
      <w:r>
        <w:separator/>
      </w:r>
    </w:p>
  </w:endnote>
  <w:endnote w:type="continuationSeparator" w:id="0">
    <w:p w14:paraId="6CE69CB8" w14:textId="77777777" w:rsidR="006875D8" w:rsidRDefault="006875D8"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6223" w14:textId="77777777" w:rsidR="006875D8" w:rsidRDefault="006875D8" w:rsidP="00D83D89">
      <w:pPr>
        <w:spacing w:after="0" w:line="240" w:lineRule="auto"/>
      </w:pPr>
      <w:r>
        <w:separator/>
      </w:r>
    </w:p>
  </w:footnote>
  <w:footnote w:type="continuationSeparator" w:id="0">
    <w:p w14:paraId="3B0EAA51" w14:textId="77777777" w:rsidR="006875D8" w:rsidRDefault="006875D8"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51D2C"/>
    <w:multiLevelType w:val="hybridMultilevel"/>
    <w:tmpl w:val="C23280B8"/>
    <w:lvl w:ilvl="0" w:tplc="DDAA69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98336036">
    <w:abstractNumId w:val="0"/>
  </w:num>
  <w:num w:numId="2" w16cid:durableId="271059872">
    <w:abstractNumId w:val="2"/>
  </w:num>
  <w:num w:numId="3" w16cid:durableId="152902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990"/>
    <w:rsid w:val="00006260"/>
    <w:rsid w:val="000342AF"/>
    <w:rsid w:val="00046476"/>
    <w:rsid w:val="00074ADE"/>
    <w:rsid w:val="00076031"/>
    <w:rsid w:val="0007756E"/>
    <w:rsid w:val="00083B2E"/>
    <w:rsid w:val="00086FF8"/>
    <w:rsid w:val="000946C9"/>
    <w:rsid w:val="000C71F8"/>
    <w:rsid w:val="000D67F0"/>
    <w:rsid w:val="000D79DB"/>
    <w:rsid w:val="000F6D85"/>
    <w:rsid w:val="001109D4"/>
    <w:rsid w:val="00111814"/>
    <w:rsid w:val="00120E4F"/>
    <w:rsid w:val="00133033"/>
    <w:rsid w:val="001465C5"/>
    <w:rsid w:val="001606A4"/>
    <w:rsid w:val="00162A94"/>
    <w:rsid w:val="00162C59"/>
    <w:rsid w:val="001641B0"/>
    <w:rsid w:val="00164C49"/>
    <w:rsid w:val="001652A4"/>
    <w:rsid w:val="00172BC2"/>
    <w:rsid w:val="00195DD2"/>
    <w:rsid w:val="00197176"/>
    <w:rsid w:val="00197EB1"/>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734C"/>
    <w:rsid w:val="00250122"/>
    <w:rsid w:val="0025596B"/>
    <w:rsid w:val="0026150B"/>
    <w:rsid w:val="002746D1"/>
    <w:rsid w:val="0027774F"/>
    <w:rsid w:val="00282CEF"/>
    <w:rsid w:val="002A1B61"/>
    <w:rsid w:val="002A2642"/>
    <w:rsid w:val="002A4B70"/>
    <w:rsid w:val="002B6743"/>
    <w:rsid w:val="002B7D62"/>
    <w:rsid w:val="002C5E67"/>
    <w:rsid w:val="002E019D"/>
    <w:rsid w:val="00326E2C"/>
    <w:rsid w:val="003357A3"/>
    <w:rsid w:val="00341A11"/>
    <w:rsid w:val="003501E9"/>
    <w:rsid w:val="00364BE5"/>
    <w:rsid w:val="00372116"/>
    <w:rsid w:val="00380846"/>
    <w:rsid w:val="00380F38"/>
    <w:rsid w:val="00385B45"/>
    <w:rsid w:val="00387231"/>
    <w:rsid w:val="003878D2"/>
    <w:rsid w:val="003A6EED"/>
    <w:rsid w:val="003B6A50"/>
    <w:rsid w:val="003C0CDC"/>
    <w:rsid w:val="003C0DD7"/>
    <w:rsid w:val="003D0AE6"/>
    <w:rsid w:val="003E1F91"/>
    <w:rsid w:val="003E3314"/>
    <w:rsid w:val="00403794"/>
    <w:rsid w:val="00405E45"/>
    <w:rsid w:val="00410315"/>
    <w:rsid w:val="00416A5B"/>
    <w:rsid w:val="00420D14"/>
    <w:rsid w:val="00423070"/>
    <w:rsid w:val="004254D7"/>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5EBB"/>
    <w:rsid w:val="00514D9B"/>
    <w:rsid w:val="005270F3"/>
    <w:rsid w:val="005333C3"/>
    <w:rsid w:val="00542BF9"/>
    <w:rsid w:val="00544455"/>
    <w:rsid w:val="00547737"/>
    <w:rsid w:val="00551C63"/>
    <w:rsid w:val="00560950"/>
    <w:rsid w:val="00564111"/>
    <w:rsid w:val="00565CFD"/>
    <w:rsid w:val="00570585"/>
    <w:rsid w:val="00595138"/>
    <w:rsid w:val="005C4F1E"/>
    <w:rsid w:val="005D6A6B"/>
    <w:rsid w:val="005E2853"/>
    <w:rsid w:val="005E413B"/>
    <w:rsid w:val="005E6A04"/>
    <w:rsid w:val="005E7DE9"/>
    <w:rsid w:val="005F32C2"/>
    <w:rsid w:val="005F57E6"/>
    <w:rsid w:val="0061373A"/>
    <w:rsid w:val="0061608E"/>
    <w:rsid w:val="00627F5A"/>
    <w:rsid w:val="00647C02"/>
    <w:rsid w:val="00655B7D"/>
    <w:rsid w:val="006621D0"/>
    <w:rsid w:val="006761C7"/>
    <w:rsid w:val="0067764D"/>
    <w:rsid w:val="00686E62"/>
    <w:rsid w:val="006875D8"/>
    <w:rsid w:val="00697D95"/>
    <w:rsid w:val="006A30A4"/>
    <w:rsid w:val="006A49AB"/>
    <w:rsid w:val="006A67A2"/>
    <w:rsid w:val="006C0D8E"/>
    <w:rsid w:val="006C1D27"/>
    <w:rsid w:val="006D2694"/>
    <w:rsid w:val="006E2198"/>
    <w:rsid w:val="006E2D34"/>
    <w:rsid w:val="006E3227"/>
    <w:rsid w:val="006F3B71"/>
    <w:rsid w:val="006F6355"/>
    <w:rsid w:val="00702871"/>
    <w:rsid w:val="00724417"/>
    <w:rsid w:val="00750541"/>
    <w:rsid w:val="00771C88"/>
    <w:rsid w:val="007757BA"/>
    <w:rsid w:val="0078536C"/>
    <w:rsid w:val="007A0E73"/>
    <w:rsid w:val="007A5384"/>
    <w:rsid w:val="007D1881"/>
    <w:rsid w:val="007D4657"/>
    <w:rsid w:val="007F063C"/>
    <w:rsid w:val="008006E9"/>
    <w:rsid w:val="008325BD"/>
    <w:rsid w:val="00834289"/>
    <w:rsid w:val="00840DCA"/>
    <w:rsid w:val="00864B36"/>
    <w:rsid w:val="00872FE3"/>
    <w:rsid w:val="00877E85"/>
    <w:rsid w:val="00893D03"/>
    <w:rsid w:val="00893F63"/>
    <w:rsid w:val="008F5604"/>
    <w:rsid w:val="008F62D3"/>
    <w:rsid w:val="009006BE"/>
    <w:rsid w:val="009119B8"/>
    <w:rsid w:val="00915C60"/>
    <w:rsid w:val="00916899"/>
    <w:rsid w:val="00922C82"/>
    <w:rsid w:val="009258DE"/>
    <w:rsid w:val="009308F1"/>
    <w:rsid w:val="009320D4"/>
    <w:rsid w:val="009366A3"/>
    <w:rsid w:val="00946421"/>
    <w:rsid w:val="009519B9"/>
    <w:rsid w:val="0095475E"/>
    <w:rsid w:val="00963C80"/>
    <w:rsid w:val="009652C7"/>
    <w:rsid w:val="00982414"/>
    <w:rsid w:val="009A2571"/>
    <w:rsid w:val="009A3A12"/>
    <w:rsid w:val="009B397F"/>
    <w:rsid w:val="009C5F9A"/>
    <w:rsid w:val="009E408C"/>
    <w:rsid w:val="009F4512"/>
    <w:rsid w:val="009F7CB9"/>
    <w:rsid w:val="00A105A4"/>
    <w:rsid w:val="00A11297"/>
    <w:rsid w:val="00A20B19"/>
    <w:rsid w:val="00A30112"/>
    <w:rsid w:val="00A369DA"/>
    <w:rsid w:val="00A37909"/>
    <w:rsid w:val="00A37982"/>
    <w:rsid w:val="00A45E25"/>
    <w:rsid w:val="00A55328"/>
    <w:rsid w:val="00A65977"/>
    <w:rsid w:val="00A84154"/>
    <w:rsid w:val="00A91109"/>
    <w:rsid w:val="00A93EA1"/>
    <w:rsid w:val="00AA2D8A"/>
    <w:rsid w:val="00AB19B8"/>
    <w:rsid w:val="00AD3108"/>
    <w:rsid w:val="00AD338D"/>
    <w:rsid w:val="00AD3D26"/>
    <w:rsid w:val="00AE0662"/>
    <w:rsid w:val="00AF0CB2"/>
    <w:rsid w:val="00B10C97"/>
    <w:rsid w:val="00B35465"/>
    <w:rsid w:val="00B47890"/>
    <w:rsid w:val="00B53306"/>
    <w:rsid w:val="00B567B4"/>
    <w:rsid w:val="00B71E01"/>
    <w:rsid w:val="00B83456"/>
    <w:rsid w:val="00B90FE1"/>
    <w:rsid w:val="00B91AF3"/>
    <w:rsid w:val="00B9366D"/>
    <w:rsid w:val="00B95D26"/>
    <w:rsid w:val="00BC5C22"/>
    <w:rsid w:val="00BD2F99"/>
    <w:rsid w:val="00BD50DE"/>
    <w:rsid w:val="00BD7099"/>
    <w:rsid w:val="00BE0256"/>
    <w:rsid w:val="00BE1DAD"/>
    <w:rsid w:val="00BE315B"/>
    <w:rsid w:val="00C03A33"/>
    <w:rsid w:val="00C06C70"/>
    <w:rsid w:val="00C10C5F"/>
    <w:rsid w:val="00C152E8"/>
    <w:rsid w:val="00C63F91"/>
    <w:rsid w:val="00C70FDF"/>
    <w:rsid w:val="00C733FB"/>
    <w:rsid w:val="00C816F1"/>
    <w:rsid w:val="00C92431"/>
    <w:rsid w:val="00CA7A7D"/>
    <w:rsid w:val="00CB6686"/>
    <w:rsid w:val="00CC1EE3"/>
    <w:rsid w:val="00CD1200"/>
    <w:rsid w:val="00CE21CB"/>
    <w:rsid w:val="00CF5D8F"/>
    <w:rsid w:val="00D0085E"/>
    <w:rsid w:val="00D22087"/>
    <w:rsid w:val="00D26C6F"/>
    <w:rsid w:val="00D47AC7"/>
    <w:rsid w:val="00D644AB"/>
    <w:rsid w:val="00D73968"/>
    <w:rsid w:val="00D77CC6"/>
    <w:rsid w:val="00D83D89"/>
    <w:rsid w:val="00D914C6"/>
    <w:rsid w:val="00DA44C6"/>
    <w:rsid w:val="00DA5F82"/>
    <w:rsid w:val="00DB169C"/>
    <w:rsid w:val="00DC24BD"/>
    <w:rsid w:val="00DC28B5"/>
    <w:rsid w:val="00DD6A4F"/>
    <w:rsid w:val="00DE0F35"/>
    <w:rsid w:val="00DE3559"/>
    <w:rsid w:val="00E0093C"/>
    <w:rsid w:val="00E13764"/>
    <w:rsid w:val="00E3711C"/>
    <w:rsid w:val="00E50F27"/>
    <w:rsid w:val="00E54169"/>
    <w:rsid w:val="00E55782"/>
    <w:rsid w:val="00E60D9F"/>
    <w:rsid w:val="00E6411F"/>
    <w:rsid w:val="00E73E0F"/>
    <w:rsid w:val="00E81015"/>
    <w:rsid w:val="00E81CEA"/>
    <w:rsid w:val="00EB5278"/>
    <w:rsid w:val="00EC02BB"/>
    <w:rsid w:val="00ED39C1"/>
    <w:rsid w:val="00EE0B48"/>
    <w:rsid w:val="00EE4041"/>
    <w:rsid w:val="00EE6CD5"/>
    <w:rsid w:val="00EE77E9"/>
    <w:rsid w:val="00F1360B"/>
    <w:rsid w:val="00F22275"/>
    <w:rsid w:val="00F3679E"/>
    <w:rsid w:val="00F373FF"/>
    <w:rsid w:val="00F37580"/>
    <w:rsid w:val="00F40F58"/>
    <w:rsid w:val="00F72F63"/>
    <w:rsid w:val="00F92C0D"/>
    <w:rsid w:val="00F977B4"/>
    <w:rsid w:val="00FA11E6"/>
    <w:rsid w:val="00FA59F9"/>
    <w:rsid w:val="00FA64D8"/>
    <w:rsid w:val="00FB13A2"/>
    <w:rsid w:val="00FB5F78"/>
    <w:rsid w:val="00FC374F"/>
    <w:rsid w:val="00FC3983"/>
    <w:rsid w:val="00FD068C"/>
    <w:rsid w:val="00FD0CBA"/>
    <w:rsid w:val="00FD1ACF"/>
    <w:rsid w:val="00FD4371"/>
    <w:rsid w:val="00FD5EF3"/>
    <w:rsid w:val="00FD6B9C"/>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9</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226</cp:revision>
  <dcterms:created xsi:type="dcterms:W3CDTF">2023-05-04T11:27:00Z</dcterms:created>
  <dcterms:modified xsi:type="dcterms:W3CDTF">2023-07-11T13:42:00Z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