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r w:rsidRPr="00EF661F">
        <w:rPr>
          <w:i/>
          <w:iCs/>
        </w:rPr>
        <w:t>A.thaliana</w:t>
      </w:r>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Use cases</w:t>
      </w:r>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This paper differentiates between academic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In terms of interpretability, there are few RNA sequencing publications exploring the explainability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similar to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r w:rsidR="004759F8" w:rsidRPr="00954D6A">
        <w:rPr>
          <w:bCs/>
          <w:i/>
          <w:iCs/>
        </w:rPr>
        <w:t>DeepMirTar: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SdA,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r w:rsidR="006E2D34" w:rsidRPr="00954D6A">
        <w:rPr>
          <w:i/>
          <w:iCs/>
        </w:rPr>
        <w:t>miRAW: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Short Term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(similar to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r w:rsidRPr="00BE76E0">
        <w:rPr>
          <w:b/>
        </w:rPr>
        <w:t>Softmax</w:t>
      </w:r>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the S</w:t>
      </w:r>
      <w:r>
        <w:rPr>
          <w:bCs/>
        </w:rPr>
        <w:t>oftmax</w:t>
      </w:r>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r w:rsidRPr="0007756E">
        <w:t>miRTarBas</w:t>
      </w:r>
      <w:r>
        <w:t xml:space="preserve">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r w:rsidRPr="0090261F">
        <w:t>https://mirtarbase.cuhk.edu.cn/~miRTarBase/miRTarBase_2022/php/download.php</w:t>
      </w:r>
      <w:r>
        <w:t xml:space="preserve"> .</w:t>
      </w:r>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r>
        <w:rPr>
          <w:bCs/>
        </w:rPr>
        <w:lastRenderedPageBreak/>
        <w:t>TargetScan</w:t>
      </w:r>
    </w:p>
    <w:p w14:paraId="36D3D2FF" w14:textId="24520F1A" w:rsidR="00775D03" w:rsidRDefault="00775D03" w:rsidP="00775D03">
      <w:pPr>
        <w:pStyle w:val="ListParagraph"/>
        <w:numPr>
          <w:ilvl w:val="0"/>
          <w:numId w:val="3"/>
        </w:numPr>
        <w:spacing w:line="276" w:lineRule="auto"/>
        <w:jc w:val="both"/>
        <w:rPr>
          <w:bCs/>
        </w:rPr>
      </w:pPr>
      <w:r>
        <w:rPr>
          <w:bCs/>
        </w:rPr>
        <w:t>Diana microT-CDS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r>
        <w:rPr>
          <w:bCs/>
        </w:rPr>
        <w:t>miRanda</w:t>
      </w:r>
    </w:p>
    <w:p w14:paraId="3746E437" w14:textId="4E03ED68" w:rsidR="00775D03" w:rsidRDefault="00775D03" w:rsidP="00775D03">
      <w:pPr>
        <w:pStyle w:val="ListParagraph"/>
        <w:numPr>
          <w:ilvl w:val="0"/>
          <w:numId w:val="3"/>
        </w:numPr>
        <w:spacing w:line="276" w:lineRule="auto"/>
        <w:jc w:val="both"/>
        <w:rPr>
          <w:bCs/>
        </w:rPr>
      </w:pPr>
      <w:r>
        <w:rPr>
          <w:bCs/>
        </w:rPr>
        <w:t>mirzaG</w:t>
      </w:r>
    </w:p>
    <w:p w14:paraId="255A8072" w14:textId="66B2A3E1" w:rsidR="00775D03" w:rsidRDefault="00775D03" w:rsidP="00775D03">
      <w:pPr>
        <w:pStyle w:val="ListParagraph"/>
        <w:numPr>
          <w:ilvl w:val="0"/>
          <w:numId w:val="3"/>
        </w:numPr>
        <w:spacing w:line="276" w:lineRule="auto"/>
        <w:jc w:val="both"/>
        <w:rPr>
          <w:bCs/>
        </w:rPr>
      </w:pPr>
      <w:r>
        <w:rPr>
          <w:bCs/>
        </w:rPr>
        <w:t>Paccmit</w:t>
      </w:r>
    </w:p>
    <w:p w14:paraId="2AC22A94" w14:textId="7AB530AC" w:rsidR="0039302F" w:rsidRPr="000002E7" w:rsidRDefault="00775D03" w:rsidP="00EF661F">
      <w:pPr>
        <w:pStyle w:val="ListParagraph"/>
        <w:numPr>
          <w:ilvl w:val="0"/>
          <w:numId w:val="3"/>
        </w:numPr>
        <w:spacing w:line="276" w:lineRule="auto"/>
        <w:jc w:val="both"/>
        <w:rPr>
          <w:bCs/>
        </w:rPr>
      </w:pPr>
      <w:r>
        <w:rPr>
          <w:bCs/>
        </w:rPr>
        <w:t>mirDB</w:t>
      </w:r>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The mature miRNA sequences for both organisms are retrieved from miR</w:t>
      </w:r>
      <w:r w:rsidR="00370075">
        <w:rPr>
          <w:bCs/>
        </w:rPr>
        <w:t>B</w:t>
      </w:r>
      <w:r>
        <w:rPr>
          <w:bCs/>
        </w:rPr>
        <w:t>ase [36], and the sequences of the target mRNA molecules are extracted from the respective genomes [</w:t>
      </w:r>
      <w:r w:rsidR="0073759A">
        <w:rPr>
          <w:bCs/>
        </w:rPr>
        <w:t xml:space="preserve">29, </w:t>
      </w:r>
      <w:r>
        <w:rPr>
          <w:bCs/>
        </w:rPr>
        <w:t>37, 38].</w:t>
      </w:r>
    </w:p>
    <w:p w14:paraId="51B7824B" w14:textId="32E4F919" w:rsidR="00974379" w:rsidRDefault="00974379" w:rsidP="00974379">
      <w:pPr>
        <w:spacing w:line="276" w:lineRule="auto"/>
        <w:jc w:val="center"/>
        <w:rPr>
          <w:bCs/>
        </w:rPr>
      </w:pPr>
      <w:r>
        <w:rPr>
          <w:bCs/>
          <w:noProof/>
        </w:rPr>
        <w:drawing>
          <wp:inline distT="0" distB="0" distL="0" distR="0" wp14:anchorId="15350562" wp14:editId="57AE21D5">
            <wp:extent cx="1677017" cy="2876550"/>
            <wp:effectExtent l="0" t="0" r="0" b="0"/>
            <wp:docPr id="1986119114" name="Picture 4"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9114" name="Picture 4" descr="A black and whit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7871" cy="2895168"/>
                    </a:xfrm>
                    <a:prstGeom prst="rect">
                      <a:avLst/>
                    </a:prstGeom>
                  </pic:spPr>
                </pic:pic>
              </a:graphicData>
            </a:graphic>
          </wp:inline>
        </w:drawing>
      </w:r>
    </w:p>
    <w:p w14:paraId="512BBF8D" w14:textId="0A22746F" w:rsidR="00974379" w:rsidRDefault="00974379" w:rsidP="00974379">
      <w:pPr>
        <w:pStyle w:val="ListParagraph"/>
        <w:spacing w:line="276" w:lineRule="auto"/>
        <w:ind w:left="0"/>
        <w:jc w:val="both"/>
        <w:rPr>
          <w:bCs/>
        </w:rPr>
      </w:pPr>
      <w:r w:rsidRPr="00D45779">
        <w:rPr>
          <w:bCs/>
          <w:sz w:val="18"/>
          <w:szCs w:val="18"/>
        </w:rPr>
        <w:t xml:space="preserve">Figure </w:t>
      </w:r>
      <w:r w:rsidR="008551C3">
        <w:rPr>
          <w:bCs/>
          <w:sz w:val="18"/>
          <w:szCs w:val="18"/>
        </w:rPr>
        <w:t>5</w:t>
      </w:r>
      <w:r w:rsidRPr="00D45779">
        <w:rPr>
          <w:bCs/>
          <w:sz w:val="18"/>
          <w:szCs w:val="18"/>
        </w:rPr>
        <w:t xml:space="preserve">. </w:t>
      </w:r>
      <w:r>
        <w:rPr>
          <w:bCs/>
          <w:sz w:val="18"/>
          <w:szCs w:val="18"/>
        </w:rPr>
        <w:t>Methodology diagram.</w:t>
      </w:r>
    </w:p>
    <w:p w14:paraId="66E097C8" w14:textId="77777777" w:rsidR="00974379" w:rsidRDefault="00974379" w:rsidP="00974379">
      <w:pPr>
        <w:spacing w:line="276" w:lineRule="auto"/>
        <w:jc w:val="both"/>
        <w:rPr>
          <w:bCs/>
        </w:rPr>
      </w:pPr>
    </w:p>
    <w:p w14:paraId="2BD585C9" w14:textId="6EDF61EE" w:rsidR="00974379" w:rsidRDefault="00974379" w:rsidP="00974379">
      <w:pPr>
        <w:spacing w:line="276" w:lineRule="auto"/>
        <w:jc w:val="center"/>
        <w:rPr>
          <w:bCs/>
        </w:rPr>
      </w:pPr>
      <w:r>
        <w:rPr>
          <w:bCs/>
          <w:noProof/>
        </w:rPr>
        <w:drawing>
          <wp:inline distT="0" distB="0" distL="0" distR="0" wp14:anchorId="0ABCE44C" wp14:editId="243870E8">
            <wp:extent cx="1410471" cy="1137519"/>
            <wp:effectExtent l="0" t="0" r="0" b="5715"/>
            <wp:docPr id="1220360379" name="Picture 5" descr="A black and white strip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0379" name="Picture 5" descr="A black and white striped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099" cy="1151736"/>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19FDB669" w14:textId="7E37408A" w:rsidR="000B1C62" w:rsidRDefault="000B1C62" w:rsidP="00EF661F">
      <w:pPr>
        <w:spacing w:line="276" w:lineRule="auto"/>
        <w:jc w:val="both"/>
        <w:rPr>
          <w:bCs/>
        </w:rPr>
      </w:pPr>
      <w:r>
        <w:rPr>
          <w:bCs/>
          <w:noProof/>
        </w:rPr>
        <w:drawing>
          <wp:inline distT="0" distB="0" distL="0" distR="0" wp14:anchorId="28B3E5DF" wp14:editId="7241F5A3">
            <wp:extent cx="2743200" cy="2734945"/>
            <wp:effectExtent l="0" t="0" r="0" b="0"/>
            <wp:docPr id="178643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39" name="Picture 2"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34945"/>
                    </a:xfrm>
                    <a:prstGeom prst="rect">
                      <a:avLst/>
                    </a:prstGeom>
                  </pic:spPr>
                </pic:pic>
              </a:graphicData>
            </a:graphic>
          </wp:inline>
        </w:drawing>
      </w:r>
    </w:p>
    <w:p w14:paraId="70BE8286" w14:textId="769250C3"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p>
    <w:p w14:paraId="5A965D85" w14:textId="00F0A8B8" w:rsidR="000002E7" w:rsidRDefault="000B1C62" w:rsidP="00EF661F">
      <w:pPr>
        <w:spacing w:line="276" w:lineRule="auto"/>
        <w:jc w:val="both"/>
        <w:rPr>
          <w:bCs/>
        </w:rPr>
      </w:pPr>
      <w:r>
        <w:rPr>
          <w:bCs/>
          <w:noProof/>
        </w:rPr>
        <w:drawing>
          <wp:inline distT="0" distB="0" distL="0" distR="0" wp14:anchorId="2B85481A" wp14:editId="0831F300">
            <wp:extent cx="2743200" cy="2563495"/>
            <wp:effectExtent l="0" t="0" r="0" b="1905"/>
            <wp:docPr id="181379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8" name="Picture 3"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563495"/>
                    </a:xfrm>
                    <a:prstGeom prst="rect">
                      <a:avLst/>
                    </a:prstGeom>
                  </pic:spPr>
                </pic:pic>
              </a:graphicData>
            </a:graphic>
          </wp:inline>
        </w:drawing>
      </w:r>
    </w:p>
    <w:p w14:paraId="4F94CCC5" w14:textId="2AB80D8C" w:rsidR="005F2DF9" w:rsidRDefault="005F2DF9" w:rsidP="005F2DF9">
      <w:pPr>
        <w:pStyle w:val="ListParagraph"/>
        <w:spacing w:line="276" w:lineRule="auto"/>
        <w:ind w:left="0"/>
        <w:jc w:val="both"/>
        <w:rPr>
          <w:bCs/>
        </w:rPr>
      </w:pPr>
      <w:r w:rsidRPr="00D45779">
        <w:rPr>
          <w:bCs/>
          <w:sz w:val="18"/>
          <w:szCs w:val="18"/>
        </w:rPr>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[1] A. Pla, X. Zhong, and S. Rayner, “miRAW: A deep learning-based approach to predict microRNA targets by analyzing whole microRNA transcripts,” PLOS Computational Biology, vol. 14, no. 7, p. e1006185, Jul. 2018, doi: 10.1371/journal.pcbi.1006185.</w:t>
      </w:r>
    </w:p>
    <w:p w14:paraId="4BF53620" w14:textId="77777777" w:rsidR="00FD068C" w:rsidRPr="0007756E" w:rsidRDefault="00FD068C" w:rsidP="00EF661F">
      <w:pPr>
        <w:spacing w:line="276" w:lineRule="auto"/>
        <w:jc w:val="both"/>
      </w:pPr>
      <w:r w:rsidRPr="0007756E">
        <w:t>[2] J. O’Brien, H. Hayder,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[4] H. Nakayashiki, ‘RNA silencing in fungi: Mechanisms and applications’, FEBS Letters, vol. 579, no. 26, pp. 5950–5957, Oct. 2005, doi: 10.1016/j.febslet.2005.08.016.</w:t>
      </w:r>
    </w:p>
    <w:p w14:paraId="5C726F5D" w14:textId="77777777" w:rsidR="00FD068C" w:rsidRPr="0007756E" w:rsidRDefault="00FD068C" w:rsidP="00EF661F">
      <w:pPr>
        <w:spacing w:line="276" w:lineRule="auto"/>
        <w:jc w:val="both"/>
      </w:pPr>
      <w:r w:rsidRPr="0007756E">
        <w:t>[5] T. Kakati, D. K. Bhattacharyya, J. K. Kalita, and T. M. Norden-Krichmar, ‘DEGnext: classification of differentially expressed genes from RNA-seq data using a convolutional neural network with transfer learning’, BMC Bioinformatics, vol. 23, no. 1, p. 17, Jan. 2022, doi: 10.1186/s12859-021-04527-4.</w:t>
      </w:r>
    </w:p>
    <w:p w14:paraId="2D272E4F" w14:textId="77777777" w:rsidR="00FD068C" w:rsidRPr="0007756E" w:rsidRDefault="00FD068C" w:rsidP="00EF661F">
      <w:pPr>
        <w:spacing w:line="276" w:lineRule="auto"/>
        <w:jc w:val="both"/>
      </w:pPr>
      <w:r w:rsidRPr="0007756E">
        <w:t xml:space="preserve">[6] B. Hanczar, F. Zehraoui, T. Issa, and M. Arles, ‘Biological interpretation of deep neural network for phenotype prediction based on gene expression’, BMC Bioinformatics, vol. 21, no. 1, </w:t>
      </w:r>
      <w:r w:rsidRPr="0007756E">
        <w:t>p. 501, Nov. 2020, doi: 10.1186/s12859-020-03836-4.</w:t>
      </w:r>
    </w:p>
    <w:p w14:paraId="53285946" w14:textId="77777777" w:rsidR="00FD068C" w:rsidRPr="0007756E" w:rsidRDefault="00FD068C" w:rsidP="00EF661F">
      <w:pPr>
        <w:spacing w:line="276" w:lineRule="auto"/>
        <w:jc w:val="both"/>
      </w:pPr>
      <w:r w:rsidRPr="0007756E">
        <w:t>[7] D. Urda, J. Montes-Torres, F. Moreno, L. Franco, and J. M. Jerez, ‘Deep Learning to Analyze RNA-Seq Gene Expression Data’, in Advances in Computational Intelligence, I. Rojas, G. Joya, and A. Catala, Eds., in Lecture Notes in Computer Science, vol. 10306. Cham: Springer International Publishing, 2017, pp. 50–59. doi: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[9] A. Talukder, W. Zhang, X. Li, and H. Hu, “A deep learning method for miRNA/isomiR target detection,” Sci Rep, vol. 12, no. 1, Art. no. 1, Jun. 2022, doi: 10.1038/s41598-022-14890-8.</w:t>
      </w:r>
    </w:p>
    <w:p w14:paraId="2D2EB711" w14:textId="77777777" w:rsidR="004C718F" w:rsidRPr="0007756E" w:rsidRDefault="004C718F" w:rsidP="00EF661F">
      <w:pPr>
        <w:spacing w:line="276" w:lineRule="auto"/>
        <w:jc w:val="both"/>
      </w:pPr>
      <w:r w:rsidRPr="0007756E">
        <w:t>[10] O. P. Gupta, P. Sharma, R. K. Gupta, and I. Sharma, “Current status on role of miRNAs during plant–fungus interaction,” Physiological and Molecular Plant Pathology, vol. 85, pp. 1–7, Jan. 2014, doi: 10.1016/j.pmpp.2013.10.002.</w:t>
      </w:r>
    </w:p>
    <w:p w14:paraId="7431D10D" w14:textId="77777777" w:rsidR="004C718F" w:rsidRPr="0007756E" w:rsidRDefault="004C718F" w:rsidP="00EF661F">
      <w:pPr>
        <w:spacing w:line="276" w:lineRule="auto"/>
        <w:jc w:val="both"/>
      </w:pPr>
      <w:r w:rsidRPr="0007756E">
        <w:t>[11] E. Marín-González and P. Suárez-López, “‘And yet it moves’: Cell-to-cell and long-distance signaling by plant microRNAs,” Plant Science, vol. 196, pp. 18–30, Nov. 2012, doi: 10.1016/j.plantsci.2012.07.009.</w:t>
      </w:r>
    </w:p>
    <w:p w14:paraId="362DE3AC" w14:textId="77777777" w:rsidR="004C718F" w:rsidRPr="0007756E" w:rsidRDefault="004C718F" w:rsidP="00EF661F">
      <w:pPr>
        <w:spacing w:line="276" w:lineRule="auto"/>
        <w:jc w:val="both"/>
      </w:pPr>
      <w:r w:rsidRPr="0007756E">
        <w:t>[12] T. Siddika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t xml:space="preserve">[13] J. K. W. Lam, M. Y. T. Chow, Y. Zhang, and S. W. S. Leung, “siRNA Versus miRNA as </w:t>
      </w:r>
      <w:r w:rsidRPr="0007756E">
        <w:lastRenderedPageBreak/>
        <w:t>Therapeutics for Gene Silencing,” Mol Ther Nucleic Acids, vol. 4, no. 9, p. e252, Sep. 2015, doi: 10.1038/mtna.2015.23.</w:t>
      </w:r>
    </w:p>
    <w:p w14:paraId="7AC1E55B" w14:textId="77777777" w:rsidR="00B83456" w:rsidRPr="0007756E" w:rsidRDefault="00B83456" w:rsidP="00EF661F">
      <w:pPr>
        <w:spacing w:line="276" w:lineRule="auto"/>
        <w:jc w:val="both"/>
      </w:pPr>
      <w:r w:rsidRPr="0007756E">
        <w:t>[14] “miRTarBase: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[16] C. Stylianopoulou, “Carbohydrates: Regulation of metabolism,” in Encyclopedia of Human Nutrition (Fourth Edition), B. Caballero, Ed., Oxford: Academic Press, 2023, pp. 126–135. doi: 10.1016/B978-0-12-821848-8.00173-6.</w:t>
      </w:r>
    </w:p>
    <w:p w14:paraId="40F9180D" w14:textId="77777777" w:rsidR="00195DD2" w:rsidRPr="0007756E" w:rsidRDefault="00195DD2" w:rsidP="00EF661F">
      <w:pPr>
        <w:spacing w:line="276" w:lineRule="auto"/>
        <w:jc w:val="both"/>
      </w:pPr>
      <w:r w:rsidRPr="0007756E">
        <w:t>[17] L. He and G. J. Hannon, “MicroRNAs: small RNAs with a big role in gene regulation,” Nat Rev Genet, vol. 5, no. 7, Art. no. 7, Jul. 2004, doi: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D. Pradhan, A. Kumar, H. Singh, and U. Agrawal, “Chapter 4 - High-throughput sequencing,” in Data Processing Handbook for Complex Biological Data Sources, G. Misra, Ed., Academic Press, 2019, pp. 39–52. doi: 10.1016/B978-0-12-816548-5.00004-6.</w:t>
      </w:r>
    </w:p>
    <w:p w14:paraId="7504EF3F" w14:textId="77777777" w:rsidR="006A30A4" w:rsidRPr="0007756E" w:rsidRDefault="00D83D89" w:rsidP="00EF661F">
      <w:pPr>
        <w:spacing w:line="276" w:lineRule="auto"/>
        <w:jc w:val="both"/>
      </w:pPr>
      <w:r w:rsidRPr="0007756E">
        <w:t>[19] B. Hanczar, F. Zehraoui, T. Issa, and M. Arles, “Biological interpretation of deep neural network for phenotype prediction based on gene expression,” BMC Bioinformatics, vol. 21, no. 1, p. 501, Nov. 2020, doi: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A. L. Leitão and F. J. Enguita, “A Structural View of miRNA Biogenesis and Function,” Non-Coding RNA, vol. 8, no. 1, Art. no. 1, Feb. 2022, doi: 10.3390/ncrna8010010.</w:t>
      </w:r>
    </w:p>
    <w:p w14:paraId="025D1413" w14:textId="4DC185F1" w:rsidR="00FD068C" w:rsidRPr="0007756E" w:rsidRDefault="00FD068C" w:rsidP="00EF661F">
      <w:pPr>
        <w:spacing w:line="276" w:lineRule="auto"/>
        <w:jc w:val="both"/>
      </w:pPr>
      <w:r w:rsidRPr="0007756E">
        <w:t>[21] ‘Gene Expression | Learn Science at Scitable’.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‘DeepMetabolism: A Deep Learning System to Predict Phenotype from Genome Sequencing’. arXiv, May 08, 2017. doi: 10.48550/arXiv.1705.03094.</w:t>
      </w:r>
    </w:p>
    <w:p w14:paraId="71FC97EB" w14:textId="471EDF11" w:rsidR="00FD068C" w:rsidRPr="0007756E" w:rsidRDefault="009320D4" w:rsidP="00EF661F">
      <w:pPr>
        <w:spacing w:line="276" w:lineRule="auto"/>
        <w:jc w:val="both"/>
      </w:pPr>
      <w:r w:rsidRPr="0007756E">
        <w:t>[23] M. Wen, P. Cong, Z. Zhang, H. Lu, and T. Li, ‘DeepMirTar: a deep-learning approach for predicting human miRNA targets’, Bioinformatics, vol. 34, no. 22, pp. 3781–3787, Nov. 2018, doi: 10.1093/bioinformatics/bty424.</w:t>
      </w:r>
    </w:p>
    <w:p w14:paraId="639A9746" w14:textId="5243E9AE" w:rsidR="00210DEE" w:rsidRDefault="00210DEE" w:rsidP="00EF661F">
      <w:pPr>
        <w:spacing w:line="276" w:lineRule="auto"/>
        <w:jc w:val="both"/>
      </w:pPr>
      <w:r w:rsidRPr="0007756E">
        <w:t>[24] X. M. Xu and S. G. Møller, ‘The value of Arabidopsis research in understanding human disease states’, Curr Opin Biotechnol, vol. 22, no. 2, pp. 300–307, Apr. 2011, doi: 10.1016/j.copbio.2010.11.007.</w:t>
      </w:r>
    </w:p>
    <w:p w14:paraId="646C67F9" w14:textId="41D33D5E" w:rsidR="00FA11E6" w:rsidRDefault="00FA11E6" w:rsidP="00EF661F">
      <w:pPr>
        <w:spacing w:line="276" w:lineRule="auto"/>
        <w:jc w:val="both"/>
      </w:pPr>
      <w:r w:rsidRPr="00FA11E6">
        <w:t>[</w:t>
      </w:r>
      <w:r>
        <w:t>25</w:t>
      </w:r>
      <w:r w:rsidRPr="00FA11E6">
        <w:t>] G. P. Way and C. S. Greene, ‘Extracting a Biologically Relevant Latent Space from Cancer Transcriptomes with Variational Autoencoders’. bioRxiv, p. 174474, Aug. 11, 2017. doi: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C. H. Grønbech, M. F. Vording, P. Timshel, C. K. Sønderby, T. H. Pers, and O. Winther, ‘scVAE: Variational auto-encoders for single-cell gene expression data’. bioRxiv, p. 318295, Oct. 02, 2019. doi: 10.1101/318295.</w:t>
      </w:r>
    </w:p>
    <w:p w14:paraId="145D8D89" w14:textId="14C1B59C" w:rsidR="004254D7" w:rsidRDefault="00F373FF" w:rsidP="00EF661F">
      <w:pPr>
        <w:spacing w:line="276" w:lineRule="auto"/>
        <w:jc w:val="both"/>
      </w:pPr>
      <w:r w:rsidRPr="00F373FF">
        <w:t>[</w:t>
      </w:r>
      <w:r>
        <w:t>28</w:t>
      </w:r>
      <w:r w:rsidRPr="00F373FF">
        <w:t xml:space="preserve">] K. Y. Gao, A. Fokoue, H. Luo, A. Iyengar, S. Dey, and P. Zhang, ‘Interpretable Drug Target Prediction Using Deep Neural Representation’, in </w:t>
      </w:r>
      <w:r w:rsidRPr="00F373FF">
        <w:lastRenderedPageBreak/>
        <w:t>Proceedings of the Twenty-Seventh International Joint Conference on Artificial Intelligence, Stockholm, Sweden: International Joint Conferences on Artificial Intelligence Organization, Jul. 2018, pp. 3371–3377. doi: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G. B. Or and I. Veksler-Lublinsky, ‘Comprehensive machine-learning-based analysis of microRNA-target interactions reveals variable transferability of interaction rules across species’. bioRxiv, p. 2021.03.28.437385, Mar. 29, 2021. doi: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 Chen, ‘Small RNAs – secrets and surprises of the genome’, Plant J, vol. 61, no. 6, pp. 941–958, Mar. 2010, doi: 10.1111/j.1365-313X.2009.04089.x.</w:t>
      </w:r>
    </w:p>
    <w:p w14:paraId="0B832F2B" w14:textId="3212771A" w:rsidR="00A83121" w:rsidRPr="0007756E" w:rsidRDefault="00A83121" w:rsidP="00EF661F">
      <w:pPr>
        <w:spacing w:line="276" w:lineRule="auto"/>
        <w:jc w:val="both"/>
      </w:pPr>
      <w:r w:rsidRPr="00A83121">
        <w:t>[</w:t>
      </w:r>
      <w:r>
        <w:t>33</w:t>
      </w:r>
      <w:r w:rsidRPr="00A83121">
        <w:t>] S. Bandyopadhyay and R. Mitra, ‘TargetMiner: microRNA target prediction with systematic identification of tissue-specific negative examples’, Bioinformatics, vol. 25, no. 20, pp. 2625–2631, Oct. 2009, doi: 10.1093/bioinformatics/btp503.</w:t>
      </w:r>
    </w:p>
    <w:p w14:paraId="6EAF37AE" w14:textId="39EFB230" w:rsidR="004C718F" w:rsidRDefault="00E537E4" w:rsidP="00EF661F">
      <w:pPr>
        <w:spacing w:line="276" w:lineRule="auto"/>
        <w:jc w:val="both"/>
      </w:pPr>
      <w:r w:rsidRPr="00E537E4">
        <w:t>[</w:t>
      </w:r>
      <w:r>
        <w:t>34</w:t>
      </w:r>
      <w:r w:rsidRPr="00E537E4">
        <w:t>] ‘PmiREN: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xml:space="preserve">] ‘refSeq Accession to Gene Symbol Converter - Genomics Biotools’. </w:t>
      </w:r>
      <w:r w:rsidRPr="00BB596D">
        <w:t>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‘miRBase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Murcott, R. J. Pawluk, A. V. Protasio, R. Y. Akinmusola, D. Lastik, and V. L. Hunt, ‘stepRNA: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‘miRTarBase update 2022: an informative resource for experimentally validated miRNA–target interactions’, Nucleic Acids Research, vol. 50, no. D1, pp. D222–D230, Jan. 2022, doi: 10.1093/nar/gkab1079.</w:t>
      </w:r>
    </w:p>
    <w:p w14:paraId="53E41DDD" w14:textId="77777777" w:rsidR="003B4A43" w:rsidRPr="0007756E" w:rsidRDefault="003B4A43" w:rsidP="00EF661F">
      <w:pPr>
        <w:spacing w:line="276" w:lineRule="auto"/>
        <w:jc w:val="both"/>
      </w:pP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6086" w14:textId="77777777" w:rsidR="00D8138B" w:rsidRDefault="00D8138B" w:rsidP="00D83D89">
      <w:pPr>
        <w:spacing w:after="0" w:line="240" w:lineRule="auto"/>
      </w:pPr>
      <w:r>
        <w:separator/>
      </w:r>
    </w:p>
  </w:endnote>
  <w:endnote w:type="continuationSeparator" w:id="0">
    <w:p w14:paraId="155A2E5C" w14:textId="77777777" w:rsidR="00D8138B" w:rsidRDefault="00D8138B"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C114" w14:textId="77777777" w:rsidR="00D8138B" w:rsidRDefault="00D8138B" w:rsidP="00D83D89">
      <w:pPr>
        <w:spacing w:after="0" w:line="240" w:lineRule="auto"/>
      </w:pPr>
      <w:r>
        <w:separator/>
      </w:r>
    </w:p>
  </w:footnote>
  <w:footnote w:type="continuationSeparator" w:id="0">
    <w:p w14:paraId="14E2524D" w14:textId="77777777" w:rsidR="00D8138B" w:rsidRDefault="00D8138B"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325BD"/>
    <w:rsid w:val="00834289"/>
    <w:rsid w:val="00836C94"/>
    <w:rsid w:val="00840DCA"/>
    <w:rsid w:val="008551C3"/>
    <w:rsid w:val="00856CEA"/>
    <w:rsid w:val="00864B36"/>
    <w:rsid w:val="00872FE3"/>
    <w:rsid w:val="008750E0"/>
    <w:rsid w:val="00877E85"/>
    <w:rsid w:val="008854FF"/>
    <w:rsid w:val="00893D03"/>
    <w:rsid w:val="00893F63"/>
    <w:rsid w:val="008A386A"/>
    <w:rsid w:val="008D6762"/>
    <w:rsid w:val="008F5604"/>
    <w:rsid w:val="008F62D3"/>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10C97"/>
    <w:rsid w:val="00B35465"/>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7C53"/>
    <w:rsid w:val="00CF5D8F"/>
    <w:rsid w:val="00D0085E"/>
    <w:rsid w:val="00D06C92"/>
    <w:rsid w:val="00D14B3E"/>
    <w:rsid w:val="00D22087"/>
    <w:rsid w:val="00D26C6F"/>
    <w:rsid w:val="00D45779"/>
    <w:rsid w:val="00D47AC7"/>
    <w:rsid w:val="00D627E4"/>
    <w:rsid w:val="00D644AB"/>
    <w:rsid w:val="00D73968"/>
    <w:rsid w:val="00D77CC6"/>
    <w:rsid w:val="00D8138B"/>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6</cp:revision>
  <cp:lastPrinted>2023-08-21T12:58:00Z</cp:lastPrinted>
  <dcterms:created xsi:type="dcterms:W3CDTF">2023-08-21T12:58:00Z</dcterms:created>
  <dcterms:modified xsi:type="dcterms:W3CDTF">2023-08-28T08:04:00Z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