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0"/>
      </w:pPr>
    </w:p>
    <w:p>
      <w:pPr>
        <w:spacing w:after="120"/>
      </w:pPr>
      <w:r>
        <w:rPr>
          <w:b/>
          <w:bCs/>
          <w:color w:val="854F0B"/>
          <w:sz w:val="20"/>
          <w:szCs w:val="20"/>
        </w:rPr>
        <w:t xml:space="preserve">TECHNICAL REPORT — DRAFT SHELL</w:t>
      </w:r>
    </w:p>
    <w:p>
      <w:pPr>
        <w:spacing w:after="40"/>
      </w:pPr>
      <w:r>
        <w:rPr>
          <w:b/>
          <w:bCs/>
          <w:color w:val="1B3A5C"/>
          <w:sz w:val="50"/>
          <w:szCs w:val="50"/>
        </w:rPr>
        <w:t xml:space="preserve">Earnings Call Analysis</w:t>
      </w:r>
    </w:p>
    <w:p>
      <w:pPr>
        <w:spacing w:after="200"/>
      </w:pPr>
      <w:r>
        <w:rPr>
          <w:b/>
          <w:bCs/>
          <w:color w:val="1B3A5C"/>
          <w:sz w:val="34"/>
          <w:szCs w:val="34"/>
        </w:rPr>
        <w:t xml:space="preserve">for the Bank of England</w:t>
      </w:r>
    </w:p>
    <w:p>
      <w:pPr>
        <w:spacing w:after="500"/>
      </w:pPr>
      <w:r>
        <w:rPr>
          <w:color w:val="3C3C3A"/>
          <w:sz w:val="22"/>
          <w:szCs w:val="22"/>
        </w:rPr>
        <w:t xml:space="preserve">NLP topic modelling, financial sentiment analysis, and LLM-assisted summarisation across HSBC and Barclays earnings call transcripts to identify leading prudential signal in analyst Q&amp;A.</w:t>
      </w:r>
    </w:p>
    <w:p>
      <w:pPr>
        <w:spacing w:after="60"/>
      </w:pPr>
      <w:r>
        <w:rPr>
          <w:color w:val="1B3A5C"/>
          <w:sz w:val="20"/>
          <w:szCs w:val="20"/>
        </w:rPr>
        <w:t xml:space="preserve">Cambridge Data Science Career Accelerator · Group 9 · 2026</w:t>
      </w:r>
    </w:p>
    <w:p>
      <w:pPr>
        <w:spacing w:after="300"/>
      </w:pPr>
      <w:r>
        <w:rPr>
          <w:i/>
          <w:iCs/>
          <w:color w:val="6B6B68"/>
          <w:sz w:val="16"/>
          <w:szCs w:val="16"/>
        </w:rPr>
        <w:t xml:space="preserve">Adapted from: Venda_Susana_CAM_C301_Week_4and5_Topic_project (PureGym)</w:t>
      </w:r>
    </w:p>
    <w:p>
      <w:pPr>
        <w:spacing w:after="0"/>
      </w:pPr>
      <w:r>
        <w:rPr>
          <w:color w:val="6B6B68"/>
          <w:sz w:val="18"/>
          <w:szCs w:val="18"/>
        </w:rPr>
        <w:t xml:space="preserve">Banks: HSBC · Barclays   Methods: BERTopic · FinBERT+LDSA · Phi-4-mini-instruct   Status: pipeline scaffolded, awaiting data</w:t>
      </w:r>
    </w:p>
    <w:p>
      <w:pPr>
        <w:sectPr>
          <w:pgSz w:w="11906" w:h="16838" w:orient="portrait"/>
          <w:pgMar w:top="1400" w:right="1134" w:bottom="1400" w:left="1134" w:header="708" w:footer="708" w:gutter="0"/>
          <w:pgNumType/>
          <w:docGrid w:linePitch="360"/>
        </w:sectPr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854F0B" w:sz="4"/>
              <w:left w:val="single" w:color="854F0B" w:sz="16"/>
              <w:bottom w:val="single" w:color="BFD6EA" w:sz="4"/>
              <w:right w:val="single" w:color="BFD6EA" w:sz="4"/>
            </w:tcBorders>
            <w:shd w:fill="FDF3E3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854F0B"/>
                <w:sz w:val="20"/>
                <w:szCs w:val="20"/>
              </w:rPr>
              <w:t xml:space="preserve">Draft status: </w:t>
            </w:r>
            <w:r>
              <w:rPr>
                <w:color w:val="1A1A1A"/>
                <w:sz w:val="20"/>
                <w:szCs w:val="20"/>
              </w:rPr>
              <w:t xml:space="preserve">This report is a structural shell adapted from the PureGym CAM_C301 report template. Sections and tables are pre-built; findings, figures, and numbers are placeholders (marked [TBC]) to be filled in once the notebook pipeline runs on real transcript data.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Executive Summary</w:t>
      </w:r>
    </w:p>
    <w:p>
      <w:pPr>
        <w:spacing w:after="90" w:before="180"/>
      </w:pPr>
      <w:r>
        <w:rPr>
          <w:b/>
          <w:bCs/>
          <w:color w:val="1B3A5C"/>
          <w:sz w:val="22"/>
          <w:szCs w:val="22"/>
        </w:rPr>
        <w:t xml:space="preserve">BUSINESS CONTEXT</w:t>
      </w:r>
    </w:p>
    <w:p>
      <w:pPr>
        <w:spacing w:after="140"/>
        <w:jc w:val="both"/>
      </w:pPr>
      <w:r>
        <w:rPr>
          <w:sz w:val="21"/>
          <w:szCs w:val="21"/>
        </w:rPr>
        <w:t xml:space="preserve">The Bank of England's Prudential Regulation Authority needs earlier warning of prudential stress than structured regulatory returns alone provide. This report applies topic modelling, financial sentiment analysis, and LLM-assisted summarisation to HSBC and Barclays earnings call transcripts to test whether analyst Q&amp;A carries a leading signal not visible in reported metrics alone.</w:t>
      </w:r>
    </w:p>
    <w:p>
      <w:pPr>
        <w:spacing w:after="90" w:before="180"/>
      </w:pPr>
      <w:r>
        <w:rPr>
          <w:b/>
          <w:bCs/>
          <w:color w:val="1B3A5C"/>
          <w:sz w:val="22"/>
          <w:szCs w:val="22"/>
        </w:rPr>
        <w:t xml:space="preserve">FINDINGS</w:t>
      </w:r>
    </w:p>
    <w:p>
      <w:pPr>
        <w:spacing w:after="140"/>
        <w:jc w:val="both"/>
      </w:pPr>
      <w:r>
        <w:rPr>
          <w:sz w:val="21"/>
          <w:szCs w:val="21"/>
        </w:rPr>
        <w:t xml:space="preserve">[TBC — populated once the notebook pipeline (Sections 3–5) has run on verified transcript data. Structure below mirrors the PureGym report's findings format: dominant theme, dominant sentiment, and any cross-validated signal.]</w:t>
      </w:r>
    </w:p>
    <w:p>
      <w:pPr>
        <w:spacing w:after="90" w:before="180"/>
      </w:pPr>
      <w:r>
        <w:rPr>
          <w:b/>
          <w:bCs/>
          <w:color w:val="1B3A5C"/>
          <w:sz w:val="22"/>
          <w:szCs w:val="22"/>
        </w:rPr>
        <w:t xml:space="preserve">RECOMMENDATION</w:t>
      </w:r>
    </w:p>
    <w:p>
      <w:pPr>
        <w:spacing w:after="140"/>
        <w:jc w:val="both"/>
      </w:pPr>
      <w:r>
        <w:rPr>
          <w:sz w:val="21"/>
          <w:szCs w:val="21"/>
        </w:rPr>
        <w:t xml:space="preserve">[TBC — recommendations ranked by evidence strength, following the same format as Table 10 of the PureGym report, once findings are confirmed.]</w:t>
      </w:r>
    </w:p>
    <w:p>
      <w:pPr>
        <w:spacing w:after="60"/>
      </w:pP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1. Introduction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B3A5C" w:sz="4"/>
              <w:left w:val="single" w:color="1B3A5C" w:sz="16"/>
              <w:bottom w:val="single" w:color="BFD6EA" w:sz="4"/>
              <w:right w:val="single" w:color="BFD6EA" w:sz="4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3A5C"/>
                <w:sz w:val="20"/>
                <w:szCs w:val="20"/>
              </w:rPr>
              <w:t xml:space="preserve">KPI snapshot: </w:t>
            </w:r>
            <w:r>
              <w:rPr>
                <w:color w:val="1A1A1A"/>
                <w:sz w:val="20"/>
                <w:szCs w:val="20"/>
              </w:rPr>
              <w:t xml:space="preserve">Banks: 2 (HSBC, Barclays) · Quarters targeted: 8 · Transcripts verified: [TBC] · Methods: 4 (BERTopic, Gensim LDA, FinBERT+LDSA, Phi-4-mini-instruct)</w:t>
            </w:r>
          </w:p>
        </w:tc>
      </w:tr>
    </w:tbl>
    <w:p>
      <w:pPr>
        <w:spacing w:after="100"/>
      </w:pPr>
    </w:p>
    <w:p>
      <w:pPr>
        <w:spacing w:after="140"/>
        <w:jc w:val="both"/>
      </w:pPr>
      <w:r>
        <w:rPr>
          <w:sz w:val="21"/>
          <w:szCs w:val="21"/>
        </w:rPr>
        <w:t xml:space="preserve">HSBC (founded 1865) and Barclays are both UK-incorporated G-SIBs under full Prudential Regulation Authority oversight. This project applies word-frequency analysis, BERTopic/Gensim topic modelling, FinBERT+LDSA sentiment classification, and LLM-assisted extraction to analyst Q&amp;A drawn from quarterly earnings call transcripts, cross-validating between methods before drawing conclusions — the same evaluation discipline used in the PureGym customer feedback project this pipeline is adapted from.</w:t>
      </w: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2. Data &amp; Methodology</w:t>
      </w:r>
    </w:p>
    <w:p>
      <w:pPr>
        <w:spacing w:after="90" w:before="180"/>
      </w:pPr>
      <w:r>
        <w:rPr>
          <w:b/>
          <w:bCs/>
          <w:color w:val="1B3A5C"/>
          <w:sz w:val="22"/>
          <w:szCs w:val="22"/>
        </w:rPr>
        <w:t xml:space="preserve">2.1 Dataset Overview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06"/>
        <w:gridCol w:w="7132"/>
      </w:tblGrid>
      <w:tr>
        <w:trPr>
          <w:tblHeader/>
        </w:trPr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71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Sources</w:t>
            </w:r>
          </w:p>
        </w:tc>
        <w:tc>
          <w:tcPr>
            <w:tcW w:type="dxa" w:w="71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HSBC Investor Relations (hsbc.com) · Barclays Investor Relations (home.barclays)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Target coverage</w:t>
            </w:r>
          </w:p>
        </w:tc>
        <w:tc>
          <w:tcPr>
            <w:tcW w:type="dxa" w:w="71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 quarters per bank — Interim/Annual/1Q/3Q transcript PDFs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Format</w:t>
            </w:r>
          </w:p>
        </w:tc>
        <w:tc>
          <w:tcPr>
            <w:tcW w:type="dxa" w:w="71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PDF ("Presentation to Investors and Analysts - Transcript"), speaker-segmented into analyst vs. management turns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Preprocessing</w:t>
            </w:r>
          </w:p>
        </w:tc>
        <w:tc>
          <w:tcPr>
            <w:tcW w:type="dxa" w:w="71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Lowercase · stopword removal · number removal · NLTK tokenisation (unchanged from PureGym)</w:t>
            </w:r>
          </w:p>
        </w:tc>
      </w:tr>
      <w:tr>
        <w:trPr>
          <w:cantSplit/>
        </w:trPr>
        <w:tc>
          <w:tcPr>
            <w:tcW w:type="dxa" w:w="25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Corpus for topic modelling</w:t>
            </w:r>
          </w:p>
        </w:tc>
        <w:tc>
          <w:tcPr>
            <w:tcW w:type="dxa" w:w="713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Analyst Q&amp;A turns only, both banks, common quarters</w:t>
            </w:r>
          </w:p>
        </w:tc>
      </w:tr>
    </w:tbl>
    <w:p>
      <w:pPr>
        <w:spacing w:after="160"/>
      </w:pPr>
      <w:r>
        <w:rPr>
          <w:i/>
          <w:iCs/>
          <w:color w:val="6B6B68"/>
          <w:sz w:val="18"/>
          <w:szCs w:val="18"/>
        </w:rPr>
        <w:t xml:space="preserve">Table 1. Dataset overview — [TBC: replace with real row counts once transcripts are downloaded and segmented].</w:t>
      </w:r>
    </w:p>
    <w:p>
      <w:pPr>
        <w:spacing w:after="90" w:before="180"/>
      </w:pPr>
      <w:r>
        <w:rPr>
          <w:b/>
          <w:bCs/>
          <w:color w:val="1B3A5C"/>
          <w:sz w:val="22"/>
          <w:szCs w:val="22"/>
        </w:rPr>
        <w:t xml:space="preserve">2.2 Methods Applied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13"/>
        <w:gridCol w:w="4433"/>
        <w:gridCol w:w="2891"/>
      </w:tblGrid>
      <w:tr>
        <w:trPr>
          <w:tblHeader/>
        </w:trPr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Input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BERTopic</w:t>
            </w:r>
          </w:p>
        </w:tc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Topic discovery — analyst Q&amp;A themes, data-driven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Analyst turns, both banks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Gensim LDA</w:t>
            </w:r>
          </w:p>
        </w:tc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Independent topic-modelling cross-check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corpus, N topics [TBC]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FinBERT</w:t>
            </w:r>
          </w:p>
        </w:tc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Financial-domain sentiment per turn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All analyst + management turns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LDSA</w:t>
            </w:r>
          </w:p>
        </w:tc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 sentiment signal (Alfred, prior FOMC work)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corpus, cross-check vs. FinBERT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Phi-4-mini-instruct</w:t>
            </w:r>
          </w:p>
        </w:tc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Zero-shot summarisation grouped by metric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Sample of turns per metric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Refined BERTopic</w:t>
            </w:r>
          </w:p>
        </w:tc>
        <w:tc>
          <w:tcPr>
            <w:tcW w:type="dxa" w:w="4433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Second-pass topic modelling on key clusters</w:t>
            </w:r>
          </w:p>
        </w:tc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Filtered subset (Section 5 of notebook)</w:t>
            </w:r>
          </w:p>
        </w:tc>
      </w:tr>
    </w:tbl>
    <w:p>
      <w:pPr>
        <w:spacing w:after="160"/>
      </w:pPr>
      <w:r>
        <w:rPr>
          <w:i/>
          <w:iCs/>
          <w:color w:val="6B6B68"/>
          <w:sz w:val="18"/>
          <w:szCs w:val="18"/>
        </w:rPr>
        <w:t xml:space="preserve">Table 2. Six methods applied — extends PureGym's seven-method approach with a financial-domain swap (FinBERT for the generic emotion model) and one addition (LDSA).</w:t>
      </w: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3. Topic Modelling — BERTopic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B3A5C" w:sz="4"/>
              <w:left w:val="single" w:color="1B3A5C" w:sz="16"/>
              <w:bottom w:val="single" w:color="BFD6EA" w:sz="4"/>
              <w:right w:val="single" w:color="BFD6EA" w:sz="4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3A5C"/>
                <w:sz w:val="20"/>
                <w:szCs w:val="20"/>
              </w:rPr>
              <w:t xml:space="preserve">Status: </w:t>
            </w:r>
            <w:r>
              <w:rPr>
                <w:color w:val="1A1A1A"/>
                <w:sz w:val="20"/>
                <w:szCs w:val="20"/>
              </w:rPr>
              <w:t xml:space="preserve">[TBC] — awaiting verified transcript data. Once run, this section will report top topics by frequency (mirroring PureGym Figure 1), with a facilities/cleanliness-style dominant-theme breakdown adapted to whatever financial themes emerge (e.g. capital, credit quality, cost discipline).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4. Sentiment Analysis — FinBERT + LDSA</w:t>
      </w:r>
    </w:p>
    <w:p>
      <w:pPr>
        <w:spacing w:after="140"/>
        <w:jc w:val="both"/>
      </w:pPr>
      <w:r>
        <w:rPr>
          <w:sz w:val="21"/>
          <w:szCs w:val="21"/>
        </w:rPr>
        <w:t xml:space="preserve">Financial language is deliberately hedged — "headwinds", "prudent caution", "constructive dialogue" — in ways a generic emotion classifier (used in the PureGym project) is not equipped to read. FinBERT, trained specifically on financial text, replaces it here; LDSA is layered on as a second, independent signal rather than trusted alone, following the same cross-validation principle PureGym applied between BERTopic and Gensim LDA.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B3A5C" w:sz="4"/>
              <w:left w:val="single" w:color="1B3A5C" w:sz="16"/>
              <w:bottom w:val="single" w:color="BFD6EA" w:sz="4"/>
              <w:right w:val="single" w:color="BFD6EA" w:sz="4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3A5C"/>
                <w:sz w:val="20"/>
                <w:szCs w:val="20"/>
              </w:rPr>
              <w:t xml:space="preserve">Status: </w:t>
            </w:r>
            <w:r>
              <w:rPr>
                <w:color w:val="1A1A1A"/>
                <w:sz w:val="20"/>
                <w:szCs w:val="20"/>
              </w:rPr>
              <w:t xml:space="preserve">[TBC] — sentiment distribution by bank and by topic cluster, once the pipeline runs (mirrors PureGym Table 5 / Figure 3).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5. LLM-Assisted Summarisation</w:t>
      </w:r>
    </w:p>
    <w:p>
      <w:pPr>
        <w:spacing w:after="140"/>
        <w:jc w:val="both"/>
      </w:pPr>
      <w:r>
        <w:rPr>
          <w:sz w:val="21"/>
          <w:szCs w:val="21"/>
        </w:rPr>
        <w:t xml:space="preserve">Phi-4-mini-instruct, the same model used in the PureGym project after Falcon-7b-instruct proved incompatible with current transformers releases. Re-prompted here to summarise transcript passages grouped by financial metric (capital ratios, cost/income ratio, credit impairments, net interest margin) rather than by topic + suggestion as in the original use case.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B3A5C" w:sz="4"/>
              <w:left w:val="single" w:color="1B3A5C" w:sz="16"/>
              <w:bottom w:val="single" w:color="BFD6EA" w:sz="4"/>
              <w:right w:val="single" w:color="BFD6EA" w:sz="4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3A5C"/>
                <w:sz w:val="20"/>
                <w:szCs w:val="20"/>
              </w:rPr>
              <w:t xml:space="preserve">Status: </w:t>
            </w:r>
            <w:r>
              <w:rPr>
                <w:color w:val="1A1A1A"/>
                <w:sz w:val="20"/>
                <w:szCs w:val="20"/>
              </w:rPr>
              <w:t xml:space="preserve">[TBC] — metric-level summaries once run on a representative sample (target: 30 turns per metric, matching the PureGym sample size, expandable if generation time allows).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6. Evaluation — Three Baselines</w:t>
      </w:r>
    </w:p>
    <w:p>
      <w:pPr>
        <w:spacing w:after="140"/>
        <w:jc w:val="both"/>
      </w:pPr>
      <w:r>
        <w:rPr>
          <w:sz w:val="21"/>
          <w:szCs w:val="21"/>
        </w:rPr>
        <w:t xml:space="preserve">No baseline was defined by the Bank, so the team evaluates against three self-defined comparisons rather than a single accuracy figure — the same rigour PureGym applied by hand-validating samples and reporting model limitations explicitly rather than trusting a metric alone.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99"/>
        <w:gridCol w:w="5012"/>
        <w:gridCol w:w="1928"/>
      </w:tblGrid>
      <w:tr>
        <w:trPr>
          <w:tblHeader/>
        </w:trP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50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Temporal</w:t>
            </w:r>
          </w:p>
        </w:tc>
        <w:tc>
          <w:tcPr>
            <w:tcW w:type="dxa" w:w="50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Same bank, across quarters — does tone shift before an event?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Peer</w:t>
            </w:r>
          </w:p>
        </w:tc>
        <w:tc>
          <w:tcPr>
            <w:tcW w:type="dxa" w:w="50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HSBC vs. Barclays, same quarter — do they diverge?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69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Structured vs. unstructured</w:t>
            </w:r>
          </w:p>
        </w:tc>
        <w:tc>
          <w:tcPr>
            <w:tcW w:type="dxa" w:w="5012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Reported metrics vs. narrative tone, same report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</w:tr>
    </w:tbl>
    <w:p>
      <w:pPr>
        <w:spacing w:after="160"/>
      </w:pPr>
      <w:r>
        <w:rPr>
          <w:i/>
          <w:iCs/>
          <w:color w:val="6B6B68"/>
          <w:sz w:val="18"/>
          <w:szCs w:val="18"/>
        </w:rPr>
        <w:t xml:space="preserve">Table 3. Evaluation baselines. A null result — no divergence on any axis — is a valid, reportable finding.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1B3A5C" w:sz="4"/>
              <w:left w:val="single" w:color="1B3A5C" w:sz="16"/>
              <w:bottom w:val="single" w:color="BFD6EA" w:sz="4"/>
              <w:right w:val="single" w:color="BFD6EA" w:sz="4"/>
            </w:tcBorders>
            <w:shd w:fill="EAF1F8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  <w:color w:val="1B3A5C"/>
                <w:sz w:val="20"/>
                <w:szCs w:val="20"/>
              </w:rPr>
              <w:t xml:space="preserve">Method comparison: </w:t>
            </w:r>
            <w:r>
              <w:rPr>
                <w:color w:val="1A1A1A"/>
                <w:sz w:val="20"/>
                <w:szCs w:val="20"/>
              </w:rPr>
              <w:t xml:space="preserve">[TBC] — a dot-rating table across granularity, interpretability, speed, cross-validation value, and scale, in the same format as PureGym Table 9, once all methods have run.</w:t>
            </w:r>
          </w:p>
        </w:tc>
      </w:tr>
    </w:tbl>
    <w:p>
      <w:pPr>
        <w:spacing w:after="160"/>
      </w:pPr>
    </w:p>
    <w:p>
      <w:pPr>
        <w:spacing w:after="140" w:before="320"/>
      </w:pPr>
      <w:r>
        <w:rPr>
          <w:b/>
          <w:bCs/>
          <w:color w:val="1B3A5C"/>
          <w:sz w:val="30"/>
          <w:szCs w:val="30"/>
        </w:rPr>
        <w:t xml:space="preserve">7. Recommendations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891"/>
        <w:gridCol w:w="4819"/>
        <w:gridCol w:w="1928"/>
      </w:tblGrid>
      <w:tr>
        <w:trPr>
          <w:tblHeader/>
        </w:trP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Evidence strength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  <w:tc>
          <w:tcPr>
            <w:tcW w:type="dxa" w:w="4819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  <w:tc>
          <w:tcPr>
            <w:tcW w:type="dxa" w:w="1928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[TBC]</w:t>
            </w:r>
          </w:p>
        </w:tc>
      </w:tr>
    </w:tbl>
    <w:p>
      <w:pPr>
        <w:spacing w:after="160"/>
      </w:pPr>
      <w:r>
        <w:rPr>
          <w:i/>
          <w:iCs/>
          <w:color w:val="6B6B68"/>
          <w:sz w:val="18"/>
          <w:szCs w:val="18"/>
        </w:rPr>
        <w:t xml:space="preserve">Table 4. Recommendations ranked by evidence strength — populate once findings are confirmed, following the PureGym Table 10 format.</w:t>
      </w:r>
    </w:p>
    <w:p>
      <w:pPr>
        <w:spacing w:after="160"/>
      </w:pPr>
    </w:p>
    <w:p>
      <w:pPr>
        <w:pBdr>
          <w:top w:val="single" w:color="DDDDDD" w:sz="4" w:space="8"/>
        </w:pBdr>
      </w:pPr>
      <w:r>
        <w:rPr>
          <w:i/>
          <w:iCs/>
          <w:color w:val="6B6B68"/>
          <w:sz w:val="17"/>
          <w:szCs w:val="17"/>
        </w:rPr>
        <w:t xml:space="preserve">Status: structural draft, adapted from Venda_Susana_CAM_C301_Week_4and5_Topic_project.pdf. All [TBC] markers to be replaced once boe_earnings_insights.ipynb has been run on verified transcript data.</w:t>
      </w:r>
    </w:p>
    <w:sectPr>
      <w:headerReference w:type="default" r:id="rId7"/>
      <w:footerReference w:type="default" r:id="rId8"/>
      <w:pgSz w:w="11906" w:h="16838" w:orient="portrait"/>
      <w:pgMar w:top="1300" w:right="1134" w:bottom="12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tabs>
        <w:tab w:val="right" w:pos="9026"/>
      </w:tabs>
    </w:pPr>
    <w:r>
      <w:rPr>
        <w:color w:val="6B6B68"/>
        <w:sz w:val="16"/>
        <w:szCs w:val="16"/>
      </w:rPr>
      <w:t xml:space="preserve">BoE_Earnings_Insights_Report_DRAFT.docx</w:t>
    </w:r>
    <w:r>
      <w:rPr>
        <w:color w:val="6B6B68"/>
        <w:sz w:val="16"/>
        <w:szCs w:val="16"/>
      </w:rPr>
      <w:t xml:space="preserve">	Group 9 · Cambridge DS Accelerator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747"/>
      <w:gridCol w:w="2891"/>
    </w:tblGrid>
    <w:tr>
      <w:tc>
        <w:tcPr>
          <w:tcW w:type="dxa" w:w="6747"/>
          <w:tcBorders>
            <w:top w:val="none"/>
            <w:left w:val="none"/>
            <w:bottom w:val="none"/>
            <w:right w:val="none"/>
          </w:tcBorders>
          <w:shd w:fill="1B3A5C" w:color="auto" w:val="clear"/>
          <w:tcMar>
            <w:top w:type="dxa" w:w="100"/>
            <w:left w:type="dxa" w:w="160"/>
            <w:bottom w:type="dxa" w:w="100"/>
            <w:right w:type="dxa" w:w="100"/>
          </w:tcMar>
        </w:tcPr>
        <w:p>
          <w:r>
            <w:rPr>
              <w:b/>
              <w:bCs/>
              <w:color w:val="FFFFFF"/>
              <w:sz w:val="18"/>
              <w:szCs w:val="18"/>
            </w:rPr>
            <w:t xml:space="preserve">BoE Earnings Insights — Technical Report (Draft)</w:t>
          </w:r>
        </w:p>
      </w:tc>
      <w:tc>
        <w:tcPr>
          <w:tcW w:type="dxa" w:w="2891"/>
          <w:tcBorders>
            <w:top w:val="none"/>
            <w:left w:val="none"/>
            <w:bottom w:val="none"/>
            <w:right w:val="none"/>
          </w:tcBorders>
          <w:shd w:fill="1B3A5C" w:color="auto" w:val="clear"/>
          <w:tcMar>
            <w:top w:type="dxa" w:w="100"/>
            <w:left w:type="dxa" w:w="100"/>
            <w:bottom w:type="dxa" w:w="100"/>
            <w:right w:type="dxa" w:w="160"/>
          </w:tcMar>
        </w:tcPr>
        <w:p>
          <w:pPr>
            <w:jc w:val="right"/>
          </w:pPr>
          <w:r>
            <w:rPr>
              <w:color w:val="FFFFFF"/>
              <w:sz w:val="18"/>
              <w:szCs w:val="18"/>
            </w:rPr>
            <w:t xml:space="preserve">Page </w:t>
          </w:r>
          <w:r>
            <w:rPr>
              <w:color w:val="FFFFFF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2026-09-08T22:37:50.864Z</dcterms:created>
  <dcterms:modified xsi:type="dcterms:W3CDTF">2026-09-08T22:37:50.876Z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