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50093" w14:textId="77777777" w:rsidR="000B3FAF" w:rsidRDefault="000B3FAF" w:rsidP="000B3FAF">
      <w:pPr>
        <w:spacing w:before="2400"/>
      </w:pPr>
    </w:p>
    <w:p w14:paraId="44E3CE36" w14:textId="77777777" w:rsidR="000B3FAF" w:rsidRDefault="000B3FAF" w:rsidP="000B3FAF">
      <w:pPr>
        <w:spacing w:after="300"/>
        <w:jc w:val="center"/>
      </w:pPr>
      <w:r>
        <w:rPr>
          <w:b/>
          <w:bCs/>
          <w:color w:val="1E2761"/>
          <w:sz w:val="48"/>
          <w:szCs w:val="48"/>
        </w:rPr>
        <w:t>HOSPITAL BED DEMAND FORECASTING</w:t>
      </w:r>
    </w:p>
    <w:p w14:paraId="726ABA0B" w14:textId="77777777" w:rsidR="000B3FAF" w:rsidRDefault="000B3FAF" w:rsidP="000B3FAF">
      <w:pPr>
        <w:spacing w:after="900"/>
        <w:jc w:val="center"/>
      </w:pPr>
      <w:r>
        <w:rPr>
          <w:i/>
          <w:iCs/>
          <w:color w:val="6E6E6E"/>
          <w:sz w:val="28"/>
          <w:szCs w:val="28"/>
        </w:rPr>
        <w:t>Using Data and Artificial Intelligence to Plan Ahead</w:t>
      </w:r>
    </w:p>
    <w:p w14:paraId="03701C54" w14:textId="77777777" w:rsidR="000B3FAF" w:rsidRDefault="000B3FAF" w:rsidP="000B3FAF">
      <w:pPr>
        <w:pBdr>
          <w:top w:val="single" w:sz="4" w:space="12" w:color="CADCFC"/>
        </w:pBdr>
        <w:spacing w:after="120"/>
        <w:jc w:val="center"/>
      </w:pPr>
    </w:p>
    <w:p w14:paraId="7EFB7E61" w14:textId="77777777" w:rsidR="000B3FAF" w:rsidRDefault="000B3FAF" w:rsidP="000B3FAF">
      <w:pPr>
        <w:spacing w:before="4200"/>
        <w:jc w:val="center"/>
      </w:pPr>
      <w:r>
        <w:rPr>
          <w:color w:val="2B2B2B"/>
        </w:rPr>
        <w:t>Prepared for Hospital Leadership &amp; Operations Stakeholders</w:t>
      </w:r>
    </w:p>
    <w:p w14:paraId="112C5477" w14:textId="77777777" w:rsidR="000B3FAF" w:rsidRDefault="000B3FAF" w:rsidP="000B3FAF">
      <w:pPr>
        <w:spacing w:after="80"/>
        <w:jc w:val="center"/>
      </w:pPr>
      <w:r>
        <w:rPr>
          <w:color w:val="2B2B2B"/>
        </w:rPr>
        <w:t>Summary Report — Non-Technical Briefing</w:t>
      </w:r>
    </w:p>
    <w:p w14:paraId="6CB10B35" w14:textId="77777777" w:rsidR="000B3FAF" w:rsidRDefault="000B3FAF" w:rsidP="000B3FAF">
      <w:pPr>
        <w:sectPr w:rsidR="000B3FAF" w:rsidSect="000B3FAF">
          <w:pgSz w:w="12240" w:h="15840"/>
          <w:pgMar w:top="1440" w:right="1440" w:bottom="1440" w:left="1440" w:header="708" w:footer="708" w:gutter="0"/>
          <w:cols w:space="720"/>
          <w:docGrid w:linePitch="360"/>
        </w:sectPr>
      </w:pPr>
    </w:p>
    <w:p w14:paraId="5F07D003" w14:textId="77777777" w:rsidR="000B3FAF" w:rsidRDefault="000B3FAF" w:rsidP="000B3FAF">
      <w:pPr>
        <w:pStyle w:val="Heading1"/>
        <w:spacing w:after="200"/>
      </w:pPr>
      <w:r>
        <w:rPr>
          <w:b/>
          <w:bCs/>
          <w:color w:val="1E2761"/>
        </w:rPr>
        <w:lastRenderedPageBreak/>
        <w:t>Executive Summary</w:t>
      </w:r>
    </w:p>
    <w:p w14:paraId="49C3E253" w14:textId="77777777" w:rsidR="000B3FAF" w:rsidRDefault="000B3FAF" w:rsidP="000B3FAF">
      <w:pPr>
        <w:spacing w:after="160" w:line="300" w:lineRule="auto"/>
      </w:pPr>
      <w:r>
        <w:rPr>
          <w:color w:val="2B2B2B"/>
        </w:rPr>
        <w:t>Hospitals need to know, ahead of time, how many beds will be needed so that staff, equipment and space can be planned properly. This project built and tested a system that predicts future bed demand using historical hospital data — admissions, discharges, emergency arrivals, surgery schedules and staffing levels.</w:t>
      </w:r>
    </w:p>
    <w:p w14:paraId="7ACE5ED1" w14:textId="77777777" w:rsidR="000B3FAF" w:rsidRDefault="000B3FAF" w:rsidP="000B3FAF">
      <w:pPr>
        <w:spacing w:after="160" w:line="300" w:lineRule="auto"/>
      </w:pPr>
      <w:r>
        <w:rPr>
          <w:color w:val="2B2B2B"/>
        </w:rPr>
        <w:t>We tested five different forecasting approaches, ranging from traditional statistical methods to modern artificial intelligence (AI). The best-performing models predicted daily bed demand to within roughly 5–6 beds of the actual figure — a very high level of accuracy for operational planning.</w:t>
      </w:r>
    </w:p>
    <w:p w14:paraId="5A1881DE" w14:textId="77777777" w:rsidR="000B3FAF" w:rsidRDefault="000B3FAF" w:rsidP="000B3FAF">
      <w:pPr>
        <w:spacing w:after="160" w:line="300" w:lineRule="auto"/>
      </w:pPr>
      <w:r>
        <w:rPr>
          <w:color w:val="2B2B2B"/>
        </w:rPr>
        <w:t>Our recommendation is to move forward with an AI method called XGBoost, paired with a tool that explains why each forecast was made. This gives hospital planners both strong accuracy and clear, trustworthy reasoning behind every prediction, delivered through an easy-to-use dashboard.</w:t>
      </w:r>
    </w:p>
    <w:p w14:paraId="793B0AEB" w14:textId="77777777" w:rsidR="000B3FAF" w:rsidRDefault="000B3FAF" w:rsidP="000B3FAF">
      <w:pPr>
        <w:pStyle w:val="Heading1"/>
        <w:spacing w:after="200"/>
      </w:pPr>
      <w:r>
        <w:rPr>
          <w:b/>
          <w:bCs/>
          <w:color w:val="1E2761"/>
        </w:rPr>
        <w:t>The Challenge</w:t>
      </w:r>
    </w:p>
    <w:p w14:paraId="691EE170" w14:textId="77777777" w:rsidR="000B3FAF" w:rsidRDefault="000B3FAF" w:rsidP="000B3FAF">
      <w:pPr>
        <w:spacing w:after="160" w:line="300" w:lineRule="auto"/>
      </w:pPr>
      <w:r>
        <w:rPr>
          <w:color w:val="2B2B2B"/>
        </w:rPr>
        <w:t>Hospitals across the country are under growing pressure. Bed capacity is limited, and it is often difficult to know in advance how many patients will need a bed on a given day. This creates real operational risks:</w:t>
      </w:r>
    </w:p>
    <w:p w14:paraId="60BB807E" w14:textId="77777777" w:rsidR="000B3FAF" w:rsidRDefault="000B3FAF" w:rsidP="000B3FAF">
      <w:pPr>
        <w:pStyle w:val="ListParagraph"/>
        <w:numPr>
          <w:ilvl w:val="0"/>
          <w:numId w:val="25"/>
        </w:numPr>
        <w:spacing w:after="90" w:line="240" w:lineRule="auto"/>
        <w:contextualSpacing w:val="0"/>
      </w:pPr>
      <w:r>
        <w:rPr>
          <w:color w:val="2B2B2B"/>
        </w:rPr>
        <w:t>Beds, staff and equipment can be under- or over-allocated</w:t>
      </w:r>
    </w:p>
    <w:p w14:paraId="143D56D0" w14:textId="77777777" w:rsidR="000B3FAF" w:rsidRDefault="000B3FAF" w:rsidP="000B3FAF">
      <w:pPr>
        <w:pStyle w:val="ListParagraph"/>
        <w:numPr>
          <w:ilvl w:val="0"/>
          <w:numId w:val="25"/>
        </w:numPr>
        <w:spacing w:after="90" w:line="240" w:lineRule="auto"/>
        <w:contextualSpacing w:val="0"/>
      </w:pPr>
      <w:r>
        <w:rPr>
          <w:color w:val="2B2B2B"/>
        </w:rPr>
        <w:t>Overcrowding increases risk for patients and staff</w:t>
      </w:r>
    </w:p>
    <w:p w14:paraId="103838C4" w14:textId="77777777" w:rsidR="000B3FAF" w:rsidRDefault="000B3FAF" w:rsidP="000B3FAF">
      <w:pPr>
        <w:pStyle w:val="ListParagraph"/>
        <w:numPr>
          <w:ilvl w:val="0"/>
          <w:numId w:val="25"/>
        </w:numPr>
        <w:spacing w:after="90" w:line="240" w:lineRule="auto"/>
        <w:contextualSpacing w:val="0"/>
      </w:pPr>
      <w:r>
        <w:rPr>
          <w:color w:val="2B2B2B"/>
        </w:rPr>
        <w:t>Reactive (rather than proactive) planning is costly and stressful for teams</w:t>
      </w:r>
    </w:p>
    <w:p w14:paraId="57E66A74" w14:textId="77777777" w:rsidR="000B3FAF" w:rsidRDefault="000B3FAF" w:rsidP="000B3FAF">
      <w:pPr>
        <w:spacing w:after="160" w:line="300" w:lineRule="auto"/>
      </w:pPr>
      <w:r>
        <w:rPr>
          <w:color w:val="2B2B2B"/>
        </w:rPr>
        <w:t>A reliable forecast of future bed demand allows hospital leaders to plan staffing rotas, prepare capacity, and respond to pressure points before they become critical.</w:t>
      </w:r>
    </w:p>
    <w:p w14:paraId="3D8EC745" w14:textId="77777777" w:rsidR="000B3FAF" w:rsidRDefault="000B3FAF" w:rsidP="000B3FAF">
      <w:pPr>
        <w:pStyle w:val="Heading1"/>
        <w:spacing w:after="200"/>
      </w:pPr>
      <w:r>
        <w:rPr>
          <w:b/>
          <w:bCs/>
          <w:color w:val="1E2761"/>
        </w:rPr>
        <w:t>Our Approach</w:t>
      </w:r>
    </w:p>
    <w:p w14:paraId="297F87D2" w14:textId="77777777" w:rsidR="000B3FAF" w:rsidRDefault="000B3FAF" w:rsidP="000B3FAF">
      <w:pPr>
        <w:spacing w:after="160" w:line="300" w:lineRule="auto"/>
      </w:pPr>
      <w:r>
        <w:rPr>
          <w:color w:val="2B2B2B"/>
        </w:rPr>
        <w:t>We brought together several hospital data sources into a single, clean dataset covering bed occupancy, patient admissions and discharges, emergency department arrivals, planned surgeries, and staffing levels. From this data, we built indicators that help predict future demand, such as:</w:t>
      </w:r>
    </w:p>
    <w:p w14:paraId="1C8A5065" w14:textId="77777777" w:rsidR="000B3FAF" w:rsidRDefault="000B3FAF" w:rsidP="000B3FAF">
      <w:pPr>
        <w:pStyle w:val="ListParagraph"/>
        <w:numPr>
          <w:ilvl w:val="0"/>
          <w:numId w:val="25"/>
        </w:numPr>
        <w:spacing w:after="90" w:line="240" w:lineRule="auto"/>
        <w:contextualSpacing w:val="0"/>
      </w:pPr>
      <w:r>
        <w:rPr>
          <w:color w:val="2B2B2B"/>
        </w:rPr>
        <w:t>Recent demand trends (e.g. how busy the last day, week, and month have been)</w:t>
      </w:r>
    </w:p>
    <w:p w14:paraId="013AE2A6" w14:textId="77777777" w:rsidR="000B3FAF" w:rsidRDefault="000B3FAF" w:rsidP="000B3FAF">
      <w:pPr>
        <w:pStyle w:val="ListParagraph"/>
        <w:numPr>
          <w:ilvl w:val="0"/>
          <w:numId w:val="25"/>
        </w:numPr>
        <w:spacing w:after="90" w:line="240" w:lineRule="auto"/>
        <w:contextualSpacing w:val="0"/>
      </w:pPr>
      <w:r>
        <w:rPr>
          <w:color w:val="2B2B2B"/>
        </w:rPr>
        <w:lastRenderedPageBreak/>
        <w:t>Calendar effects (day of week, holidays, seasons)</w:t>
      </w:r>
    </w:p>
    <w:p w14:paraId="4B15B75F" w14:textId="77777777" w:rsidR="000B3FAF" w:rsidRDefault="000B3FAF" w:rsidP="000B3FAF">
      <w:pPr>
        <w:pStyle w:val="ListParagraph"/>
        <w:numPr>
          <w:ilvl w:val="0"/>
          <w:numId w:val="25"/>
        </w:numPr>
        <w:spacing w:after="90" w:line="240" w:lineRule="auto"/>
        <w:contextualSpacing w:val="0"/>
      </w:pPr>
      <w:r>
        <w:rPr>
          <w:color w:val="2B2B2B"/>
        </w:rPr>
        <w:t>Operational pressure indicators (how full the hospital currently is, staffing levels relative to plan)</w:t>
      </w:r>
    </w:p>
    <w:p w14:paraId="1B2892C7" w14:textId="77777777" w:rsidR="000B3FAF" w:rsidRDefault="000B3FAF" w:rsidP="000B3FAF">
      <w:pPr>
        <w:spacing w:after="160" w:line="300" w:lineRule="auto"/>
      </w:pPr>
      <w:r>
        <w:rPr>
          <w:color w:val="2B2B2B"/>
        </w:rPr>
        <w:t>We then trained several forecasting models on this data — from a well-established statistical method through to advanced AI techniques — and compared how accurately each one predicted actual bed demand.</w:t>
      </w:r>
    </w:p>
    <w:p w14:paraId="7E93A45F" w14:textId="77777777" w:rsidR="000B3FAF" w:rsidRDefault="000B3FAF" w:rsidP="000B3FAF">
      <w:pPr>
        <w:pStyle w:val="Heading1"/>
        <w:spacing w:after="200"/>
      </w:pPr>
      <w:r>
        <w:rPr>
          <w:b/>
          <w:bCs/>
          <w:color w:val="1E2761"/>
        </w:rPr>
        <w:t>What the Data Told Us</w:t>
      </w:r>
    </w:p>
    <w:p w14:paraId="0115C6AE" w14:textId="77777777" w:rsidR="000B3FAF" w:rsidRDefault="000B3FAF" w:rsidP="000B3FAF">
      <w:pPr>
        <w:spacing w:after="160" w:line="300" w:lineRule="auto"/>
      </w:pPr>
      <w:r>
        <w:rPr>
          <w:color w:val="2B2B2B"/>
        </w:rPr>
        <w:t>Before building the forecasts, we examined the underlying patterns in hospital demand. Two patterns stood out clearly and were used to strengthen every model:</w:t>
      </w:r>
    </w:p>
    <w:p w14:paraId="3B739F8F" w14:textId="77777777" w:rsidR="000B3FAF" w:rsidRDefault="000B3FAF" w:rsidP="000B3FAF">
      <w:pPr>
        <w:pStyle w:val="Heading2"/>
        <w:spacing w:before="300" w:after="150"/>
      </w:pPr>
      <w:r>
        <w:rPr>
          <w:b/>
          <w:bCs/>
          <w:color w:val="1E2761"/>
        </w:rPr>
        <w:t>A Predictable Daily Rhythm</w:t>
      </w:r>
    </w:p>
    <w:p w14:paraId="5DBCFA14" w14:textId="77777777" w:rsidR="000B3FAF" w:rsidRDefault="000B3FAF" w:rsidP="000B3FAF">
      <w:pPr>
        <w:spacing w:after="160" w:line="300" w:lineRule="auto"/>
      </w:pPr>
      <w:r>
        <w:rPr>
          <w:color w:val="2B2B2B"/>
        </w:rPr>
        <w:t>Bed demand activity consistently peaks around midnight and the early hours of the morning, and eases through the afternoon, repeating in a steady daily cycle. Recognising this rhythm helps the models anticipate the busiest hours rather than react to them.</w:t>
      </w:r>
    </w:p>
    <w:p w14:paraId="35D2C15C" w14:textId="77777777" w:rsidR="000B3FAF" w:rsidRDefault="000B3FAF" w:rsidP="000B3FAF">
      <w:pPr>
        <w:jc w:val="center"/>
      </w:pPr>
      <w:r>
        <w:rPr>
          <w:noProof/>
        </w:rPr>
        <w:drawing>
          <wp:inline distT="0" distB="0" distL="0" distR="0" wp14:anchorId="60B4BB98" wp14:editId="108DB2FA">
            <wp:extent cx="5667375" cy="167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1676400"/>
                    </a:xfrm>
                    <a:prstGeom prst="rect">
                      <a:avLst/>
                    </a:prstGeom>
                  </pic:spPr>
                </pic:pic>
              </a:graphicData>
            </a:graphic>
          </wp:inline>
        </w:drawing>
      </w:r>
    </w:p>
    <w:p w14:paraId="7150B611" w14:textId="77777777" w:rsidR="000B3FAF" w:rsidRDefault="000B3FAF" w:rsidP="000B3FAF">
      <w:pPr>
        <w:spacing w:before="100" w:after="300"/>
      </w:pPr>
      <w:r>
        <w:rPr>
          <w:i/>
          <w:iCs/>
          <w:color w:val="6E6E6E"/>
          <w:sz w:val="19"/>
          <w:szCs w:val="19"/>
        </w:rPr>
        <w:t>Figure 1 — Typical pattern of hospital activity across the hours of the day.</w:t>
      </w:r>
    </w:p>
    <w:p w14:paraId="4065AD9A" w14:textId="77777777" w:rsidR="000B3FAF" w:rsidRDefault="000B3FAF" w:rsidP="000B3FAF">
      <w:pPr>
        <w:pStyle w:val="Heading2"/>
        <w:spacing w:before="300" w:after="150"/>
      </w:pPr>
      <w:r>
        <w:rPr>
          <w:b/>
          <w:bCs/>
          <w:color w:val="1E2761"/>
        </w:rPr>
        <w:t>Seasonal Swings Across the Year</w:t>
      </w:r>
    </w:p>
    <w:p w14:paraId="17C1B780" w14:textId="77777777" w:rsidR="000B3FAF" w:rsidRDefault="000B3FAF" w:rsidP="000B3FAF">
      <w:pPr>
        <w:spacing w:after="160" w:line="300" w:lineRule="auto"/>
      </w:pPr>
      <w:r>
        <w:rPr>
          <w:color w:val="2B2B2B"/>
        </w:rPr>
        <w:t>Demand also follows a seasonal pattern, running noticeably higher in the winter and early spring months and easing off over the summer. Building this seasonality into the forecast means staffing and capacity plans can be adjusted well ahead of the busiest periods of the year.</w:t>
      </w:r>
    </w:p>
    <w:p w14:paraId="7DA97912" w14:textId="77777777" w:rsidR="000B3FAF" w:rsidRDefault="000B3FAF" w:rsidP="000B3FAF">
      <w:pPr>
        <w:jc w:val="center"/>
      </w:pPr>
      <w:r>
        <w:rPr>
          <w:noProof/>
        </w:rPr>
        <w:lastRenderedPageBreak/>
        <w:drawing>
          <wp:inline distT="0" distB="0" distL="0" distR="0" wp14:anchorId="2717E4DB" wp14:editId="5AB37CB3">
            <wp:extent cx="5667375" cy="1809750"/>
            <wp:effectExtent l="0" t="0" r="0" b="0"/>
            <wp:docPr id="1753922959" name="Picture 1753922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1809750"/>
                    </a:xfrm>
                    <a:prstGeom prst="rect">
                      <a:avLst/>
                    </a:prstGeom>
                  </pic:spPr>
                </pic:pic>
              </a:graphicData>
            </a:graphic>
          </wp:inline>
        </w:drawing>
      </w:r>
    </w:p>
    <w:p w14:paraId="6996A3FE" w14:textId="77777777" w:rsidR="000B3FAF" w:rsidRDefault="000B3FAF" w:rsidP="000B3FAF">
      <w:pPr>
        <w:spacing w:before="100" w:after="300"/>
      </w:pPr>
      <w:r>
        <w:rPr>
          <w:i/>
          <w:iCs/>
          <w:color w:val="6E6E6E"/>
          <w:sz w:val="19"/>
          <w:szCs w:val="19"/>
        </w:rPr>
        <w:t>Figure 2 — Seasonal pattern of hospital demand across the calendar year (higher in winter/early spring, lower in summer).</w:t>
      </w:r>
    </w:p>
    <w:p w14:paraId="531E3C3C" w14:textId="77777777" w:rsidR="000B3FAF" w:rsidRDefault="000B3FAF" w:rsidP="000B3FAF">
      <w:pPr>
        <w:pStyle w:val="Heading2"/>
        <w:spacing w:before="300" w:after="150"/>
      </w:pPr>
      <w:r>
        <w:rPr>
          <w:b/>
          <w:bCs/>
          <w:color w:val="1E2761"/>
        </w:rPr>
        <w:t>An Upward Underlying Trend</w:t>
      </w:r>
    </w:p>
    <w:p w14:paraId="49F9B864" w14:textId="77777777" w:rsidR="000B3FAF" w:rsidRDefault="000B3FAF" w:rsidP="000B3FAF">
      <w:pPr>
        <w:spacing w:after="160" w:line="300" w:lineRule="auto"/>
      </w:pPr>
      <w:r>
        <w:rPr>
          <w:color w:val="2B2B2B"/>
        </w:rPr>
        <w:t>Beyond the daily and seasonal patterns, overall bed demand is trending gradually upward over time. This reinforces the case for proactive capacity planning rather than relying on historical averages alone.</w:t>
      </w:r>
    </w:p>
    <w:p w14:paraId="0C23B211" w14:textId="77777777" w:rsidR="000B3FAF" w:rsidRDefault="000B3FAF" w:rsidP="000B3FAF">
      <w:pPr>
        <w:jc w:val="center"/>
      </w:pPr>
      <w:r>
        <w:rPr>
          <w:noProof/>
        </w:rPr>
        <w:drawing>
          <wp:inline distT="0" distB="0" distL="0" distR="0" wp14:anchorId="32C3C262" wp14:editId="1B04FDE6">
            <wp:extent cx="5667375" cy="1790700"/>
            <wp:effectExtent l="0" t="0" r="0" b="0"/>
            <wp:docPr id="401490513" name="Picture 401490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1790700"/>
                    </a:xfrm>
                    <a:prstGeom prst="rect">
                      <a:avLst/>
                    </a:prstGeom>
                  </pic:spPr>
                </pic:pic>
              </a:graphicData>
            </a:graphic>
          </wp:inline>
        </w:drawing>
      </w:r>
    </w:p>
    <w:p w14:paraId="5072F291" w14:textId="77777777" w:rsidR="000B3FAF" w:rsidRDefault="000B3FAF" w:rsidP="000B3FAF">
      <w:pPr>
        <w:spacing w:before="100" w:after="300"/>
      </w:pPr>
      <w:r>
        <w:rPr>
          <w:i/>
          <w:iCs/>
          <w:color w:val="6E6E6E"/>
          <w:sz w:val="19"/>
          <w:szCs w:val="19"/>
        </w:rPr>
        <w:t>Figure 3 — Underlying demand trend over the analysis period, with shaded range showing forecast uncertainty.</w:t>
      </w:r>
    </w:p>
    <w:p w14:paraId="64D08DF3" w14:textId="77777777" w:rsidR="000B3FAF" w:rsidRDefault="000B3FAF" w:rsidP="000B3FAF">
      <w:r>
        <w:br w:type="page"/>
      </w:r>
    </w:p>
    <w:p w14:paraId="2FE284FC" w14:textId="77777777" w:rsidR="000B3FAF" w:rsidRDefault="000B3FAF" w:rsidP="000B3FAF">
      <w:pPr>
        <w:pStyle w:val="Heading1"/>
        <w:spacing w:after="200"/>
      </w:pPr>
      <w:r>
        <w:rPr>
          <w:b/>
          <w:bCs/>
          <w:color w:val="1E2761"/>
        </w:rPr>
        <w:lastRenderedPageBreak/>
        <w:t>Comparing the Forecasting Methods</w:t>
      </w:r>
    </w:p>
    <w:p w14:paraId="20148BFE" w14:textId="308599E4" w:rsidR="000B3FAF" w:rsidRDefault="000B3FAF" w:rsidP="000B3FAF">
      <w:pPr>
        <w:spacing w:after="160" w:line="300" w:lineRule="auto"/>
      </w:pPr>
      <w:r>
        <w:rPr>
          <w:color w:val="2B2B2B"/>
        </w:rPr>
        <w:t xml:space="preserve">We tested five forecasting approaches and measured how close each one's predictions came to what </w:t>
      </w:r>
      <w:r>
        <w:rPr>
          <w:color w:val="2B2B2B"/>
        </w:rPr>
        <w:t>happened</w:t>
      </w:r>
      <w:r>
        <w:rPr>
          <w:color w:val="2B2B2B"/>
        </w:rPr>
        <w:t>. The table below summarises the results in plain terms — 'typical error' means how many beds, on average, each method's forecast was off by on a given day.</w:t>
      </w:r>
    </w:p>
    <w:tbl>
      <w:tblPr>
        <w:tblW w:w="11100" w:type="dxa"/>
        <w:tblInd w:w="-1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600"/>
        <w:gridCol w:w="2600"/>
        <w:gridCol w:w="2900"/>
      </w:tblGrid>
      <w:tr w:rsidR="000B3FAF" w14:paraId="42B27065" w14:textId="77777777" w:rsidTr="000B3FAF">
        <w:tblPrEx>
          <w:tblCellMar>
            <w:top w:w="0" w:type="dxa"/>
            <w:bottom w:w="0" w:type="dxa"/>
          </w:tblCellMar>
        </w:tblPrEx>
        <w:trPr>
          <w:tblHeader/>
        </w:trPr>
        <w:tc>
          <w:tcPr>
            <w:tcW w:w="3000" w:type="dxa"/>
            <w:tcMar>
              <w:top w:w="120" w:type="dxa"/>
              <w:left w:w="150" w:type="dxa"/>
              <w:bottom w:w="120" w:type="dxa"/>
              <w:right w:w="150" w:type="dxa"/>
            </w:tcMar>
            <w:vAlign w:val="center"/>
          </w:tcPr>
          <w:p w14:paraId="4F4B5DF3" w14:textId="77777777" w:rsidR="000B3FAF" w:rsidRDefault="000B3FAF" w:rsidP="006526A2">
            <w:r>
              <w:rPr>
                <w:b/>
                <w:bCs/>
                <w:color w:val="FFFFFF"/>
                <w:sz w:val="21"/>
                <w:szCs w:val="21"/>
              </w:rPr>
              <w:t>Forecasting Method</w:t>
            </w:r>
          </w:p>
        </w:tc>
        <w:tc>
          <w:tcPr>
            <w:tcW w:w="2600" w:type="dxa"/>
            <w:tcMar>
              <w:top w:w="120" w:type="dxa"/>
              <w:left w:w="150" w:type="dxa"/>
              <w:bottom w:w="120" w:type="dxa"/>
              <w:right w:w="150" w:type="dxa"/>
            </w:tcMar>
            <w:vAlign w:val="center"/>
          </w:tcPr>
          <w:p w14:paraId="1960027B" w14:textId="77777777" w:rsidR="000B3FAF" w:rsidRDefault="000B3FAF" w:rsidP="006526A2">
            <w:pPr>
              <w:jc w:val="center"/>
            </w:pPr>
            <w:r>
              <w:rPr>
                <w:b/>
                <w:bCs/>
                <w:color w:val="FFFFFF"/>
                <w:sz w:val="21"/>
                <w:szCs w:val="21"/>
              </w:rPr>
              <w:t>Accuracy Rating</w:t>
            </w:r>
          </w:p>
        </w:tc>
        <w:tc>
          <w:tcPr>
            <w:tcW w:w="2600" w:type="dxa"/>
            <w:tcMar>
              <w:top w:w="120" w:type="dxa"/>
              <w:left w:w="150" w:type="dxa"/>
              <w:bottom w:w="120" w:type="dxa"/>
              <w:right w:w="150" w:type="dxa"/>
            </w:tcMar>
            <w:vAlign w:val="center"/>
          </w:tcPr>
          <w:p w14:paraId="134BDBF0" w14:textId="77777777" w:rsidR="000B3FAF" w:rsidRDefault="000B3FAF" w:rsidP="006526A2">
            <w:pPr>
              <w:jc w:val="center"/>
            </w:pPr>
            <w:r>
              <w:rPr>
                <w:b/>
                <w:bCs/>
                <w:color w:val="FFFFFF"/>
                <w:sz w:val="21"/>
                <w:szCs w:val="21"/>
              </w:rPr>
              <w:t>Typical Error</w:t>
            </w:r>
          </w:p>
        </w:tc>
        <w:tc>
          <w:tcPr>
            <w:tcW w:w="2900" w:type="dxa"/>
            <w:tcMar>
              <w:top w:w="120" w:type="dxa"/>
              <w:left w:w="150" w:type="dxa"/>
              <w:bottom w:w="120" w:type="dxa"/>
              <w:right w:w="150" w:type="dxa"/>
            </w:tcMar>
            <w:vAlign w:val="center"/>
          </w:tcPr>
          <w:p w14:paraId="604142F4" w14:textId="77777777" w:rsidR="000B3FAF" w:rsidRDefault="000B3FAF" w:rsidP="006526A2">
            <w:r>
              <w:rPr>
                <w:b/>
                <w:bCs/>
                <w:color w:val="FFFFFF"/>
                <w:sz w:val="21"/>
                <w:szCs w:val="21"/>
              </w:rPr>
              <w:t>Recommended Use</w:t>
            </w:r>
          </w:p>
        </w:tc>
      </w:tr>
      <w:tr w:rsidR="000B3FAF" w14:paraId="1C6ADD01" w14:textId="77777777" w:rsidTr="000B3FAF">
        <w:tblPrEx>
          <w:tblCellMar>
            <w:top w:w="0" w:type="dxa"/>
            <w:bottom w:w="0" w:type="dxa"/>
          </w:tblCellMar>
        </w:tblPrEx>
        <w:tc>
          <w:tcPr>
            <w:tcW w:w="3000" w:type="dxa"/>
            <w:shd w:val="clear" w:color="auto" w:fill="F2F5FF"/>
            <w:tcMar>
              <w:top w:w="120" w:type="dxa"/>
              <w:left w:w="150" w:type="dxa"/>
              <w:bottom w:w="120" w:type="dxa"/>
              <w:right w:w="150" w:type="dxa"/>
            </w:tcMar>
            <w:vAlign w:val="center"/>
          </w:tcPr>
          <w:p w14:paraId="528E9FCB" w14:textId="77777777" w:rsidR="000B3FAF" w:rsidRDefault="000B3FAF" w:rsidP="006526A2">
            <w:r>
              <w:rPr>
                <w:b/>
                <w:bCs/>
                <w:color w:val="2B2B2B"/>
                <w:sz w:val="21"/>
                <w:szCs w:val="21"/>
              </w:rPr>
              <w:t>Deep Learning (LSTM)</w:t>
            </w:r>
          </w:p>
        </w:tc>
        <w:tc>
          <w:tcPr>
            <w:tcW w:w="2600" w:type="dxa"/>
            <w:shd w:val="clear" w:color="auto" w:fill="F2F5FF"/>
            <w:tcMar>
              <w:top w:w="120" w:type="dxa"/>
              <w:left w:w="150" w:type="dxa"/>
              <w:bottom w:w="120" w:type="dxa"/>
              <w:right w:w="150" w:type="dxa"/>
            </w:tcMar>
            <w:vAlign w:val="center"/>
          </w:tcPr>
          <w:p w14:paraId="44950510" w14:textId="77777777" w:rsidR="000B3FAF" w:rsidRDefault="000B3FAF" w:rsidP="006526A2">
            <w:pPr>
              <w:jc w:val="center"/>
            </w:pPr>
            <w:r>
              <w:rPr>
                <w:color w:val="2B2B2B"/>
                <w:sz w:val="21"/>
                <w:szCs w:val="21"/>
              </w:rPr>
              <w:t>Excellent</w:t>
            </w:r>
          </w:p>
        </w:tc>
        <w:tc>
          <w:tcPr>
            <w:tcW w:w="2600" w:type="dxa"/>
            <w:shd w:val="clear" w:color="auto" w:fill="F2F5FF"/>
            <w:tcMar>
              <w:top w:w="120" w:type="dxa"/>
              <w:left w:w="150" w:type="dxa"/>
              <w:bottom w:w="120" w:type="dxa"/>
              <w:right w:w="150" w:type="dxa"/>
            </w:tcMar>
            <w:vAlign w:val="center"/>
          </w:tcPr>
          <w:p w14:paraId="23F01A3F" w14:textId="77777777" w:rsidR="000B3FAF" w:rsidRDefault="000B3FAF" w:rsidP="006526A2">
            <w:pPr>
              <w:jc w:val="center"/>
            </w:pPr>
            <w:r>
              <w:rPr>
                <w:color w:val="2B2B2B"/>
                <w:sz w:val="21"/>
                <w:szCs w:val="21"/>
              </w:rPr>
              <w:t>~5 beds/day</w:t>
            </w:r>
          </w:p>
        </w:tc>
        <w:tc>
          <w:tcPr>
            <w:tcW w:w="2900" w:type="dxa"/>
            <w:shd w:val="clear" w:color="auto" w:fill="F2F5FF"/>
            <w:tcMar>
              <w:top w:w="120" w:type="dxa"/>
              <w:left w:w="150" w:type="dxa"/>
              <w:bottom w:w="120" w:type="dxa"/>
              <w:right w:w="150" w:type="dxa"/>
            </w:tcMar>
            <w:vAlign w:val="center"/>
          </w:tcPr>
          <w:p w14:paraId="4D2B97C9" w14:textId="77777777" w:rsidR="000B3FAF" w:rsidRDefault="000B3FAF" w:rsidP="006526A2">
            <w:r>
              <w:rPr>
                <w:color w:val="2B2B2B"/>
                <w:sz w:val="21"/>
                <w:szCs w:val="21"/>
              </w:rPr>
              <w:t>Highest precision; best where accuracy matters most</w:t>
            </w:r>
          </w:p>
        </w:tc>
      </w:tr>
      <w:tr w:rsidR="000B3FAF" w14:paraId="7C214A00" w14:textId="77777777" w:rsidTr="000B3FAF">
        <w:tblPrEx>
          <w:tblCellMar>
            <w:top w:w="0" w:type="dxa"/>
            <w:bottom w:w="0" w:type="dxa"/>
          </w:tblCellMar>
        </w:tblPrEx>
        <w:tc>
          <w:tcPr>
            <w:tcW w:w="3000" w:type="dxa"/>
            <w:shd w:val="clear" w:color="auto" w:fill="CADCFC"/>
            <w:tcMar>
              <w:top w:w="120" w:type="dxa"/>
              <w:left w:w="150" w:type="dxa"/>
              <w:bottom w:w="120" w:type="dxa"/>
              <w:right w:w="150" w:type="dxa"/>
            </w:tcMar>
            <w:vAlign w:val="center"/>
          </w:tcPr>
          <w:p w14:paraId="4AAD20D1" w14:textId="77777777" w:rsidR="000B3FAF" w:rsidRDefault="000B3FAF" w:rsidP="006526A2">
            <w:r>
              <w:rPr>
                <w:b/>
                <w:bCs/>
                <w:color w:val="2B2B2B"/>
                <w:sz w:val="21"/>
                <w:szCs w:val="21"/>
              </w:rPr>
              <w:t>XGBoost (Recommended)</w:t>
            </w:r>
          </w:p>
        </w:tc>
        <w:tc>
          <w:tcPr>
            <w:tcW w:w="2600" w:type="dxa"/>
            <w:shd w:val="clear" w:color="auto" w:fill="CADCFC"/>
            <w:tcMar>
              <w:top w:w="120" w:type="dxa"/>
              <w:left w:w="150" w:type="dxa"/>
              <w:bottom w:w="120" w:type="dxa"/>
              <w:right w:w="150" w:type="dxa"/>
            </w:tcMar>
            <w:vAlign w:val="center"/>
          </w:tcPr>
          <w:p w14:paraId="6ED0C744" w14:textId="77777777" w:rsidR="000B3FAF" w:rsidRDefault="000B3FAF" w:rsidP="006526A2">
            <w:pPr>
              <w:jc w:val="center"/>
            </w:pPr>
            <w:r>
              <w:rPr>
                <w:color w:val="2B2B2B"/>
                <w:sz w:val="21"/>
                <w:szCs w:val="21"/>
              </w:rPr>
              <w:t>Excellent</w:t>
            </w:r>
          </w:p>
        </w:tc>
        <w:tc>
          <w:tcPr>
            <w:tcW w:w="2600" w:type="dxa"/>
            <w:shd w:val="clear" w:color="auto" w:fill="CADCFC"/>
            <w:tcMar>
              <w:top w:w="120" w:type="dxa"/>
              <w:left w:w="150" w:type="dxa"/>
              <w:bottom w:w="120" w:type="dxa"/>
              <w:right w:w="150" w:type="dxa"/>
            </w:tcMar>
            <w:vAlign w:val="center"/>
          </w:tcPr>
          <w:p w14:paraId="5A7977A2" w14:textId="77777777" w:rsidR="000B3FAF" w:rsidRDefault="000B3FAF" w:rsidP="006526A2">
            <w:pPr>
              <w:jc w:val="center"/>
            </w:pPr>
            <w:r>
              <w:rPr>
                <w:color w:val="2B2B2B"/>
                <w:sz w:val="21"/>
                <w:szCs w:val="21"/>
              </w:rPr>
              <w:t>~6 beds/day</w:t>
            </w:r>
          </w:p>
        </w:tc>
        <w:tc>
          <w:tcPr>
            <w:tcW w:w="2900" w:type="dxa"/>
            <w:shd w:val="clear" w:color="auto" w:fill="CADCFC"/>
            <w:tcMar>
              <w:top w:w="120" w:type="dxa"/>
              <w:left w:w="150" w:type="dxa"/>
              <w:bottom w:w="120" w:type="dxa"/>
              <w:right w:w="150" w:type="dxa"/>
            </w:tcMar>
            <w:vAlign w:val="center"/>
          </w:tcPr>
          <w:p w14:paraId="00EF6C7B" w14:textId="77777777" w:rsidR="000B3FAF" w:rsidRDefault="000B3FAF" w:rsidP="006526A2">
            <w:r>
              <w:rPr>
                <w:color w:val="2B2B2B"/>
                <w:sz w:val="21"/>
                <w:szCs w:val="21"/>
              </w:rPr>
              <w:t>Best all-round choice — near-top accuracy, easy to explain and maintain</w:t>
            </w:r>
          </w:p>
        </w:tc>
      </w:tr>
      <w:tr w:rsidR="000B3FAF" w14:paraId="1E047E8F" w14:textId="77777777" w:rsidTr="000B3FAF">
        <w:tblPrEx>
          <w:tblCellMar>
            <w:top w:w="0" w:type="dxa"/>
            <w:bottom w:w="0" w:type="dxa"/>
          </w:tblCellMar>
        </w:tblPrEx>
        <w:tc>
          <w:tcPr>
            <w:tcW w:w="3000" w:type="dxa"/>
            <w:shd w:val="clear" w:color="auto" w:fill="F2F5FF"/>
            <w:tcMar>
              <w:top w:w="120" w:type="dxa"/>
              <w:left w:w="150" w:type="dxa"/>
              <w:bottom w:w="120" w:type="dxa"/>
              <w:right w:w="150" w:type="dxa"/>
            </w:tcMar>
            <w:vAlign w:val="center"/>
          </w:tcPr>
          <w:p w14:paraId="2420DF5C" w14:textId="77777777" w:rsidR="000B3FAF" w:rsidRDefault="000B3FAF" w:rsidP="006526A2">
            <w:r>
              <w:rPr>
                <w:b/>
                <w:bCs/>
                <w:color w:val="2B2B2B"/>
                <w:sz w:val="21"/>
                <w:szCs w:val="21"/>
              </w:rPr>
              <w:t>CatBoost</w:t>
            </w:r>
          </w:p>
        </w:tc>
        <w:tc>
          <w:tcPr>
            <w:tcW w:w="2600" w:type="dxa"/>
            <w:shd w:val="clear" w:color="auto" w:fill="F2F5FF"/>
            <w:tcMar>
              <w:top w:w="120" w:type="dxa"/>
              <w:left w:w="150" w:type="dxa"/>
              <w:bottom w:w="120" w:type="dxa"/>
              <w:right w:w="150" w:type="dxa"/>
            </w:tcMar>
            <w:vAlign w:val="center"/>
          </w:tcPr>
          <w:p w14:paraId="1C258718" w14:textId="77777777" w:rsidR="000B3FAF" w:rsidRDefault="000B3FAF" w:rsidP="006526A2">
            <w:pPr>
              <w:jc w:val="center"/>
            </w:pPr>
            <w:r>
              <w:rPr>
                <w:color w:val="2B2B2B"/>
                <w:sz w:val="21"/>
                <w:szCs w:val="21"/>
              </w:rPr>
              <w:t>Very Good</w:t>
            </w:r>
          </w:p>
        </w:tc>
        <w:tc>
          <w:tcPr>
            <w:tcW w:w="2600" w:type="dxa"/>
            <w:shd w:val="clear" w:color="auto" w:fill="F2F5FF"/>
            <w:tcMar>
              <w:top w:w="120" w:type="dxa"/>
              <w:left w:w="150" w:type="dxa"/>
              <w:bottom w:w="120" w:type="dxa"/>
              <w:right w:w="150" w:type="dxa"/>
            </w:tcMar>
            <w:vAlign w:val="center"/>
          </w:tcPr>
          <w:p w14:paraId="66BC5FCF" w14:textId="77777777" w:rsidR="000B3FAF" w:rsidRDefault="000B3FAF" w:rsidP="006526A2">
            <w:pPr>
              <w:jc w:val="center"/>
            </w:pPr>
            <w:r>
              <w:rPr>
                <w:color w:val="2B2B2B"/>
                <w:sz w:val="21"/>
                <w:szCs w:val="21"/>
              </w:rPr>
              <w:t>~8 beds/day</w:t>
            </w:r>
          </w:p>
        </w:tc>
        <w:tc>
          <w:tcPr>
            <w:tcW w:w="2900" w:type="dxa"/>
            <w:shd w:val="clear" w:color="auto" w:fill="F2F5FF"/>
            <w:tcMar>
              <w:top w:w="120" w:type="dxa"/>
              <w:left w:w="150" w:type="dxa"/>
              <w:bottom w:w="120" w:type="dxa"/>
              <w:right w:w="150" w:type="dxa"/>
            </w:tcMar>
            <w:vAlign w:val="center"/>
          </w:tcPr>
          <w:p w14:paraId="63B47BF6" w14:textId="77777777" w:rsidR="000B3FAF" w:rsidRDefault="000B3FAF" w:rsidP="006526A2">
            <w:r>
              <w:rPr>
                <w:color w:val="2B2B2B"/>
                <w:sz w:val="21"/>
                <w:szCs w:val="21"/>
              </w:rPr>
              <w:t>Strong alternative, similar profile to XGBoost</w:t>
            </w:r>
          </w:p>
        </w:tc>
      </w:tr>
      <w:tr w:rsidR="000B3FAF" w14:paraId="39595089" w14:textId="77777777" w:rsidTr="000B3FAF">
        <w:tblPrEx>
          <w:tblCellMar>
            <w:top w:w="0" w:type="dxa"/>
            <w:bottom w:w="0" w:type="dxa"/>
          </w:tblCellMar>
        </w:tblPrEx>
        <w:tc>
          <w:tcPr>
            <w:tcW w:w="3000" w:type="dxa"/>
            <w:shd w:val="clear" w:color="auto" w:fill="FFFFFF"/>
            <w:tcMar>
              <w:top w:w="120" w:type="dxa"/>
              <w:left w:w="150" w:type="dxa"/>
              <w:bottom w:w="120" w:type="dxa"/>
              <w:right w:w="150" w:type="dxa"/>
            </w:tcMar>
            <w:vAlign w:val="center"/>
          </w:tcPr>
          <w:p w14:paraId="2D7806E5" w14:textId="77777777" w:rsidR="000B3FAF" w:rsidRDefault="000B3FAF" w:rsidP="006526A2">
            <w:r>
              <w:rPr>
                <w:b/>
                <w:bCs/>
                <w:color w:val="2B2B2B"/>
                <w:sz w:val="21"/>
                <w:szCs w:val="21"/>
              </w:rPr>
              <w:t>Random Forest</w:t>
            </w:r>
          </w:p>
        </w:tc>
        <w:tc>
          <w:tcPr>
            <w:tcW w:w="2600" w:type="dxa"/>
            <w:shd w:val="clear" w:color="auto" w:fill="FFFFFF"/>
            <w:tcMar>
              <w:top w:w="120" w:type="dxa"/>
              <w:left w:w="150" w:type="dxa"/>
              <w:bottom w:w="120" w:type="dxa"/>
              <w:right w:w="150" w:type="dxa"/>
            </w:tcMar>
            <w:vAlign w:val="center"/>
          </w:tcPr>
          <w:p w14:paraId="70AD5BF3" w14:textId="77777777" w:rsidR="000B3FAF" w:rsidRDefault="000B3FAF" w:rsidP="006526A2">
            <w:pPr>
              <w:jc w:val="center"/>
            </w:pPr>
            <w:r>
              <w:rPr>
                <w:color w:val="2B2B2B"/>
                <w:sz w:val="21"/>
                <w:szCs w:val="21"/>
              </w:rPr>
              <w:t>Good</w:t>
            </w:r>
          </w:p>
        </w:tc>
        <w:tc>
          <w:tcPr>
            <w:tcW w:w="2600" w:type="dxa"/>
            <w:shd w:val="clear" w:color="auto" w:fill="FFFFFF"/>
            <w:tcMar>
              <w:top w:w="120" w:type="dxa"/>
              <w:left w:w="150" w:type="dxa"/>
              <w:bottom w:w="120" w:type="dxa"/>
              <w:right w:w="150" w:type="dxa"/>
            </w:tcMar>
            <w:vAlign w:val="center"/>
          </w:tcPr>
          <w:p w14:paraId="45AD7489" w14:textId="77777777" w:rsidR="000B3FAF" w:rsidRDefault="000B3FAF" w:rsidP="006526A2">
            <w:pPr>
              <w:jc w:val="center"/>
            </w:pPr>
            <w:r>
              <w:rPr>
                <w:color w:val="2B2B2B"/>
                <w:sz w:val="21"/>
                <w:szCs w:val="21"/>
              </w:rPr>
              <w:t>~13 beds/day</w:t>
            </w:r>
          </w:p>
        </w:tc>
        <w:tc>
          <w:tcPr>
            <w:tcW w:w="2900" w:type="dxa"/>
            <w:shd w:val="clear" w:color="auto" w:fill="FFFFFF"/>
            <w:tcMar>
              <w:top w:w="120" w:type="dxa"/>
              <w:left w:w="150" w:type="dxa"/>
              <w:bottom w:w="120" w:type="dxa"/>
              <w:right w:w="150" w:type="dxa"/>
            </w:tcMar>
            <w:vAlign w:val="center"/>
          </w:tcPr>
          <w:p w14:paraId="2A5C7DF8" w14:textId="77777777" w:rsidR="000B3FAF" w:rsidRDefault="000B3FAF" w:rsidP="006526A2">
            <w:r>
              <w:rPr>
                <w:color w:val="2B2B2B"/>
                <w:sz w:val="21"/>
                <w:szCs w:val="21"/>
              </w:rPr>
              <w:t>Reliable but noticeably less precise</w:t>
            </w:r>
          </w:p>
        </w:tc>
      </w:tr>
      <w:tr w:rsidR="000B3FAF" w14:paraId="2B3244BA" w14:textId="77777777" w:rsidTr="000B3FAF">
        <w:tblPrEx>
          <w:tblCellMar>
            <w:top w:w="0" w:type="dxa"/>
            <w:bottom w:w="0" w:type="dxa"/>
          </w:tblCellMar>
        </w:tblPrEx>
        <w:tc>
          <w:tcPr>
            <w:tcW w:w="3000" w:type="dxa"/>
            <w:shd w:val="clear" w:color="auto" w:fill="F2F5FF"/>
            <w:tcMar>
              <w:top w:w="120" w:type="dxa"/>
              <w:left w:w="150" w:type="dxa"/>
              <w:bottom w:w="120" w:type="dxa"/>
              <w:right w:w="150" w:type="dxa"/>
            </w:tcMar>
            <w:vAlign w:val="center"/>
          </w:tcPr>
          <w:p w14:paraId="32736F83" w14:textId="77777777" w:rsidR="000B3FAF" w:rsidRDefault="000B3FAF" w:rsidP="006526A2">
            <w:r>
              <w:rPr>
                <w:b/>
                <w:bCs/>
                <w:color w:val="2B2B2B"/>
                <w:sz w:val="21"/>
                <w:szCs w:val="21"/>
              </w:rPr>
              <w:t>Traditional Statistical Model</w:t>
            </w:r>
          </w:p>
        </w:tc>
        <w:tc>
          <w:tcPr>
            <w:tcW w:w="2600" w:type="dxa"/>
            <w:shd w:val="clear" w:color="auto" w:fill="F2F5FF"/>
            <w:tcMar>
              <w:top w:w="120" w:type="dxa"/>
              <w:left w:w="150" w:type="dxa"/>
              <w:bottom w:w="120" w:type="dxa"/>
              <w:right w:w="150" w:type="dxa"/>
            </w:tcMar>
            <w:vAlign w:val="center"/>
          </w:tcPr>
          <w:p w14:paraId="1189C2F8" w14:textId="77777777" w:rsidR="000B3FAF" w:rsidRDefault="000B3FAF" w:rsidP="006526A2">
            <w:pPr>
              <w:jc w:val="center"/>
            </w:pPr>
            <w:r>
              <w:rPr>
                <w:color w:val="2B2B2B"/>
                <w:sz w:val="21"/>
                <w:szCs w:val="21"/>
              </w:rPr>
              <w:t>Fair</w:t>
            </w:r>
          </w:p>
        </w:tc>
        <w:tc>
          <w:tcPr>
            <w:tcW w:w="2600" w:type="dxa"/>
            <w:shd w:val="clear" w:color="auto" w:fill="F2F5FF"/>
            <w:tcMar>
              <w:top w:w="120" w:type="dxa"/>
              <w:left w:w="150" w:type="dxa"/>
              <w:bottom w:w="120" w:type="dxa"/>
              <w:right w:w="150" w:type="dxa"/>
            </w:tcMar>
            <w:vAlign w:val="center"/>
          </w:tcPr>
          <w:p w14:paraId="6D09576B" w14:textId="77777777" w:rsidR="000B3FAF" w:rsidRDefault="000B3FAF" w:rsidP="006526A2">
            <w:pPr>
              <w:jc w:val="center"/>
            </w:pPr>
            <w:r>
              <w:rPr>
                <w:color w:val="2B2B2B"/>
                <w:sz w:val="21"/>
                <w:szCs w:val="21"/>
              </w:rPr>
              <w:t>~74 beds/day</w:t>
            </w:r>
          </w:p>
        </w:tc>
        <w:tc>
          <w:tcPr>
            <w:tcW w:w="2900" w:type="dxa"/>
            <w:shd w:val="clear" w:color="auto" w:fill="F2F5FF"/>
            <w:tcMar>
              <w:top w:w="120" w:type="dxa"/>
              <w:left w:w="150" w:type="dxa"/>
              <w:bottom w:w="120" w:type="dxa"/>
              <w:right w:w="150" w:type="dxa"/>
            </w:tcMar>
            <w:vAlign w:val="center"/>
          </w:tcPr>
          <w:p w14:paraId="1A6B8DF9" w14:textId="77777777" w:rsidR="000B3FAF" w:rsidRDefault="000B3FAF" w:rsidP="006526A2">
            <w:r>
              <w:rPr>
                <w:color w:val="2B2B2B"/>
                <w:sz w:val="21"/>
                <w:szCs w:val="21"/>
              </w:rPr>
              <w:t>Useful as a baseline comparison only</w:t>
            </w:r>
          </w:p>
        </w:tc>
      </w:tr>
    </w:tbl>
    <w:p w14:paraId="4283610C" w14:textId="77777777" w:rsidR="000B3FAF" w:rsidRDefault="000B3FAF" w:rsidP="000B3FAF">
      <w:pPr>
        <w:spacing w:before="200" w:after="200"/>
      </w:pPr>
    </w:p>
    <w:p w14:paraId="452EDC28" w14:textId="77777777" w:rsidR="000B3FAF" w:rsidRDefault="000B3FAF" w:rsidP="000B3FAF">
      <w:pPr>
        <w:spacing w:after="160" w:line="300" w:lineRule="auto"/>
      </w:pPr>
      <w:r>
        <w:rPr>
          <w:color w:val="2B2B2B"/>
        </w:rPr>
        <w:t>Two methods — a deep learning approach called LSTM and an AI method called XGBoost — clearly outperformed the rest, each predicting demand to within roughly five to six beds on average. The traditional statistical model, while easy to interpret, was far less accurate and is best used only as a baseline for comparison.</w:t>
      </w:r>
    </w:p>
    <w:p w14:paraId="31C0B95B" w14:textId="77777777" w:rsidR="000B3FAF" w:rsidRDefault="000B3FAF" w:rsidP="000B3FAF">
      <w:pPr>
        <w:pStyle w:val="Heading2"/>
        <w:spacing w:before="300" w:after="150"/>
      </w:pPr>
      <w:r>
        <w:rPr>
          <w:b/>
          <w:bCs/>
          <w:color w:val="1E2761"/>
        </w:rPr>
        <w:t>Seeing the Difference: Baseline Forecast vs. Actual Demand</w:t>
      </w:r>
    </w:p>
    <w:p w14:paraId="4993B532" w14:textId="77777777" w:rsidR="000B3FAF" w:rsidRDefault="000B3FAF" w:rsidP="000B3FAF">
      <w:pPr>
        <w:spacing w:after="160" w:line="300" w:lineRule="auto"/>
      </w:pPr>
      <w:r>
        <w:rPr>
          <w:color w:val="2B2B2B"/>
        </w:rPr>
        <w:t xml:space="preserve">The chart below shows the traditional statistical model's forecast (orange) plotted against real bed demand (blue) over five months. It tracks the overall daily </w:t>
      </w:r>
      <w:proofErr w:type="gramStart"/>
      <w:r>
        <w:rPr>
          <w:color w:val="2B2B2B"/>
        </w:rPr>
        <w:t>rhythm, but</w:t>
      </w:r>
      <w:proofErr w:type="gramEnd"/>
      <w:r>
        <w:rPr>
          <w:color w:val="2B2B2B"/>
        </w:rPr>
        <w:t xml:space="preserve"> regularly overshoots or undershoots the actual figure — visual confirmation of the much larger typical error reported for this method in the table above.</w:t>
      </w:r>
    </w:p>
    <w:p w14:paraId="429B1089" w14:textId="77777777" w:rsidR="000B3FAF" w:rsidRDefault="000B3FAF" w:rsidP="000B3FAF">
      <w:pPr>
        <w:jc w:val="center"/>
      </w:pPr>
      <w:r>
        <w:rPr>
          <w:noProof/>
        </w:rPr>
        <w:lastRenderedPageBreak/>
        <w:drawing>
          <wp:inline distT="0" distB="0" distL="0" distR="0" wp14:anchorId="298D214B" wp14:editId="264311B0">
            <wp:extent cx="5848350" cy="2419350"/>
            <wp:effectExtent l="0" t="0" r="0" b="0"/>
            <wp:docPr id="2019268310" name="Picture 2019268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48350" cy="2419350"/>
                    </a:xfrm>
                    <a:prstGeom prst="rect">
                      <a:avLst/>
                    </a:prstGeom>
                  </pic:spPr>
                </pic:pic>
              </a:graphicData>
            </a:graphic>
          </wp:inline>
        </w:drawing>
      </w:r>
    </w:p>
    <w:p w14:paraId="51D63BA6" w14:textId="77777777" w:rsidR="000B3FAF" w:rsidRDefault="000B3FAF" w:rsidP="000B3FAF">
      <w:pPr>
        <w:spacing w:before="100" w:after="300"/>
      </w:pPr>
      <w:r>
        <w:rPr>
          <w:i/>
          <w:iCs/>
          <w:color w:val="6E6E6E"/>
          <w:sz w:val="19"/>
          <w:szCs w:val="19"/>
        </w:rPr>
        <w:t>Figure 4 — Baseline statistical forecast (orange) compared against actual hospital bed demand (blue), including the model's prediction range (shaded).</w:t>
      </w:r>
    </w:p>
    <w:p w14:paraId="22BB2E04" w14:textId="77777777" w:rsidR="000B3FAF" w:rsidRDefault="000B3FAF" w:rsidP="000B3FAF">
      <w:pPr>
        <w:spacing w:after="160" w:line="300" w:lineRule="auto"/>
      </w:pPr>
      <w:r>
        <w:rPr>
          <w:color w:val="2B2B2B"/>
        </w:rPr>
        <w:t>This is exactly the gap the AI-based methods close: XGBoost and the deep learning model track the same daily rhythm far more tightly, which is what drives their much lower typical error.</w:t>
      </w:r>
    </w:p>
    <w:p w14:paraId="01E119B6" w14:textId="77777777" w:rsidR="000B3FAF" w:rsidRDefault="000B3FAF" w:rsidP="000B3FAF">
      <w:pPr>
        <w:pStyle w:val="Heading1"/>
        <w:spacing w:after="200"/>
      </w:pPr>
      <w:r>
        <w:rPr>
          <w:b/>
          <w:bCs/>
          <w:color w:val="1E2761"/>
        </w:rPr>
        <w:t>Our Recommendation</w:t>
      </w:r>
    </w:p>
    <w:p w14:paraId="33A40ED2" w14:textId="77777777" w:rsidR="000B3FAF" w:rsidRDefault="000B3FAF" w:rsidP="000B3FAF">
      <w:pPr>
        <w:spacing w:after="160" w:line="300" w:lineRule="auto"/>
      </w:pPr>
      <w:r>
        <w:rPr>
          <w:color w:val="2B2B2B"/>
        </w:rPr>
        <w:t>We recommend deploying XGBoost as the primary forecasting engine, for three reasons:</w:t>
      </w:r>
    </w:p>
    <w:p w14:paraId="37D94E81" w14:textId="77777777" w:rsidR="000B3FAF" w:rsidRDefault="000B3FAF" w:rsidP="000B3FAF">
      <w:pPr>
        <w:pStyle w:val="ListParagraph"/>
        <w:numPr>
          <w:ilvl w:val="0"/>
          <w:numId w:val="25"/>
        </w:numPr>
        <w:spacing w:after="90" w:line="240" w:lineRule="auto"/>
        <w:contextualSpacing w:val="0"/>
      </w:pPr>
      <w:r>
        <w:rPr>
          <w:color w:val="2B2B2B"/>
        </w:rPr>
        <w:t>Accuracy: performance is nearly identical to the most accurate deep learning model</w:t>
      </w:r>
    </w:p>
    <w:p w14:paraId="26A58EE5" w14:textId="77777777" w:rsidR="000B3FAF" w:rsidRDefault="000B3FAF" w:rsidP="000B3FAF">
      <w:pPr>
        <w:pStyle w:val="ListParagraph"/>
        <w:numPr>
          <w:ilvl w:val="0"/>
          <w:numId w:val="25"/>
        </w:numPr>
        <w:spacing w:after="90" w:line="240" w:lineRule="auto"/>
        <w:contextualSpacing w:val="0"/>
      </w:pPr>
      <w:r>
        <w:rPr>
          <w:color w:val="2B2B2B"/>
        </w:rPr>
        <w:t>Transparency: it can be paired with an explainability tool that shows exactly which factors are driving each forecast (e.g. "demand is expected to rise due to high recent occupancy and increased emergency arrivals")</w:t>
      </w:r>
    </w:p>
    <w:p w14:paraId="3867AD7A" w14:textId="77777777" w:rsidR="000B3FAF" w:rsidRDefault="000B3FAF" w:rsidP="000B3FAF">
      <w:pPr>
        <w:pStyle w:val="ListParagraph"/>
        <w:numPr>
          <w:ilvl w:val="0"/>
          <w:numId w:val="25"/>
        </w:numPr>
        <w:spacing w:after="90" w:line="240" w:lineRule="auto"/>
        <w:contextualSpacing w:val="0"/>
      </w:pPr>
      <w:r>
        <w:rPr>
          <w:color w:val="2B2B2B"/>
        </w:rPr>
        <w:t>Practicality: it is simpler to maintain and integrate into a live dashboard than the deep learning alternative</w:t>
      </w:r>
    </w:p>
    <w:p w14:paraId="7C76E354" w14:textId="77777777" w:rsidR="000B3FAF" w:rsidRDefault="000B3FAF" w:rsidP="000B3FAF">
      <w:pPr>
        <w:spacing w:after="160" w:line="300" w:lineRule="auto"/>
      </w:pPr>
      <w:r>
        <w:rPr>
          <w:color w:val="2B2B2B"/>
        </w:rPr>
        <w:t>This combination gives hospital leaders both a highly accurate forecast and a clear, human-readable explanation behind every prediction — critical for building trust in an AI-driven planning tool.</w:t>
      </w:r>
    </w:p>
    <w:p w14:paraId="77FC0EB0" w14:textId="77777777" w:rsidR="000B3FAF" w:rsidRDefault="000B3FAF" w:rsidP="000B3FAF">
      <w:pPr>
        <w:pStyle w:val="Heading1"/>
        <w:spacing w:after="200"/>
      </w:pPr>
      <w:r>
        <w:rPr>
          <w:b/>
          <w:bCs/>
          <w:color w:val="1E2761"/>
        </w:rPr>
        <w:t>How This Will Be Used</w:t>
      </w:r>
    </w:p>
    <w:p w14:paraId="1BCC7BD6" w14:textId="77777777" w:rsidR="000B3FAF" w:rsidRDefault="000B3FAF" w:rsidP="000B3FAF">
      <w:pPr>
        <w:spacing w:after="160" w:line="300" w:lineRule="auto"/>
      </w:pPr>
      <w:r>
        <w:rPr>
          <w:color w:val="2B2B2B"/>
        </w:rPr>
        <w:t>The forecasting model will be delivered through an interactive dashboard, giving hospital planners direct access to:</w:t>
      </w:r>
    </w:p>
    <w:p w14:paraId="0EB78B00" w14:textId="77777777" w:rsidR="000B3FAF" w:rsidRDefault="000B3FAF" w:rsidP="000B3FAF">
      <w:pPr>
        <w:pStyle w:val="ListParagraph"/>
        <w:numPr>
          <w:ilvl w:val="0"/>
          <w:numId w:val="25"/>
        </w:numPr>
        <w:spacing w:after="90" w:line="240" w:lineRule="auto"/>
        <w:contextualSpacing w:val="0"/>
      </w:pPr>
      <w:r>
        <w:rPr>
          <w:color w:val="2B2B2B"/>
        </w:rPr>
        <w:t>Forecasted bed demand for upcoming days and weeks</w:t>
      </w:r>
    </w:p>
    <w:p w14:paraId="325C32B4" w14:textId="77777777" w:rsidR="000B3FAF" w:rsidRDefault="000B3FAF" w:rsidP="000B3FAF">
      <w:pPr>
        <w:pStyle w:val="ListParagraph"/>
        <w:numPr>
          <w:ilvl w:val="0"/>
          <w:numId w:val="25"/>
        </w:numPr>
        <w:spacing w:after="90" w:line="240" w:lineRule="auto"/>
        <w:contextualSpacing w:val="0"/>
      </w:pPr>
      <w:r>
        <w:rPr>
          <w:color w:val="2B2B2B"/>
        </w:rPr>
        <w:lastRenderedPageBreak/>
        <w:t>Live occupancy and admission/discharge trends</w:t>
      </w:r>
    </w:p>
    <w:p w14:paraId="1611E39B" w14:textId="77777777" w:rsidR="000B3FAF" w:rsidRDefault="000B3FAF" w:rsidP="000B3FAF">
      <w:pPr>
        <w:pStyle w:val="ListParagraph"/>
        <w:numPr>
          <w:ilvl w:val="0"/>
          <w:numId w:val="25"/>
        </w:numPr>
        <w:spacing w:after="90" w:line="240" w:lineRule="auto"/>
        <w:contextualSpacing w:val="0"/>
      </w:pPr>
      <w:r>
        <w:rPr>
          <w:color w:val="2B2B2B"/>
        </w:rPr>
        <w:t>Early-warning indicators when capacity risk is rising</w:t>
      </w:r>
    </w:p>
    <w:p w14:paraId="47557E56" w14:textId="77777777" w:rsidR="000B3FAF" w:rsidRDefault="000B3FAF" w:rsidP="000B3FAF">
      <w:pPr>
        <w:pStyle w:val="ListParagraph"/>
        <w:numPr>
          <w:ilvl w:val="0"/>
          <w:numId w:val="25"/>
        </w:numPr>
        <w:spacing w:after="90" w:line="240" w:lineRule="auto"/>
        <w:contextualSpacing w:val="0"/>
      </w:pPr>
      <w:r>
        <w:rPr>
          <w:color w:val="2B2B2B"/>
        </w:rPr>
        <w:t xml:space="preserve">Filters to explore forecasts by ward, </w:t>
      </w:r>
      <w:proofErr w:type="gramStart"/>
      <w:r>
        <w:rPr>
          <w:color w:val="2B2B2B"/>
        </w:rPr>
        <w:t>time period</w:t>
      </w:r>
      <w:proofErr w:type="gramEnd"/>
      <w:r>
        <w:rPr>
          <w:color w:val="2B2B2B"/>
        </w:rPr>
        <w:t>, or scenario</w:t>
      </w:r>
    </w:p>
    <w:p w14:paraId="35DC7898" w14:textId="77777777" w:rsidR="000B3FAF" w:rsidRDefault="000B3FAF" w:rsidP="000B3FAF">
      <w:pPr>
        <w:pStyle w:val="Heading1"/>
        <w:spacing w:after="200"/>
      </w:pPr>
      <w:r>
        <w:rPr>
          <w:b/>
          <w:bCs/>
          <w:color w:val="1E2761"/>
        </w:rPr>
        <w:t>Business Impact</w:t>
      </w:r>
    </w:p>
    <w:p w14:paraId="660B2068" w14:textId="77777777" w:rsidR="000B3FAF" w:rsidRDefault="000B3FAF" w:rsidP="000B3FAF">
      <w:pPr>
        <w:spacing w:after="160" w:line="300" w:lineRule="auto"/>
      </w:pPr>
      <w:r>
        <w:rPr>
          <w:color w:val="2B2B2B"/>
        </w:rPr>
        <w:t>Adopting this forecasting system is expected to support:</w:t>
      </w:r>
    </w:p>
    <w:p w14:paraId="53E710AB" w14:textId="77777777" w:rsidR="000B3FAF" w:rsidRDefault="000B3FAF" w:rsidP="000B3FAF">
      <w:pPr>
        <w:pStyle w:val="ListParagraph"/>
        <w:numPr>
          <w:ilvl w:val="0"/>
          <w:numId w:val="25"/>
        </w:numPr>
        <w:spacing w:after="90" w:line="240" w:lineRule="auto"/>
        <w:contextualSpacing w:val="0"/>
      </w:pPr>
      <w:r>
        <w:rPr>
          <w:color w:val="2B2B2B"/>
        </w:rPr>
        <w:t>More efficient allocation of beds and staff ahead of demand spikes</w:t>
      </w:r>
    </w:p>
    <w:p w14:paraId="6277569F" w14:textId="77777777" w:rsidR="000B3FAF" w:rsidRDefault="000B3FAF" w:rsidP="000B3FAF">
      <w:pPr>
        <w:pStyle w:val="ListParagraph"/>
        <w:numPr>
          <w:ilvl w:val="0"/>
          <w:numId w:val="25"/>
        </w:numPr>
        <w:spacing w:after="90" w:line="240" w:lineRule="auto"/>
        <w:contextualSpacing w:val="0"/>
      </w:pPr>
      <w:r>
        <w:rPr>
          <w:color w:val="2B2B2B"/>
        </w:rPr>
        <w:t>Improved staffing and rota planning, reducing last-minute pressure</w:t>
      </w:r>
    </w:p>
    <w:p w14:paraId="1742FE30" w14:textId="77777777" w:rsidR="000B3FAF" w:rsidRDefault="000B3FAF" w:rsidP="000B3FAF">
      <w:pPr>
        <w:pStyle w:val="ListParagraph"/>
        <w:numPr>
          <w:ilvl w:val="0"/>
          <w:numId w:val="25"/>
        </w:numPr>
        <w:spacing w:after="90" w:line="240" w:lineRule="auto"/>
        <w:contextualSpacing w:val="0"/>
      </w:pPr>
      <w:r>
        <w:rPr>
          <w:color w:val="2B2B2B"/>
        </w:rPr>
        <w:t>Reduced risk of overcrowding and its knock-on effects on patient care</w:t>
      </w:r>
    </w:p>
    <w:p w14:paraId="001E248C" w14:textId="77777777" w:rsidR="000B3FAF" w:rsidRDefault="000B3FAF" w:rsidP="000B3FAF">
      <w:pPr>
        <w:pStyle w:val="ListParagraph"/>
        <w:numPr>
          <w:ilvl w:val="0"/>
          <w:numId w:val="25"/>
        </w:numPr>
        <w:spacing w:after="90" w:line="240" w:lineRule="auto"/>
        <w:contextualSpacing w:val="0"/>
      </w:pPr>
      <w:r>
        <w:rPr>
          <w:color w:val="2B2B2B"/>
        </w:rPr>
        <w:t>Smoother patient flow through the hospital, from admission to discharge</w:t>
      </w:r>
    </w:p>
    <w:p w14:paraId="1F6CCFAD" w14:textId="77777777" w:rsidR="000B3FAF" w:rsidRDefault="000B3FAF" w:rsidP="000B3FAF">
      <w:pPr>
        <w:pStyle w:val="Heading1"/>
        <w:spacing w:after="200"/>
      </w:pPr>
      <w:r>
        <w:rPr>
          <w:b/>
          <w:bCs/>
          <w:color w:val="1E2761"/>
        </w:rPr>
        <w:t>Next Steps</w:t>
      </w:r>
    </w:p>
    <w:p w14:paraId="2C67D7E6" w14:textId="77777777" w:rsidR="000B3FAF" w:rsidRDefault="000B3FAF" w:rsidP="000B3FAF">
      <w:pPr>
        <w:pStyle w:val="ListParagraph"/>
        <w:numPr>
          <w:ilvl w:val="0"/>
          <w:numId w:val="25"/>
        </w:numPr>
        <w:spacing w:after="90" w:line="240" w:lineRule="auto"/>
        <w:contextualSpacing w:val="0"/>
      </w:pPr>
      <w:r>
        <w:rPr>
          <w:color w:val="2B2B2B"/>
        </w:rPr>
        <w:t>Finalise integration of the forecasting model into the live dashboard</w:t>
      </w:r>
    </w:p>
    <w:p w14:paraId="26D24F53" w14:textId="77777777" w:rsidR="000B3FAF" w:rsidRDefault="000B3FAF" w:rsidP="000B3FAF">
      <w:pPr>
        <w:pStyle w:val="ListParagraph"/>
        <w:numPr>
          <w:ilvl w:val="0"/>
          <w:numId w:val="25"/>
        </w:numPr>
        <w:spacing w:after="90" w:line="240" w:lineRule="auto"/>
        <w:contextualSpacing w:val="0"/>
      </w:pPr>
      <w:r>
        <w:rPr>
          <w:color w:val="2B2B2B"/>
        </w:rPr>
        <w:t>Pilot the system with operational teams and gather feedback</w:t>
      </w:r>
    </w:p>
    <w:p w14:paraId="6D39E28A" w14:textId="77777777" w:rsidR="000B3FAF" w:rsidRDefault="000B3FAF" w:rsidP="000B3FAF">
      <w:pPr>
        <w:pStyle w:val="ListParagraph"/>
        <w:numPr>
          <w:ilvl w:val="0"/>
          <w:numId w:val="25"/>
        </w:numPr>
        <w:spacing w:after="90" w:line="240" w:lineRule="auto"/>
        <w:contextualSpacing w:val="0"/>
      </w:pPr>
      <w:r>
        <w:rPr>
          <w:color w:val="2B2B2B"/>
        </w:rPr>
        <w:t>Establish a routine review cycle to monitor and retrain the model as new data arrives</w:t>
      </w:r>
    </w:p>
    <w:p w14:paraId="35DAE7A8" w14:textId="4ED12BAE" w:rsidR="0081281D" w:rsidRPr="002306CE" w:rsidRDefault="0081281D" w:rsidP="00644351">
      <w:pPr>
        <w:tabs>
          <w:tab w:val="left" w:pos="1419"/>
        </w:tabs>
        <w:rPr>
          <w:rFonts w:ascii="Cambria" w:hAnsi="Cambria"/>
          <w:b/>
          <w:bCs/>
          <w:i/>
          <w:iCs/>
          <w:color w:val="215868" w:themeColor="accent5" w:themeShade="80"/>
          <w:sz w:val="24"/>
          <w:szCs w:val="24"/>
        </w:rPr>
      </w:pPr>
    </w:p>
    <w:sectPr w:rsidR="0081281D" w:rsidRPr="002306CE">
      <w:headerReference w:type="default" r:id="rId11"/>
      <w:footerReference w:type="default" r:id="rId12"/>
      <w:pgSz w:w="11909" w:h="16834"/>
      <w:pgMar w:top="3118"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E4B88" w14:textId="77777777" w:rsidR="009A48D2" w:rsidRDefault="009A48D2">
      <w:pPr>
        <w:spacing w:line="240" w:lineRule="auto"/>
      </w:pPr>
      <w:r>
        <w:separator/>
      </w:r>
    </w:p>
  </w:endnote>
  <w:endnote w:type="continuationSeparator" w:id="0">
    <w:p w14:paraId="782C47E2" w14:textId="77777777" w:rsidR="009A48D2" w:rsidRDefault="009A48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75D3656-E742-4F8E-9022-086194CD5965}"/>
    <w:embedBoldItalic r:id="rId2" w:fontKey="{33D4A941-65FC-4117-98CB-12B00B35C626}"/>
  </w:font>
  <w:font w:name="Calibri">
    <w:panose1 w:val="020F0502020204030204"/>
    <w:charset w:val="00"/>
    <w:family w:val="swiss"/>
    <w:pitch w:val="variable"/>
    <w:sig w:usb0="E4002EFF" w:usb1="C200247B" w:usb2="00000009" w:usb3="00000000" w:csb0="000001FF" w:csb1="00000000"/>
    <w:embedRegular r:id="rId3" w:fontKey="{66DF23FD-0153-48C5-A48E-43539826300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998DF" w14:textId="77777777" w:rsidR="009570E1" w:rsidRDefault="00000000">
    <w:r>
      <w:rPr>
        <w:noProof/>
      </w:rPr>
      <w:drawing>
        <wp:anchor distT="114300" distB="114300" distL="114300" distR="114300" simplePos="0" relativeHeight="251659264" behindDoc="1" locked="0" layoutInCell="1" hidden="0" allowOverlap="1" wp14:anchorId="35FFA6ED" wp14:editId="2BB39323">
          <wp:simplePos x="0" y="0"/>
          <wp:positionH relativeFrom="column">
            <wp:posOffset>-1424</wp:posOffset>
          </wp:positionH>
          <wp:positionV relativeFrom="paragraph">
            <wp:posOffset>-158161</wp:posOffset>
          </wp:positionV>
          <wp:extent cx="5731200" cy="876300"/>
          <wp:effectExtent l="0" t="0" r="0" b="0"/>
          <wp:wrapNone/>
          <wp:docPr id="14370115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t="47314"/>
                  <a:stretch>
                    <a:fillRect/>
                  </a:stretch>
                </pic:blipFill>
                <pic:spPr>
                  <a:xfrm>
                    <a:off x="0" y="0"/>
                    <a:ext cx="5731200" cy="87630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71F25" w14:textId="77777777" w:rsidR="009A48D2" w:rsidRDefault="009A48D2">
      <w:pPr>
        <w:spacing w:line="240" w:lineRule="auto"/>
      </w:pPr>
      <w:r>
        <w:separator/>
      </w:r>
    </w:p>
  </w:footnote>
  <w:footnote w:type="continuationSeparator" w:id="0">
    <w:p w14:paraId="3010CB42" w14:textId="77777777" w:rsidR="009A48D2" w:rsidRDefault="009A48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06084" w14:textId="77777777" w:rsidR="009570E1" w:rsidRDefault="00000000">
    <w:r>
      <w:rPr>
        <w:noProof/>
      </w:rPr>
      <w:drawing>
        <wp:anchor distT="114300" distB="114300" distL="114300" distR="114300" simplePos="0" relativeHeight="251658240" behindDoc="1" locked="0" layoutInCell="1" hidden="0" allowOverlap="1" wp14:anchorId="2C440ADC" wp14:editId="496154D1">
          <wp:simplePos x="0" y="0"/>
          <wp:positionH relativeFrom="column">
            <wp:posOffset>-942974</wp:posOffset>
          </wp:positionH>
          <wp:positionV relativeFrom="paragraph">
            <wp:posOffset>-342899</wp:posOffset>
          </wp:positionV>
          <wp:extent cx="7567613" cy="1495923"/>
          <wp:effectExtent l="0" t="0" r="0" b="0"/>
          <wp:wrapNone/>
          <wp:docPr id="63682494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b="39409"/>
                  <a:stretch>
                    <a:fillRect/>
                  </a:stretch>
                </pic:blipFill>
                <pic:spPr>
                  <a:xfrm>
                    <a:off x="0" y="0"/>
                    <a:ext cx="7567613" cy="149592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5A31"/>
    <w:multiLevelType w:val="hybridMultilevel"/>
    <w:tmpl w:val="3A4007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F7D6F3C"/>
    <w:multiLevelType w:val="multilevel"/>
    <w:tmpl w:val="402A0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226613"/>
    <w:multiLevelType w:val="multilevel"/>
    <w:tmpl w:val="7CB22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B80D9C"/>
    <w:multiLevelType w:val="multilevel"/>
    <w:tmpl w:val="94667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433993"/>
    <w:multiLevelType w:val="multilevel"/>
    <w:tmpl w:val="1616C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0162E33"/>
    <w:multiLevelType w:val="multilevel"/>
    <w:tmpl w:val="2F483F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BC3853"/>
    <w:multiLevelType w:val="multilevel"/>
    <w:tmpl w:val="F86AB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86210A"/>
    <w:multiLevelType w:val="multilevel"/>
    <w:tmpl w:val="64E65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7116C54"/>
    <w:multiLevelType w:val="multilevel"/>
    <w:tmpl w:val="47644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9C471F1"/>
    <w:multiLevelType w:val="multilevel"/>
    <w:tmpl w:val="F03E0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4C93FAF"/>
    <w:multiLevelType w:val="multilevel"/>
    <w:tmpl w:val="9D3A3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5662260"/>
    <w:multiLevelType w:val="hybridMultilevel"/>
    <w:tmpl w:val="852460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61F43E3"/>
    <w:multiLevelType w:val="multilevel"/>
    <w:tmpl w:val="532E86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A48635D"/>
    <w:multiLevelType w:val="multilevel"/>
    <w:tmpl w:val="5FA25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5DF042A"/>
    <w:multiLevelType w:val="multilevel"/>
    <w:tmpl w:val="C1EE3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7C1421F"/>
    <w:multiLevelType w:val="hybridMultilevel"/>
    <w:tmpl w:val="B7F01DA0"/>
    <w:lvl w:ilvl="0" w:tplc="EAB016BC">
      <w:start w:val="1"/>
      <w:numFmt w:val="bullet"/>
      <w:lvlText w:val="●"/>
      <w:lvlJc w:val="left"/>
      <w:pPr>
        <w:ind w:left="720" w:hanging="360"/>
      </w:pPr>
    </w:lvl>
    <w:lvl w:ilvl="1" w:tplc="85B614CC">
      <w:start w:val="1"/>
      <w:numFmt w:val="bullet"/>
      <w:lvlText w:val="○"/>
      <w:lvlJc w:val="left"/>
      <w:pPr>
        <w:ind w:left="1440" w:hanging="360"/>
      </w:pPr>
    </w:lvl>
    <w:lvl w:ilvl="2" w:tplc="17A46A9C">
      <w:start w:val="1"/>
      <w:numFmt w:val="bullet"/>
      <w:lvlText w:val="■"/>
      <w:lvlJc w:val="left"/>
      <w:pPr>
        <w:ind w:left="2160" w:hanging="360"/>
      </w:pPr>
    </w:lvl>
    <w:lvl w:ilvl="3" w:tplc="71A67822">
      <w:start w:val="1"/>
      <w:numFmt w:val="bullet"/>
      <w:lvlText w:val="●"/>
      <w:lvlJc w:val="left"/>
      <w:pPr>
        <w:ind w:left="2880" w:hanging="360"/>
      </w:pPr>
    </w:lvl>
    <w:lvl w:ilvl="4" w:tplc="229C147A">
      <w:start w:val="1"/>
      <w:numFmt w:val="bullet"/>
      <w:lvlText w:val="○"/>
      <w:lvlJc w:val="left"/>
      <w:pPr>
        <w:ind w:left="3600" w:hanging="360"/>
      </w:pPr>
    </w:lvl>
    <w:lvl w:ilvl="5" w:tplc="E0C6B598">
      <w:start w:val="1"/>
      <w:numFmt w:val="bullet"/>
      <w:lvlText w:val="■"/>
      <w:lvlJc w:val="left"/>
      <w:pPr>
        <w:ind w:left="4320" w:hanging="360"/>
      </w:pPr>
    </w:lvl>
    <w:lvl w:ilvl="6" w:tplc="0CAEA960">
      <w:start w:val="1"/>
      <w:numFmt w:val="bullet"/>
      <w:lvlText w:val="●"/>
      <w:lvlJc w:val="left"/>
      <w:pPr>
        <w:ind w:left="5040" w:hanging="360"/>
      </w:pPr>
    </w:lvl>
    <w:lvl w:ilvl="7" w:tplc="3A761290">
      <w:start w:val="1"/>
      <w:numFmt w:val="bullet"/>
      <w:lvlText w:val="●"/>
      <w:lvlJc w:val="left"/>
      <w:pPr>
        <w:ind w:left="5760" w:hanging="360"/>
      </w:pPr>
    </w:lvl>
    <w:lvl w:ilvl="8" w:tplc="5B0AF48C">
      <w:start w:val="1"/>
      <w:numFmt w:val="bullet"/>
      <w:lvlText w:val="●"/>
      <w:lvlJc w:val="left"/>
      <w:pPr>
        <w:ind w:left="6480" w:hanging="360"/>
      </w:pPr>
    </w:lvl>
  </w:abstractNum>
  <w:abstractNum w:abstractNumId="16" w15:restartNumberingAfterBreak="0">
    <w:nsid w:val="5C2E162A"/>
    <w:multiLevelType w:val="multilevel"/>
    <w:tmpl w:val="0BA6194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5F516A15"/>
    <w:multiLevelType w:val="multilevel"/>
    <w:tmpl w:val="E2928A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481029E"/>
    <w:multiLevelType w:val="multilevel"/>
    <w:tmpl w:val="0D167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8943541"/>
    <w:multiLevelType w:val="multilevel"/>
    <w:tmpl w:val="7A7A2A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C456705"/>
    <w:multiLevelType w:val="multilevel"/>
    <w:tmpl w:val="F2345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45A7253"/>
    <w:multiLevelType w:val="multilevel"/>
    <w:tmpl w:val="7772B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8A75F20"/>
    <w:multiLevelType w:val="hybridMultilevel"/>
    <w:tmpl w:val="FF6C57DA"/>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23" w15:restartNumberingAfterBreak="0">
    <w:nsid w:val="79824750"/>
    <w:multiLevelType w:val="hybridMultilevel"/>
    <w:tmpl w:val="09E8672A"/>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24" w15:restartNumberingAfterBreak="0">
    <w:nsid w:val="7AD75F3E"/>
    <w:multiLevelType w:val="multilevel"/>
    <w:tmpl w:val="411AF5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87633116">
    <w:abstractNumId w:val="8"/>
  </w:num>
  <w:num w:numId="2" w16cid:durableId="925384962">
    <w:abstractNumId w:val="2"/>
  </w:num>
  <w:num w:numId="3" w16cid:durableId="1468745828">
    <w:abstractNumId w:val="7"/>
  </w:num>
  <w:num w:numId="4" w16cid:durableId="355499287">
    <w:abstractNumId w:val="10"/>
  </w:num>
  <w:num w:numId="5" w16cid:durableId="1308123215">
    <w:abstractNumId w:val="16"/>
  </w:num>
  <w:num w:numId="6" w16cid:durableId="1352948339">
    <w:abstractNumId w:val="21"/>
  </w:num>
  <w:num w:numId="7" w16cid:durableId="2080788618">
    <w:abstractNumId w:val="3"/>
  </w:num>
  <w:num w:numId="8" w16cid:durableId="391542283">
    <w:abstractNumId w:val="13"/>
  </w:num>
  <w:num w:numId="9" w16cid:durableId="920144166">
    <w:abstractNumId w:val="20"/>
  </w:num>
  <w:num w:numId="10" w16cid:durableId="434517250">
    <w:abstractNumId w:val="17"/>
  </w:num>
  <w:num w:numId="11" w16cid:durableId="229080934">
    <w:abstractNumId w:val="14"/>
  </w:num>
  <w:num w:numId="12" w16cid:durableId="1396078885">
    <w:abstractNumId w:val="12"/>
  </w:num>
  <w:num w:numId="13" w16cid:durableId="1783450757">
    <w:abstractNumId w:val="6"/>
  </w:num>
  <w:num w:numId="14" w16cid:durableId="921065192">
    <w:abstractNumId w:val="18"/>
  </w:num>
  <w:num w:numId="15" w16cid:durableId="1993096857">
    <w:abstractNumId w:val="24"/>
  </w:num>
  <w:num w:numId="16" w16cid:durableId="2119641912">
    <w:abstractNumId w:val="1"/>
  </w:num>
  <w:num w:numId="17" w16cid:durableId="703750178">
    <w:abstractNumId w:val="19"/>
  </w:num>
  <w:num w:numId="18" w16cid:durableId="749498209">
    <w:abstractNumId w:val="9"/>
  </w:num>
  <w:num w:numId="19" w16cid:durableId="798300609">
    <w:abstractNumId w:val="5"/>
  </w:num>
  <w:num w:numId="20" w16cid:durableId="1332836385">
    <w:abstractNumId w:val="4"/>
  </w:num>
  <w:num w:numId="21" w16cid:durableId="1366634571">
    <w:abstractNumId w:val="22"/>
  </w:num>
  <w:num w:numId="22" w16cid:durableId="73285395">
    <w:abstractNumId w:val="23"/>
  </w:num>
  <w:num w:numId="23" w16cid:durableId="1401175769">
    <w:abstractNumId w:val="11"/>
  </w:num>
  <w:num w:numId="24" w16cid:durableId="2000576648">
    <w:abstractNumId w:val="0"/>
  </w:num>
  <w:num w:numId="25" w16cid:durableId="2023123303">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0E1"/>
    <w:rsid w:val="000B3FAF"/>
    <w:rsid w:val="002306CE"/>
    <w:rsid w:val="002473AA"/>
    <w:rsid w:val="002F0F68"/>
    <w:rsid w:val="0047765A"/>
    <w:rsid w:val="004D12B2"/>
    <w:rsid w:val="005565F7"/>
    <w:rsid w:val="005D289E"/>
    <w:rsid w:val="005E51DB"/>
    <w:rsid w:val="00644351"/>
    <w:rsid w:val="007673C3"/>
    <w:rsid w:val="0081281D"/>
    <w:rsid w:val="009477A9"/>
    <w:rsid w:val="009570E1"/>
    <w:rsid w:val="009A48D2"/>
    <w:rsid w:val="009B7E81"/>
    <w:rsid w:val="00D74ABF"/>
    <w:rsid w:val="00DC42B6"/>
    <w:rsid w:val="00E94A92"/>
    <w:rsid w:val="00FB6A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BD281"/>
  <w15:docId w15:val="{1914191A-383C-443B-8196-46F78012E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NoSpacing">
    <w:name w:val="No Spacing"/>
    <w:uiPriority w:val="1"/>
    <w:qFormat/>
    <w:rsid w:val="00DC42B6"/>
    <w:pPr>
      <w:spacing w:line="240" w:lineRule="auto"/>
    </w:pPr>
  </w:style>
  <w:style w:type="paragraph" w:styleId="ListParagraph">
    <w:name w:val="List Paragraph"/>
    <w:basedOn w:val="Normal"/>
    <w:qFormat/>
    <w:rsid w:val="007673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1079</Words>
  <Characters>6152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EUGENE</dc:creator>
  <cp:lastModifiedBy>EUGENE OSAE</cp:lastModifiedBy>
  <cp:revision>2</cp:revision>
  <cp:lastPrinted>2026-02-12T09:26:00Z</cp:lastPrinted>
  <dcterms:created xsi:type="dcterms:W3CDTF">2026-07-21T22:52:00Z</dcterms:created>
  <dcterms:modified xsi:type="dcterms:W3CDTF">2026-07-21T22:52:00Z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6ae54ba9-80ee-4f30-a06e-3096b6d71c2b</vt:lpwstr>
  </property>
</Properties>
</file>