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E401" w14:textId="59896958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Feature Importance &amp; Model Interpretation Report (Week 2)</w:t>
      </w:r>
    </w:p>
    <w:p w14:paraId="4921D69A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1. Feature Importance Analysis</w:t>
      </w:r>
    </w:p>
    <w:p w14:paraId="32329C6D" w14:textId="3299309D" w:rsidR="004C763A" w:rsidRPr="004C763A" w:rsidRDefault="004C763A" w:rsidP="004C7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4C763A">
        <w:rPr>
          <w:rFonts w:ascii="Times New Roman" w:hAnsi="Times New Roman" w:cs="Times New Roman"/>
        </w:rPr>
        <w:t>eature importance ranking from the Random Forest model shows that predictive strength is concentrated in a small group of highly influential variables. The top five features</w:t>
      </w:r>
      <w:r>
        <w:rPr>
          <w:rFonts w:ascii="Times New Roman" w:hAnsi="Times New Roman" w:cs="Times New Roman"/>
        </w:rPr>
        <w:t xml:space="preserve"> </w:t>
      </w:r>
      <w:r w:rsidRPr="004C763A">
        <w:rPr>
          <w:rFonts w:ascii="Times New Roman" w:hAnsi="Times New Roman" w:cs="Times New Roman"/>
        </w:rPr>
        <w:t>(</w:t>
      </w:r>
      <w:r w:rsidRPr="004C763A">
        <w:rPr>
          <w:rFonts w:ascii="Times New Roman" w:hAnsi="Times New Roman" w:cs="Times New Roman"/>
        </w:rPr>
        <w:t>price</w:t>
      </w:r>
      <w:r>
        <w:rPr>
          <w:rFonts w:ascii="Times New Roman" w:hAnsi="Times New Roman" w:cs="Times New Roman"/>
        </w:rPr>
        <w:t>_</w:t>
      </w:r>
      <w:r w:rsidRPr="004C763A">
        <w:rPr>
          <w:rFonts w:ascii="Times New Roman" w:hAnsi="Times New Roman" w:cs="Times New Roman"/>
        </w:rPr>
        <w:t>to_sma_50, momentum_10, return_1d, return_1d_lag1, and volume_lag1</w:t>
      </w:r>
      <w:r w:rsidRPr="004C763A">
        <w:rPr>
          <w:rFonts w:ascii="Times New Roman" w:hAnsi="Times New Roman" w:cs="Times New Roman"/>
        </w:rPr>
        <w:t xml:space="preserve">) </w:t>
      </w:r>
      <w:r w:rsidRPr="004C763A">
        <w:rPr>
          <w:rFonts w:ascii="Times New Roman" w:hAnsi="Times New Roman" w:cs="Times New Roman"/>
        </w:rPr>
        <w:t xml:space="preserve">all have </w:t>
      </w:r>
      <w:proofErr w:type="gramStart"/>
      <w:r w:rsidRPr="004C763A">
        <w:rPr>
          <w:rFonts w:ascii="Times New Roman" w:hAnsi="Times New Roman" w:cs="Times New Roman"/>
        </w:rPr>
        <w:t>importance</w:t>
      </w:r>
      <w:proofErr w:type="gramEnd"/>
      <w:r w:rsidRPr="004C763A">
        <w:rPr>
          <w:rFonts w:ascii="Times New Roman" w:hAnsi="Times New Roman" w:cs="Times New Roman"/>
        </w:rPr>
        <w:t xml:space="preserve"> scores close to or above 0.09, clearly separating themselves from the rest of the feature set. This indicates that the model relies most heavily on short-term return patterns, momentum values, and price position relative to a moving average. These features consistently appear at the top of both the numeric ranking and the </w:t>
      </w:r>
      <w:r w:rsidRPr="004C763A">
        <w:rPr>
          <w:rFonts w:ascii="Times New Roman" w:hAnsi="Times New Roman" w:cs="Times New Roman"/>
        </w:rPr>
        <w:t>top 10</w:t>
      </w:r>
      <w:r w:rsidRPr="004C763A">
        <w:rPr>
          <w:rFonts w:ascii="Times New Roman" w:hAnsi="Times New Roman" w:cs="Times New Roman"/>
        </w:rPr>
        <w:t xml:space="preserve"> bar chart.</w:t>
      </w:r>
    </w:p>
    <w:p w14:paraId="5AA7CA34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 xml:space="preserve">Mid-level contributors such as nasdaq_5d_return, sp500_5d_return, and vix_return_lag1 provide additional supportive information but with noticeably lower importance (around 0.05). Their influence is still meaningful, but not to the same extent as momentum and short-term returns. Variables like sector, </w:t>
      </w:r>
      <w:proofErr w:type="spellStart"/>
      <w:r w:rsidRPr="004C763A">
        <w:rPr>
          <w:rFonts w:ascii="Times New Roman" w:hAnsi="Times New Roman" w:cs="Times New Roman"/>
        </w:rPr>
        <w:t>day_of_week</w:t>
      </w:r>
      <w:proofErr w:type="spellEnd"/>
      <w:r w:rsidRPr="004C763A">
        <w:rPr>
          <w:rFonts w:ascii="Times New Roman" w:hAnsi="Times New Roman" w:cs="Times New Roman"/>
        </w:rPr>
        <w:t xml:space="preserve">, and </w:t>
      </w:r>
      <w:proofErr w:type="spellStart"/>
      <w:r w:rsidRPr="004C763A">
        <w:rPr>
          <w:rFonts w:ascii="Times New Roman" w:hAnsi="Times New Roman" w:cs="Times New Roman"/>
        </w:rPr>
        <w:t>market_regime</w:t>
      </w:r>
      <w:proofErr w:type="spellEnd"/>
      <w:r w:rsidRPr="004C763A">
        <w:rPr>
          <w:rFonts w:ascii="Times New Roman" w:hAnsi="Times New Roman" w:cs="Times New Roman"/>
        </w:rPr>
        <w:t xml:space="preserve"> contribute very little to the model and fall well below the 0.05 threshold, providing a clear justification for their removal.</w:t>
      </w:r>
    </w:p>
    <w:p w14:paraId="45EE64F5" w14:textId="0075D1E3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  <w:b/>
          <w:bCs/>
        </w:rPr>
        <w:t>Insight:</w:t>
      </w:r>
      <w:r w:rsidRPr="004C763A">
        <w:rPr>
          <w:rFonts w:ascii="Times New Roman" w:hAnsi="Times New Roman" w:cs="Times New Roman"/>
        </w:rPr>
        <w:br/>
        <w:t>The model prioritizes features that describe recent movement, short-term direction changes, and relative price positioning rather than categorical or regime-level indicators. Removing low-importance features slightly reduced accuracy (from 0.36 to 0.34), showing that the remaining feature set is lean but still captures the essential predictive structure of the model.</w:t>
      </w:r>
    </w:p>
    <w:p w14:paraId="65A3F639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2. Model Performance After Feature Selection</w:t>
      </w:r>
    </w:p>
    <w:p w14:paraId="2CE98258" w14:textId="77777777" w:rsidR="00163419" w:rsidRPr="00163419" w:rsidRDefault="00163419" w:rsidP="00163419">
      <w:pPr>
        <w:rPr>
          <w:rFonts w:ascii="Times New Roman" w:hAnsi="Times New Roman" w:cs="Times New Roman"/>
        </w:rPr>
      </w:pPr>
      <w:r w:rsidRPr="00163419">
        <w:rPr>
          <w:rFonts w:ascii="Times New Roman" w:hAnsi="Times New Roman" w:cs="Times New Roman"/>
        </w:rPr>
        <w:t>After reducing the feature set and applying hyperparameter tuning, the Tuned Random Forest (FI) achieved an accuracy of 35%, which is slightly lower than the full-feature Random Forest but still delivers more balanced class performance overall. The F1-scores remain consistent across all classes (0.28–0.38), with the strongest performance seen in the Uptrend class.</w:t>
      </w:r>
    </w:p>
    <w:p w14:paraId="153A2731" w14:textId="79D2C8C4" w:rsidR="00163419" w:rsidRPr="00163419" w:rsidRDefault="00163419" w:rsidP="00163419">
      <w:pPr>
        <w:rPr>
          <w:rFonts w:ascii="Times New Roman" w:hAnsi="Times New Roman" w:cs="Times New Roman"/>
        </w:rPr>
      </w:pPr>
      <w:r w:rsidRPr="00163419">
        <w:rPr>
          <w:rFonts w:ascii="Times New Roman" w:hAnsi="Times New Roman" w:cs="Times New Roman"/>
        </w:rPr>
        <w:t xml:space="preserve">The confusion matrix shows that the model continues to distribute predictions across all three classes, correctly identifying 672 Uptrend, 581 Sideways, and 358 Downtrend cases. Although some class </w:t>
      </w:r>
      <w:r w:rsidRPr="00163419">
        <w:rPr>
          <w:rFonts w:ascii="Times New Roman" w:hAnsi="Times New Roman" w:cs="Times New Roman"/>
        </w:rPr>
        <w:t>overlaps persist</w:t>
      </w:r>
      <w:r w:rsidRPr="00163419">
        <w:rPr>
          <w:rFonts w:ascii="Times New Roman" w:hAnsi="Times New Roman" w:cs="Times New Roman"/>
        </w:rPr>
        <w:t>, the tuned model demonstrates stable and reliable behavior even with fewer features.</w:t>
      </w:r>
    </w:p>
    <w:p w14:paraId="72FE3646" w14:textId="2686845E" w:rsidR="00163419" w:rsidRPr="00163419" w:rsidRDefault="00163419" w:rsidP="00163419">
      <w:pPr>
        <w:rPr>
          <w:rFonts w:ascii="Times New Roman" w:hAnsi="Times New Roman" w:cs="Times New Roman"/>
        </w:rPr>
      </w:pPr>
      <w:r w:rsidRPr="00163419">
        <w:rPr>
          <w:rFonts w:ascii="Times New Roman" w:hAnsi="Times New Roman" w:cs="Times New Roman"/>
          <w:b/>
          <w:bCs/>
        </w:rPr>
        <w:t>Overall Insight:</w:t>
      </w:r>
      <w:r w:rsidRPr="00163419">
        <w:rPr>
          <w:rFonts w:ascii="Times New Roman" w:hAnsi="Times New Roman" w:cs="Times New Roman"/>
        </w:rPr>
        <w:br/>
        <w:t>Despite a minor reduction in accuracy, the Tuned Random Forest (FI) is the most efficient and well-balanced version of the model. It preserves core predictive patterns while operating on a cleaner, non-redundant feature set</w:t>
      </w:r>
      <w:r>
        <w:rPr>
          <w:rFonts w:ascii="Times New Roman" w:hAnsi="Times New Roman" w:cs="Times New Roman"/>
        </w:rPr>
        <w:t xml:space="preserve"> - </w:t>
      </w:r>
      <w:r w:rsidRPr="00163419">
        <w:rPr>
          <w:rFonts w:ascii="Times New Roman" w:hAnsi="Times New Roman" w:cs="Times New Roman"/>
        </w:rPr>
        <w:t>making it the strongest model to carry forward from Week 2.</w:t>
      </w:r>
    </w:p>
    <w:p w14:paraId="6E7C315D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3. SHAP Class-Level Interpretation</w:t>
      </w:r>
    </w:p>
    <w:p w14:paraId="2D7EA071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SHAP results break down each feature's contribution across the three classes. The chart reveals clear patterns:</w:t>
      </w:r>
    </w:p>
    <w:p w14:paraId="6DDDD901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lastRenderedPageBreak/>
        <w:t>Sideways (Class 0)</w:t>
      </w:r>
    </w:p>
    <w:p w14:paraId="72DADFEA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Strongest contributions come from:</w:t>
      </w:r>
    </w:p>
    <w:p w14:paraId="51CD0B38" w14:textId="77777777" w:rsidR="004C763A" w:rsidRPr="004C763A" w:rsidRDefault="004C763A" w:rsidP="004C76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momentum_10</w:t>
      </w:r>
    </w:p>
    <w:p w14:paraId="42343CE2" w14:textId="77777777" w:rsidR="004C763A" w:rsidRPr="004C763A" w:rsidRDefault="004C763A" w:rsidP="004C76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nasdaq_5d_return</w:t>
      </w:r>
    </w:p>
    <w:p w14:paraId="69108643" w14:textId="77777777" w:rsidR="004C763A" w:rsidRPr="004C763A" w:rsidRDefault="004C763A" w:rsidP="004C76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return_1d_lag1</w:t>
      </w:r>
    </w:p>
    <w:p w14:paraId="39FBA237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These features contribute most to cases where the model predicts non-directional movement.</w:t>
      </w:r>
    </w:p>
    <w:p w14:paraId="058AE4B6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Downtrend (Class 1)</w:t>
      </w:r>
    </w:p>
    <w:p w14:paraId="3C74CD98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Driven mainly by:</w:t>
      </w:r>
    </w:p>
    <w:p w14:paraId="680011E3" w14:textId="77777777" w:rsidR="004C763A" w:rsidRPr="004C763A" w:rsidRDefault="004C763A" w:rsidP="004C7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momentum_10</w:t>
      </w:r>
    </w:p>
    <w:p w14:paraId="65BB3137" w14:textId="77777777" w:rsidR="004C763A" w:rsidRPr="004C763A" w:rsidRDefault="004C763A" w:rsidP="004C7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price_to_sma_50</w:t>
      </w:r>
    </w:p>
    <w:p w14:paraId="595BFF91" w14:textId="77777777" w:rsidR="004C763A" w:rsidRPr="004C763A" w:rsidRDefault="004C763A" w:rsidP="004C7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sp500_5d_return</w:t>
      </w:r>
    </w:p>
    <w:p w14:paraId="39684FCB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 xml:space="preserve">These features have the largest SHAP impact </w:t>
      </w:r>
      <w:proofErr w:type="gramStart"/>
      <w:r w:rsidRPr="004C763A">
        <w:rPr>
          <w:rFonts w:ascii="Times New Roman" w:hAnsi="Times New Roman" w:cs="Times New Roman"/>
        </w:rPr>
        <w:t>for</w:t>
      </w:r>
      <w:proofErr w:type="gramEnd"/>
      <w:r w:rsidRPr="004C763A">
        <w:rPr>
          <w:rFonts w:ascii="Times New Roman" w:hAnsi="Times New Roman" w:cs="Times New Roman"/>
        </w:rPr>
        <w:t xml:space="preserve"> samples classified as Downtrend, indicating their importance in distinguishing downward shifts.</w:t>
      </w:r>
    </w:p>
    <w:p w14:paraId="71C9EAB8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Uptrend (Class 2)</w:t>
      </w:r>
    </w:p>
    <w:p w14:paraId="6A3E9C16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Most influenced by:</w:t>
      </w:r>
    </w:p>
    <w:p w14:paraId="7EF6F2F2" w14:textId="77777777" w:rsidR="004C763A" w:rsidRPr="004C763A" w:rsidRDefault="004C763A" w:rsidP="004C76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price_to_sma_50</w:t>
      </w:r>
    </w:p>
    <w:p w14:paraId="62D330E3" w14:textId="77777777" w:rsidR="004C763A" w:rsidRPr="004C763A" w:rsidRDefault="004C763A" w:rsidP="004C76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nasdaq_5d_return</w:t>
      </w:r>
    </w:p>
    <w:p w14:paraId="5B0761C9" w14:textId="77777777" w:rsidR="004C763A" w:rsidRPr="004C763A" w:rsidRDefault="004C763A" w:rsidP="004C76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sp500_5d_return</w:t>
      </w:r>
    </w:p>
    <w:p w14:paraId="453F3662" w14:textId="77777777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These indicators show the highest contribution magnitude when the model predicts upward movement.</w:t>
      </w:r>
    </w:p>
    <w:p w14:paraId="5E4A27D7" w14:textId="5CF98BCA" w:rsidR="004C763A" w:rsidRPr="004C763A" w:rsidRDefault="004C763A" w:rsidP="004C763A">
      <w:p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  <w:b/>
          <w:bCs/>
        </w:rPr>
        <w:t>Insight:</w:t>
      </w:r>
      <w:r w:rsidRPr="004C763A">
        <w:rPr>
          <w:rFonts w:ascii="Times New Roman" w:hAnsi="Times New Roman" w:cs="Times New Roman"/>
        </w:rPr>
        <w:br/>
        <w:t>SHAP shows that each class depends on a distinct mix of features. Sideways relies on neutral momentum and mixed index returns; Downtrend relies on momentum paired with short-term weakening signals; Uptrend is influenced by strong recent index movement and relative price strength. This confirms that the model uses different combinations of the same features to separate directionality.</w:t>
      </w:r>
    </w:p>
    <w:p w14:paraId="5DE75A51" w14:textId="77777777" w:rsidR="004C763A" w:rsidRPr="004C763A" w:rsidRDefault="004C763A" w:rsidP="004C763A">
      <w:pPr>
        <w:rPr>
          <w:rFonts w:ascii="Times New Roman" w:hAnsi="Times New Roman" w:cs="Times New Roman"/>
          <w:b/>
          <w:bCs/>
        </w:rPr>
      </w:pPr>
      <w:r w:rsidRPr="004C763A">
        <w:rPr>
          <w:rFonts w:ascii="Times New Roman" w:hAnsi="Times New Roman" w:cs="Times New Roman"/>
          <w:b/>
          <w:bCs/>
        </w:rPr>
        <w:t>Final Interpretation Summary</w:t>
      </w:r>
    </w:p>
    <w:p w14:paraId="0F80AEE5" w14:textId="77777777" w:rsidR="004C763A" w:rsidRPr="004C763A" w:rsidRDefault="004C763A" w:rsidP="004C76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The model’s predictive power is concentrated in momentum, short-term returns, and relative price to SMA.</w:t>
      </w:r>
    </w:p>
    <w:p w14:paraId="56C23605" w14:textId="77777777" w:rsidR="004C763A" w:rsidRPr="004C763A" w:rsidRDefault="004C763A" w:rsidP="004C76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Low-importance features add minimal value and can be safely removed.</w:t>
      </w:r>
    </w:p>
    <w:p w14:paraId="739F4BCF" w14:textId="77777777" w:rsidR="004C763A" w:rsidRPr="004C763A" w:rsidRDefault="004C763A" w:rsidP="004C76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t>Class patterns observed in SHAP demonstrate that the model uses different features to identify each trend direction, even though overall accuracy remains modest.</w:t>
      </w:r>
    </w:p>
    <w:p w14:paraId="412C36EA" w14:textId="77777777" w:rsidR="004C763A" w:rsidRPr="004C763A" w:rsidRDefault="004C763A" w:rsidP="004C76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C763A">
        <w:rPr>
          <w:rFonts w:ascii="Times New Roman" w:hAnsi="Times New Roman" w:cs="Times New Roman"/>
        </w:rPr>
        <w:lastRenderedPageBreak/>
        <w:t>The reduced-feature model remains stable, indicating strong predictive redundancy in the top features.</w:t>
      </w:r>
    </w:p>
    <w:p w14:paraId="38D43D2D" w14:textId="77777777" w:rsidR="00282E97" w:rsidRPr="004C763A" w:rsidRDefault="00282E97">
      <w:pPr>
        <w:rPr>
          <w:rFonts w:ascii="Times New Roman" w:hAnsi="Times New Roman" w:cs="Times New Roman"/>
        </w:rPr>
      </w:pPr>
    </w:p>
    <w:sectPr w:rsidR="00282E97" w:rsidRPr="004C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FDB"/>
    <w:multiLevelType w:val="hybridMultilevel"/>
    <w:tmpl w:val="F02AF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D5BCE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45A19"/>
    <w:multiLevelType w:val="hybridMultilevel"/>
    <w:tmpl w:val="70CE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6653D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B738F"/>
    <w:multiLevelType w:val="hybridMultilevel"/>
    <w:tmpl w:val="3038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7354E"/>
    <w:multiLevelType w:val="hybridMultilevel"/>
    <w:tmpl w:val="3B28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D4986"/>
    <w:multiLevelType w:val="hybridMultilevel"/>
    <w:tmpl w:val="C512E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E1F57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56F93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B79C5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186194">
    <w:abstractNumId w:val="8"/>
  </w:num>
  <w:num w:numId="2" w16cid:durableId="748815425">
    <w:abstractNumId w:val="1"/>
  </w:num>
  <w:num w:numId="3" w16cid:durableId="1989358957">
    <w:abstractNumId w:val="7"/>
  </w:num>
  <w:num w:numId="4" w16cid:durableId="760877459">
    <w:abstractNumId w:val="3"/>
  </w:num>
  <w:num w:numId="5" w16cid:durableId="1040013041">
    <w:abstractNumId w:val="9"/>
  </w:num>
  <w:num w:numId="6" w16cid:durableId="1610505147">
    <w:abstractNumId w:val="4"/>
  </w:num>
  <w:num w:numId="7" w16cid:durableId="283538581">
    <w:abstractNumId w:val="5"/>
  </w:num>
  <w:num w:numId="8" w16cid:durableId="281961537">
    <w:abstractNumId w:val="6"/>
  </w:num>
  <w:num w:numId="9" w16cid:durableId="1154025389">
    <w:abstractNumId w:val="2"/>
  </w:num>
  <w:num w:numId="10" w16cid:durableId="46558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3A"/>
    <w:rsid w:val="00163419"/>
    <w:rsid w:val="00282E97"/>
    <w:rsid w:val="004C763A"/>
    <w:rsid w:val="0086711F"/>
    <w:rsid w:val="0097561D"/>
    <w:rsid w:val="00B8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5AAE"/>
  <w15:chartTrackingRefBased/>
  <w15:docId w15:val="{8EE25379-A4DA-4C67-A8ED-D18920A2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3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3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3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C763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C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567</Words>
  <Characters>3601</Characters>
  <Application>Microsoft Office Word</Application>
  <DocSecurity>0</DocSecurity>
  <Lines>105</Lines>
  <Paragraphs>75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Dania</dc:creator>
  <cp:keywords/>
  <dc:description/>
  <cp:lastModifiedBy>Susan Dania</cp:lastModifiedBy>
  <cp:revision>2</cp:revision>
  <dcterms:created xsi:type="dcterms:W3CDTF">2025-11-23T19:25:00Z</dcterms:created>
  <dcterms:modified xsi:type="dcterms:W3CDTF">2025-11-23T19:42:00Z</dcterms:modified>
</cp:coreProperties>
</file>