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73367" w14:textId="00621EFA" w:rsidR="00DB748E" w:rsidRPr="004F7B6B" w:rsidRDefault="00616979">
      <w:pPr>
        <w:rPr>
          <w:b/>
          <w:bCs/>
          <w:sz w:val="28"/>
          <w:szCs w:val="28"/>
        </w:rPr>
      </w:pPr>
      <w:r w:rsidRPr="004F7B6B">
        <w:rPr>
          <w:b/>
          <w:bCs/>
          <w:sz w:val="28"/>
          <w:szCs w:val="28"/>
        </w:rPr>
        <w:t>Critical variables</w:t>
      </w:r>
      <w:r w:rsidR="00123DD0" w:rsidRPr="004F7B6B">
        <w:rPr>
          <w:b/>
          <w:bCs/>
          <w:sz w:val="28"/>
          <w:szCs w:val="28"/>
        </w:rPr>
        <w:t xml:space="preserve"> for manual medical review:</w:t>
      </w:r>
    </w:p>
    <w:p w14:paraId="2A677335" w14:textId="7966B1D9" w:rsidR="008E3CE9" w:rsidRPr="00064D84" w:rsidRDefault="008E3CE9">
      <w:pPr>
        <w:rPr>
          <w:b/>
          <w:bCs/>
        </w:rPr>
      </w:pPr>
      <w:r>
        <w:rPr>
          <w:b/>
          <w:bCs/>
          <w:u w:val="single"/>
        </w:rPr>
        <w:t>Ankle brachial index score- &lt;</w:t>
      </w:r>
      <w:r w:rsidRPr="008E3CE9">
        <w:rPr>
          <w:b/>
          <w:bCs/>
        </w:rPr>
        <w:t>0.4 indicate severe disease- check</w:t>
      </w:r>
      <w:r>
        <w:rPr>
          <w:b/>
          <w:bCs/>
          <w:u w:val="single"/>
        </w:rPr>
        <w:t xml:space="preserve"> AE </w:t>
      </w:r>
      <w:r w:rsidRPr="008E3CE9">
        <w:rPr>
          <w:b/>
          <w:bCs/>
        </w:rPr>
        <w:t>if entered or not</w:t>
      </w:r>
      <w:r w:rsidR="0022270C">
        <w:rPr>
          <w:b/>
          <w:bCs/>
        </w:rPr>
        <w:t>; query site if site doesn’t enter AE</w:t>
      </w:r>
      <w:r w:rsidR="004A0A14">
        <w:rPr>
          <w:b/>
          <w:bCs/>
        </w:rPr>
        <w:t xml:space="preserve">  </w:t>
      </w:r>
      <w:r w:rsidR="004A0A14" w:rsidRPr="004A0A14">
        <w:rPr>
          <w:b/>
          <w:bCs/>
          <w:color w:val="FF0000"/>
        </w:rPr>
        <w:t>Susan to create listing.</w:t>
      </w:r>
    </w:p>
    <w:p w14:paraId="6BEBC0BF" w14:textId="40E12114" w:rsidR="00616979" w:rsidRPr="004A0A14" w:rsidRDefault="00616979">
      <w:pPr>
        <w:rPr>
          <w:b/>
          <w:bCs/>
          <w:color w:val="FF0000"/>
        </w:rPr>
      </w:pPr>
      <w:r w:rsidRPr="004F7B6B">
        <w:rPr>
          <w:b/>
          <w:bCs/>
          <w:u w:val="single"/>
        </w:rPr>
        <w:t>Framingham scores</w:t>
      </w:r>
      <w:r w:rsidRPr="00996CB0">
        <w:rPr>
          <w:b/>
          <w:bCs/>
        </w:rPr>
        <w:t xml:space="preserve"> – check the calculation of </w:t>
      </w:r>
      <w:r w:rsidRPr="004F7B6B">
        <w:rPr>
          <w:b/>
          <w:bCs/>
          <w:u w:val="single"/>
        </w:rPr>
        <w:t>HTN, AGE, cholesterol, DM</w:t>
      </w:r>
      <w:r w:rsidRPr="00996CB0">
        <w:rPr>
          <w:b/>
          <w:bCs/>
        </w:rPr>
        <w:t xml:space="preserve"> scoring</w:t>
      </w:r>
      <w:r w:rsidR="004A0A14">
        <w:rPr>
          <w:b/>
          <w:bCs/>
        </w:rPr>
        <w:t xml:space="preserve"> – </w:t>
      </w:r>
      <w:r w:rsidR="004A0A14" w:rsidRPr="004A0A14">
        <w:rPr>
          <w:b/>
          <w:bCs/>
          <w:color w:val="FF0000"/>
        </w:rPr>
        <w:t>explain that is just observing the site’s assessment and not something we would have the site change if it is scored incorrectly</w:t>
      </w:r>
    </w:p>
    <w:p w14:paraId="31FDFCE8" w14:textId="7EAB628C" w:rsidR="00462EBC" w:rsidRDefault="00462EBC">
      <w:pPr>
        <w:rPr>
          <w:b/>
          <w:bCs/>
          <w:color w:val="FF0000"/>
        </w:rPr>
      </w:pPr>
      <w:r w:rsidRPr="004F7B6B">
        <w:rPr>
          <w:b/>
          <w:bCs/>
          <w:u w:val="single"/>
        </w:rPr>
        <w:t>Baseline</w:t>
      </w:r>
      <w:r>
        <w:rPr>
          <w:b/>
          <w:bCs/>
        </w:rPr>
        <w:t xml:space="preserve">- ensure </w:t>
      </w:r>
      <w:r w:rsidRPr="004F7B6B">
        <w:rPr>
          <w:b/>
          <w:bCs/>
          <w:u w:val="single"/>
        </w:rPr>
        <w:t>cytogenetic and molecular testing</w:t>
      </w:r>
      <w:r>
        <w:rPr>
          <w:b/>
          <w:bCs/>
        </w:rPr>
        <w:t xml:space="preserve"> done at baseline to</w:t>
      </w:r>
      <w:r w:rsidR="00C86638">
        <w:rPr>
          <w:b/>
          <w:bCs/>
        </w:rPr>
        <w:t xml:space="preserve"> confirm disease, </w:t>
      </w:r>
      <w:r w:rsidR="00C86638" w:rsidRPr="004F7B6B">
        <w:rPr>
          <w:b/>
          <w:bCs/>
          <w:u w:val="single"/>
        </w:rPr>
        <w:t>CP-CML INFORMATION AT ENROLLMENT</w:t>
      </w:r>
      <w:r w:rsidR="00C86638">
        <w:rPr>
          <w:b/>
          <w:bCs/>
        </w:rPr>
        <w:t xml:space="preserve">- check subject is treatment naïve and starting on the </w:t>
      </w:r>
      <w:r w:rsidR="00C86638" w:rsidRPr="00C86638">
        <w:rPr>
          <w:b/>
          <w:bCs/>
        </w:rPr>
        <w:t>dasatinib, imatinib, nilotinib, or bosutinib</w:t>
      </w:r>
      <w:r w:rsidR="00C86638">
        <w:rPr>
          <w:b/>
          <w:bCs/>
        </w:rPr>
        <w:t>.</w:t>
      </w:r>
      <w:r w:rsidR="004A0A14">
        <w:rPr>
          <w:b/>
          <w:bCs/>
        </w:rPr>
        <w:t xml:space="preserve"> </w:t>
      </w:r>
      <w:r w:rsidR="004A0A14">
        <w:rPr>
          <w:b/>
          <w:bCs/>
          <w:color w:val="FF0000"/>
        </w:rPr>
        <w:t>Susan to create listing</w:t>
      </w:r>
      <w:r w:rsidR="001264F6">
        <w:rPr>
          <w:b/>
          <w:bCs/>
          <w:color w:val="FF0000"/>
        </w:rPr>
        <w:t xml:space="preserve"> cytogenetic testing</w:t>
      </w:r>
      <w:r w:rsidR="004A0A14">
        <w:rPr>
          <w:b/>
          <w:bCs/>
          <w:color w:val="FF0000"/>
        </w:rPr>
        <w:t>- if not present will need to be added to the protocol deviations</w:t>
      </w:r>
    </w:p>
    <w:p w14:paraId="0FF09B70" w14:textId="1FB8FA19" w:rsidR="001264F6" w:rsidRPr="004A0A14" w:rsidRDefault="001264F6">
      <w:pPr>
        <w:rPr>
          <w:b/>
          <w:bCs/>
          <w:color w:val="FF0000"/>
        </w:rPr>
      </w:pPr>
      <w:r>
        <w:rPr>
          <w:b/>
          <w:bCs/>
          <w:color w:val="FF0000"/>
        </w:rPr>
        <w:t>Susan to create a listing to co</w:t>
      </w:r>
      <w:r w:rsidR="00A901F3">
        <w:rPr>
          <w:b/>
          <w:bCs/>
          <w:color w:val="FF0000"/>
        </w:rPr>
        <w:t>n</w:t>
      </w:r>
      <w:r>
        <w:rPr>
          <w:b/>
          <w:bCs/>
          <w:color w:val="FF0000"/>
        </w:rPr>
        <w:t>fir</w:t>
      </w:r>
      <w:r w:rsidR="00A901F3">
        <w:rPr>
          <w:b/>
          <w:bCs/>
          <w:color w:val="FF0000"/>
        </w:rPr>
        <w:t>m</w:t>
      </w:r>
      <w:r>
        <w:rPr>
          <w:b/>
          <w:bCs/>
          <w:color w:val="FF0000"/>
        </w:rPr>
        <w:t xml:space="preserve"> start date of medication is after the informed consent date.</w:t>
      </w:r>
    </w:p>
    <w:p w14:paraId="4E4E406B" w14:textId="165F471C" w:rsidR="00616979" w:rsidRPr="00A901F3" w:rsidRDefault="00616979" w:rsidP="00A901F3">
      <w:pPr>
        <w:pStyle w:val="NoSpacing"/>
        <w:rPr>
          <w:color w:val="FF0000"/>
        </w:rPr>
      </w:pPr>
      <w:r w:rsidRPr="004F7B6B">
        <w:rPr>
          <w:u w:val="single"/>
        </w:rPr>
        <w:t>Lab</w:t>
      </w:r>
      <w:r w:rsidR="0027742A" w:rsidRPr="004F7B6B">
        <w:rPr>
          <w:u w:val="single"/>
        </w:rPr>
        <w:t>oratory assessments</w:t>
      </w:r>
      <w:r w:rsidR="0027742A">
        <w:t xml:space="preserve"> - check lab values and see if any grade 3 or grade 4 and clinically significant lab values are included in AE as well.</w:t>
      </w:r>
      <w:r w:rsidR="004A0A14">
        <w:t xml:space="preserve">  </w:t>
      </w:r>
      <w:r w:rsidR="001264F6" w:rsidRPr="00A901F3">
        <w:rPr>
          <w:color w:val="FF0000"/>
        </w:rPr>
        <w:t xml:space="preserve">Patti to create ranges and check with Andreas to see if the list of </w:t>
      </w:r>
      <w:r w:rsidR="00436CA9" w:rsidRPr="00A901F3">
        <w:rPr>
          <w:color w:val="FF0000"/>
        </w:rPr>
        <w:t>values is acceptable.</w:t>
      </w:r>
    </w:p>
    <w:p w14:paraId="6037AF39" w14:textId="3A47AA5C" w:rsidR="00A901F3" w:rsidRPr="00A901F3" w:rsidRDefault="00A901F3" w:rsidP="00A901F3">
      <w:pPr>
        <w:rPr>
          <w:color w:val="FF0000"/>
        </w:rPr>
      </w:pPr>
      <w:r w:rsidRPr="00A901F3">
        <w:rPr>
          <w:color w:val="FF0000"/>
        </w:rPr>
        <w:t>AE of special interest list to determine which labs will be reviewed.</w:t>
      </w:r>
    </w:p>
    <w:p w14:paraId="01CF1A50" w14:textId="0F40820C" w:rsidR="00C86A14" w:rsidRPr="00436CA9" w:rsidRDefault="00C86A14">
      <w:pPr>
        <w:rPr>
          <w:b/>
          <w:bCs/>
          <w:color w:val="FF0000"/>
          <w:u w:val="single"/>
        </w:rPr>
      </w:pPr>
      <w:r w:rsidRPr="004F7B6B">
        <w:rPr>
          <w:b/>
          <w:bCs/>
          <w:u w:val="single"/>
        </w:rPr>
        <w:t>Sokal scores</w:t>
      </w:r>
      <w:r w:rsidR="00436CA9">
        <w:rPr>
          <w:b/>
          <w:bCs/>
          <w:u w:val="single"/>
        </w:rPr>
        <w:t xml:space="preserve"> </w:t>
      </w:r>
      <w:r w:rsidR="00436CA9" w:rsidRPr="00436CA9">
        <w:rPr>
          <w:b/>
          <w:bCs/>
          <w:color w:val="FF0000"/>
        </w:rPr>
        <w:t>Susan to create listing for if the score is present, but there are missing values.</w:t>
      </w:r>
    </w:p>
    <w:p w14:paraId="2B0A2B67" w14:textId="23166D04" w:rsidR="00616979" w:rsidRPr="00436CA9" w:rsidRDefault="00616979">
      <w:pPr>
        <w:rPr>
          <w:b/>
          <w:bCs/>
          <w:color w:val="FF0000"/>
        </w:rPr>
      </w:pPr>
      <w:r w:rsidRPr="00434CE3">
        <w:rPr>
          <w:b/>
          <w:bCs/>
          <w:u w:val="single"/>
        </w:rPr>
        <w:t>AE</w:t>
      </w:r>
      <w:r w:rsidR="00462EBC">
        <w:rPr>
          <w:b/>
          <w:bCs/>
        </w:rPr>
        <w:t xml:space="preserve">- </w:t>
      </w:r>
      <w:r w:rsidR="00C86638">
        <w:rPr>
          <w:b/>
          <w:bCs/>
        </w:rPr>
        <w:t xml:space="preserve">if ae includes treatment, </w:t>
      </w:r>
      <w:r w:rsidR="00462EBC">
        <w:rPr>
          <w:b/>
          <w:bCs/>
        </w:rPr>
        <w:t xml:space="preserve">check </w:t>
      </w:r>
      <w:r w:rsidR="00462EBC" w:rsidRPr="004F7B6B">
        <w:rPr>
          <w:b/>
          <w:bCs/>
          <w:u w:val="single"/>
        </w:rPr>
        <w:t>concomitant medication/ procedures</w:t>
      </w:r>
      <w:r w:rsidR="00462EBC">
        <w:rPr>
          <w:b/>
          <w:bCs/>
        </w:rPr>
        <w:t>. If SAE reported, make sure grade is not 1 or 2, most likely wouldn’t be an SAE if only grade 1 or 2.</w:t>
      </w:r>
      <w:r w:rsidR="00436CA9">
        <w:rPr>
          <w:b/>
          <w:bCs/>
        </w:rPr>
        <w:t xml:space="preserve">  </w:t>
      </w:r>
      <w:r w:rsidR="00436CA9">
        <w:rPr>
          <w:b/>
          <w:bCs/>
          <w:color w:val="FF0000"/>
        </w:rPr>
        <w:t>Not needed.  Only need to be reported if higher grade, but if the site feels the need to report, then we don’t remove the SAE report.</w:t>
      </w:r>
      <w:r w:rsidR="00B078BD">
        <w:rPr>
          <w:b/>
          <w:bCs/>
          <w:color w:val="FF0000"/>
        </w:rPr>
        <w:t xml:space="preserve"> Check that Syenos is not doing this.</w:t>
      </w:r>
    </w:p>
    <w:p w14:paraId="4CB5EF43" w14:textId="016F5AD4" w:rsidR="005227D6" w:rsidRPr="00582C10" w:rsidRDefault="005227D6">
      <w:pPr>
        <w:rPr>
          <w:b/>
          <w:bCs/>
          <w:color w:val="FF0000"/>
        </w:rPr>
      </w:pPr>
      <w:r w:rsidRPr="00987C51">
        <w:rPr>
          <w:b/>
          <w:bCs/>
          <w:u w:val="single"/>
        </w:rPr>
        <w:t>Visit summary pages- changes in cardiac or metabolic condition</w:t>
      </w:r>
      <w:r>
        <w:rPr>
          <w:b/>
          <w:bCs/>
        </w:rPr>
        <w:t>- if applicable, check if the event is registered in AE as well (for ex: coronary arterosclerosis)</w:t>
      </w:r>
      <w:r w:rsidR="00436CA9">
        <w:rPr>
          <w:b/>
          <w:bCs/>
        </w:rPr>
        <w:t xml:space="preserve"> </w:t>
      </w:r>
      <w:r w:rsidR="00582C10">
        <w:rPr>
          <w:b/>
          <w:bCs/>
          <w:color w:val="FF0000"/>
        </w:rPr>
        <w:t>The form just says new of change in CV or/and Metabolic conditions- this could be improvement.  Not able to create a listing for this.</w:t>
      </w:r>
    </w:p>
    <w:p w14:paraId="658E2859" w14:textId="2E60E615" w:rsidR="00123DD0" w:rsidRDefault="0027742A">
      <w:pPr>
        <w:rPr>
          <w:b/>
          <w:bCs/>
          <w:color w:val="FF0000"/>
        </w:rPr>
      </w:pPr>
      <w:r w:rsidRPr="00987C51">
        <w:rPr>
          <w:b/>
          <w:bCs/>
          <w:u w:val="single"/>
        </w:rPr>
        <w:t xml:space="preserve">Visit summary pages- </w:t>
      </w:r>
      <w:r w:rsidR="00123DD0" w:rsidRPr="00987C51">
        <w:rPr>
          <w:b/>
          <w:bCs/>
          <w:u w:val="single"/>
        </w:rPr>
        <w:t>Imatinib therapy</w:t>
      </w:r>
      <w:r>
        <w:rPr>
          <w:b/>
          <w:bCs/>
        </w:rPr>
        <w:t>- check when patient switched the TKI and match the start and stop date of TKI treatment.</w:t>
      </w:r>
      <w:r w:rsidR="00582C10">
        <w:rPr>
          <w:b/>
          <w:bCs/>
        </w:rPr>
        <w:t xml:space="preserve">  </w:t>
      </w:r>
      <w:r w:rsidR="00FF3A32">
        <w:rPr>
          <w:b/>
          <w:bCs/>
          <w:color w:val="FF0000"/>
        </w:rPr>
        <w:t xml:space="preserve">Need to compare Imatinib, Methotrexate combination therapy with the Imatinib therapy form to ensure the start and stop dates match.   Same for Dasatinib and vincristine and Dasatinib, Methotrexate, cytarabine, 6 mercaptopurine, Dasatinib with Prednisone and intrathecal Methotrexate combination therapy.  </w:t>
      </w:r>
    </w:p>
    <w:p w14:paraId="56676CE0" w14:textId="32358D8A" w:rsidR="00B078BD" w:rsidRDefault="00B078BD">
      <w:pPr>
        <w:rPr>
          <w:b/>
          <w:bCs/>
          <w:color w:val="FF0000"/>
        </w:rPr>
      </w:pPr>
      <w:r>
        <w:rPr>
          <w:b/>
          <w:bCs/>
          <w:color w:val="FF0000"/>
        </w:rPr>
        <w:t>When the patient switches TKI therapy, compare that there is a response assessment of progression.</w:t>
      </w:r>
    </w:p>
    <w:p w14:paraId="520A7EC8" w14:textId="475527E9" w:rsidR="00B078BD" w:rsidRDefault="00B078BD">
      <w:pPr>
        <w:rPr>
          <w:b/>
          <w:bCs/>
          <w:color w:val="FF0000"/>
        </w:rPr>
      </w:pPr>
      <w:r>
        <w:rPr>
          <w:b/>
          <w:bCs/>
          <w:color w:val="FF0000"/>
        </w:rPr>
        <w:t>Check box yes changed, then be sure there is a new TKI listed.</w:t>
      </w:r>
    </w:p>
    <w:p w14:paraId="28E8E153" w14:textId="37C96E95" w:rsidR="0066434E" w:rsidRPr="00582C10" w:rsidRDefault="0066434E">
      <w:pPr>
        <w:rPr>
          <w:b/>
          <w:bCs/>
          <w:color w:val="FF0000"/>
        </w:rPr>
      </w:pPr>
      <w:r>
        <w:rPr>
          <w:b/>
          <w:bCs/>
          <w:color w:val="FF0000"/>
        </w:rPr>
        <w:t>If the patient switches from the initial TKI, then followed only for survival, reason for change and what to their new regimen.  Ensure, assessment data is not being captured for this patient.  No more assessments only survival information.</w:t>
      </w:r>
    </w:p>
    <w:p w14:paraId="0EC09F0B" w14:textId="3C07936B" w:rsidR="00123DD0" w:rsidRDefault="0027742A">
      <w:pPr>
        <w:rPr>
          <w:b/>
          <w:bCs/>
        </w:rPr>
      </w:pPr>
      <w:r w:rsidRPr="00987C51">
        <w:rPr>
          <w:b/>
          <w:bCs/>
          <w:u w:val="single"/>
        </w:rPr>
        <w:t xml:space="preserve">Visit summary pages- </w:t>
      </w:r>
      <w:r w:rsidR="00123DD0" w:rsidRPr="00987C51">
        <w:rPr>
          <w:b/>
          <w:bCs/>
        </w:rPr>
        <w:t>Discontinuation of tki treatment</w:t>
      </w:r>
      <w:r w:rsidR="00123DD0">
        <w:rPr>
          <w:b/>
          <w:bCs/>
        </w:rPr>
        <w:t>- check when subject switched to different medication (</w:t>
      </w:r>
      <w:r w:rsidR="00123DD0" w:rsidRPr="00987C51">
        <w:rPr>
          <w:b/>
          <w:bCs/>
          <w:u w:val="single"/>
        </w:rPr>
        <w:t>CHEMO AND NON CHEMO</w:t>
      </w:r>
      <w:r w:rsidR="00123DD0">
        <w:rPr>
          <w:b/>
          <w:bCs/>
        </w:rPr>
        <w:t>- make sure the new treatment regimens are included in the Chemo and Non chemo section)</w:t>
      </w:r>
      <w:r w:rsidR="00955D2C">
        <w:rPr>
          <w:b/>
          <w:bCs/>
        </w:rPr>
        <w:t xml:space="preserve">  </w:t>
      </w:r>
      <w:r w:rsidR="00955D2C" w:rsidRPr="00955D2C">
        <w:rPr>
          <w:b/>
          <w:bCs/>
          <w:color w:val="FF0000"/>
        </w:rPr>
        <w:t>See above.</w:t>
      </w:r>
    </w:p>
    <w:p w14:paraId="4C20AB61" w14:textId="375FFC3C" w:rsidR="000E5820" w:rsidRDefault="000E5820" w:rsidP="000E5820">
      <w:pPr>
        <w:rPr>
          <w:b/>
          <w:bCs/>
        </w:rPr>
      </w:pPr>
      <w:r w:rsidRPr="00987C51">
        <w:rPr>
          <w:b/>
          <w:bCs/>
          <w:u w:val="single"/>
        </w:rPr>
        <w:t>Imaging assessments</w:t>
      </w:r>
      <w:r>
        <w:rPr>
          <w:b/>
          <w:bCs/>
        </w:rPr>
        <w:t xml:space="preserve">- </w:t>
      </w:r>
      <w:r w:rsidRPr="00987C51">
        <w:rPr>
          <w:b/>
          <w:bCs/>
          <w:u w:val="single"/>
        </w:rPr>
        <w:t>EKG</w:t>
      </w:r>
      <w:r w:rsidR="00295FAE">
        <w:rPr>
          <w:b/>
          <w:bCs/>
        </w:rPr>
        <w:t xml:space="preserve"> normal qtc within 400-440 or 460</w:t>
      </w:r>
      <w:r>
        <w:rPr>
          <w:b/>
          <w:bCs/>
        </w:rPr>
        <w:t xml:space="preserve">, </w:t>
      </w:r>
      <w:r w:rsidRPr="00987C51">
        <w:rPr>
          <w:b/>
          <w:bCs/>
          <w:u w:val="single"/>
        </w:rPr>
        <w:t>Chest x ray, central ct and ECHO</w:t>
      </w:r>
      <w:r w:rsidR="00295FAE">
        <w:rPr>
          <w:b/>
          <w:bCs/>
        </w:rPr>
        <w:t xml:space="preserve"> normal 55%-70%</w:t>
      </w:r>
      <w:r>
        <w:rPr>
          <w:b/>
          <w:bCs/>
        </w:rPr>
        <w:t xml:space="preserve"> - check if any abnormality and clinically significant, report as </w:t>
      </w:r>
      <w:r w:rsidRPr="00987C51">
        <w:rPr>
          <w:b/>
          <w:bCs/>
          <w:u w:val="single"/>
        </w:rPr>
        <w:t>AE TERM</w:t>
      </w:r>
      <w:r>
        <w:rPr>
          <w:b/>
          <w:bCs/>
        </w:rPr>
        <w:t xml:space="preserve"> (for ex: </w:t>
      </w:r>
      <w:r w:rsidR="00860E28">
        <w:rPr>
          <w:b/>
          <w:bCs/>
        </w:rPr>
        <w:t xml:space="preserve">if ekG abnormal for ex: </w:t>
      </w:r>
      <w:r>
        <w:rPr>
          <w:b/>
          <w:bCs/>
        </w:rPr>
        <w:t>atrial frbillation, v tach, or torsades de pointes</w:t>
      </w:r>
      <w:r w:rsidR="00295FAE">
        <w:rPr>
          <w:b/>
          <w:bCs/>
        </w:rPr>
        <w:t xml:space="preserve"> when QTC&gt;500</w:t>
      </w:r>
      <w:r>
        <w:rPr>
          <w:b/>
          <w:bCs/>
        </w:rPr>
        <w:t>,</w:t>
      </w:r>
      <w:r w:rsidR="00295FAE">
        <w:rPr>
          <w:b/>
          <w:bCs/>
        </w:rPr>
        <w:t xml:space="preserve"> </w:t>
      </w:r>
      <w:r w:rsidR="00860E28">
        <w:rPr>
          <w:b/>
          <w:bCs/>
        </w:rPr>
        <w:t xml:space="preserve">ECHO- </w:t>
      </w:r>
      <w:r w:rsidR="00295FAE">
        <w:rPr>
          <w:b/>
          <w:bCs/>
        </w:rPr>
        <w:t>low lvEF value &lt;40% indicates heart failure</w:t>
      </w:r>
      <w:r>
        <w:rPr>
          <w:b/>
          <w:bCs/>
        </w:rPr>
        <w:t xml:space="preserve"> need to be reported as AE)</w:t>
      </w:r>
      <w:r w:rsidR="00955D2C">
        <w:rPr>
          <w:b/>
          <w:bCs/>
        </w:rPr>
        <w:t xml:space="preserve">  </w:t>
      </w:r>
      <w:r w:rsidR="00955D2C" w:rsidRPr="00955D2C">
        <w:rPr>
          <w:b/>
          <w:bCs/>
          <w:color w:val="FF0000"/>
        </w:rPr>
        <w:t>Susan to check if site says significant that the AE exists.</w:t>
      </w:r>
    </w:p>
    <w:p w14:paraId="6C573523" w14:textId="52B01ED6" w:rsidR="00987C51" w:rsidRPr="00955D2C" w:rsidRDefault="00094AB3">
      <w:pPr>
        <w:rPr>
          <w:rFonts w:ascii="TimesNewRoman" w:eastAsia="TimesNewRoman" w:cs="TimesNewRoman"/>
          <w:color w:val="FF0000"/>
          <w:sz w:val="20"/>
          <w:szCs w:val="20"/>
        </w:rPr>
      </w:pPr>
      <w:r w:rsidRPr="00987C51">
        <w:rPr>
          <w:b/>
          <w:bCs/>
          <w:u w:val="single"/>
        </w:rPr>
        <w:t>Response to index tki treatment</w:t>
      </w:r>
      <w:r w:rsidR="006E7523">
        <w:rPr>
          <w:b/>
          <w:bCs/>
        </w:rPr>
        <w:t xml:space="preserve"> tab</w:t>
      </w:r>
      <w:r w:rsidR="00436F6A">
        <w:rPr>
          <w:b/>
          <w:bCs/>
        </w:rPr>
        <w:t xml:space="preserve">- </w:t>
      </w:r>
      <w:r w:rsidR="00955D2C">
        <w:rPr>
          <w:b/>
          <w:bCs/>
          <w:color w:val="FF0000"/>
        </w:rPr>
        <w:t>Susan to check if there is cytogenetic information entered in the EDC for the date of the response assessment.</w:t>
      </w:r>
    </w:p>
    <w:p w14:paraId="07991D3D" w14:textId="64444CBE" w:rsidR="0075308C" w:rsidRDefault="0075308C">
      <w:pPr>
        <w:rPr>
          <w:rFonts w:ascii="TimesNewRoman" w:eastAsia="TimesNewRoman" w:cs="TimesNewRoman"/>
          <w:sz w:val="20"/>
          <w:szCs w:val="20"/>
        </w:rPr>
      </w:pPr>
      <w:r w:rsidRPr="0075308C">
        <w:rPr>
          <w:rFonts w:ascii="TimesNewRoman" w:eastAsia="TimesNewRoman" w:cs="TimesNewRoman"/>
          <w:noProof/>
          <w:sz w:val="20"/>
          <w:szCs w:val="20"/>
        </w:rPr>
        <w:lastRenderedPageBreak/>
        <w:drawing>
          <wp:inline distT="0" distB="0" distL="0" distR="0" wp14:anchorId="2B410677" wp14:editId="3A7B3D6F">
            <wp:extent cx="6560820" cy="875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60820" cy="875665"/>
                    </a:xfrm>
                    <a:prstGeom prst="rect">
                      <a:avLst/>
                    </a:prstGeom>
                  </pic:spPr>
                </pic:pic>
              </a:graphicData>
            </a:graphic>
          </wp:inline>
        </w:drawing>
      </w:r>
    </w:p>
    <w:tbl>
      <w:tblPr>
        <w:tblStyle w:val="TableGrid"/>
        <w:tblW w:w="0" w:type="auto"/>
        <w:tblLook w:val="04A0" w:firstRow="1" w:lastRow="0" w:firstColumn="1" w:lastColumn="0" w:noHBand="0" w:noVBand="1"/>
      </w:tblPr>
      <w:tblGrid>
        <w:gridCol w:w="2490"/>
        <w:gridCol w:w="2488"/>
        <w:gridCol w:w="2852"/>
        <w:gridCol w:w="2492"/>
      </w:tblGrid>
      <w:tr w:rsidR="0075308C" w14:paraId="27E372CD" w14:textId="77777777" w:rsidTr="001D731C">
        <w:tc>
          <w:tcPr>
            <w:tcW w:w="2490" w:type="dxa"/>
          </w:tcPr>
          <w:p w14:paraId="72680E7E" w14:textId="77777777" w:rsidR="0075308C" w:rsidRDefault="0075308C" w:rsidP="00AF583D">
            <w:pPr>
              <w:rPr>
                <w:b/>
                <w:bCs/>
              </w:rPr>
            </w:pPr>
            <w:r>
              <w:rPr>
                <w:b/>
                <w:bCs/>
              </w:rPr>
              <w:t>Type of response</w:t>
            </w:r>
          </w:p>
        </w:tc>
        <w:tc>
          <w:tcPr>
            <w:tcW w:w="2488" w:type="dxa"/>
          </w:tcPr>
          <w:p w14:paraId="1D00E013" w14:textId="77777777" w:rsidR="0075308C" w:rsidRDefault="0075308C" w:rsidP="00AF583D">
            <w:pPr>
              <w:rPr>
                <w:b/>
                <w:bCs/>
              </w:rPr>
            </w:pPr>
          </w:p>
        </w:tc>
        <w:tc>
          <w:tcPr>
            <w:tcW w:w="2852" w:type="dxa"/>
          </w:tcPr>
          <w:p w14:paraId="45A10CBF" w14:textId="77777777" w:rsidR="0075308C" w:rsidRDefault="0075308C" w:rsidP="00AF583D">
            <w:pPr>
              <w:rPr>
                <w:b/>
                <w:bCs/>
              </w:rPr>
            </w:pPr>
            <w:r>
              <w:rPr>
                <w:b/>
                <w:bCs/>
              </w:rPr>
              <w:t>Features</w:t>
            </w:r>
          </w:p>
        </w:tc>
        <w:tc>
          <w:tcPr>
            <w:tcW w:w="2492" w:type="dxa"/>
          </w:tcPr>
          <w:p w14:paraId="4E72DF0A" w14:textId="77777777" w:rsidR="0075308C" w:rsidRDefault="0075308C" w:rsidP="00AF583D">
            <w:pPr>
              <w:rPr>
                <w:b/>
                <w:bCs/>
              </w:rPr>
            </w:pPr>
            <w:r>
              <w:rPr>
                <w:b/>
                <w:bCs/>
              </w:rPr>
              <w:t>Test used to measure response</w:t>
            </w:r>
          </w:p>
        </w:tc>
      </w:tr>
      <w:tr w:rsidR="0075308C" w14:paraId="3525CF4F" w14:textId="77777777" w:rsidTr="001D731C">
        <w:tc>
          <w:tcPr>
            <w:tcW w:w="2490" w:type="dxa"/>
          </w:tcPr>
          <w:p w14:paraId="5BB7F917" w14:textId="77777777" w:rsidR="0075308C" w:rsidRDefault="0075308C" w:rsidP="00AF583D">
            <w:pPr>
              <w:rPr>
                <w:b/>
                <w:bCs/>
              </w:rPr>
            </w:pPr>
            <w:r w:rsidRPr="0075308C">
              <w:rPr>
                <w:b/>
                <w:bCs/>
                <w:highlight w:val="yellow"/>
              </w:rPr>
              <w:t>Hematologic</w:t>
            </w:r>
          </w:p>
        </w:tc>
        <w:tc>
          <w:tcPr>
            <w:tcW w:w="2488" w:type="dxa"/>
          </w:tcPr>
          <w:p w14:paraId="3BDBC04C" w14:textId="77777777" w:rsidR="0075308C" w:rsidRDefault="0075308C" w:rsidP="00AF583D">
            <w:pPr>
              <w:rPr>
                <w:b/>
                <w:bCs/>
              </w:rPr>
            </w:pPr>
            <w:r>
              <w:rPr>
                <w:b/>
                <w:bCs/>
              </w:rPr>
              <w:t>Complete Hematologic response (CHR)</w:t>
            </w:r>
          </w:p>
        </w:tc>
        <w:tc>
          <w:tcPr>
            <w:tcW w:w="2852" w:type="dxa"/>
          </w:tcPr>
          <w:p w14:paraId="786CEE62" w14:textId="77777777" w:rsidR="0075308C" w:rsidRDefault="0075308C" w:rsidP="00AF583D">
            <w:pPr>
              <w:pStyle w:val="ListParagraph"/>
              <w:numPr>
                <w:ilvl w:val="0"/>
                <w:numId w:val="1"/>
              </w:numPr>
              <w:rPr>
                <w:b/>
                <w:bCs/>
              </w:rPr>
            </w:pPr>
            <w:r>
              <w:rPr>
                <w:b/>
                <w:bCs/>
              </w:rPr>
              <w:t>Blood counts returns to normal (platelets&lt;450x10^9; WBC&lt;10x10^9)</w:t>
            </w:r>
          </w:p>
          <w:p w14:paraId="06023073" w14:textId="77777777" w:rsidR="0075308C" w:rsidRDefault="0075308C" w:rsidP="00AF583D">
            <w:pPr>
              <w:pStyle w:val="ListParagraph"/>
              <w:numPr>
                <w:ilvl w:val="0"/>
                <w:numId w:val="1"/>
              </w:numPr>
              <w:rPr>
                <w:b/>
                <w:bCs/>
              </w:rPr>
            </w:pPr>
            <w:r>
              <w:rPr>
                <w:b/>
                <w:bCs/>
              </w:rPr>
              <w:t>No blasts in peripheral blood</w:t>
            </w:r>
          </w:p>
          <w:p w14:paraId="1D094F39" w14:textId="77777777" w:rsidR="0075308C" w:rsidRPr="00BB39AE" w:rsidRDefault="0075308C" w:rsidP="00AF583D">
            <w:pPr>
              <w:pStyle w:val="ListParagraph"/>
              <w:numPr>
                <w:ilvl w:val="0"/>
                <w:numId w:val="1"/>
              </w:numPr>
              <w:rPr>
                <w:b/>
                <w:bCs/>
              </w:rPr>
            </w:pPr>
            <w:r>
              <w:rPr>
                <w:b/>
                <w:bCs/>
              </w:rPr>
              <w:t>No signs or symptoms of disease- spleen return to normal size</w:t>
            </w:r>
          </w:p>
        </w:tc>
        <w:tc>
          <w:tcPr>
            <w:tcW w:w="2492" w:type="dxa"/>
          </w:tcPr>
          <w:p w14:paraId="0930EDF7" w14:textId="77777777" w:rsidR="0075308C" w:rsidRDefault="0075308C" w:rsidP="00AF583D">
            <w:pPr>
              <w:rPr>
                <w:b/>
                <w:bCs/>
              </w:rPr>
            </w:pPr>
            <w:r w:rsidRPr="0075308C">
              <w:rPr>
                <w:b/>
                <w:bCs/>
                <w:highlight w:val="yellow"/>
              </w:rPr>
              <w:t>CBC with differential</w:t>
            </w:r>
          </w:p>
        </w:tc>
      </w:tr>
      <w:tr w:rsidR="0075308C" w14:paraId="6A7F7F31" w14:textId="77777777" w:rsidTr="001D731C">
        <w:tc>
          <w:tcPr>
            <w:tcW w:w="2490" w:type="dxa"/>
            <w:vMerge w:val="restart"/>
          </w:tcPr>
          <w:p w14:paraId="068ED47B" w14:textId="77777777" w:rsidR="0075308C" w:rsidRDefault="0075308C" w:rsidP="00AF583D">
            <w:pPr>
              <w:rPr>
                <w:b/>
                <w:bCs/>
              </w:rPr>
            </w:pPr>
            <w:r w:rsidRPr="0075308C">
              <w:rPr>
                <w:b/>
                <w:bCs/>
                <w:highlight w:val="yellow"/>
              </w:rPr>
              <w:t>Cytogenetics</w:t>
            </w:r>
          </w:p>
        </w:tc>
        <w:tc>
          <w:tcPr>
            <w:tcW w:w="2488" w:type="dxa"/>
          </w:tcPr>
          <w:p w14:paraId="307A30CD" w14:textId="77777777" w:rsidR="0075308C" w:rsidRDefault="0075308C" w:rsidP="00AF583D">
            <w:pPr>
              <w:rPr>
                <w:b/>
                <w:bCs/>
              </w:rPr>
            </w:pPr>
            <w:r>
              <w:rPr>
                <w:b/>
                <w:bCs/>
              </w:rPr>
              <w:t>Complete Cytogenetic Response (CCyR)</w:t>
            </w:r>
          </w:p>
        </w:tc>
        <w:tc>
          <w:tcPr>
            <w:tcW w:w="2852" w:type="dxa"/>
          </w:tcPr>
          <w:p w14:paraId="5AAEF233" w14:textId="031E8A78" w:rsidR="0075308C" w:rsidRDefault="0075308C" w:rsidP="00AF583D">
            <w:pPr>
              <w:rPr>
                <w:b/>
                <w:bCs/>
              </w:rPr>
            </w:pPr>
            <w:r>
              <w:rPr>
                <w:b/>
                <w:bCs/>
              </w:rPr>
              <w:t>No Philadelphia chromosome</w:t>
            </w:r>
            <w:r w:rsidR="001D731C">
              <w:rPr>
                <w:b/>
                <w:bCs/>
              </w:rPr>
              <w:t xml:space="preserve"> or BCR-ABL1 &lt;1%</w:t>
            </w:r>
          </w:p>
        </w:tc>
        <w:tc>
          <w:tcPr>
            <w:tcW w:w="2492" w:type="dxa"/>
            <w:vMerge w:val="restart"/>
          </w:tcPr>
          <w:p w14:paraId="048E848B" w14:textId="2A2145D4" w:rsidR="0075308C" w:rsidRDefault="0075308C" w:rsidP="00AF583D">
            <w:pPr>
              <w:rPr>
                <w:b/>
                <w:bCs/>
              </w:rPr>
            </w:pPr>
            <w:r w:rsidRPr="0075308C">
              <w:rPr>
                <w:b/>
                <w:bCs/>
                <w:highlight w:val="yellow"/>
              </w:rPr>
              <w:t>Bone marrow cytogenetics</w:t>
            </w:r>
            <w:r w:rsidR="00532647">
              <w:rPr>
                <w:b/>
                <w:bCs/>
              </w:rPr>
              <w:t xml:space="preserve"> </w:t>
            </w:r>
          </w:p>
        </w:tc>
      </w:tr>
      <w:tr w:rsidR="0075308C" w14:paraId="39DAB373" w14:textId="77777777" w:rsidTr="001D731C">
        <w:tc>
          <w:tcPr>
            <w:tcW w:w="2490" w:type="dxa"/>
            <w:vMerge/>
          </w:tcPr>
          <w:p w14:paraId="383F6B92" w14:textId="77777777" w:rsidR="0075308C" w:rsidRDefault="0075308C" w:rsidP="00AF583D">
            <w:pPr>
              <w:rPr>
                <w:b/>
                <w:bCs/>
              </w:rPr>
            </w:pPr>
          </w:p>
        </w:tc>
        <w:tc>
          <w:tcPr>
            <w:tcW w:w="2488" w:type="dxa"/>
          </w:tcPr>
          <w:p w14:paraId="740E81AC" w14:textId="77777777" w:rsidR="0075308C" w:rsidRDefault="0075308C" w:rsidP="00AF583D">
            <w:pPr>
              <w:rPr>
                <w:b/>
                <w:bCs/>
              </w:rPr>
            </w:pPr>
            <w:r>
              <w:rPr>
                <w:b/>
                <w:bCs/>
              </w:rPr>
              <w:t>Partial Cytogenetic Response (PCyR)</w:t>
            </w:r>
          </w:p>
        </w:tc>
        <w:tc>
          <w:tcPr>
            <w:tcW w:w="2852" w:type="dxa"/>
          </w:tcPr>
          <w:p w14:paraId="6B91A82E" w14:textId="77777777" w:rsidR="0075308C" w:rsidRDefault="0075308C" w:rsidP="00AF583D">
            <w:pPr>
              <w:rPr>
                <w:b/>
                <w:bCs/>
              </w:rPr>
            </w:pPr>
            <w:r>
              <w:rPr>
                <w:b/>
                <w:bCs/>
              </w:rPr>
              <w:t>1%-35% of cells have Philadelphia chromosome</w:t>
            </w:r>
          </w:p>
        </w:tc>
        <w:tc>
          <w:tcPr>
            <w:tcW w:w="2492" w:type="dxa"/>
            <w:vMerge/>
          </w:tcPr>
          <w:p w14:paraId="4DEDE0ED" w14:textId="77777777" w:rsidR="0075308C" w:rsidRDefault="0075308C" w:rsidP="00AF583D">
            <w:pPr>
              <w:rPr>
                <w:b/>
                <w:bCs/>
              </w:rPr>
            </w:pPr>
          </w:p>
        </w:tc>
      </w:tr>
      <w:tr w:rsidR="0075308C" w14:paraId="018D754B" w14:textId="77777777" w:rsidTr="001D731C">
        <w:tc>
          <w:tcPr>
            <w:tcW w:w="2490" w:type="dxa"/>
            <w:vMerge/>
          </w:tcPr>
          <w:p w14:paraId="162303F8" w14:textId="77777777" w:rsidR="0075308C" w:rsidRDefault="0075308C" w:rsidP="00AF583D">
            <w:pPr>
              <w:rPr>
                <w:b/>
                <w:bCs/>
              </w:rPr>
            </w:pPr>
          </w:p>
        </w:tc>
        <w:tc>
          <w:tcPr>
            <w:tcW w:w="2488" w:type="dxa"/>
          </w:tcPr>
          <w:p w14:paraId="585BF59E" w14:textId="77777777" w:rsidR="0075308C" w:rsidRDefault="0075308C" w:rsidP="00AF583D">
            <w:pPr>
              <w:rPr>
                <w:b/>
                <w:bCs/>
              </w:rPr>
            </w:pPr>
            <w:r>
              <w:rPr>
                <w:b/>
                <w:bCs/>
              </w:rPr>
              <w:t xml:space="preserve">Minor Cytogenetic Response </w:t>
            </w:r>
          </w:p>
        </w:tc>
        <w:tc>
          <w:tcPr>
            <w:tcW w:w="2852" w:type="dxa"/>
          </w:tcPr>
          <w:p w14:paraId="5AEA94E6" w14:textId="7CC81C94" w:rsidR="0075308C" w:rsidRDefault="0075308C" w:rsidP="00AF583D">
            <w:pPr>
              <w:rPr>
                <w:b/>
                <w:bCs/>
              </w:rPr>
            </w:pPr>
            <w:r>
              <w:rPr>
                <w:b/>
                <w:bCs/>
              </w:rPr>
              <w:t>35%</w:t>
            </w:r>
            <w:r w:rsidR="001D731C">
              <w:rPr>
                <w:b/>
                <w:bCs/>
              </w:rPr>
              <w:t xml:space="preserve">-65% </w:t>
            </w:r>
            <w:r>
              <w:rPr>
                <w:b/>
                <w:bCs/>
              </w:rPr>
              <w:t xml:space="preserve"> cells have Philadelphia chromosome</w:t>
            </w:r>
          </w:p>
        </w:tc>
        <w:tc>
          <w:tcPr>
            <w:tcW w:w="2492" w:type="dxa"/>
            <w:vMerge/>
          </w:tcPr>
          <w:p w14:paraId="745F27F9" w14:textId="77777777" w:rsidR="0075308C" w:rsidRDefault="0075308C" w:rsidP="00AF583D">
            <w:pPr>
              <w:rPr>
                <w:b/>
                <w:bCs/>
              </w:rPr>
            </w:pPr>
          </w:p>
        </w:tc>
      </w:tr>
      <w:tr w:rsidR="0075308C" w14:paraId="4C8FD22D" w14:textId="77777777" w:rsidTr="001D731C">
        <w:tc>
          <w:tcPr>
            <w:tcW w:w="2490" w:type="dxa"/>
            <w:vMerge/>
          </w:tcPr>
          <w:p w14:paraId="2AD97F36" w14:textId="77777777" w:rsidR="0075308C" w:rsidRDefault="0075308C" w:rsidP="00AF583D">
            <w:pPr>
              <w:rPr>
                <w:b/>
                <w:bCs/>
              </w:rPr>
            </w:pPr>
          </w:p>
        </w:tc>
        <w:tc>
          <w:tcPr>
            <w:tcW w:w="2488" w:type="dxa"/>
          </w:tcPr>
          <w:p w14:paraId="74F20099" w14:textId="77777777" w:rsidR="0075308C" w:rsidRDefault="0075308C" w:rsidP="00AF583D">
            <w:pPr>
              <w:rPr>
                <w:b/>
                <w:bCs/>
              </w:rPr>
            </w:pPr>
            <w:r>
              <w:rPr>
                <w:b/>
                <w:bCs/>
              </w:rPr>
              <w:t>Major Cytogenetic Response</w:t>
            </w:r>
          </w:p>
        </w:tc>
        <w:tc>
          <w:tcPr>
            <w:tcW w:w="2852" w:type="dxa"/>
          </w:tcPr>
          <w:p w14:paraId="030DEBF4" w14:textId="77777777" w:rsidR="0075308C" w:rsidRDefault="0075308C" w:rsidP="00AF583D">
            <w:pPr>
              <w:rPr>
                <w:b/>
                <w:bCs/>
              </w:rPr>
            </w:pPr>
            <w:r>
              <w:rPr>
                <w:b/>
                <w:bCs/>
              </w:rPr>
              <w:t>0-35% cells have Philadelphia chromosome</w:t>
            </w:r>
          </w:p>
        </w:tc>
        <w:tc>
          <w:tcPr>
            <w:tcW w:w="2492" w:type="dxa"/>
            <w:vMerge/>
          </w:tcPr>
          <w:p w14:paraId="48219CF9" w14:textId="77777777" w:rsidR="0075308C" w:rsidRDefault="0075308C" w:rsidP="00AF583D">
            <w:pPr>
              <w:rPr>
                <w:b/>
                <w:bCs/>
              </w:rPr>
            </w:pPr>
          </w:p>
        </w:tc>
      </w:tr>
      <w:tr w:rsidR="004F22F1" w14:paraId="38770FDE" w14:textId="77777777" w:rsidTr="001D731C">
        <w:tc>
          <w:tcPr>
            <w:tcW w:w="2490" w:type="dxa"/>
            <w:vMerge w:val="restart"/>
          </w:tcPr>
          <w:p w14:paraId="447EF166" w14:textId="77777777" w:rsidR="004F22F1" w:rsidRDefault="004F22F1" w:rsidP="00AF583D">
            <w:pPr>
              <w:rPr>
                <w:b/>
                <w:bCs/>
              </w:rPr>
            </w:pPr>
            <w:r w:rsidRPr="0075308C">
              <w:rPr>
                <w:b/>
                <w:bCs/>
                <w:highlight w:val="yellow"/>
              </w:rPr>
              <w:t>Molecular</w:t>
            </w:r>
          </w:p>
        </w:tc>
        <w:tc>
          <w:tcPr>
            <w:tcW w:w="2488" w:type="dxa"/>
          </w:tcPr>
          <w:p w14:paraId="54FFA2DB" w14:textId="77777777" w:rsidR="004F22F1" w:rsidRDefault="004F22F1" w:rsidP="00AF583D">
            <w:pPr>
              <w:rPr>
                <w:b/>
                <w:bCs/>
              </w:rPr>
            </w:pPr>
            <w:r>
              <w:rPr>
                <w:b/>
                <w:bCs/>
              </w:rPr>
              <w:t>Complete Molecular Response (CMR)</w:t>
            </w:r>
          </w:p>
        </w:tc>
        <w:tc>
          <w:tcPr>
            <w:tcW w:w="2852" w:type="dxa"/>
          </w:tcPr>
          <w:p w14:paraId="6E178C5D" w14:textId="77777777" w:rsidR="004F22F1" w:rsidRDefault="004F22F1" w:rsidP="00AF583D">
            <w:pPr>
              <w:rPr>
                <w:b/>
                <w:bCs/>
              </w:rPr>
            </w:pPr>
            <w:r>
              <w:rPr>
                <w:b/>
                <w:bCs/>
              </w:rPr>
              <w:t>No BCR-ABL gene detected</w:t>
            </w:r>
          </w:p>
        </w:tc>
        <w:tc>
          <w:tcPr>
            <w:tcW w:w="2492" w:type="dxa"/>
            <w:vMerge w:val="restart"/>
          </w:tcPr>
          <w:p w14:paraId="1870BFB4" w14:textId="77777777" w:rsidR="004F22F1" w:rsidRDefault="004F22F1" w:rsidP="00AF583D">
            <w:pPr>
              <w:rPr>
                <w:b/>
                <w:bCs/>
              </w:rPr>
            </w:pPr>
            <w:r w:rsidRPr="0075308C">
              <w:rPr>
                <w:b/>
                <w:bCs/>
                <w:highlight w:val="yellow"/>
              </w:rPr>
              <w:t>Quantitative PCR using International scale</w:t>
            </w:r>
          </w:p>
        </w:tc>
      </w:tr>
      <w:tr w:rsidR="004F22F1" w14:paraId="12B0D4CD" w14:textId="77777777" w:rsidTr="001D731C">
        <w:tc>
          <w:tcPr>
            <w:tcW w:w="2490" w:type="dxa"/>
            <w:vMerge/>
          </w:tcPr>
          <w:p w14:paraId="4AA88952" w14:textId="77777777" w:rsidR="004F22F1" w:rsidRDefault="004F22F1" w:rsidP="00AF583D">
            <w:pPr>
              <w:rPr>
                <w:b/>
                <w:bCs/>
              </w:rPr>
            </w:pPr>
          </w:p>
        </w:tc>
        <w:tc>
          <w:tcPr>
            <w:tcW w:w="2488" w:type="dxa"/>
          </w:tcPr>
          <w:p w14:paraId="3EA8E82E" w14:textId="77777777" w:rsidR="004F22F1" w:rsidRDefault="004F22F1" w:rsidP="00AF583D">
            <w:pPr>
              <w:rPr>
                <w:b/>
                <w:bCs/>
              </w:rPr>
            </w:pPr>
            <w:r>
              <w:rPr>
                <w:b/>
                <w:bCs/>
              </w:rPr>
              <w:t>Major Molecular Response (MMR)</w:t>
            </w:r>
          </w:p>
        </w:tc>
        <w:tc>
          <w:tcPr>
            <w:tcW w:w="2852" w:type="dxa"/>
          </w:tcPr>
          <w:p w14:paraId="70DFFAEF" w14:textId="3EDFA3BA" w:rsidR="004F22F1" w:rsidRDefault="004F22F1" w:rsidP="00AF583D">
            <w:pPr>
              <w:rPr>
                <w:b/>
                <w:bCs/>
              </w:rPr>
            </w:pPr>
            <w:r>
              <w:rPr>
                <w:b/>
                <w:bCs/>
              </w:rPr>
              <w:t>At least 3 log reduction in BCR-ABL mRNA level from standard baseline; or</w:t>
            </w:r>
          </w:p>
          <w:p w14:paraId="5BAA94F0" w14:textId="45B2E1A1" w:rsidR="004F22F1" w:rsidRDefault="004F22F1" w:rsidP="00AF583D">
            <w:pPr>
              <w:rPr>
                <w:b/>
                <w:bCs/>
              </w:rPr>
            </w:pPr>
            <w:r>
              <w:rPr>
                <w:b/>
                <w:bCs/>
              </w:rPr>
              <w:t>BCR-ABL &lt;0.1%</w:t>
            </w:r>
          </w:p>
        </w:tc>
        <w:tc>
          <w:tcPr>
            <w:tcW w:w="2492" w:type="dxa"/>
            <w:vMerge/>
          </w:tcPr>
          <w:p w14:paraId="3A20AD9B" w14:textId="77777777" w:rsidR="004F22F1" w:rsidRDefault="004F22F1" w:rsidP="00AF583D">
            <w:pPr>
              <w:rPr>
                <w:b/>
                <w:bCs/>
              </w:rPr>
            </w:pPr>
          </w:p>
        </w:tc>
      </w:tr>
      <w:tr w:rsidR="004F22F1" w14:paraId="12EC0BF8" w14:textId="77777777" w:rsidTr="001D731C">
        <w:tc>
          <w:tcPr>
            <w:tcW w:w="2490" w:type="dxa"/>
            <w:vMerge/>
          </w:tcPr>
          <w:p w14:paraId="3F33F2CC" w14:textId="77777777" w:rsidR="004F22F1" w:rsidRDefault="004F22F1" w:rsidP="00AF583D">
            <w:pPr>
              <w:rPr>
                <w:b/>
                <w:bCs/>
              </w:rPr>
            </w:pPr>
          </w:p>
        </w:tc>
        <w:tc>
          <w:tcPr>
            <w:tcW w:w="2488" w:type="dxa"/>
          </w:tcPr>
          <w:p w14:paraId="46F659D8" w14:textId="766BCDCD" w:rsidR="004F22F1" w:rsidRDefault="004F22F1" w:rsidP="00AF583D">
            <w:pPr>
              <w:rPr>
                <w:b/>
                <w:bCs/>
              </w:rPr>
            </w:pPr>
            <w:r>
              <w:rPr>
                <w:b/>
                <w:bCs/>
              </w:rPr>
              <w:t>Early Molecular Response (EMR)</w:t>
            </w:r>
          </w:p>
        </w:tc>
        <w:tc>
          <w:tcPr>
            <w:tcW w:w="2852" w:type="dxa"/>
          </w:tcPr>
          <w:p w14:paraId="73E19639" w14:textId="7DF318CE" w:rsidR="004F22F1" w:rsidRDefault="004F22F1" w:rsidP="00AF583D">
            <w:pPr>
              <w:rPr>
                <w:b/>
                <w:bCs/>
              </w:rPr>
            </w:pPr>
            <w:r>
              <w:rPr>
                <w:b/>
                <w:bCs/>
              </w:rPr>
              <w:t>BCR-ABL &lt;10% at 3 and 6 months</w:t>
            </w:r>
          </w:p>
        </w:tc>
        <w:tc>
          <w:tcPr>
            <w:tcW w:w="2492" w:type="dxa"/>
            <w:vMerge/>
          </w:tcPr>
          <w:p w14:paraId="304CF1FC" w14:textId="77777777" w:rsidR="004F22F1" w:rsidRDefault="004F22F1" w:rsidP="00AF583D">
            <w:pPr>
              <w:rPr>
                <w:b/>
                <w:bCs/>
              </w:rPr>
            </w:pPr>
          </w:p>
        </w:tc>
      </w:tr>
      <w:tr w:rsidR="004F22F1" w14:paraId="26E14A1D" w14:textId="77777777" w:rsidTr="001D731C">
        <w:tc>
          <w:tcPr>
            <w:tcW w:w="2490" w:type="dxa"/>
            <w:vMerge/>
          </w:tcPr>
          <w:p w14:paraId="7F96A473" w14:textId="0C15406A" w:rsidR="004F22F1" w:rsidRDefault="004F22F1" w:rsidP="00AF583D">
            <w:pPr>
              <w:rPr>
                <w:b/>
                <w:bCs/>
              </w:rPr>
            </w:pPr>
          </w:p>
        </w:tc>
        <w:tc>
          <w:tcPr>
            <w:tcW w:w="2488" w:type="dxa"/>
          </w:tcPr>
          <w:p w14:paraId="512FC2F1" w14:textId="2547B7D8" w:rsidR="004F22F1" w:rsidRDefault="004F22F1" w:rsidP="00AF583D">
            <w:pPr>
              <w:rPr>
                <w:b/>
                <w:bCs/>
              </w:rPr>
            </w:pPr>
            <w:r>
              <w:rPr>
                <w:b/>
                <w:bCs/>
              </w:rPr>
              <w:t>Deep Molecular Response (DMR)</w:t>
            </w:r>
          </w:p>
        </w:tc>
        <w:tc>
          <w:tcPr>
            <w:tcW w:w="2852" w:type="dxa"/>
          </w:tcPr>
          <w:p w14:paraId="3056786F" w14:textId="6645ECDC" w:rsidR="004F22F1" w:rsidRDefault="004F22F1" w:rsidP="00AF583D">
            <w:pPr>
              <w:rPr>
                <w:b/>
                <w:bCs/>
              </w:rPr>
            </w:pPr>
            <w:r>
              <w:rPr>
                <w:b/>
                <w:bCs/>
              </w:rPr>
              <w:t>BCR-ABL&lt;0.01% OR bcr-abl&lt; 0.0032%</w:t>
            </w:r>
          </w:p>
        </w:tc>
        <w:tc>
          <w:tcPr>
            <w:tcW w:w="2492" w:type="dxa"/>
            <w:vMerge/>
          </w:tcPr>
          <w:p w14:paraId="00570ED9" w14:textId="77777777" w:rsidR="004F22F1" w:rsidRDefault="004F22F1" w:rsidP="00AF583D">
            <w:pPr>
              <w:rPr>
                <w:b/>
                <w:bCs/>
              </w:rPr>
            </w:pPr>
          </w:p>
        </w:tc>
      </w:tr>
      <w:tr w:rsidR="004F22F1" w14:paraId="3F19FA95" w14:textId="77777777" w:rsidTr="001D731C">
        <w:tc>
          <w:tcPr>
            <w:tcW w:w="2490" w:type="dxa"/>
          </w:tcPr>
          <w:p w14:paraId="40D2D7C5" w14:textId="39DA015D" w:rsidR="004F22F1" w:rsidRDefault="004F22F1" w:rsidP="00AF583D">
            <w:pPr>
              <w:rPr>
                <w:b/>
                <w:bCs/>
              </w:rPr>
            </w:pPr>
            <w:r>
              <w:rPr>
                <w:b/>
                <w:bCs/>
              </w:rPr>
              <w:t>Relapse</w:t>
            </w:r>
          </w:p>
        </w:tc>
        <w:tc>
          <w:tcPr>
            <w:tcW w:w="2488" w:type="dxa"/>
          </w:tcPr>
          <w:p w14:paraId="73AC66D9" w14:textId="77777777" w:rsidR="004F22F1" w:rsidRDefault="004F22F1" w:rsidP="00AF583D">
            <w:pPr>
              <w:rPr>
                <w:b/>
                <w:bCs/>
              </w:rPr>
            </w:pPr>
          </w:p>
        </w:tc>
        <w:tc>
          <w:tcPr>
            <w:tcW w:w="2852" w:type="dxa"/>
          </w:tcPr>
          <w:p w14:paraId="39F9D2A7" w14:textId="141AA2AA" w:rsidR="004F22F1" w:rsidRDefault="004F22F1" w:rsidP="004F22F1">
            <w:pPr>
              <w:pStyle w:val="ListParagraph"/>
              <w:numPr>
                <w:ilvl w:val="0"/>
                <w:numId w:val="2"/>
              </w:numPr>
              <w:rPr>
                <w:b/>
                <w:bCs/>
              </w:rPr>
            </w:pPr>
            <w:r w:rsidRPr="004F22F1">
              <w:rPr>
                <w:b/>
                <w:bCs/>
              </w:rPr>
              <w:t>Any sign of loss response (hematologic or cytogenic relapse)</w:t>
            </w:r>
          </w:p>
          <w:p w14:paraId="5CDF0968" w14:textId="74CD0693" w:rsidR="004F22F1" w:rsidRPr="004F22F1" w:rsidRDefault="004F22F1" w:rsidP="004F22F1">
            <w:pPr>
              <w:pStyle w:val="ListParagraph"/>
              <w:numPr>
                <w:ilvl w:val="0"/>
                <w:numId w:val="2"/>
              </w:numPr>
              <w:rPr>
                <w:b/>
                <w:bCs/>
              </w:rPr>
            </w:pPr>
            <w:r>
              <w:rPr>
                <w:b/>
                <w:bCs/>
              </w:rPr>
              <w:t>1 log increase in BCR-abl1 transcript levels with loss of MMR should prompt bone marrow evaluation for loss of CCyR but is not itself defined as relapse (eg. Hematologic or cytogenic relapse)</w:t>
            </w:r>
          </w:p>
          <w:p w14:paraId="37F27B35" w14:textId="1D900AC4" w:rsidR="004F22F1" w:rsidRDefault="004F22F1" w:rsidP="00AF583D">
            <w:pPr>
              <w:rPr>
                <w:b/>
                <w:bCs/>
              </w:rPr>
            </w:pPr>
          </w:p>
        </w:tc>
        <w:tc>
          <w:tcPr>
            <w:tcW w:w="2492" w:type="dxa"/>
          </w:tcPr>
          <w:p w14:paraId="6C6D7B24" w14:textId="77777777" w:rsidR="004F22F1" w:rsidRDefault="004F22F1" w:rsidP="00AF583D">
            <w:pPr>
              <w:rPr>
                <w:b/>
                <w:bCs/>
              </w:rPr>
            </w:pPr>
          </w:p>
        </w:tc>
      </w:tr>
    </w:tbl>
    <w:p w14:paraId="73AB55E3" w14:textId="723D1347" w:rsidR="00987C51" w:rsidRDefault="00987C51">
      <w:pPr>
        <w:rPr>
          <w:b/>
          <w:bCs/>
        </w:rPr>
      </w:pPr>
    </w:p>
    <w:p w14:paraId="6BE79F85" w14:textId="3B2A867A" w:rsidR="0075308C" w:rsidRPr="00064D84" w:rsidRDefault="0075308C" w:rsidP="00987C51">
      <w:pPr>
        <w:pStyle w:val="ListParagraph"/>
        <w:numPr>
          <w:ilvl w:val="0"/>
          <w:numId w:val="1"/>
        </w:numPr>
        <w:rPr>
          <w:b/>
          <w:bCs/>
          <w:u w:val="single"/>
        </w:rPr>
      </w:pPr>
      <w:r>
        <w:rPr>
          <w:b/>
          <w:bCs/>
          <w:u w:val="single"/>
        </w:rPr>
        <w:t xml:space="preserve">Response to Index </w:t>
      </w:r>
      <w:r w:rsidR="00064D84">
        <w:rPr>
          <w:b/>
          <w:bCs/>
          <w:u w:val="single"/>
        </w:rPr>
        <w:t xml:space="preserve">TKI treatment- </w:t>
      </w:r>
      <w:r w:rsidR="00064D84">
        <w:rPr>
          <w:b/>
          <w:bCs/>
        </w:rPr>
        <w:t xml:space="preserve">make sure complete hematologic response recorded in response to TKI index treatment match the </w:t>
      </w:r>
      <w:r w:rsidR="00064D84" w:rsidRPr="00064D84">
        <w:rPr>
          <w:b/>
          <w:bCs/>
          <w:u w:val="single"/>
        </w:rPr>
        <w:t>labs value</w:t>
      </w:r>
      <w:r w:rsidR="00064D84">
        <w:rPr>
          <w:b/>
          <w:bCs/>
        </w:rPr>
        <w:t>.</w:t>
      </w:r>
    </w:p>
    <w:p w14:paraId="6975CD9C" w14:textId="4AA87FEC" w:rsidR="00064D84" w:rsidRPr="00064D84" w:rsidRDefault="00064D84" w:rsidP="00987C51">
      <w:pPr>
        <w:pStyle w:val="ListParagraph"/>
        <w:numPr>
          <w:ilvl w:val="0"/>
          <w:numId w:val="1"/>
        </w:numPr>
        <w:rPr>
          <w:b/>
          <w:bCs/>
          <w:u w:val="single"/>
        </w:rPr>
      </w:pPr>
      <w:r>
        <w:rPr>
          <w:b/>
          <w:bCs/>
          <w:u w:val="single"/>
        </w:rPr>
        <w:t xml:space="preserve">Response to Index TKI treatment- </w:t>
      </w:r>
      <w:r>
        <w:rPr>
          <w:b/>
          <w:bCs/>
        </w:rPr>
        <w:t xml:space="preserve">make sure Cytogenetic response recorded </w:t>
      </w:r>
      <w:r w:rsidR="005C39D5">
        <w:rPr>
          <w:b/>
          <w:bCs/>
        </w:rPr>
        <w:t xml:space="preserve">in response to TKI index treatment </w:t>
      </w:r>
      <w:r>
        <w:rPr>
          <w:b/>
          <w:bCs/>
        </w:rPr>
        <w:t xml:space="preserve">match with </w:t>
      </w:r>
      <w:r w:rsidRPr="00064D84">
        <w:rPr>
          <w:b/>
          <w:bCs/>
          <w:u w:val="single"/>
        </w:rPr>
        <w:t>Bone marrow  Biopsy/aspirate</w:t>
      </w:r>
      <w:r>
        <w:rPr>
          <w:b/>
          <w:bCs/>
        </w:rPr>
        <w:t xml:space="preserve"> results</w:t>
      </w:r>
      <w:r w:rsidR="005749A0">
        <w:rPr>
          <w:b/>
          <w:bCs/>
        </w:rPr>
        <w:t xml:space="preserve"> and </w:t>
      </w:r>
      <w:r w:rsidR="005749A0" w:rsidRPr="005749A0">
        <w:rPr>
          <w:b/>
          <w:bCs/>
          <w:u w:val="single"/>
        </w:rPr>
        <w:t>FISH</w:t>
      </w:r>
      <w:r w:rsidR="005749A0">
        <w:rPr>
          <w:b/>
          <w:bCs/>
          <w:u w:val="single"/>
        </w:rPr>
        <w:t xml:space="preserve"> </w:t>
      </w:r>
      <w:r w:rsidR="005749A0" w:rsidRPr="005749A0">
        <w:rPr>
          <w:b/>
          <w:bCs/>
        </w:rPr>
        <w:t>result</w:t>
      </w:r>
    </w:p>
    <w:p w14:paraId="14DB44F3" w14:textId="0C9AD29C" w:rsidR="00064D84" w:rsidRPr="00064D84" w:rsidRDefault="00064D84" w:rsidP="00987C51">
      <w:pPr>
        <w:pStyle w:val="ListParagraph"/>
        <w:numPr>
          <w:ilvl w:val="0"/>
          <w:numId w:val="1"/>
        </w:numPr>
        <w:rPr>
          <w:b/>
          <w:bCs/>
          <w:u w:val="single"/>
        </w:rPr>
      </w:pPr>
      <w:r>
        <w:rPr>
          <w:b/>
          <w:bCs/>
          <w:u w:val="single"/>
        </w:rPr>
        <w:t xml:space="preserve">Response to Index TKI treatment- </w:t>
      </w:r>
      <w:r>
        <w:rPr>
          <w:b/>
          <w:bCs/>
        </w:rPr>
        <w:t xml:space="preserve">make sure molecular response recorded </w:t>
      </w:r>
      <w:r w:rsidR="005C39D5">
        <w:rPr>
          <w:b/>
          <w:bCs/>
        </w:rPr>
        <w:t xml:space="preserve">in response to TKI index treatment </w:t>
      </w:r>
      <w:r>
        <w:rPr>
          <w:b/>
          <w:bCs/>
        </w:rPr>
        <w:t xml:space="preserve">match with </w:t>
      </w:r>
      <w:r w:rsidRPr="00064D84">
        <w:rPr>
          <w:b/>
          <w:bCs/>
          <w:u w:val="single"/>
        </w:rPr>
        <w:t>Molecular response</w:t>
      </w:r>
      <w:r>
        <w:rPr>
          <w:b/>
          <w:bCs/>
        </w:rPr>
        <w:t xml:space="preserve"> PCR result and </w:t>
      </w:r>
      <w:r w:rsidRPr="00064D84">
        <w:rPr>
          <w:b/>
          <w:bCs/>
          <w:u w:val="single"/>
        </w:rPr>
        <w:t>Genetic testing</w:t>
      </w:r>
      <w:r>
        <w:rPr>
          <w:b/>
          <w:bCs/>
        </w:rPr>
        <w:t xml:space="preserve"> tab</w:t>
      </w:r>
    </w:p>
    <w:p w14:paraId="5B82F346" w14:textId="03722113" w:rsidR="00064D84" w:rsidRDefault="00064D84" w:rsidP="00064D84">
      <w:pPr>
        <w:pStyle w:val="ListParagraph"/>
        <w:rPr>
          <w:b/>
          <w:bCs/>
          <w:u w:val="single"/>
        </w:rPr>
      </w:pPr>
      <w:r w:rsidRPr="006E7523">
        <w:rPr>
          <w:b/>
          <w:bCs/>
          <w:noProof/>
        </w:rPr>
        <w:drawing>
          <wp:inline distT="0" distB="0" distL="0" distR="0" wp14:anchorId="415F8473" wp14:editId="7ACD9D49">
            <wp:extent cx="6560820"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0820" cy="548640"/>
                    </a:xfrm>
                    <a:prstGeom prst="rect">
                      <a:avLst/>
                    </a:prstGeom>
                  </pic:spPr>
                </pic:pic>
              </a:graphicData>
            </a:graphic>
          </wp:inline>
        </w:drawing>
      </w:r>
    </w:p>
    <w:p w14:paraId="4C6B8734" w14:textId="7CCD182F" w:rsidR="00064D84" w:rsidRPr="00064D84" w:rsidRDefault="00064D84" w:rsidP="00064D84">
      <w:pPr>
        <w:pStyle w:val="ListParagraph"/>
        <w:rPr>
          <w:b/>
          <w:bCs/>
          <w:u w:val="single"/>
        </w:rPr>
      </w:pPr>
      <w:r w:rsidRPr="006E7523">
        <w:rPr>
          <w:b/>
          <w:bCs/>
          <w:noProof/>
        </w:rPr>
        <w:drawing>
          <wp:inline distT="0" distB="0" distL="0" distR="0" wp14:anchorId="6325CB84" wp14:editId="54832774">
            <wp:extent cx="6560820" cy="1440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0820" cy="1440815"/>
                    </a:xfrm>
                    <a:prstGeom prst="rect">
                      <a:avLst/>
                    </a:prstGeom>
                  </pic:spPr>
                </pic:pic>
              </a:graphicData>
            </a:graphic>
          </wp:inline>
        </w:drawing>
      </w:r>
    </w:p>
    <w:p w14:paraId="5864BBA8" w14:textId="7240F50D" w:rsidR="00064D84" w:rsidRDefault="00064D84" w:rsidP="00064D84">
      <w:pPr>
        <w:rPr>
          <w:b/>
          <w:bCs/>
          <w:u w:val="single"/>
        </w:rPr>
      </w:pPr>
    </w:p>
    <w:p w14:paraId="4105D7C1" w14:textId="7CC06396" w:rsidR="00064D84" w:rsidRPr="00064D84" w:rsidRDefault="00064D84" w:rsidP="00064D84">
      <w:pPr>
        <w:rPr>
          <w:b/>
          <w:bCs/>
        </w:rPr>
      </w:pPr>
      <w:r>
        <w:rPr>
          <w:b/>
          <w:bCs/>
          <w:u w:val="single"/>
        </w:rPr>
        <w:t xml:space="preserve">Disease status tab- </w:t>
      </w:r>
      <w:r>
        <w:rPr>
          <w:b/>
          <w:bCs/>
        </w:rPr>
        <w:t xml:space="preserve">make sure whats recorded is matching to </w:t>
      </w:r>
      <w:r w:rsidRPr="00064D84">
        <w:rPr>
          <w:b/>
          <w:bCs/>
          <w:u w:val="single"/>
        </w:rPr>
        <w:t>Response to TKI index</w:t>
      </w:r>
      <w:r>
        <w:rPr>
          <w:b/>
          <w:bCs/>
        </w:rPr>
        <w:t xml:space="preserve"> treatment</w:t>
      </w:r>
    </w:p>
    <w:p w14:paraId="0B21D08A" w14:textId="47E27706" w:rsidR="00987C51" w:rsidRDefault="00987C51">
      <w:pPr>
        <w:rPr>
          <w:b/>
          <w:bCs/>
        </w:rPr>
      </w:pPr>
      <w:r w:rsidRPr="00987C51">
        <w:rPr>
          <w:b/>
          <w:bCs/>
          <w:noProof/>
        </w:rPr>
        <w:drawing>
          <wp:inline distT="0" distB="0" distL="0" distR="0" wp14:anchorId="7412E245" wp14:editId="5290BD46">
            <wp:extent cx="6560820" cy="934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0820" cy="934085"/>
                    </a:xfrm>
                    <a:prstGeom prst="rect">
                      <a:avLst/>
                    </a:prstGeom>
                  </pic:spPr>
                </pic:pic>
              </a:graphicData>
            </a:graphic>
          </wp:inline>
        </w:drawing>
      </w:r>
    </w:p>
    <w:p w14:paraId="55FCFB51" w14:textId="5B9B2997" w:rsidR="00B1778D" w:rsidRPr="006563E9" w:rsidRDefault="006563E9">
      <w:pPr>
        <w:rPr>
          <w:b/>
          <w:bCs/>
          <w:color w:val="FF0000"/>
        </w:rPr>
      </w:pPr>
      <w:r>
        <w:rPr>
          <w:b/>
          <w:bCs/>
          <w:color w:val="FF0000"/>
        </w:rPr>
        <w:t>Susan to create a listing to compare disease status to response to TKI index treatment.</w:t>
      </w:r>
    </w:p>
    <w:p w14:paraId="21EFB382" w14:textId="3D405F98" w:rsidR="006E7523" w:rsidRDefault="006E7523">
      <w:pPr>
        <w:rPr>
          <w:b/>
          <w:bCs/>
        </w:rPr>
      </w:pPr>
    </w:p>
    <w:p w14:paraId="1B4347FC" w14:textId="739F7899" w:rsidR="00ED2348" w:rsidRDefault="00ED2348">
      <w:pPr>
        <w:rPr>
          <w:b/>
          <w:bCs/>
        </w:rPr>
      </w:pPr>
    </w:p>
    <w:p w14:paraId="23B54D0D" w14:textId="4C8778F3" w:rsidR="009A6258" w:rsidRPr="00996CB0" w:rsidRDefault="009A6258">
      <w:pPr>
        <w:rPr>
          <w:b/>
          <w:bCs/>
        </w:rPr>
      </w:pPr>
    </w:p>
    <w:sectPr w:rsidR="009A6258" w:rsidRPr="00996CB0" w:rsidSect="00295FAE">
      <w:pgSz w:w="12240" w:h="16340"/>
      <w:pgMar w:top="1219" w:right="852" w:bottom="749" w:left="105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Yu Gothic UI"/>
    <w:panose1 w:val="00000000000000000000"/>
    <w:charset w:val="80"/>
    <w:family w:val="auto"/>
    <w:notTrueType/>
    <w:pitch w:val="default"/>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2371E"/>
    <w:multiLevelType w:val="hybridMultilevel"/>
    <w:tmpl w:val="8FB8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530BA"/>
    <w:multiLevelType w:val="hybridMultilevel"/>
    <w:tmpl w:val="0A5C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79"/>
    <w:rsid w:val="00064D84"/>
    <w:rsid w:val="00094AB3"/>
    <w:rsid w:val="000E5820"/>
    <w:rsid w:val="000F704C"/>
    <w:rsid w:val="000F73DB"/>
    <w:rsid w:val="00123DD0"/>
    <w:rsid w:val="001264F6"/>
    <w:rsid w:val="00192CF2"/>
    <w:rsid w:val="001D731C"/>
    <w:rsid w:val="0022270C"/>
    <w:rsid w:val="0027742A"/>
    <w:rsid w:val="002937A9"/>
    <w:rsid w:val="00295FAE"/>
    <w:rsid w:val="00373E95"/>
    <w:rsid w:val="00434CE3"/>
    <w:rsid w:val="00436CA9"/>
    <w:rsid w:val="00436F6A"/>
    <w:rsid w:val="00462EBC"/>
    <w:rsid w:val="004A0A14"/>
    <w:rsid w:val="004F22F1"/>
    <w:rsid w:val="004F7B6B"/>
    <w:rsid w:val="005227D6"/>
    <w:rsid w:val="00532647"/>
    <w:rsid w:val="005749A0"/>
    <w:rsid w:val="00577784"/>
    <w:rsid w:val="00582C10"/>
    <w:rsid w:val="005C39D5"/>
    <w:rsid w:val="005D5611"/>
    <w:rsid w:val="00616979"/>
    <w:rsid w:val="006563E9"/>
    <w:rsid w:val="0066434E"/>
    <w:rsid w:val="006E7523"/>
    <w:rsid w:val="00721B5E"/>
    <w:rsid w:val="0075308C"/>
    <w:rsid w:val="00860E28"/>
    <w:rsid w:val="008E3CE9"/>
    <w:rsid w:val="00955D2C"/>
    <w:rsid w:val="00987C51"/>
    <w:rsid w:val="00996CB0"/>
    <w:rsid w:val="009A6258"/>
    <w:rsid w:val="00A901F3"/>
    <w:rsid w:val="00B078BD"/>
    <w:rsid w:val="00B1778D"/>
    <w:rsid w:val="00BB39AE"/>
    <w:rsid w:val="00C21D7D"/>
    <w:rsid w:val="00C86638"/>
    <w:rsid w:val="00C86A14"/>
    <w:rsid w:val="00C94D71"/>
    <w:rsid w:val="00D27B15"/>
    <w:rsid w:val="00DB748E"/>
    <w:rsid w:val="00ED2348"/>
    <w:rsid w:val="00F268AD"/>
    <w:rsid w:val="00FB21AC"/>
    <w:rsid w:val="00FF3882"/>
    <w:rsid w:val="00FF3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97DB"/>
  <w15:chartTrackingRefBased/>
  <w15:docId w15:val="{820B311D-C509-4EAE-AB3B-483A058B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3E95"/>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987C51"/>
    <w:pPr>
      <w:ind w:left="720"/>
      <w:contextualSpacing/>
    </w:pPr>
  </w:style>
  <w:style w:type="table" w:styleId="TableGrid">
    <w:name w:val="Table Grid"/>
    <w:basedOn w:val="TableNormal"/>
    <w:uiPriority w:val="39"/>
    <w:rsid w:val="00B17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901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64728-EF4A-4792-A9C6-79417D56A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Tedjasukmana (non-Celgene)</dc:creator>
  <cp:keywords/>
  <dc:description/>
  <cp:lastModifiedBy>Patti Ideus (non-Celgene)</cp:lastModifiedBy>
  <cp:revision>3</cp:revision>
  <dcterms:created xsi:type="dcterms:W3CDTF">2021-02-12T21:30:00Z</dcterms:created>
  <dcterms:modified xsi:type="dcterms:W3CDTF">2021-02-16T17:32:00Z</dcterms:modified>
</cp:coreProperties>
</file>