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7C4" w:rsidRDefault="0019038B">
      <w:r>
        <w:t>Work flow for ICD-10 conversion</w:t>
      </w:r>
    </w:p>
    <w:p w:rsidR="0019038B" w:rsidRDefault="00CE6707">
      <w:r>
        <w:t xml:space="preserve">We work on operationalizing each </w:t>
      </w:r>
      <w:r w:rsidR="0019038B">
        <w:t>POP</w:t>
      </w:r>
      <w:r>
        <w:t xml:space="preserve"> individually</w:t>
      </w:r>
    </w:p>
    <w:p w:rsidR="000235FF" w:rsidRDefault="000235FF">
      <w:bookmarkStart w:id="0" w:name="_GoBack"/>
      <w:bookmarkEnd w:id="0"/>
    </w:p>
    <w:p w:rsidR="000235FF" w:rsidRDefault="000235FF">
      <w:r>
        <w:rPr>
          <w:noProof/>
        </w:rPr>
        <mc:AlternateContent>
          <mc:Choice Requires="wps">
            <w:drawing>
              <wp:anchor distT="45720" distB="45720" distL="114300" distR="114300" simplePos="0" relativeHeight="251663360" behindDoc="0" locked="0" layoutInCell="1" allowOverlap="1" wp14:anchorId="03F37F24" wp14:editId="2F613BEE">
                <wp:simplePos x="0" y="0"/>
                <wp:positionH relativeFrom="column">
                  <wp:posOffset>3819525</wp:posOffset>
                </wp:positionH>
                <wp:positionV relativeFrom="paragraph">
                  <wp:posOffset>143510</wp:posOffset>
                </wp:positionV>
                <wp:extent cx="1752600" cy="12096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209675"/>
                        </a:xfrm>
                        <a:prstGeom prst="rect">
                          <a:avLst/>
                        </a:prstGeom>
                        <a:solidFill>
                          <a:srgbClr val="FFFFFF"/>
                        </a:solidFill>
                        <a:ln w="9525">
                          <a:solidFill>
                            <a:srgbClr val="000000"/>
                          </a:solidFill>
                          <a:miter lim="800000"/>
                          <a:headEnd/>
                          <a:tailEnd/>
                        </a:ln>
                      </wps:spPr>
                      <wps:txbx>
                        <w:txbxContent>
                          <w:p w:rsidR="0019038B" w:rsidRDefault="0019038B" w:rsidP="0019038B">
                            <w:r>
                              <w:t xml:space="preserve">Susie delivers to Jodi description of counts of </w:t>
                            </w:r>
                            <w:r w:rsidR="004541C9">
                              <w:t>each POP</w:t>
                            </w:r>
                            <w:r>
                              <w:t xml:space="preserve"> as: </w:t>
                            </w:r>
                            <w:r w:rsidR="00CE6707">
                              <w:t>mean, median, IQR for the whole country in aggregate</w:t>
                            </w:r>
                            <w:r w:rsidR="000235FF">
                              <w:t xml:space="preserve"> for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F37F24" id="_x0000_t202" coordsize="21600,21600" o:spt="202" path="m,l,21600r21600,l21600,xe">
                <v:stroke joinstyle="miter"/>
                <v:path gradientshapeok="t" o:connecttype="rect"/>
              </v:shapetype>
              <v:shape id="Text Box 2" o:spid="_x0000_s1026" type="#_x0000_t202" style="position:absolute;margin-left:300.75pt;margin-top:11.3pt;width:138pt;height:9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">
                <v:textbox>
                  <w:txbxContent>
                    <w:p w:rsidR="0019038B" w:rsidRDefault="0019038B" w:rsidP="0019038B">
                      <w:r>
                        <w:t xml:space="preserve">Susie delivers to Jodi description of counts of </w:t>
                      </w:r>
                      <w:r w:rsidR="004541C9">
                        <w:t>each POP</w:t>
                      </w:r>
                      <w:r>
                        <w:t xml:space="preserve"> as: </w:t>
                      </w:r>
                      <w:r w:rsidR="00CE6707">
                        <w:t>mean, median, IQR for the whole country in aggregate</w:t>
                      </w:r>
                      <w:r w:rsidR="000235FF">
                        <w:t xml:space="preserve"> for review</w:t>
                      </w:r>
                    </w:p>
                  </w:txbxContent>
                </v:textbox>
                <w10:wrap type="square"/>
              </v:shape>
            </w:pict>
          </mc:Fallback>
        </mc:AlternateContent>
      </w:r>
    </w:p>
    <w:p w:rsidR="0019038B" w:rsidRDefault="000235FF" w:rsidP="0019038B">
      <w:r>
        <w:rPr>
          <w:noProof/>
        </w:rPr>
        <mc:AlternateContent>
          <mc:Choice Requires="wps">
            <w:drawing>
              <wp:anchor distT="45720" distB="45720" distL="114300" distR="114300" simplePos="0" relativeHeight="251659264" behindDoc="0" locked="0" layoutInCell="1" allowOverlap="1">
                <wp:simplePos x="0" y="0"/>
                <wp:positionH relativeFrom="column">
                  <wp:posOffset>-305435</wp:posOffset>
                </wp:positionH>
                <wp:positionV relativeFrom="paragraph">
                  <wp:posOffset>133985</wp:posOffset>
                </wp:positionV>
                <wp:extent cx="1781175" cy="990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990600"/>
                        </a:xfrm>
                        <a:prstGeom prst="rect">
                          <a:avLst/>
                        </a:prstGeom>
                        <a:solidFill>
                          <a:srgbClr val="FFFFFF"/>
                        </a:solidFill>
                        <a:ln w="9525">
                          <a:solidFill>
                            <a:srgbClr val="000000"/>
                          </a:solidFill>
                          <a:miter lim="800000"/>
                          <a:headEnd/>
                          <a:tailEnd/>
                        </a:ln>
                      </wps:spPr>
                      <wps:txbx>
                        <w:txbxContent>
                          <w:p w:rsidR="0019038B" w:rsidRDefault="0019038B">
                            <w:r>
                              <w:t xml:space="preserve">Jodi reviews the diagnosis and procedures codes resulting from use of Crosswalk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05pt;margin-top:10.55pt;width:140.25pt;height: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">
                <v:textbox>
                  <w:txbxContent>
                    <w:p w:rsidR="0019038B" w:rsidRDefault="0019038B">
                      <w:r>
                        <w:t xml:space="preserve">Jodi reviews the diagnosis and procedures codes resulting from use of Crosswalk </w:t>
                      </w:r>
                    </w:p>
                  </w:txbxContent>
                </v:textbox>
                <w10:wrap type="square"/>
              </v:shape>
            </w:pict>
          </mc:Fallback>
        </mc:AlternateContent>
      </w:r>
      <w:r w:rsidR="00CE6707">
        <w:rPr>
          <w:noProof/>
        </w:rPr>
        <mc:AlternateContent>
          <mc:Choice Requires="wps">
            <w:drawing>
              <wp:anchor distT="45720" distB="45720" distL="114300" distR="114300" simplePos="0" relativeHeight="251661312" behindDoc="0" locked="0" layoutInCell="1" allowOverlap="1" wp14:anchorId="54C341AF" wp14:editId="61BBB74E">
                <wp:simplePos x="0" y="0"/>
                <wp:positionH relativeFrom="column">
                  <wp:posOffset>1695450</wp:posOffset>
                </wp:positionH>
                <wp:positionV relativeFrom="paragraph">
                  <wp:posOffset>85090</wp:posOffset>
                </wp:positionV>
                <wp:extent cx="1752600" cy="9810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981075"/>
                        </a:xfrm>
                        <a:prstGeom prst="rect">
                          <a:avLst/>
                        </a:prstGeom>
                        <a:solidFill>
                          <a:srgbClr val="FFFFFF"/>
                        </a:solidFill>
                        <a:ln w="9525">
                          <a:solidFill>
                            <a:srgbClr val="000000"/>
                          </a:solidFill>
                          <a:miter lim="800000"/>
                          <a:headEnd/>
                          <a:tailEnd/>
                        </a:ln>
                      </wps:spPr>
                      <wps:txbx>
                        <w:txbxContent>
                          <w:p w:rsidR="0019038B" w:rsidRDefault="0019038B" w:rsidP="0019038B">
                            <w:r>
                              <w:t>Susie prepares SAS code for individual POP and runs the counts in 2010</w:t>
                            </w:r>
                            <w:r w:rsidR="00CE6707">
                              <w:t>; pays attention to the unit of observation</w:t>
                            </w:r>
                            <w:r w:rsidR="000235F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341AF" id="_x0000_s1028" type="#_x0000_t202" style="position:absolute;margin-left:133.5pt;margin-top:6.7pt;width:138pt;height:77.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">
                <v:textbox>
                  <w:txbxContent>
                    <w:p w:rsidR="0019038B" w:rsidRDefault="0019038B" w:rsidP="0019038B">
                      <w:r>
                        <w:t>Susie prepares SAS code for individual POP and runs the counts in 2010</w:t>
                      </w:r>
                      <w:r w:rsidR="00CE6707">
                        <w:t>; pays attention to the unit of observation</w:t>
                      </w:r>
                      <w:r w:rsidR="000235FF">
                        <w:t>*</w:t>
                      </w:r>
                    </w:p>
                  </w:txbxContent>
                </v:textbox>
                <w10:wrap type="square"/>
              </v:shape>
            </w:pict>
          </mc:Fallback>
        </mc:AlternateContent>
      </w:r>
    </w:p>
    <w:p w:rsidR="00343E5A" w:rsidRDefault="00343E5A" w:rsidP="0019038B"/>
    <w:p w:rsidR="00343E5A" w:rsidRDefault="00CE6707" w:rsidP="0019038B">
      <w:r>
        <w:rPr>
          <w:noProof/>
        </w:rPr>
        <mc:AlternateContent>
          <mc:Choice Requires="wps">
            <w:drawing>
              <wp:anchor distT="0" distB="0" distL="114300" distR="114300" simplePos="0" relativeHeight="251666432" behindDoc="0" locked="0" layoutInCell="1" allowOverlap="1" wp14:anchorId="61CED374" wp14:editId="5692E4EE">
                <wp:simplePos x="0" y="0"/>
                <wp:positionH relativeFrom="column">
                  <wp:posOffset>3448050</wp:posOffset>
                </wp:positionH>
                <wp:positionV relativeFrom="paragraph">
                  <wp:posOffset>162560</wp:posOffset>
                </wp:positionV>
                <wp:extent cx="2190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8A7CE9" id="_x0000_t32" coordsize="21600,21600" o:spt="32" o:oned="t" path="m,l21600,21600e" filled="f">
                <v:path arrowok="t" fillok="f" o:connecttype="none"/>
                <o:lock v:ext="edit" shapetype="t"/>
              </v:shapetype>
              <v:shape id="Straight Arrow Connector 5" o:spid="_x0000_s1026" type="#_x0000_t32" style="position:absolute;margin-left:271.5pt;margin-top:12.8pt;width:17.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1476375</wp:posOffset>
                </wp:positionH>
                <wp:positionV relativeFrom="paragraph">
                  <wp:posOffset>162560</wp:posOffset>
                </wp:positionV>
                <wp:extent cx="2190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D5182" id="Straight Arrow Connector 4" o:spid="_x0000_s1026" type="#_x0000_t32" style="position:absolute;margin-left:116.25pt;margin-top:12.8pt;width:17.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" strokecolor="#5b9bd5 [3204]" strokeweight=".5pt">
                <v:stroke endarrow="block" joinstyle="miter"/>
              </v:shape>
            </w:pict>
          </mc:Fallback>
        </mc:AlternateContent>
      </w:r>
    </w:p>
    <w:p w:rsidR="00343E5A" w:rsidRDefault="000235FF" w:rsidP="0019038B">
      <w:r>
        <w:rPr>
          <w:noProof/>
        </w:rPr>
        <mc:AlternateContent>
          <mc:Choice Requires="wps">
            <w:drawing>
              <wp:anchor distT="0" distB="0" distL="114300" distR="114300" simplePos="0" relativeHeight="251669504" behindDoc="0" locked="0" layoutInCell="1" allowOverlap="1">
                <wp:simplePos x="0" y="0"/>
                <wp:positionH relativeFrom="column">
                  <wp:posOffset>4580890</wp:posOffset>
                </wp:positionH>
                <wp:positionV relativeFrom="paragraph">
                  <wp:posOffset>210184</wp:posOffset>
                </wp:positionV>
                <wp:extent cx="45719" cy="409575"/>
                <wp:effectExtent l="38100" t="0" r="50165" b="47625"/>
                <wp:wrapNone/>
                <wp:docPr id="7" name="Straight Arrow Connector 7"/>
                <wp:cNvGraphicFramePr/>
                <a:graphic xmlns:a="http://schemas.openxmlformats.org/drawingml/2006/main">
                  <a:graphicData uri="http://schemas.microsoft.com/office/word/2010/wordprocessingShape">
                    <wps:wsp>
                      <wps:cNvCnPr/>
                      <wps:spPr>
                        <a:xfrm flipH="1">
                          <a:off x="0" y="0"/>
                          <a:ext cx="45719"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C0549F" id="_x0000_t32" coordsize="21600,21600" o:spt="32" o:oned="t" path="m,l21600,21600e" filled="f">
                <v:path arrowok="t" fillok="f" o:connecttype="none"/>
                <o:lock v:ext="edit" shapetype="t"/>
              </v:shapetype>
              <v:shape id="Straight Arrow Connector 7" o:spid="_x0000_s1026" type="#_x0000_t32" style="position:absolute;margin-left:360.7pt;margin-top:16.55pt;width:3.6pt;height:32.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" strokecolor="#5b9bd5 [3204]" strokeweight=".5pt">
                <v:stroke endarrow="block" joinstyle="miter"/>
              </v:shape>
            </w:pict>
          </mc:Fallback>
        </mc:AlternateContent>
      </w:r>
    </w:p>
    <w:p w:rsidR="00343E5A" w:rsidRDefault="000235FF" w:rsidP="000235FF">
      <w:pPr>
        <w:ind w:left="2880"/>
      </w:pPr>
      <w:r>
        <w:rPr>
          <w:noProof/>
        </w:rPr>
        <mc:AlternateContent>
          <mc:Choice Requires="wps">
            <w:drawing>
              <wp:anchor distT="45720" distB="45720" distL="114300" distR="114300" simplePos="0" relativeHeight="251673600" behindDoc="0" locked="0" layoutInCell="1" allowOverlap="1" wp14:anchorId="6EA0763B" wp14:editId="1CE4BACF">
                <wp:simplePos x="0" y="0"/>
                <wp:positionH relativeFrom="column">
                  <wp:posOffset>1695450</wp:posOffset>
                </wp:positionH>
                <wp:positionV relativeFrom="paragraph">
                  <wp:posOffset>524510</wp:posOffset>
                </wp:positionV>
                <wp:extent cx="1885950" cy="1514475"/>
                <wp:effectExtent l="0" t="0" r="19050" b="2857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514475"/>
                        </a:xfrm>
                        <a:prstGeom prst="rect">
                          <a:avLst/>
                        </a:prstGeom>
                        <a:solidFill>
                          <a:srgbClr val="FFFFFF"/>
                        </a:solidFill>
                        <a:ln w="9525">
                          <a:solidFill>
                            <a:srgbClr val="000000"/>
                          </a:solidFill>
                          <a:miter lim="800000"/>
                          <a:headEnd/>
                          <a:tailEnd/>
                        </a:ln>
                      </wps:spPr>
                      <wps:txbx>
                        <w:txbxContent>
                          <w:p w:rsidR="000235FF" w:rsidRDefault="000235FF" w:rsidP="000235FF">
                            <w:r>
                              <w:t xml:space="preserve">Susie stacks all eligible </w:t>
                            </w:r>
                            <w:proofErr w:type="spellStart"/>
                            <w:proofErr w:type="gramStart"/>
                            <w:r>
                              <w:t>benes</w:t>
                            </w:r>
                            <w:proofErr w:type="spellEnd"/>
                            <w:proofErr w:type="gramEnd"/>
                            <w:r>
                              <w:t xml:space="preserve"> for each POP into a long file with each row including the indicator of </w:t>
                            </w:r>
                            <w:r w:rsidRPr="000235FF">
                              <w:rPr>
                                <w:b/>
                              </w:rPr>
                              <w:t xml:space="preserve">victim-hood, ACG, sex, age, and the indicator for HRR </w:t>
                            </w:r>
                            <w:r>
                              <w:t>or the new indicator for health system attribution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0763B" id="Text Box 10" o:spid="_x0000_s1029" type="#_x0000_t202" style="position:absolute;left:0;text-align:left;margin-left:133.5pt;margin-top:41.3pt;width:148.5pt;height:11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">
                <v:textbox>
                  <w:txbxContent>
                    <w:p w:rsidR="000235FF" w:rsidRDefault="000235FF" w:rsidP="000235FF">
                      <w:r>
                        <w:t xml:space="preserve">Susie stacks all eligible </w:t>
                      </w:r>
                      <w:proofErr w:type="spellStart"/>
                      <w:proofErr w:type="gramStart"/>
                      <w:r>
                        <w:t>benes</w:t>
                      </w:r>
                      <w:proofErr w:type="spellEnd"/>
                      <w:proofErr w:type="gramEnd"/>
                      <w:r>
                        <w:t xml:space="preserve"> for each POP into a long file with each row including the indicator of </w:t>
                      </w:r>
                      <w:r w:rsidRPr="000235FF">
                        <w:rPr>
                          <w:b/>
                        </w:rPr>
                        <w:t xml:space="preserve">victim-hood, ACG, sex, age, and the indicator for HRR </w:t>
                      </w:r>
                      <w:r>
                        <w:t>or the new indicator for health system attribution</w:t>
                      </w:r>
                    </w:p>
                  </w:txbxContent>
                </v:textbox>
                <w10:wrap type="square"/>
              </v:shape>
            </w:pict>
          </mc:Fallback>
        </mc:AlternateContent>
      </w:r>
    </w:p>
    <w:p w:rsidR="00343E5A" w:rsidRDefault="000235FF" w:rsidP="0019038B">
      <w:r>
        <w:rPr>
          <w:noProof/>
        </w:rPr>
        <mc:AlternateContent>
          <mc:Choice Requires="wps">
            <w:drawing>
              <wp:anchor distT="45720" distB="45720" distL="114300" distR="114300" simplePos="0" relativeHeight="251671552" behindDoc="0" locked="0" layoutInCell="1" allowOverlap="1" wp14:anchorId="51EAD885" wp14:editId="39815416">
                <wp:simplePos x="0" y="0"/>
                <wp:positionH relativeFrom="column">
                  <wp:posOffset>-381000</wp:posOffset>
                </wp:positionH>
                <wp:positionV relativeFrom="paragraph">
                  <wp:posOffset>108585</wp:posOffset>
                </wp:positionV>
                <wp:extent cx="1752600" cy="1076325"/>
                <wp:effectExtent l="0" t="0" r="19050"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76325"/>
                        </a:xfrm>
                        <a:prstGeom prst="rect">
                          <a:avLst/>
                        </a:prstGeom>
                        <a:solidFill>
                          <a:srgbClr val="FFFFFF"/>
                        </a:solidFill>
                        <a:ln w="9525">
                          <a:solidFill>
                            <a:srgbClr val="000000"/>
                          </a:solidFill>
                          <a:miter lim="800000"/>
                          <a:headEnd/>
                          <a:tailEnd/>
                        </a:ln>
                      </wps:spPr>
                      <wps:txbx>
                        <w:txbxContent>
                          <w:p w:rsidR="000235FF" w:rsidRDefault="000235FF" w:rsidP="000235FF">
                            <w:r>
                              <w:t>Jodi works on figuring out the AHRQ tool that aggregates hospitals into health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AD885" id="Text Box 8" o:spid="_x0000_s1030" type="#_x0000_t202" style="position:absolute;margin-left:-30pt;margin-top:8.55pt;width:138pt;height:8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">
                <v:textbox>
                  <w:txbxContent>
                    <w:p w:rsidR="000235FF" w:rsidRDefault="000235FF" w:rsidP="000235FF">
                      <w:r>
                        <w:t>Jodi works on figuring out the AHRQ tool that aggregates hospitals into health systems</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D4FA790" wp14:editId="63DC0332">
                <wp:simplePos x="0" y="0"/>
                <wp:positionH relativeFrom="column">
                  <wp:posOffset>3819525</wp:posOffset>
                </wp:positionH>
                <wp:positionV relativeFrom="paragraph">
                  <wp:posOffset>52070</wp:posOffset>
                </wp:positionV>
                <wp:extent cx="1752600" cy="80010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800100"/>
                        </a:xfrm>
                        <a:prstGeom prst="rect">
                          <a:avLst/>
                        </a:prstGeom>
                        <a:solidFill>
                          <a:srgbClr val="FFFFFF"/>
                        </a:solidFill>
                        <a:ln w="9525">
                          <a:solidFill>
                            <a:srgbClr val="000000"/>
                          </a:solidFill>
                          <a:miter lim="800000"/>
                          <a:headEnd/>
                          <a:tailEnd/>
                        </a:ln>
                      </wps:spPr>
                      <wps:txbx>
                        <w:txbxContent>
                          <w:p w:rsidR="000235FF" w:rsidRDefault="000235FF" w:rsidP="000235FF">
                            <w:proofErr w:type="spellStart"/>
                            <w:r>
                              <w:t>Hsien-yen</w:t>
                            </w:r>
                            <w:proofErr w:type="spellEnd"/>
                            <w:r>
                              <w:t xml:space="preserve"> generates an </w:t>
                            </w:r>
                            <w:r w:rsidRPr="000235FF">
                              <w:rPr>
                                <w:b/>
                              </w:rPr>
                              <w:t xml:space="preserve">ACG measure </w:t>
                            </w:r>
                            <w:r>
                              <w:t xml:space="preserve">for each of the included eligible </w:t>
                            </w:r>
                            <w:proofErr w:type="spellStart"/>
                            <w:proofErr w:type="gramStart"/>
                            <w:r>
                              <w:t>benes</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FA790" id="Text Box 3" o:spid="_x0000_s1031" type="#_x0000_t202" style="position:absolute;margin-left:300.75pt;margin-top:4.1pt;width:138pt;height: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">
                <v:textbox>
                  <w:txbxContent>
                    <w:p w:rsidR="000235FF" w:rsidRDefault="000235FF" w:rsidP="000235FF">
                      <w:proofErr w:type="spellStart"/>
                      <w:r>
                        <w:t>Hsien-yen</w:t>
                      </w:r>
                      <w:proofErr w:type="spellEnd"/>
                      <w:r>
                        <w:t xml:space="preserve"> generates an </w:t>
                      </w:r>
                      <w:r w:rsidRPr="000235FF">
                        <w:rPr>
                          <w:b/>
                        </w:rPr>
                        <w:t xml:space="preserve">ACG measure </w:t>
                      </w:r>
                      <w:r>
                        <w:t xml:space="preserve">for each of the included eligible </w:t>
                      </w:r>
                      <w:proofErr w:type="spellStart"/>
                      <w:proofErr w:type="gramStart"/>
                      <w:r>
                        <w:t>benes</w:t>
                      </w:r>
                      <w:proofErr w:type="spellEnd"/>
                      <w:proofErr w:type="gramEnd"/>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simplePos x="0" y="0"/>
                <wp:positionH relativeFrom="column">
                  <wp:posOffset>1781175</wp:posOffset>
                </wp:positionH>
                <wp:positionV relativeFrom="paragraph">
                  <wp:posOffset>2134870</wp:posOffset>
                </wp:positionV>
                <wp:extent cx="4171950" cy="1404620"/>
                <wp:effectExtent l="0" t="0" r="0" b="825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04620"/>
                        </a:xfrm>
                        <a:prstGeom prst="rect">
                          <a:avLst/>
                        </a:prstGeom>
                        <a:solidFill>
                          <a:srgbClr val="FFFFFF"/>
                        </a:solidFill>
                        <a:ln w="9525">
                          <a:noFill/>
                          <a:miter lim="800000"/>
                          <a:headEnd/>
                          <a:tailEnd/>
                        </a:ln>
                      </wps:spPr>
                      <wps:txbx>
                        <w:txbxContent>
                          <w:p w:rsidR="000235FF" w:rsidRDefault="000235FF">
                            <w:r>
                              <w:t>*</w:t>
                            </w:r>
                            <w:r w:rsidRPr="00CE6707">
                              <w:rPr>
                                <w:b/>
                              </w:rPr>
                              <w:t>unit of observation</w:t>
                            </w:r>
                            <w:r>
                              <w:t>: for some POPs, it is per person per date of service (multiple eligible episodes), for some POPs, it is per person (only once per 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40.25pt;margin-top:168.1pt;width:328.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" stroked="f">
                <v:textbox style="mso-fit-shape-to-text:t">
                  <w:txbxContent>
                    <w:p w:rsidR="000235FF" w:rsidRDefault="000235FF">
                      <w:r>
                        <w:t>*</w:t>
                      </w:r>
                      <w:r w:rsidRPr="00CE6707">
                        <w:rPr>
                          <w:b/>
                        </w:rPr>
                        <w:t>unit of observation</w:t>
                      </w:r>
                      <w:r>
                        <w:t xml:space="preserve">: for some POPs, it is per </w:t>
                      </w:r>
                      <w:r>
                        <w:t>person</w:t>
                      </w:r>
                      <w:r>
                        <w:t xml:space="preserve"> per date of service (multiple eligible episodes), for some POPs, it is per </w:t>
                      </w:r>
                      <w:r>
                        <w:t>person</w:t>
                      </w:r>
                      <w:r>
                        <w:t xml:space="preserve"> (only once per year)</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4003FFD2" wp14:editId="7479FC9E">
                <wp:simplePos x="0" y="0"/>
                <wp:positionH relativeFrom="column">
                  <wp:posOffset>1409700</wp:posOffset>
                </wp:positionH>
                <wp:positionV relativeFrom="paragraph">
                  <wp:posOffset>623570</wp:posOffset>
                </wp:positionV>
                <wp:extent cx="247650" cy="9525"/>
                <wp:effectExtent l="38100" t="76200" r="0" b="85725"/>
                <wp:wrapNone/>
                <wp:docPr id="12" name="Straight Arrow Connector 12"/>
                <wp:cNvGraphicFramePr/>
                <a:graphic xmlns:a="http://schemas.openxmlformats.org/drawingml/2006/main">
                  <a:graphicData uri="http://schemas.microsoft.com/office/word/2010/wordprocessingShape">
                    <wps:wsp>
                      <wps:cNvCnPr/>
                      <wps:spPr>
                        <a:xfrm flipH="1" flipV="1">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EC1C3" id="Straight Arrow Connector 12" o:spid="_x0000_s1026" type="#_x0000_t32" style="position:absolute;margin-left:111pt;margin-top:49.1pt;width:19.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3571875</wp:posOffset>
                </wp:positionH>
                <wp:positionV relativeFrom="paragraph">
                  <wp:posOffset>537845</wp:posOffset>
                </wp:positionV>
                <wp:extent cx="247650" cy="9525"/>
                <wp:effectExtent l="38100" t="76200" r="0" b="85725"/>
                <wp:wrapNone/>
                <wp:docPr id="11" name="Straight Arrow Connector 11"/>
                <wp:cNvGraphicFramePr/>
                <a:graphic xmlns:a="http://schemas.openxmlformats.org/drawingml/2006/main">
                  <a:graphicData uri="http://schemas.microsoft.com/office/word/2010/wordprocessingShape">
                    <wps:wsp>
                      <wps:cNvCnPr/>
                      <wps:spPr>
                        <a:xfrm flipH="1" flipV="1">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0175F" id="Straight Arrow Connector 11" o:spid="_x0000_s1026" type="#_x0000_t32" style="position:absolute;margin-left:281.25pt;margin-top:42.35pt;width:19.5pt;height:.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" strokecolor="#5b9bd5 [3204]" strokeweight=".5pt">
                <v:stroke endarrow="block" joinstyle="miter"/>
              </v:shape>
            </w:pict>
          </mc:Fallback>
        </mc:AlternateContent>
      </w:r>
    </w:p>
    <w:tbl>
      <w:tblPr>
        <w:tblpPr w:leftFromText="180" w:rightFromText="180" w:vertAnchor="page" w:horzAnchor="margin" w:tblpXSpec="center" w:tblpY="2445"/>
        <w:tblW w:w="9033" w:type="dxa"/>
        <w:tblLook w:val="04A0" w:firstRow="1" w:lastRow="0" w:firstColumn="1" w:lastColumn="0" w:noHBand="0" w:noVBand="1"/>
      </w:tblPr>
      <w:tblGrid>
        <w:gridCol w:w="5438"/>
        <w:gridCol w:w="779"/>
        <w:gridCol w:w="977"/>
        <w:gridCol w:w="994"/>
        <w:gridCol w:w="286"/>
        <w:gridCol w:w="559"/>
      </w:tblGrid>
      <w:tr w:rsidR="00343E5A" w:rsidRPr="002E71AD" w:rsidTr="00343E5A">
        <w:trPr>
          <w:trHeight w:val="314"/>
        </w:trPr>
        <w:tc>
          <w:tcPr>
            <w:tcW w:w="9033" w:type="dxa"/>
            <w:gridSpan w:val="6"/>
            <w:tcBorders>
              <w:top w:val="single" w:sz="4" w:space="0" w:color="auto"/>
              <w:left w:val="nil"/>
              <w:bottom w:val="single" w:sz="4" w:space="0" w:color="auto"/>
              <w:right w:val="nil"/>
            </w:tcBorders>
            <w:shd w:val="clear" w:color="auto" w:fill="auto"/>
            <w:noWrap/>
            <w:vAlign w:val="center"/>
          </w:tcPr>
          <w:p w:rsidR="00343E5A" w:rsidRPr="00B83491" w:rsidRDefault="00343E5A" w:rsidP="00695B95">
            <w:pPr>
              <w:rPr>
                <w:b/>
                <w:bCs/>
                <w:color w:val="000000" w:themeColor="text1"/>
              </w:rPr>
            </w:pPr>
            <w:r w:rsidRPr="00B83491">
              <w:rPr>
                <w:b/>
                <w:color w:val="000000" w:themeColor="text1"/>
              </w:rPr>
              <w:lastRenderedPageBreak/>
              <w:t xml:space="preserve">Mean and Median Counts of Indicators of Overuse Across Regions, 2010 </w:t>
            </w:r>
            <w:r>
              <w:rPr>
                <w:b/>
                <w:color w:val="000000" w:themeColor="text1"/>
              </w:rPr>
              <w:t>M</w:t>
            </w:r>
            <w:r w:rsidRPr="00B83491">
              <w:rPr>
                <w:b/>
                <w:color w:val="000000" w:themeColor="text1"/>
              </w:rPr>
              <w:t>onths 1-6 (N=422 regions)</w:t>
            </w:r>
            <w:r w:rsidR="00F005AD">
              <w:rPr>
                <w:b/>
                <w:color w:val="000000" w:themeColor="text1"/>
              </w:rPr>
              <w:t xml:space="preserve"> -MARKETSCAN</w:t>
            </w:r>
          </w:p>
        </w:tc>
      </w:tr>
      <w:tr w:rsidR="00343E5A" w:rsidRPr="002E71AD" w:rsidTr="00343E5A">
        <w:trPr>
          <w:trHeight w:val="314"/>
        </w:trPr>
        <w:tc>
          <w:tcPr>
            <w:tcW w:w="5438" w:type="dxa"/>
            <w:tcBorders>
              <w:top w:val="single" w:sz="4" w:space="0" w:color="auto"/>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p>
        </w:tc>
        <w:tc>
          <w:tcPr>
            <w:tcW w:w="3595" w:type="dxa"/>
            <w:gridSpan w:val="5"/>
            <w:tcBorders>
              <w:top w:val="single" w:sz="4" w:space="0" w:color="auto"/>
              <w:left w:val="nil"/>
              <w:bottom w:val="single" w:sz="4" w:space="0" w:color="auto"/>
              <w:right w:val="nil"/>
            </w:tcBorders>
            <w:shd w:val="clear" w:color="auto" w:fill="auto"/>
            <w:noWrap/>
            <w:vAlign w:val="center"/>
            <w:hideMark/>
          </w:tcPr>
          <w:p w:rsidR="00343E5A" w:rsidRPr="00B83491" w:rsidRDefault="00343E5A" w:rsidP="00695B95">
            <w:pPr>
              <w:jc w:val="center"/>
              <w:rPr>
                <w:rFonts w:ascii="Arial" w:hAnsi="Arial" w:cs="Arial"/>
                <w:b/>
                <w:bCs/>
                <w:color w:val="000000" w:themeColor="text1"/>
                <w:sz w:val="14"/>
                <w:szCs w:val="14"/>
              </w:rPr>
            </w:pPr>
            <w:r w:rsidRPr="00B83491">
              <w:rPr>
                <w:rFonts w:ascii="Arial" w:hAnsi="Arial" w:cs="Arial"/>
                <w:b/>
                <w:bCs/>
                <w:color w:val="000000" w:themeColor="text1"/>
                <w:sz w:val="14"/>
                <w:szCs w:val="14"/>
              </w:rPr>
              <w:t>Per 1000</w:t>
            </w:r>
          </w:p>
        </w:tc>
      </w:tr>
      <w:tr w:rsidR="00343E5A" w:rsidRPr="002E71AD" w:rsidTr="00343E5A">
        <w:trPr>
          <w:trHeight w:val="452"/>
        </w:trPr>
        <w:tc>
          <w:tcPr>
            <w:tcW w:w="5438" w:type="dxa"/>
            <w:tcBorders>
              <w:top w:val="nil"/>
              <w:left w:val="nil"/>
              <w:bottom w:val="single" w:sz="4" w:space="0" w:color="auto"/>
              <w:right w:val="nil"/>
            </w:tcBorders>
            <w:shd w:val="clear" w:color="auto" w:fill="auto"/>
            <w:noWrap/>
            <w:vAlign w:val="center"/>
            <w:hideMark/>
          </w:tcPr>
          <w:p w:rsidR="00343E5A" w:rsidRPr="00B83491" w:rsidRDefault="00343E5A" w:rsidP="00695B95">
            <w:pPr>
              <w:rPr>
                <w:rFonts w:ascii="Arial" w:hAnsi="Arial" w:cs="Arial"/>
                <w:b/>
                <w:bCs/>
                <w:color w:val="000000" w:themeColor="text1"/>
                <w:sz w:val="14"/>
                <w:szCs w:val="14"/>
              </w:rPr>
            </w:pPr>
            <w:r w:rsidRPr="00B83491">
              <w:rPr>
                <w:rFonts w:ascii="Arial" w:hAnsi="Arial" w:cs="Arial"/>
                <w:b/>
                <w:bCs/>
                <w:color w:val="000000" w:themeColor="text1"/>
                <w:sz w:val="14"/>
                <w:szCs w:val="14"/>
              </w:rPr>
              <w:t>Overuse Indicator</w:t>
            </w:r>
          </w:p>
        </w:tc>
        <w:tc>
          <w:tcPr>
            <w:tcW w:w="779" w:type="dxa"/>
            <w:tcBorders>
              <w:top w:val="nil"/>
              <w:left w:val="nil"/>
              <w:bottom w:val="single" w:sz="4" w:space="0" w:color="auto"/>
              <w:right w:val="nil"/>
            </w:tcBorders>
            <w:shd w:val="clear" w:color="auto" w:fill="auto"/>
            <w:noWrap/>
            <w:vAlign w:val="center"/>
            <w:hideMark/>
          </w:tcPr>
          <w:p w:rsidR="00343E5A" w:rsidRPr="00B83491" w:rsidRDefault="00343E5A" w:rsidP="00695B95">
            <w:pPr>
              <w:jc w:val="right"/>
              <w:rPr>
                <w:rFonts w:ascii="Arial" w:hAnsi="Arial" w:cs="Arial"/>
                <w:b/>
                <w:bCs/>
                <w:color w:val="000000" w:themeColor="text1"/>
                <w:sz w:val="14"/>
                <w:szCs w:val="14"/>
              </w:rPr>
            </w:pPr>
            <w:r w:rsidRPr="00B83491">
              <w:rPr>
                <w:rFonts w:ascii="Arial" w:hAnsi="Arial" w:cs="Arial"/>
                <w:b/>
                <w:bCs/>
                <w:color w:val="000000" w:themeColor="text1"/>
                <w:sz w:val="14"/>
                <w:szCs w:val="14"/>
              </w:rPr>
              <w:t>Mean</w:t>
            </w:r>
          </w:p>
        </w:tc>
        <w:tc>
          <w:tcPr>
            <w:tcW w:w="977" w:type="dxa"/>
            <w:tcBorders>
              <w:top w:val="nil"/>
              <w:left w:val="nil"/>
              <w:bottom w:val="single" w:sz="4" w:space="0" w:color="auto"/>
              <w:right w:val="nil"/>
            </w:tcBorders>
            <w:shd w:val="clear" w:color="auto" w:fill="auto"/>
            <w:noWrap/>
            <w:vAlign w:val="center"/>
            <w:hideMark/>
          </w:tcPr>
          <w:p w:rsidR="00343E5A" w:rsidRPr="00B83491" w:rsidRDefault="00343E5A" w:rsidP="00695B95">
            <w:pPr>
              <w:jc w:val="right"/>
              <w:rPr>
                <w:rFonts w:ascii="Arial" w:hAnsi="Arial" w:cs="Arial"/>
                <w:b/>
                <w:bCs/>
                <w:color w:val="000000" w:themeColor="text1"/>
                <w:sz w:val="14"/>
                <w:szCs w:val="14"/>
              </w:rPr>
            </w:pPr>
            <w:r w:rsidRPr="00B83491">
              <w:rPr>
                <w:rFonts w:ascii="Arial" w:hAnsi="Arial" w:cs="Arial"/>
                <w:b/>
                <w:bCs/>
                <w:color w:val="000000" w:themeColor="text1"/>
                <w:sz w:val="14"/>
                <w:szCs w:val="14"/>
              </w:rPr>
              <w:t xml:space="preserve"> Median</w:t>
            </w:r>
          </w:p>
        </w:tc>
        <w:tc>
          <w:tcPr>
            <w:tcW w:w="1839" w:type="dxa"/>
            <w:gridSpan w:val="3"/>
            <w:tcBorders>
              <w:top w:val="nil"/>
              <w:left w:val="nil"/>
              <w:bottom w:val="single" w:sz="4" w:space="0" w:color="auto"/>
              <w:right w:val="nil"/>
            </w:tcBorders>
            <w:shd w:val="clear" w:color="auto" w:fill="auto"/>
            <w:noWrap/>
            <w:vAlign w:val="center"/>
            <w:hideMark/>
          </w:tcPr>
          <w:p w:rsidR="00343E5A" w:rsidRPr="00B83491" w:rsidRDefault="00343E5A" w:rsidP="00695B95">
            <w:pPr>
              <w:jc w:val="center"/>
              <w:rPr>
                <w:rFonts w:ascii="Arial" w:hAnsi="Arial" w:cs="Arial"/>
                <w:b/>
                <w:bCs/>
                <w:color w:val="000000" w:themeColor="text1"/>
                <w:sz w:val="14"/>
                <w:szCs w:val="14"/>
              </w:rPr>
            </w:pPr>
            <w:r w:rsidRPr="00B83491">
              <w:rPr>
                <w:rFonts w:ascii="Arial" w:hAnsi="Arial" w:cs="Arial"/>
                <w:b/>
                <w:bCs/>
                <w:color w:val="000000" w:themeColor="text1"/>
                <w:sz w:val="14"/>
                <w:szCs w:val="14"/>
              </w:rPr>
              <w:t xml:space="preserve"> Interquartile Range</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Stress echocardiography in symptomatic or ischemic equivalent acute chest pain*</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52.4</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36.6</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0.0</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72.8</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Laminectomy or spinal fusion</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0.6</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0.6</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0.4</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0.8</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Hysterectomy for benign disease</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3.5</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3.3</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2.5</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4.3</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proofErr w:type="spellStart"/>
            <w:r w:rsidRPr="00B83491">
              <w:rPr>
                <w:rFonts w:ascii="Arial" w:hAnsi="Arial" w:cs="Arial"/>
                <w:color w:val="000000" w:themeColor="text1"/>
                <w:sz w:val="14"/>
                <w:szCs w:val="14"/>
              </w:rPr>
              <w:t>Fiberoptic</w:t>
            </w:r>
            <w:proofErr w:type="spellEnd"/>
            <w:r w:rsidRPr="00B83491">
              <w:rPr>
                <w:rFonts w:ascii="Arial" w:hAnsi="Arial" w:cs="Arial"/>
                <w:color w:val="000000" w:themeColor="text1"/>
                <w:sz w:val="14"/>
                <w:szCs w:val="14"/>
              </w:rPr>
              <w:t xml:space="preserve"> laryngoscopy for sinusitis diagnosis*</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2.4</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1.6</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0.7</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3.0</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343E5A">
            <w:pPr>
              <w:ind w:hanging="18"/>
              <w:rPr>
                <w:rFonts w:ascii="Arial" w:hAnsi="Arial" w:cs="Arial"/>
                <w:color w:val="000000" w:themeColor="text1"/>
                <w:sz w:val="14"/>
                <w:szCs w:val="14"/>
              </w:rPr>
            </w:pPr>
            <w:r w:rsidRPr="00B83491">
              <w:rPr>
                <w:rFonts w:ascii="Arial" w:hAnsi="Arial" w:cs="Arial"/>
                <w:color w:val="000000" w:themeColor="text1"/>
                <w:sz w:val="14"/>
                <w:szCs w:val="14"/>
              </w:rPr>
              <w:t>Nasal endoscopy for sinusitis diagnosis*</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21.3</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16.4</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9.5</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28.5</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Routine monitoring of digoxin in patients with congestive heart failure</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18.7</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16.6</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9.6</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23.5</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EEG monitoring in individuals presenting with syncope*</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59.6</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55.3</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39.2</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75.4</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 xml:space="preserve">Serological tests for </w:t>
            </w:r>
            <w:r w:rsidRPr="00B83491">
              <w:rPr>
                <w:rFonts w:ascii="Arial" w:hAnsi="Arial" w:cs="Arial"/>
                <w:i/>
                <w:iCs/>
                <w:color w:val="000000" w:themeColor="text1"/>
                <w:sz w:val="14"/>
                <w:szCs w:val="14"/>
              </w:rPr>
              <w:t>Helicobacter pylori</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4.2</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4.1</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2.8</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5.4</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MRI in adults with mild traumatic brain injury*</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22.9</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20.8</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7.5</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31.3</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PET, CT, and radionuclide bone scan in individuals with low-risk prostate cancer</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112</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105</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80.3</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135</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Traction for low back pain</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222</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216</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169</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271</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Screening for asymptomatic carotid artery stenosis in the general adult population</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1.3</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1.1</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0.8</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1.6</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Preoperative chest radiography in the absence of a clinical suspicion*</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135</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118</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89.6</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165</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Tumor marker studies in asymptomatic women with previously treated breast cancer</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289</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272</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165</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386</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Diagnostic tests, such as immunoglobulin testing, in the evaluation of allergy*</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12.2</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10.5</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5.9</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16.7</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Sinus CT for uncomplicated acute rhinosinusitis*</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1.1</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0.9</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9.0</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1.4</w:t>
            </w:r>
          </w:p>
        </w:tc>
      </w:tr>
      <w:tr w:rsidR="00343E5A" w:rsidRPr="002E71AD" w:rsidTr="00343E5A">
        <w:trPr>
          <w:trHeight w:val="314"/>
        </w:trPr>
        <w:tc>
          <w:tcPr>
            <w:tcW w:w="5438"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MRI lumbar spine for low back pain*</w:t>
            </w:r>
          </w:p>
        </w:tc>
        <w:tc>
          <w:tcPr>
            <w:tcW w:w="779"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491</w:t>
            </w:r>
          </w:p>
        </w:tc>
        <w:tc>
          <w:tcPr>
            <w:tcW w:w="977"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493</w:t>
            </w:r>
          </w:p>
        </w:tc>
        <w:tc>
          <w:tcPr>
            <w:tcW w:w="994" w:type="dxa"/>
            <w:tcBorders>
              <w:top w:val="nil"/>
              <w:left w:val="nil"/>
              <w:bottom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454</w:t>
            </w:r>
          </w:p>
        </w:tc>
        <w:tc>
          <w:tcPr>
            <w:tcW w:w="286"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530</w:t>
            </w:r>
          </w:p>
        </w:tc>
      </w:tr>
      <w:tr w:rsidR="00343E5A" w:rsidRPr="002E71AD" w:rsidTr="00343E5A">
        <w:trPr>
          <w:trHeight w:val="314"/>
        </w:trPr>
        <w:tc>
          <w:tcPr>
            <w:tcW w:w="5438" w:type="dxa"/>
            <w:tcBorders>
              <w:top w:val="nil"/>
              <w:left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Thorax CT use with and without contrast*</w:t>
            </w:r>
          </w:p>
        </w:tc>
        <w:tc>
          <w:tcPr>
            <w:tcW w:w="779" w:type="dxa"/>
            <w:tcBorders>
              <w:top w:val="nil"/>
              <w:left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70.2</w:t>
            </w:r>
          </w:p>
        </w:tc>
        <w:tc>
          <w:tcPr>
            <w:tcW w:w="977" w:type="dxa"/>
            <w:tcBorders>
              <w:top w:val="nil"/>
              <w:left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47.4</w:t>
            </w:r>
          </w:p>
        </w:tc>
        <w:tc>
          <w:tcPr>
            <w:tcW w:w="994" w:type="dxa"/>
            <w:tcBorders>
              <w:top w:val="nil"/>
              <w:left w:val="nil"/>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22.9</w:t>
            </w:r>
          </w:p>
        </w:tc>
        <w:tc>
          <w:tcPr>
            <w:tcW w:w="286" w:type="dxa"/>
            <w:tcBorders>
              <w:top w:val="nil"/>
              <w:left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94.0</w:t>
            </w:r>
          </w:p>
        </w:tc>
      </w:tr>
      <w:tr w:rsidR="00343E5A" w:rsidRPr="002E71AD" w:rsidTr="00343E5A">
        <w:trPr>
          <w:trHeight w:val="314"/>
        </w:trPr>
        <w:tc>
          <w:tcPr>
            <w:tcW w:w="5438" w:type="dxa"/>
            <w:tcBorders>
              <w:top w:val="nil"/>
              <w:left w:val="nil"/>
              <w:bottom w:val="single" w:sz="4" w:space="0" w:color="auto"/>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Abdomen CT use with and without contrast*</w:t>
            </w:r>
          </w:p>
        </w:tc>
        <w:tc>
          <w:tcPr>
            <w:tcW w:w="779" w:type="dxa"/>
            <w:tcBorders>
              <w:top w:val="nil"/>
              <w:left w:val="nil"/>
              <w:bottom w:val="single" w:sz="4" w:space="0" w:color="auto"/>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182</w:t>
            </w:r>
          </w:p>
        </w:tc>
        <w:tc>
          <w:tcPr>
            <w:tcW w:w="977" w:type="dxa"/>
            <w:tcBorders>
              <w:top w:val="nil"/>
              <w:left w:val="nil"/>
              <w:bottom w:val="single" w:sz="4" w:space="0" w:color="auto"/>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136</w:t>
            </w:r>
          </w:p>
        </w:tc>
        <w:tc>
          <w:tcPr>
            <w:tcW w:w="994" w:type="dxa"/>
            <w:tcBorders>
              <w:top w:val="nil"/>
              <w:left w:val="nil"/>
              <w:bottom w:val="single" w:sz="4" w:space="0" w:color="auto"/>
              <w:right w:val="nil"/>
            </w:tcBorders>
            <w:shd w:val="clear" w:color="auto" w:fill="auto"/>
            <w:noWrap/>
            <w:vAlign w:val="center"/>
            <w:hideMark/>
          </w:tcPr>
          <w:p w:rsidR="00343E5A" w:rsidRPr="00B83491" w:rsidRDefault="00343E5A" w:rsidP="00695B95">
            <w:pPr>
              <w:jc w:val="right"/>
              <w:rPr>
                <w:rFonts w:ascii="Arial" w:hAnsi="Arial" w:cs="Arial"/>
                <w:color w:val="000000" w:themeColor="text1"/>
                <w:sz w:val="14"/>
                <w:szCs w:val="14"/>
              </w:rPr>
            </w:pPr>
            <w:r w:rsidRPr="00B83491">
              <w:rPr>
                <w:rFonts w:ascii="Arial" w:hAnsi="Arial" w:cs="Arial"/>
                <w:color w:val="000000" w:themeColor="text1"/>
                <w:sz w:val="14"/>
                <w:szCs w:val="14"/>
              </w:rPr>
              <w:t>90.6</w:t>
            </w:r>
          </w:p>
        </w:tc>
        <w:tc>
          <w:tcPr>
            <w:tcW w:w="286" w:type="dxa"/>
            <w:tcBorders>
              <w:top w:val="nil"/>
              <w:left w:val="nil"/>
              <w:bottom w:val="single" w:sz="4" w:space="0" w:color="auto"/>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w:t>
            </w:r>
          </w:p>
        </w:tc>
        <w:tc>
          <w:tcPr>
            <w:tcW w:w="559" w:type="dxa"/>
            <w:tcBorders>
              <w:top w:val="nil"/>
              <w:left w:val="nil"/>
              <w:bottom w:val="single" w:sz="4" w:space="0" w:color="auto"/>
              <w:right w:val="nil"/>
            </w:tcBorders>
            <w:shd w:val="clear" w:color="auto" w:fill="auto"/>
            <w:noWrap/>
            <w:vAlign w:val="center"/>
            <w:hideMark/>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259</w:t>
            </w:r>
          </w:p>
        </w:tc>
      </w:tr>
      <w:tr w:rsidR="00343E5A" w:rsidRPr="002E71AD" w:rsidTr="00343E5A">
        <w:trPr>
          <w:trHeight w:val="509"/>
        </w:trPr>
        <w:tc>
          <w:tcPr>
            <w:tcW w:w="9033" w:type="dxa"/>
            <w:gridSpan w:val="6"/>
            <w:tcBorders>
              <w:top w:val="single" w:sz="4" w:space="0" w:color="auto"/>
              <w:left w:val="nil"/>
              <w:bottom w:val="single" w:sz="4" w:space="0" w:color="auto"/>
              <w:right w:val="nil"/>
            </w:tcBorders>
            <w:shd w:val="clear" w:color="auto" w:fill="auto"/>
            <w:noWrap/>
            <w:vAlign w:val="center"/>
          </w:tcPr>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*Count is per 1000 eligible episodes rather than per 1000 beneficiaries</w:t>
            </w:r>
          </w:p>
          <w:p w:rsidR="00343E5A" w:rsidRPr="00B83491" w:rsidRDefault="00343E5A" w:rsidP="00695B95">
            <w:pPr>
              <w:rPr>
                <w:rFonts w:ascii="Arial" w:hAnsi="Arial" w:cs="Arial"/>
                <w:color w:val="000000" w:themeColor="text1"/>
                <w:sz w:val="14"/>
                <w:szCs w:val="14"/>
              </w:rPr>
            </w:pPr>
            <w:r w:rsidRPr="00B83491">
              <w:rPr>
                <w:rFonts w:ascii="Arial" w:hAnsi="Arial" w:cs="Arial"/>
                <w:color w:val="000000" w:themeColor="text1"/>
                <w:sz w:val="14"/>
                <w:szCs w:val="14"/>
              </w:rPr>
              <w:t>CT indicates computed tomography; EEG, electroencephalography; MRI, magnetic resonance imaging; PET, positron emission tomography.</w:t>
            </w:r>
          </w:p>
        </w:tc>
      </w:tr>
    </w:tbl>
    <w:p w:rsidR="00343E5A" w:rsidRDefault="00343E5A" w:rsidP="0019038B">
      <w:r>
        <w:t xml:space="preserve">This is 2010 – </w:t>
      </w:r>
      <w:proofErr w:type="spellStart"/>
      <w:r w:rsidRPr="00343E5A">
        <w:rPr>
          <w:b/>
        </w:rPr>
        <w:t>MarketScan</w:t>
      </w:r>
      <w:proofErr w:type="spellEnd"/>
      <w:r>
        <w:t xml:space="preserve"> rates of events.  These are the means and medians of each region (should be roughly.  The total count across the country (not the average of the regional measures) will be somewhere around the mean/median.</w:t>
      </w:r>
    </w:p>
    <w:p w:rsidR="00343E5A" w:rsidRDefault="00343E5A" w:rsidP="0019038B"/>
    <w:tbl>
      <w:tblPr>
        <w:tblStyle w:val="TableGrid"/>
        <w:tblW w:w="15419" w:type="dxa"/>
        <w:tblInd w:w="-792" w:type="dxa"/>
        <w:tblLayout w:type="fixed"/>
        <w:tblLook w:val="0620" w:firstRow="1" w:lastRow="0" w:firstColumn="0" w:lastColumn="0" w:noHBand="1" w:noVBand="1"/>
      </w:tblPr>
      <w:tblGrid>
        <w:gridCol w:w="787"/>
        <w:gridCol w:w="125"/>
        <w:gridCol w:w="5550"/>
        <w:gridCol w:w="90"/>
        <w:gridCol w:w="630"/>
        <w:gridCol w:w="100"/>
        <w:gridCol w:w="710"/>
        <w:gridCol w:w="100"/>
        <w:gridCol w:w="350"/>
        <w:gridCol w:w="630"/>
        <w:gridCol w:w="450"/>
        <w:gridCol w:w="744"/>
        <w:gridCol w:w="100"/>
        <w:gridCol w:w="350"/>
        <w:gridCol w:w="4703"/>
      </w:tblGrid>
      <w:tr w:rsidR="00343E5A" w:rsidRPr="00F005AD" w:rsidTr="00F005AD">
        <w:trPr>
          <w:gridBefore w:val="1"/>
          <w:wBefore w:w="787" w:type="dxa"/>
          <w:trHeight w:val="432"/>
        </w:trPr>
        <w:tc>
          <w:tcPr>
            <w:tcW w:w="14632" w:type="dxa"/>
            <w:gridSpan w:val="14"/>
            <w:tcBorders>
              <w:top w:val="nil"/>
              <w:left w:val="nil"/>
              <w:bottom w:val="nil"/>
              <w:right w:val="nil"/>
            </w:tcBorders>
          </w:tcPr>
          <w:p w:rsidR="00343E5A" w:rsidRPr="00F005AD" w:rsidRDefault="00343E5A" w:rsidP="00343E5A">
            <w:pPr>
              <w:rPr>
                <w:rFonts w:ascii="Calibri" w:hAnsi="Calibri" w:cs="Calibri"/>
                <w:b/>
                <w:color w:val="000000"/>
                <w:sz w:val="18"/>
                <w:szCs w:val="18"/>
              </w:rPr>
            </w:pPr>
            <w:r w:rsidRPr="00F005AD">
              <w:rPr>
                <w:rFonts w:ascii="Calibri" w:hAnsi="Calibri" w:cs="Calibri"/>
                <w:b/>
                <w:color w:val="000000"/>
                <w:sz w:val="18"/>
                <w:szCs w:val="18"/>
              </w:rPr>
              <w:t xml:space="preserve">Mean and Median Counts of Potentially Overuse Procedures (POPs) </w:t>
            </w:r>
          </w:p>
          <w:p w:rsidR="00343E5A" w:rsidRPr="00F005AD" w:rsidRDefault="00343E5A" w:rsidP="00343E5A">
            <w:pPr>
              <w:rPr>
                <w:rFonts w:ascii="Calibri" w:hAnsi="Calibri" w:cs="Calibri"/>
                <w:b/>
                <w:color w:val="000000"/>
                <w:sz w:val="18"/>
                <w:szCs w:val="18"/>
              </w:rPr>
            </w:pPr>
            <w:r w:rsidRPr="00F005AD">
              <w:rPr>
                <w:rFonts w:ascii="Calibri" w:hAnsi="Calibri" w:cs="Calibri"/>
                <w:b/>
                <w:color w:val="000000"/>
                <w:sz w:val="18"/>
                <w:szCs w:val="18"/>
              </w:rPr>
              <w:t>Across Hospital Referral Regions (n=306 regions)</w:t>
            </w:r>
            <w:r w:rsidR="00F005AD" w:rsidRPr="00F005AD">
              <w:rPr>
                <w:rFonts w:ascii="Calibri" w:hAnsi="Calibri" w:cs="Calibri"/>
                <w:b/>
                <w:color w:val="000000"/>
                <w:sz w:val="18"/>
                <w:szCs w:val="18"/>
              </w:rPr>
              <w:t xml:space="preserve"> –Medicare 2008</w:t>
            </w:r>
          </w:p>
          <w:p w:rsidR="00343E5A" w:rsidRPr="00F005AD" w:rsidRDefault="00343E5A" w:rsidP="00343E5A">
            <w:pPr>
              <w:rPr>
                <w:rFonts w:ascii="Calibri" w:hAnsi="Calibri" w:cs="Calibri"/>
                <w:color w:val="000000"/>
                <w:sz w:val="18"/>
                <w:szCs w:val="18"/>
              </w:rPr>
            </w:pPr>
          </w:p>
        </w:tc>
      </w:tr>
      <w:tr w:rsidR="00343E5A" w:rsidRPr="00F005AD" w:rsidTr="00F005AD">
        <w:trPr>
          <w:gridAfter w:val="2"/>
          <w:wAfter w:w="5053" w:type="dxa"/>
          <w:trHeight w:val="458"/>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p>
        </w:tc>
        <w:tc>
          <w:tcPr>
            <w:tcW w:w="5640" w:type="dxa"/>
            <w:gridSpan w:val="2"/>
            <w:tcBorders>
              <w:top w:val="single" w:sz="4" w:space="0" w:color="auto"/>
              <w:left w:val="nil"/>
              <w:right w:val="nil"/>
            </w:tcBorders>
            <w:vAlign w:val="center"/>
          </w:tcPr>
          <w:p w:rsidR="00343E5A" w:rsidRPr="00F005AD" w:rsidRDefault="00343E5A" w:rsidP="00343E5A">
            <w:pPr>
              <w:ind w:right="342"/>
              <w:rPr>
                <w:rFonts w:ascii="Calibri" w:hAnsi="Calibri" w:cs="Calibri"/>
                <w:color w:val="000000"/>
                <w:sz w:val="18"/>
                <w:szCs w:val="18"/>
              </w:rPr>
            </w:pPr>
            <w:r w:rsidRPr="00F005AD">
              <w:rPr>
                <w:rFonts w:ascii="Calibri" w:hAnsi="Calibri" w:cs="Calibri"/>
                <w:b/>
                <w:color w:val="000000"/>
                <w:sz w:val="18"/>
                <w:szCs w:val="18"/>
              </w:rPr>
              <w:t>Potentially Overused Procedure</w:t>
            </w:r>
          </w:p>
        </w:tc>
        <w:tc>
          <w:tcPr>
            <w:tcW w:w="730" w:type="dxa"/>
            <w:gridSpan w:val="2"/>
            <w:tcBorders>
              <w:top w:val="single" w:sz="4" w:space="0" w:color="auto"/>
              <w:left w:val="nil"/>
              <w:right w:val="nil"/>
            </w:tcBorders>
            <w:vAlign w:val="center"/>
          </w:tcPr>
          <w:p w:rsidR="00343E5A" w:rsidRPr="00F005AD" w:rsidRDefault="00343E5A" w:rsidP="00343E5A">
            <w:pPr>
              <w:rPr>
                <w:rFonts w:ascii="Calibri" w:hAnsi="Calibri" w:cs="Calibri"/>
                <w:b/>
                <w:color w:val="000000"/>
                <w:sz w:val="18"/>
                <w:szCs w:val="18"/>
              </w:rPr>
            </w:pPr>
            <w:r w:rsidRPr="00F005AD">
              <w:rPr>
                <w:rFonts w:ascii="Calibri" w:hAnsi="Calibri" w:cs="Calibri"/>
                <w:b/>
                <w:color w:val="000000"/>
                <w:sz w:val="18"/>
                <w:szCs w:val="18"/>
              </w:rPr>
              <w:t>Mean</w:t>
            </w:r>
          </w:p>
        </w:tc>
        <w:tc>
          <w:tcPr>
            <w:tcW w:w="810" w:type="dxa"/>
            <w:gridSpan w:val="2"/>
            <w:tcBorders>
              <w:top w:val="single" w:sz="4" w:space="0" w:color="auto"/>
              <w:left w:val="nil"/>
              <w:right w:val="nil"/>
            </w:tcBorders>
            <w:vAlign w:val="center"/>
          </w:tcPr>
          <w:p w:rsidR="00343E5A" w:rsidRPr="00F005AD" w:rsidRDefault="00343E5A" w:rsidP="00343E5A">
            <w:pPr>
              <w:rPr>
                <w:rFonts w:ascii="Calibri" w:hAnsi="Calibri" w:cs="Calibri"/>
                <w:b/>
                <w:color w:val="000000"/>
                <w:sz w:val="18"/>
                <w:szCs w:val="18"/>
              </w:rPr>
            </w:pPr>
            <w:r w:rsidRPr="00F005AD">
              <w:rPr>
                <w:rFonts w:ascii="Calibri" w:hAnsi="Calibri" w:cs="Calibri"/>
                <w:b/>
                <w:color w:val="000000"/>
                <w:sz w:val="18"/>
                <w:szCs w:val="18"/>
              </w:rPr>
              <w:t>Median</w:t>
            </w:r>
          </w:p>
        </w:tc>
        <w:tc>
          <w:tcPr>
            <w:tcW w:w="2274" w:type="dxa"/>
            <w:gridSpan w:val="5"/>
            <w:tcBorders>
              <w:top w:val="single" w:sz="4" w:space="0" w:color="auto"/>
              <w:left w:val="nil"/>
              <w:right w:val="nil"/>
            </w:tcBorders>
            <w:vAlign w:val="center"/>
          </w:tcPr>
          <w:p w:rsidR="00343E5A" w:rsidRPr="00F005AD" w:rsidRDefault="00343E5A" w:rsidP="00343E5A">
            <w:pPr>
              <w:jc w:val="center"/>
              <w:rPr>
                <w:rFonts w:ascii="Calibri" w:hAnsi="Calibri" w:cs="Calibri"/>
                <w:b/>
                <w:color w:val="000000"/>
                <w:sz w:val="18"/>
                <w:szCs w:val="18"/>
              </w:rPr>
            </w:pPr>
            <w:r w:rsidRPr="00F005AD">
              <w:rPr>
                <w:rFonts w:ascii="Calibri" w:hAnsi="Calibri" w:cs="Calibri"/>
                <w:b/>
                <w:color w:val="000000"/>
                <w:sz w:val="18"/>
                <w:szCs w:val="18"/>
              </w:rPr>
              <w:t xml:space="preserve">Interquartile Range </w:t>
            </w:r>
          </w:p>
        </w:tc>
      </w:tr>
      <w:tr w:rsidR="00343E5A" w:rsidRPr="00F005AD" w:rsidTr="00F005AD">
        <w:trPr>
          <w:gridAfter w:val="3"/>
          <w:wAfter w:w="5153" w:type="dxa"/>
          <w:trHeight w:val="432"/>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p>
        </w:tc>
        <w:tc>
          <w:tcPr>
            <w:tcW w:w="5550" w:type="dxa"/>
            <w:tcBorders>
              <w:left w:val="nil"/>
              <w:right w:val="nil"/>
            </w:tcBorders>
          </w:tcPr>
          <w:p w:rsidR="00343E5A" w:rsidRPr="00F005AD" w:rsidRDefault="00343E5A" w:rsidP="00343E5A">
            <w:pPr>
              <w:jc w:val="center"/>
              <w:rPr>
                <w:rFonts w:ascii="Calibri" w:hAnsi="Calibri" w:cs="Calibri"/>
                <w:color w:val="000000"/>
                <w:sz w:val="18"/>
                <w:szCs w:val="18"/>
              </w:rPr>
            </w:pPr>
          </w:p>
        </w:tc>
        <w:tc>
          <w:tcPr>
            <w:tcW w:w="720" w:type="dxa"/>
            <w:gridSpan w:val="2"/>
            <w:tcBorders>
              <w:left w:val="nil"/>
              <w:right w:val="nil"/>
            </w:tcBorders>
            <w:vAlign w:val="center"/>
          </w:tcPr>
          <w:p w:rsidR="00343E5A" w:rsidRPr="00F005AD" w:rsidRDefault="00343E5A" w:rsidP="00343E5A">
            <w:pPr>
              <w:jc w:val="center"/>
              <w:rPr>
                <w:rFonts w:ascii="Calibri" w:hAnsi="Calibri" w:cs="Calibri"/>
                <w:b/>
                <w:color w:val="000000"/>
                <w:sz w:val="18"/>
                <w:szCs w:val="18"/>
              </w:rPr>
            </w:pPr>
            <w:r w:rsidRPr="00F005AD">
              <w:rPr>
                <w:rFonts w:ascii="Calibri" w:hAnsi="Calibri" w:cs="Calibri"/>
                <w:b/>
                <w:color w:val="000000"/>
                <w:sz w:val="18"/>
                <w:szCs w:val="18"/>
              </w:rPr>
              <w:t>Per 1000</w:t>
            </w:r>
          </w:p>
        </w:tc>
        <w:tc>
          <w:tcPr>
            <w:tcW w:w="810" w:type="dxa"/>
            <w:gridSpan w:val="2"/>
            <w:tcBorders>
              <w:left w:val="nil"/>
              <w:right w:val="nil"/>
            </w:tcBorders>
            <w:vAlign w:val="center"/>
          </w:tcPr>
          <w:p w:rsidR="00343E5A" w:rsidRPr="00F005AD" w:rsidRDefault="00343E5A" w:rsidP="00343E5A">
            <w:pPr>
              <w:jc w:val="center"/>
              <w:rPr>
                <w:rFonts w:ascii="Calibri" w:hAnsi="Calibri" w:cs="Calibri"/>
                <w:b/>
                <w:color w:val="000000"/>
                <w:sz w:val="18"/>
                <w:szCs w:val="18"/>
              </w:rPr>
            </w:pPr>
            <w:r w:rsidRPr="00F005AD">
              <w:rPr>
                <w:rFonts w:ascii="Calibri" w:hAnsi="Calibri" w:cs="Calibri"/>
                <w:b/>
                <w:color w:val="000000"/>
                <w:sz w:val="18"/>
                <w:szCs w:val="18"/>
              </w:rPr>
              <w:t>Per 1000</w:t>
            </w:r>
          </w:p>
        </w:tc>
        <w:tc>
          <w:tcPr>
            <w:tcW w:w="1080" w:type="dxa"/>
            <w:gridSpan w:val="3"/>
            <w:tcBorders>
              <w:left w:val="nil"/>
              <w:right w:val="nil"/>
            </w:tcBorders>
            <w:vAlign w:val="center"/>
          </w:tcPr>
          <w:p w:rsidR="00343E5A" w:rsidRPr="00F005AD" w:rsidRDefault="00343E5A" w:rsidP="00343E5A">
            <w:pPr>
              <w:jc w:val="center"/>
              <w:rPr>
                <w:rFonts w:ascii="Calibri" w:hAnsi="Calibri" w:cs="Calibri"/>
                <w:b/>
                <w:color w:val="000000"/>
                <w:sz w:val="18"/>
                <w:szCs w:val="18"/>
              </w:rPr>
            </w:pPr>
            <w:r w:rsidRPr="00F005AD">
              <w:rPr>
                <w:rFonts w:ascii="Calibri" w:hAnsi="Calibri" w:cs="Calibri"/>
                <w:b/>
                <w:color w:val="000000"/>
                <w:sz w:val="18"/>
                <w:szCs w:val="18"/>
              </w:rPr>
              <w:t>Per 1000</w:t>
            </w:r>
          </w:p>
        </w:tc>
        <w:tc>
          <w:tcPr>
            <w:tcW w:w="1194" w:type="dxa"/>
            <w:gridSpan w:val="2"/>
            <w:tcBorders>
              <w:left w:val="nil"/>
              <w:right w:val="nil"/>
            </w:tcBorders>
            <w:vAlign w:val="center"/>
          </w:tcPr>
          <w:p w:rsidR="00343E5A" w:rsidRPr="00F005AD" w:rsidRDefault="00343E5A" w:rsidP="00343E5A">
            <w:pPr>
              <w:jc w:val="center"/>
              <w:rPr>
                <w:rFonts w:ascii="Calibri" w:hAnsi="Calibri" w:cs="Calibri"/>
                <w:b/>
                <w:color w:val="000000"/>
                <w:sz w:val="18"/>
                <w:szCs w:val="18"/>
              </w:rPr>
            </w:pPr>
            <w:r w:rsidRPr="00F005AD">
              <w:rPr>
                <w:rFonts w:ascii="Calibri" w:hAnsi="Calibri" w:cs="Calibri"/>
                <w:b/>
                <w:color w:val="000000"/>
                <w:sz w:val="18"/>
                <w:szCs w:val="18"/>
              </w:rPr>
              <w:t>Per 1000</w:t>
            </w:r>
          </w:p>
        </w:tc>
      </w:tr>
      <w:tr w:rsidR="00343E5A" w:rsidRPr="00F005AD" w:rsidTr="00F005AD">
        <w:trPr>
          <w:gridAfter w:val="1"/>
          <w:wAfter w:w="470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01</w:t>
            </w:r>
          </w:p>
        </w:tc>
        <w:tc>
          <w:tcPr>
            <w:tcW w:w="5550" w:type="dxa"/>
            <w:tcBorders>
              <w:left w:val="nil"/>
              <w:right w:val="nil"/>
            </w:tcBorders>
            <w:vAlign w:val="center"/>
          </w:tcPr>
          <w:p w:rsidR="00343E5A" w:rsidRPr="00F005AD" w:rsidRDefault="00343E5A" w:rsidP="00343E5A">
            <w:pPr>
              <w:ind w:right="252"/>
              <w:rPr>
                <w:rFonts w:ascii="Calibri" w:hAnsi="Calibri" w:cs="Calibri"/>
                <w:bCs/>
                <w:sz w:val="18"/>
                <w:szCs w:val="18"/>
              </w:rPr>
            </w:pPr>
            <w:r w:rsidRPr="00F005AD">
              <w:rPr>
                <w:rFonts w:ascii="Calibri" w:hAnsi="Calibri" w:cs="Calibri"/>
                <w:bCs/>
                <w:sz w:val="18"/>
                <w:szCs w:val="18"/>
              </w:rPr>
              <w:t>Stress echocardiography for detection of CAD/risk assessment in symptomatic or ischemic equivalent acute chest pain *</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33.0</w:t>
            </w:r>
          </w:p>
        </w:tc>
        <w:tc>
          <w:tcPr>
            <w:tcW w:w="1260" w:type="dxa"/>
            <w:gridSpan w:val="4"/>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22.7</w:t>
            </w:r>
          </w:p>
        </w:tc>
        <w:tc>
          <w:tcPr>
            <w:tcW w:w="108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2.7</w:t>
            </w:r>
          </w:p>
        </w:tc>
        <w:tc>
          <w:tcPr>
            <w:tcW w:w="1194"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45.5</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lastRenderedPageBreak/>
              <w:t>POP 10</w:t>
            </w:r>
          </w:p>
        </w:tc>
        <w:tc>
          <w:tcPr>
            <w:tcW w:w="5550" w:type="dxa"/>
            <w:tcBorders>
              <w:left w:val="nil"/>
              <w:right w:val="nil"/>
            </w:tcBorders>
            <w:vAlign w:val="center"/>
          </w:tcPr>
          <w:p w:rsidR="00343E5A" w:rsidRPr="00F005AD" w:rsidRDefault="00343E5A" w:rsidP="00343E5A">
            <w:pPr>
              <w:ind w:right="252"/>
              <w:rPr>
                <w:rFonts w:ascii="Calibri" w:hAnsi="Calibri" w:cs="Calibri"/>
                <w:bCs/>
                <w:color w:val="000000"/>
                <w:sz w:val="18"/>
                <w:szCs w:val="18"/>
              </w:rPr>
            </w:pPr>
            <w:r w:rsidRPr="00F005AD">
              <w:rPr>
                <w:rFonts w:ascii="Calibri" w:hAnsi="Calibri" w:cs="Calibri"/>
                <w:bCs/>
                <w:color w:val="000000"/>
                <w:sz w:val="18"/>
                <w:szCs w:val="18"/>
              </w:rPr>
              <w:t xml:space="preserve">Laminectomy or spinal fusion </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2.2</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1.9</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1.2</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2.9</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11</w:t>
            </w:r>
          </w:p>
        </w:tc>
        <w:tc>
          <w:tcPr>
            <w:tcW w:w="5550" w:type="dxa"/>
            <w:tcBorders>
              <w:left w:val="nil"/>
              <w:right w:val="nil"/>
            </w:tcBorders>
            <w:vAlign w:val="center"/>
          </w:tcPr>
          <w:p w:rsidR="00343E5A" w:rsidRPr="00F005AD" w:rsidRDefault="00343E5A" w:rsidP="00343E5A">
            <w:pPr>
              <w:ind w:right="252"/>
              <w:rPr>
                <w:rFonts w:ascii="Calibri" w:hAnsi="Calibri" w:cs="Calibri"/>
                <w:bCs/>
                <w:sz w:val="18"/>
                <w:szCs w:val="18"/>
              </w:rPr>
            </w:pPr>
            <w:r w:rsidRPr="00F005AD">
              <w:rPr>
                <w:rFonts w:ascii="Calibri" w:hAnsi="Calibri" w:cs="Calibri"/>
                <w:bCs/>
                <w:sz w:val="18"/>
                <w:szCs w:val="18"/>
              </w:rPr>
              <w:t>Hysterectomy for benign disease</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2.8</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2.7</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1.5</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3.9</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20</w:t>
            </w:r>
          </w:p>
        </w:tc>
        <w:tc>
          <w:tcPr>
            <w:tcW w:w="5550" w:type="dxa"/>
            <w:tcBorders>
              <w:left w:val="nil"/>
              <w:right w:val="nil"/>
            </w:tcBorders>
            <w:vAlign w:val="center"/>
          </w:tcPr>
          <w:p w:rsidR="00343E5A" w:rsidRPr="00F005AD" w:rsidRDefault="00343E5A" w:rsidP="00343E5A">
            <w:pPr>
              <w:ind w:right="252"/>
              <w:rPr>
                <w:rFonts w:ascii="Calibri" w:hAnsi="Calibri" w:cs="Calibri"/>
                <w:bCs/>
                <w:sz w:val="18"/>
                <w:szCs w:val="18"/>
              </w:rPr>
            </w:pPr>
            <w:proofErr w:type="spellStart"/>
            <w:r w:rsidRPr="00F005AD">
              <w:rPr>
                <w:rFonts w:ascii="Calibri" w:hAnsi="Calibri" w:cs="Calibri"/>
                <w:bCs/>
                <w:sz w:val="18"/>
                <w:szCs w:val="18"/>
              </w:rPr>
              <w:t>Fiberoptic</w:t>
            </w:r>
            <w:proofErr w:type="spellEnd"/>
            <w:r w:rsidRPr="00F005AD">
              <w:rPr>
                <w:rFonts w:ascii="Calibri" w:hAnsi="Calibri" w:cs="Calibri"/>
                <w:bCs/>
                <w:sz w:val="18"/>
                <w:szCs w:val="18"/>
              </w:rPr>
              <w:t xml:space="preserve"> laryngoscopy for sinusitis diagnosis</w:t>
            </w:r>
            <w:r w:rsidRPr="00F005AD">
              <w:rPr>
                <w:rFonts w:ascii="Calibri" w:hAnsi="Calibri" w:cs="Calibri"/>
                <w:color w:val="000000"/>
                <w:sz w:val="18"/>
                <w:szCs w:val="18"/>
              </w:rPr>
              <w:t>*</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7.0</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5.2</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2.2</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9.5</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21</w:t>
            </w:r>
          </w:p>
        </w:tc>
        <w:tc>
          <w:tcPr>
            <w:tcW w:w="5550" w:type="dxa"/>
            <w:tcBorders>
              <w:left w:val="nil"/>
              <w:right w:val="nil"/>
            </w:tcBorders>
            <w:vAlign w:val="center"/>
          </w:tcPr>
          <w:p w:rsidR="00343E5A" w:rsidRPr="00F005AD" w:rsidRDefault="00343E5A" w:rsidP="00343E5A">
            <w:pPr>
              <w:ind w:right="252"/>
              <w:rPr>
                <w:rFonts w:ascii="Calibri" w:hAnsi="Calibri" w:cs="Calibri"/>
                <w:bCs/>
                <w:sz w:val="18"/>
                <w:szCs w:val="18"/>
              </w:rPr>
            </w:pPr>
            <w:r w:rsidRPr="00F005AD">
              <w:rPr>
                <w:rFonts w:ascii="Calibri" w:hAnsi="Calibri" w:cs="Calibri"/>
                <w:bCs/>
                <w:sz w:val="18"/>
                <w:szCs w:val="18"/>
              </w:rPr>
              <w:t>Nasal endoscopy for sinusitis diagnosis</w:t>
            </w:r>
            <w:r w:rsidRPr="00F005AD">
              <w:rPr>
                <w:rFonts w:ascii="Calibri" w:hAnsi="Calibri" w:cs="Calibri"/>
                <w:color w:val="000000"/>
                <w:sz w:val="18"/>
                <w:szCs w:val="18"/>
              </w:rPr>
              <w:t>*</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34.9</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24.8</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12.1</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45.8</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24</w:t>
            </w:r>
          </w:p>
        </w:tc>
        <w:tc>
          <w:tcPr>
            <w:tcW w:w="5550" w:type="dxa"/>
            <w:tcBorders>
              <w:left w:val="nil"/>
              <w:right w:val="nil"/>
            </w:tcBorders>
            <w:vAlign w:val="center"/>
          </w:tcPr>
          <w:p w:rsidR="00343E5A" w:rsidRPr="00F005AD" w:rsidRDefault="00343E5A" w:rsidP="00343E5A">
            <w:pPr>
              <w:ind w:right="252"/>
              <w:rPr>
                <w:rFonts w:ascii="Calibri" w:hAnsi="Calibri" w:cs="Calibri"/>
                <w:bCs/>
                <w:sz w:val="18"/>
                <w:szCs w:val="18"/>
              </w:rPr>
            </w:pPr>
            <w:r w:rsidRPr="00F005AD">
              <w:rPr>
                <w:rFonts w:ascii="Calibri" w:hAnsi="Calibri" w:cs="Calibri"/>
                <w:bCs/>
                <w:sz w:val="18"/>
                <w:szCs w:val="18"/>
              </w:rPr>
              <w:t>More than one emergency department visit in last 30 days of life</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146</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147</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121</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168</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26</w:t>
            </w:r>
          </w:p>
        </w:tc>
        <w:tc>
          <w:tcPr>
            <w:tcW w:w="5550" w:type="dxa"/>
            <w:tcBorders>
              <w:left w:val="nil"/>
              <w:right w:val="nil"/>
            </w:tcBorders>
            <w:vAlign w:val="center"/>
          </w:tcPr>
          <w:p w:rsidR="00343E5A" w:rsidRPr="00F005AD" w:rsidRDefault="00343E5A" w:rsidP="00343E5A">
            <w:pPr>
              <w:ind w:right="252"/>
              <w:rPr>
                <w:rFonts w:ascii="Calibri" w:hAnsi="Calibri" w:cs="Calibri"/>
                <w:bCs/>
                <w:sz w:val="18"/>
                <w:szCs w:val="18"/>
              </w:rPr>
            </w:pPr>
            <w:r w:rsidRPr="00F005AD">
              <w:rPr>
                <w:rFonts w:ascii="Calibri" w:hAnsi="Calibri" w:cs="Calibri"/>
                <w:bCs/>
                <w:sz w:val="18"/>
                <w:szCs w:val="18"/>
              </w:rPr>
              <w:t>Routine monitoring of digoxin in patients with congestive heart failure</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3.6</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3.5</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2.8</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4.2</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27</w:t>
            </w:r>
          </w:p>
        </w:tc>
        <w:tc>
          <w:tcPr>
            <w:tcW w:w="5550" w:type="dxa"/>
            <w:tcBorders>
              <w:left w:val="nil"/>
              <w:right w:val="nil"/>
            </w:tcBorders>
            <w:vAlign w:val="center"/>
          </w:tcPr>
          <w:p w:rsidR="00343E5A" w:rsidRPr="00F005AD" w:rsidRDefault="00343E5A" w:rsidP="00343E5A">
            <w:pPr>
              <w:ind w:right="252"/>
              <w:rPr>
                <w:rFonts w:ascii="Calibri" w:hAnsi="Calibri" w:cs="Calibri"/>
                <w:bCs/>
                <w:sz w:val="18"/>
                <w:szCs w:val="18"/>
              </w:rPr>
            </w:pPr>
            <w:r w:rsidRPr="00F005AD">
              <w:rPr>
                <w:rFonts w:ascii="Calibri" w:hAnsi="Calibri" w:cs="Calibri"/>
                <w:bCs/>
                <w:sz w:val="18"/>
                <w:szCs w:val="18"/>
              </w:rPr>
              <w:t>EEG monitoring in individuals presenting with syncope</w:t>
            </w:r>
            <w:r w:rsidRPr="00F005AD">
              <w:rPr>
                <w:rFonts w:ascii="Calibri" w:hAnsi="Calibri" w:cs="Calibri"/>
                <w:color w:val="000000"/>
                <w:sz w:val="18"/>
                <w:szCs w:val="18"/>
              </w:rPr>
              <w:t>*</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22.8</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21.2</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13.3</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29.4</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32</w:t>
            </w:r>
          </w:p>
        </w:tc>
        <w:tc>
          <w:tcPr>
            <w:tcW w:w="5550" w:type="dxa"/>
            <w:tcBorders>
              <w:left w:val="nil"/>
              <w:right w:val="nil"/>
            </w:tcBorders>
            <w:vAlign w:val="center"/>
          </w:tcPr>
          <w:p w:rsidR="00343E5A" w:rsidRPr="00F005AD" w:rsidRDefault="00343E5A" w:rsidP="00343E5A">
            <w:pPr>
              <w:ind w:right="252"/>
              <w:rPr>
                <w:rFonts w:ascii="Calibri" w:hAnsi="Calibri" w:cs="Calibri"/>
                <w:bCs/>
                <w:sz w:val="18"/>
                <w:szCs w:val="18"/>
              </w:rPr>
            </w:pPr>
            <w:r w:rsidRPr="00F005AD">
              <w:rPr>
                <w:rFonts w:ascii="Calibri" w:hAnsi="Calibri" w:cs="Calibri"/>
                <w:bCs/>
                <w:sz w:val="18"/>
                <w:szCs w:val="18"/>
              </w:rPr>
              <w:t>Serological tests for helicobacter pylori</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9.3</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8.2</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5.5</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11.2</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34</w:t>
            </w:r>
          </w:p>
        </w:tc>
        <w:tc>
          <w:tcPr>
            <w:tcW w:w="5550" w:type="dxa"/>
            <w:tcBorders>
              <w:left w:val="nil"/>
              <w:right w:val="nil"/>
            </w:tcBorders>
            <w:vAlign w:val="center"/>
          </w:tcPr>
          <w:p w:rsidR="00343E5A" w:rsidRPr="00F005AD" w:rsidRDefault="00343E5A" w:rsidP="00343E5A">
            <w:pPr>
              <w:ind w:right="252"/>
              <w:rPr>
                <w:rFonts w:ascii="Calibri" w:hAnsi="Calibri" w:cs="Calibri"/>
                <w:bCs/>
                <w:color w:val="000000"/>
                <w:sz w:val="18"/>
                <w:szCs w:val="18"/>
              </w:rPr>
            </w:pPr>
            <w:r w:rsidRPr="00F005AD">
              <w:rPr>
                <w:rFonts w:ascii="Calibri" w:hAnsi="Calibri" w:cs="Calibri"/>
                <w:bCs/>
                <w:color w:val="000000"/>
                <w:sz w:val="18"/>
                <w:szCs w:val="18"/>
              </w:rPr>
              <w:t>Appropriate Head CT Imaging in Adults with Mild Traumatic Brain Injury</w:t>
            </w:r>
            <w:r w:rsidRPr="00F005AD">
              <w:rPr>
                <w:rFonts w:ascii="Calibri" w:hAnsi="Calibri" w:cs="Calibri"/>
                <w:color w:val="000000"/>
                <w:sz w:val="18"/>
                <w:szCs w:val="18"/>
              </w:rPr>
              <w:t>*</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14.7</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12.7</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6.1</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21.1</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36</w:t>
            </w:r>
          </w:p>
        </w:tc>
        <w:tc>
          <w:tcPr>
            <w:tcW w:w="5550" w:type="dxa"/>
            <w:tcBorders>
              <w:left w:val="nil"/>
              <w:right w:val="nil"/>
            </w:tcBorders>
            <w:vAlign w:val="center"/>
          </w:tcPr>
          <w:p w:rsidR="00343E5A" w:rsidRPr="00F005AD" w:rsidRDefault="00343E5A" w:rsidP="00343E5A">
            <w:pPr>
              <w:ind w:right="252"/>
              <w:rPr>
                <w:rFonts w:ascii="Calibri" w:hAnsi="Calibri" w:cs="Calibri"/>
                <w:bCs/>
                <w:sz w:val="18"/>
                <w:szCs w:val="18"/>
              </w:rPr>
            </w:pPr>
            <w:r w:rsidRPr="00F005AD">
              <w:rPr>
                <w:rFonts w:ascii="Calibri" w:hAnsi="Calibri" w:cs="Calibri"/>
                <w:bCs/>
                <w:sz w:val="18"/>
                <w:szCs w:val="18"/>
              </w:rPr>
              <w:t>PET, CT, and radionuclide bone scan in individuals with prostate CA at low risk for metastasis</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20.7</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19.4</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9.3</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28.4</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37</w:t>
            </w:r>
          </w:p>
        </w:tc>
        <w:tc>
          <w:tcPr>
            <w:tcW w:w="5550" w:type="dxa"/>
            <w:tcBorders>
              <w:left w:val="nil"/>
              <w:right w:val="nil"/>
            </w:tcBorders>
            <w:vAlign w:val="center"/>
          </w:tcPr>
          <w:p w:rsidR="00343E5A" w:rsidRPr="00F005AD" w:rsidRDefault="00343E5A" w:rsidP="00343E5A">
            <w:pPr>
              <w:ind w:right="252"/>
              <w:rPr>
                <w:rFonts w:ascii="Calibri" w:hAnsi="Calibri" w:cs="Calibri"/>
                <w:bCs/>
                <w:sz w:val="18"/>
                <w:szCs w:val="18"/>
              </w:rPr>
            </w:pPr>
            <w:r w:rsidRPr="00F005AD">
              <w:rPr>
                <w:rFonts w:ascii="Calibri" w:hAnsi="Calibri" w:cs="Calibri"/>
                <w:bCs/>
                <w:sz w:val="18"/>
                <w:szCs w:val="18"/>
              </w:rPr>
              <w:t>Traction for low back pain</w:t>
            </w:r>
            <w:r w:rsidRPr="00F005AD">
              <w:rPr>
                <w:rFonts w:ascii="Calibri" w:hAnsi="Calibri" w:cs="Calibri"/>
                <w:color w:val="000000"/>
                <w:sz w:val="18"/>
                <w:szCs w:val="18"/>
              </w:rPr>
              <w:t>*</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115</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106</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77.8</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137</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41</w:t>
            </w:r>
          </w:p>
        </w:tc>
        <w:tc>
          <w:tcPr>
            <w:tcW w:w="5550" w:type="dxa"/>
            <w:tcBorders>
              <w:left w:val="nil"/>
              <w:right w:val="nil"/>
            </w:tcBorders>
            <w:vAlign w:val="center"/>
          </w:tcPr>
          <w:p w:rsidR="00343E5A" w:rsidRPr="00F005AD" w:rsidRDefault="00343E5A" w:rsidP="00343E5A">
            <w:pPr>
              <w:ind w:right="252"/>
              <w:rPr>
                <w:rFonts w:ascii="Calibri" w:hAnsi="Calibri" w:cs="Calibri"/>
                <w:bCs/>
                <w:color w:val="000000"/>
                <w:sz w:val="18"/>
                <w:szCs w:val="18"/>
              </w:rPr>
            </w:pPr>
            <w:r w:rsidRPr="00F005AD">
              <w:rPr>
                <w:rFonts w:ascii="Calibri" w:hAnsi="Calibri" w:cs="Calibri"/>
                <w:bCs/>
                <w:color w:val="000000"/>
                <w:sz w:val="18"/>
                <w:szCs w:val="18"/>
              </w:rPr>
              <w:t>Screening for asymptomatic carotid artery stenosis in the general adult population</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12.5</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11.0</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8.4</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14.9</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43</w:t>
            </w:r>
          </w:p>
        </w:tc>
        <w:tc>
          <w:tcPr>
            <w:tcW w:w="5550" w:type="dxa"/>
            <w:tcBorders>
              <w:left w:val="nil"/>
              <w:right w:val="nil"/>
            </w:tcBorders>
            <w:vAlign w:val="center"/>
          </w:tcPr>
          <w:p w:rsidR="00343E5A" w:rsidRPr="00F005AD" w:rsidRDefault="00343E5A" w:rsidP="00343E5A">
            <w:pPr>
              <w:ind w:right="252"/>
              <w:rPr>
                <w:rFonts w:ascii="Calibri" w:hAnsi="Calibri" w:cs="Calibri"/>
                <w:bCs/>
                <w:color w:val="000000"/>
                <w:sz w:val="18"/>
                <w:szCs w:val="18"/>
              </w:rPr>
            </w:pPr>
            <w:r w:rsidRPr="00F005AD">
              <w:rPr>
                <w:rFonts w:ascii="Calibri" w:hAnsi="Calibri" w:cs="Calibri"/>
                <w:bCs/>
                <w:color w:val="000000"/>
                <w:sz w:val="18"/>
                <w:szCs w:val="18"/>
              </w:rPr>
              <w:t>Preoperative chest radiography in the absence of a clinical suspicion for intrathoracic pathology</w:t>
            </w:r>
            <w:r w:rsidRPr="00F005AD">
              <w:rPr>
                <w:rFonts w:ascii="Calibri" w:hAnsi="Calibri" w:cs="Calibri"/>
                <w:color w:val="000000"/>
                <w:sz w:val="18"/>
                <w:szCs w:val="18"/>
              </w:rPr>
              <w:t>*</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219</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213</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168</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259</w:t>
            </w:r>
          </w:p>
        </w:tc>
      </w:tr>
      <w:tr w:rsidR="00343E5A" w:rsidRPr="00F005AD" w:rsidTr="00F005AD">
        <w:trPr>
          <w:gridAfter w:val="3"/>
          <w:wAfter w:w="5153" w:type="dxa"/>
          <w:trHeight w:val="971"/>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45</w:t>
            </w:r>
          </w:p>
        </w:tc>
        <w:tc>
          <w:tcPr>
            <w:tcW w:w="5550" w:type="dxa"/>
            <w:tcBorders>
              <w:left w:val="nil"/>
              <w:right w:val="nil"/>
            </w:tcBorders>
            <w:vAlign w:val="center"/>
          </w:tcPr>
          <w:p w:rsidR="00343E5A" w:rsidRPr="00F005AD" w:rsidRDefault="00343E5A" w:rsidP="00343E5A">
            <w:pPr>
              <w:ind w:right="252"/>
              <w:rPr>
                <w:rFonts w:ascii="Calibri" w:hAnsi="Calibri" w:cs="Calibri"/>
                <w:bCs/>
                <w:color w:val="000000"/>
                <w:sz w:val="18"/>
                <w:szCs w:val="18"/>
              </w:rPr>
            </w:pPr>
            <w:r w:rsidRPr="00F005AD">
              <w:rPr>
                <w:rFonts w:ascii="Calibri" w:hAnsi="Calibri" w:cs="Calibri"/>
                <w:bCs/>
                <w:color w:val="000000"/>
                <w:sz w:val="18"/>
                <w:szCs w:val="18"/>
              </w:rPr>
              <w:t>In asymptomatic women with previously treated breast cancer, performing follow-up tumor marker studies</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732</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672</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464</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984</w:t>
            </w:r>
          </w:p>
        </w:tc>
      </w:tr>
      <w:tr w:rsidR="00343E5A" w:rsidRPr="00F005AD" w:rsidTr="00F005AD">
        <w:trPr>
          <w:gridAfter w:val="3"/>
          <w:wAfter w:w="5153" w:type="dxa"/>
          <w:trHeight w:val="1151"/>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46</w:t>
            </w:r>
          </w:p>
        </w:tc>
        <w:tc>
          <w:tcPr>
            <w:tcW w:w="5550" w:type="dxa"/>
            <w:tcBorders>
              <w:left w:val="nil"/>
              <w:right w:val="nil"/>
            </w:tcBorders>
            <w:vAlign w:val="center"/>
          </w:tcPr>
          <w:p w:rsidR="00343E5A" w:rsidRPr="00F005AD" w:rsidRDefault="00343E5A" w:rsidP="00343E5A">
            <w:pPr>
              <w:ind w:right="252"/>
              <w:rPr>
                <w:rFonts w:ascii="Calibri" w:hAnsi="Calibri" w:cs="Calibri"/>
                <w:bCs/>
                <w:sz w:val="18"/>
                <w:szCs w:val="18"/>
              </w:rPr>
            </w:pPr>
            <w:r w:rsidRPr="00F005AD">
              <w:rPr>
                <w:rFonts w:ascii="Calibri" w:hAnsi="Calibri" w:cs="Calibri"/>
                <w:bCs/>
                <w:sz w:val="18"/>
                <w:szCs w:val="18"/>
              </w:rPr>
              <w:t>Diagnostic tests, such as immunoglobulin G testing or an indiscriminate battery of immunoglobulin E tests, in the evaluation of allergy</w:t>
            </w:r>
            <w:r w:rsidRPr="00F005AD">
              <w:rPr>
                <w:rFonts w:ascii="Calibri" w:hAnsi="Calibri" w:cs="Calibri"/>
                <w:color w:val="000000"/>
                <w:sz w:val="18"/>
                <w:szCs w:val="18"/>
              </w:rPr>
              <w:t>*</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4.5</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3.7</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1.7</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5.8</w:t>
            </w:r>
          </w:p>
        </w:tc>
      </w:tr>
      <w:tr w:rsidR="00343E5A" w:rsidRPr="00F005AD" w:rsidTr="00F005AD">
        <w:trPr>
          <w:gridAfter w:val="3"/>
          <w:wAfter w:w="5153" w:type="dxa"/>
          <w:trHeight w:val="98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47</w:t>
            </w:r>
          </w:p>
        </w:tc>
        <w:tc>
          <w:tcPr>
            <w:tcW w:w="5550" w:type="dxa"/>
            <w:tcBorders>
              <w:left w:val="nil"/>
              <w:right w:val="nil"/>
            </w:tcBorders>
            <w:vAlign w:val="center"/>
          </w:tcPr>
          <w:p w:rsidR="00343E5A" w:rsidRPr="00F005AD" w:rsidRDefault="00343E5A" w:rsidP="00343E5A">
            <w:pPr>
              <w:ind w:right="252"/>
              <w:rPr>
                <w:rFonts w:ascii="Calibri" w:hAnsi="Calibri" w:cs="Calibri"/>
                <w:bCs/>
                <w:sz w:val="18"/>
                <w:szCs w:val="18"/>
              </w:rPr>
            </w:pPr>
            <w:r w:rsidRPr="00F005AD">
              <w:rPr>
                <w:rFonts w:ascii="Calibri" w:hAnsi="Calibri" w:cs="Calibri"/>
                <w:bCs/>
                <w:sz w:val="18"/>
                <w:szCs w:val="18"/>
              </w:rPr>
              <w:t>Sinus CT or indiscriminately prescribe antibiotics for uncomplicated acute rhinosinusitis</w:t>
            </w:r>
            <w:r w:rsidRPr="00F005AD">
              <w:rPr>
                <w:rFonts w:ascii="Calibri" w:hAnsi="Calibri" w:cs="Calibri"/>
                <w:color w:val="000000"/>
                <w:sz w:val="18"/>
                <w:szCs w:val="18"/>
              </w:rPr>
              <w:t xml:space="preserve"> *</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14.0</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12.4</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6.9</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19.1</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49</w:t>
            </w:r>
          </w:p>
        </w:tc>
        <w:tc>
          <w:tcPr>
            <w:tcW w:w="5550" w:type="dxa"/>
            <w:tcBorders>
              <w:left w:val="nil"/>
              <w:right w:val="nil"/>
            </w:tcBorders>
            <w:vAlign w:val="center"/>
          </w:tcPr>
          <w:p w:rsidR="00343E5A" w:rsidRPr="00F005AD" w:rsidRDefault="00343E5A" w:rsidP="00343E5A">
            <w:pPr>
              <w:ind w:right="252"/>
              <w:rPr>
                <w:rFonts w:ascii="Calibri" w:hAnsi="Calibri" w:cs="Calibri"/>
                <w:bCs/>
                <w:color w:val="000000"/>
                <w:sz w:val="18"/>
                <w:szCs w:val="18"/>
              </w:rPr>
            </w:pPr>
            <w:r w:rsidRPr="00F005AD">
              <w:rPr>
                <w:rFonts w:ascii="Calibri" w:hAnsi="Calibri" w:cs="Calibri"/>
                <w:bCs/>
                <w:color w:val="000000"/>
                <w:sz w:val="18"/>
                <w:szCs w:val="18"/>
              </w:rPr>
              <w:t xml:space="preserve">MRI Lumbar Spine for Low Back Pain </w:t>
            </w:r>
            <w:r w:rsidRPr="00F005AD">
              <w:rPr>
                <w:rFonts w:ascii="Calibri" w:hAnsi="Calibri" w:cs="Calibri"/>
                <w:color w:val="000000"/>
                <w:sz w:val="18"/>
                <w:szCs w:val="18"/>
              </w:rPr>
              <w:t>*</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395</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395</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356</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441</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50</w:t>
            </w:r>
          </w:p>
        </w:tc>
        <w:tc>
          <w:tcPr>
            <w:tcW w:w="5550" w:type="dxa"/>
            <w:tcBorders>
              <w:left w:val="nil"/>
              <w:right w:val="nil"/>
            </w:tcBorders>
            <w:vAlign w:val="center"/>
          </w:tcPr>
          <w:p w:rsidR="00343E5A" w:rsidRPr="00F005AD" w:rsidRDefault="00343E5A" w:rsidP="00343E5A">
            <w:pPr>
              <w:ind w:right="252"/>
              <w:rPr>
                <w:rFonts w:ascii="Calibri" w:hAnsi="Calibri" w:cs="Calibri"/>
                <w:bCs/>
                <w:color w:val="000000"/>
                <w:sz w:val="18"/>
                <w:szCs w:val="18"/>
              </w:rPr>
            </w:pPr>
            <w:r w:rsidRPr="00F005AD">
              <w:rPr>
                <w:rFonts w:ascii="Calibri" w:hAnsi="Calibri" w:cs="Calibri"/>
                <w:bCs/>
                <w:color w:val="000000"/>
                <w:sz w:val="18"/>
                <w:szCs w:val="18"/>
              </w:rPr>
              <w:t>Thorax CT Use of Contrast Material</w:t>
            </w:r>
            <w:r w:rsidRPr="00F005AD">
              <w:rPr>
                <w:rFonts w:ascii="Calibri" w:hAnsi="Calibri" w:cs="Calibri"/>
                <w:color w:val="000000"/>
                <w:sz w:val="18"/>
                <w:szCs w:val="18"/>
              </w:rPr>
              <w:t>*</w:t>
            </w:r>
          </w:p>
        </w:tc>
        <w:tc>
          <w:tcPr>
            <w:tcW w:w="72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64.9</w:t>
            </w:r>
          </w:p>
        </w:tc>
        <w:tc>
          <w:tcPr>
            <w:tcW w:w="810"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47.5</w:t>
            </w:r>
          </w:p>
        </w:tc>
        <w:tc>
          <w:tcPr>
            <w:tcW w:w="1080" w:type="dxa"/>
            <w:gridSpan w:val="3"/>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26.8</w:t>
            </w:r>
          </w:p>
        </w:tc>
        <w:tc>
          <w:tcPr>
            <w:tcW w:w="1194" w:type="dxa"/>
            <w:gridSpan w:val="2"/>
            <w:tcBorders>
              <w:left w:val="nil"/>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79.7</w:t>
            </w:r>
          </w:p>
        </w:tc>
      </w:tr>
      <w:tr w:rsidR="00343E5A" w:rsidRPr="00F005AD" w:rsidTr="00F005AD">
        <w:trPr>
          <w:gridAfter w:val="3"/>
          <w:wAfter w:w="5153" w:type="dxa"/>
          <w:trHeight w:val="720"/>
        </w:trPr>
        <w:tc>
          <w:tcPr>
            <w:tcW w:w="912" w:type="dxa"/>
            <w:gridSpan w:val="2"/>
            <w:tcBorders>
              <w:top w:val="nil"/>
              <w:left w:val="nil"/>
              <w:bottom w:val="nil"/>
              <w:right w:val="nil"/>
            </w:tcBorders>
            <w:shd w:val="clear" w:color="auto" w:fill="auto"/>
            <w:vAlign w:val="bottom"/>
          </w:tcPr>
          <w:p w:rsidR="00343E5A" w:rsidRPr="00F005AD" w:rsidRDefault="00343E5A" w:rsidP="00343E5A">
            <w:pPr>
              <w:ind w:left="-468"/>
              <w:rPr>
                <w:rFonts w:ascii="Calibri" w:hAnsi="Calibri" w:cs="Calibri"/>
                <w:color w:val="FFFFFF" w:themeColor="background1"/>
                <w:sz w:val="18"/>
                <w:szCs w:val="18"/>
              </w:rPr>
            </w:pPr>
            <w:r w:rsidRPr="00F005AD">
              <w:rPr>
                <w:rFonts w:ascii="Calibri" w:hAnsi="Calibri" w:cs="Calibri"/>
                <w:color w:val="FFFFFF" w:themeColor="background1"/>
                <w:sz w:val="18"/>
                <w:szCs w:val="18"/>
              </w:rPr>
              <w:t>POP 51</w:t>
            </w:r>
          </w:p>
        </w:tc>
        <w:tc>
          <w:tcPr>
            <w:tcW w:w="5550" w:type="dxa"/>
            <w:tcBorders>
              <w:left w:val="nil"/>
              <w:bottom w:val="single" w:sz="4" w:space="0" w:color="auto"/>
              <w:right w:val="nil"/>
            </w:tcBorders>
            <w:vAlign w:val="center"/>
          </w:tcPr>
          <w:p w:rsidR="00343E5A" w:rsidRPr="00F005AD" w:rsidRDefault="00343E5A" w:rsidP="00343E5A">
            <w:pPr>
              <w:ind w:right="252"/>
              <w:rPr>
                <w:rFonts w:ascii="Calibri" w:hAnsi="Calibri" w:cs="Calibri"/>
                <w:bCs/>
                <w:color w:val="000000"/>
                <w:sz w:val="18"/>
                <w:szCs w:val="18"/>
              </w:rPr>
            </w:pPr>
            <w:r w:rsidRPr="00F005AD">
              <w:rPr>
                <w:rFonts w:ascii="Calibri" w:hAnsi="Calibri" w:cs="Calibri"/>
                <w:bCs/>
                <w:color w:val="000000"/>
                <w:sz w:val="18"/>
                <w:szCs w:val="18"/>
              </w:rPr>
              <w:t>Abdomen CT use of contrast material</w:t>
            </w:r>
            <w:r w:rsidRPr="00F005AD">
              <w:rPr>
                <w:rFonts w:ascii="Calibri" w:hAnsi="Calibri" w:cs="Calibri"/>
                <w:color w:val="000000"/>
                <w:sz w:val="18"/>
                <w:szCs w:val="18"/>
              </w:rPr>
              <w:t>*</w:t>
            </w:r>
          </w:p>
        </w:tc>
        <w:tc>
          <w:tcPr>
            <w:tcW w:w="720" w:type="dxa"/>
            <w:gridSpan w:val="2"/>
            <w:tcBorders>
              <w:left w:val="nil"/>
              <w:bottom w:val="single" w:sz="4" w:space="0" w:color="auto"/>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222</w:t>
            </w:r>
          </w:p>
        </w:tc>
        <w:tc>
          <w:tcPr>
            <w:tcW w:w="810" w:type="dxa"/>
            <w:gridSpan w:val="2"/>
            <w:tcBorders>
              <w:left w:val="nil"/>
              <w:bottom w:val="single" w:sz="4" w:space="0" w:color="auto"/>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187</w:t>
            </w:r>
          </w:p>
        </w:tc>
        <w:tc>
          <w:tcPr>
            <w:tcW w:w="1080" w:type="dxa"/>
            <w:gridSpan w:val="3"/>
            <w:tcBorders>
              <w:left w:val="nil"/>
              <w:bottom w:val="single" w:sz="4" w:space="0" w:color="auto"/>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133</w:t>
            </w:r>
          </w:p>
        </w:tc>
        <w:tc>
          <w:tcPr>
            <w:tcW w:w="1194" w:type="dxa"/>
            <w:gridSpan w:val="2"/>
            <w:tcBorders>
              <w:left w:val="nil"/>
              <w:bottom w:val="single" w:sz="4" w:space="0" w:color="auto"/>
              <w:right w:val="nil"/>
            </w:tcBorders>
            <w:vAlign w:val="center"/>
          </w:tcPr>
          <w:p w:rsidR="00343E5A" w:rsidRPr="00F005AD" w:rsidRDefault="00343E5A" w:rsidP="00343E5A">
            <w:pPr>
              <w:rPr>
                <w:rFonts w:ascii="Calibri" w:hAnsi="Calibri" w:cs="Calibri"/>
                <w:color w:val="000000"/>
                <w:sz w:val="18"/>
                <w:szCs w:val="18"/>
              </w:rPr>
            </w:pPr>
            <w:r w:rsidRPr="00F005AD">
              <w:rPr>
                <w:rFonts w:ascii="Calibri" w:hAnsi="Calibri" w:cs="Calibri"/>
                <w:color w:val="000000"/>
                <w:sz w:val="18"/>
                <w:szCs w:val="18"/>
              </w:rPr>
              <w:t>288</w:t>
            </w:r>
          </w:p>
        </w:tc>
      </w:tr>
    </w:tbl>
    <w:p w:rsidR="00343E5A" w:rsidRPr="00031A7E" w:rsidRDefault="00343E5A" w:rsidP="00343E5A">
      <w:pPr>
        <w:pStyle w:val="Default"/>
        <w:spacing w:after="526"/>
        <w:rPr>
          <w:rFonts w:asciiTheme="minorHAnsi" w:hAnsiTheme="minorHAnsi" w:cstheme="minorHAnsi"/>
          <w:sz w:val="20"/>
          <w:szCs w:val="20"/>
        </w:rPr>
      </w:pPr>
      <w:r>
        <w:rPr>
          <w:rFonts w:asciiTheme="minorHAnsi" w:hAnsiTheme="minorHAnsi" w:cstheme="minorHAnsi"/>
          <w:sz w:val="20"/>
          <w:szCs w:val="20"/>
        </w:rPr>
        <w:t xml:space="preserve">*count is per 1000 eligible episodes rather than per 1000 beneficiaries, ACS=acute coronary syndrome CAD=coronary artery disease, CT=computed tomography, EEG=electroencephalography, </w:t>
      </w:r>
      <w:r>
        <w:rPr>
          <w:rFonts w:asciiTheme="minorHAnsi" w:hAnsiTheme="minorHAnsi" w:cstheme="minorHAnsi"/>
          <w:sz w:val="20"/>
          <w:szCs w:val="20"/>
        </w:rPr>
        <w:lastRenderedPageBreak/>
        <w:t xml:space="preserve">MRI=magnetic resonance imaging, PET=positron emission tomography, </w:t>
      </w:r>
    </w:p>
    <w:p w:rsidR="00343E5A" w:rsidRPr="009673D7" w:rsidRDefault="00343E5A" w:rsidP="00343E5A">
      <w:pPr>
        <w:spacing w:line="480" w:lineRule="auto"/>
        <w:rPr>
          <w:b/>
          <w:sz w:val="28"/>
          <w:szCs w:val="28"/>
        </w:rPr>
      </w:pPr>
      <w:r>
        <w:rPr>
          <w:noProof/>
        </w:rPr>
        <w:br w:type="page"/>
      </w:r>
    </w:p>
    <w:p w:rsidR="00343E5A" w:rsidRDefault="00343E5A" w:rsidP="0019038B"/>
    <w:sectPr w:rsidR="0034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82B99"/>
    <w:multiLevelType w:val="hybridMultilevel"/>
    <w:tmpl w:val="B34AA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38B"/>
    <w:rsid w:val="000235FF"/>
    <w:rsid w:val="0019038B"/>
    <w:rsid w:val="00343E5A"/>
    <w:rsid w:val="004541C9"/>
    <w:rsid w:val="004B57C4"/>
    <w:rsid w:val="00C80360"/>
    <w:rsid w:val="00CE6707"/>
    <w:rsid w:val="00F0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71AB1-ED45-41BC-A046-8E291C68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38B"/>
    <w:pPr>
      <w:ind w:left="720"/>
      <w:contextualSpacing/>
    </w:pPr>
  </w:style>
  <w:style w:type="paragraph" w:customStyle="1" w:styleId="Default">
    <w:name w:val="Default"/>
    <w:rsid w:val="00343E5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343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0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3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665</Words>
  <Characters>3793</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Segal, Jodi B.</dc:creator>
  <cp:keywords/>
  <dc:description/>
  <cp:lastModifiedBy>Susan Hutfless</cp:lastModifiedBy>
  <cp:revision>2</cp:revision>
  <dcterms:created xsi:type="dcterms:W3CDTF">2019-08-05T20:12:00Z</dcterms:created>
  <dcterms:modified xsi:type="dcterms:W3CDTF">2019-08-05T20:12:00Z</dcterms:modified>
</cp:coreProperties>
</file>