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40"/>
        <w:jc w:val="left"/>
      </w:pPr>
      <w:r>
        <w:rPr>
          <w:rFonts w:ascii="Cormorant Garamond" w:hAnsi="Cormorant Garamond"/>
          <w:b w:val="0"/>
          <w:color w:val="3A2E3D"/>
          <w:sz w:val="64"/>
        </w:rPr>
        <w:t>Susanne Wachter</w:t>
      </w:r>
    </w:p>
    <w:p>
      <w:pPr>
        <w:spacing w:after="80"/>
      </w:pPr>
      <w:r>
        <w:rPr>
          <w:rFonts w:ascii="Inter" w:hAnsi="Inter"/>
          <w:b w:val="0"/>
          <w:color w:val="DD3089"/>
          <w:sz w:val="22"/>
        </w:rPr>
        <w:t>Design-Richtlinien | Seelenpartner-Begleitung</w:t>
      </w:r>
    </w:p>
    <w:p>
      <w:pPr>
        <w:spacing w:after="40"/>
        <w:pBdr>
          <w:bottom w:val="single" w:sz="8" w:space="1" w:color="DD3089"/>
        </w:pBdr>
      </w:pPr>
      <w:r>
        <w:rPr>
          <w:rFonts w:ascii="Inter" w:hAnsi="Inter"/>
          <w:color w:val="7E6B84"/>
          <w:sz w:val="18"/>
        </w:rPr>
        <w:t>susanne-wachter.at</w:t>
      </w:r>
    </w:p>
    <w:p>
      <w:pPr>
        <w:spacing w:after="120"/>
      </w:pPr>
    </w:p>
    <w:p>
      <w:pPr>
        <w:spacing w:after="400"/>
      </w:pPr>
      <w:r>
        <w:rPr>
          <w:rFonts w:ascii="Inter" w:hAnsi="Inter"/>
          <w:i/>
          <w:color w:val="4A3F4E"/>
          <w:sz w:val="19"/>
        </w:rPr>
        <w:t>Dieses Dokument definiert das visuelle Erscheinungsbild für alle Kommunikationsmittel: Landing Pages, Präsentationen, Social Media, PDFs und Werbemittel. Bitte diese Vorgaben für ein konsistentes Markenbild einhalten.</w:t>
      </w:r>
    </w:p>
    <w:p>
      <w:pPr>
        <w:spacing w:before="400" w:after="120"/>
        <w:pBdr>
          <w:bottom w:val="single" w:sz="6" w:space="1" w:color="CFAC5E"/>
        </w:pBdr>
      </w:pPr>
      <w:r>
        <w:rPr>
          <w:rFonts w:ascii="Inter" w:hAnsi="Inter"/>
          <w:b/>
          <w:color w:val="DD3089"/>
          <w:sz w:val="16"/>
        </w:rPr>
        <w:t xml:space="preserve">01  </w:t>
      </w:r>
      <w:r>
        <w:rPr>
          <w:rFonts w:ascii="Inter" w:hAnsi="Inter"/>
          <w:b/>
          <w:color w:val="3A2E3D"/>
          <w:sz w:val="24"/>
        </w:rPr>
        <w:t>FARBPALETTE</w:t>
      </w:r>
    </w:p>
    <w:p>
      <w:pPr>
        <w:spacing w:before="240" w:after="80"/>
      </w:pPr>
      <w:r>
        <w:rPr>
          <w:rFonts w:ascii="Inter" w:hAnsi="Inter"/>
          <w:b/>
          <w:color w:val="3A2E3D"/>
          <w:sz w:val="20"/>
        </w:rPr>
        <w:t>Primärfarben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1020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Farbe</w:t>
            </w:r>
          </w:p>
        </w:tc>
        <w:tc>
          <w:tcPr>
            <w:tcW w:type="dxa" w:w="1814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247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Hex-Code</w:t>
            </w:r>
          </w:p>
        </w:tc>
        <w:tc>
          <w:tcPr>
            <w:tcW w:type="dxa" w:w="3572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Verwendung</w:t>
            </w:r>
          </w:p>
        </w:tc>
      </w:tr>
      <w:tr>
        <w:tc>
          <w:tcPr>
            <w:tcW w:type="dxa" w:w="1020"/>
            <w:shd w:val="clear" w:color="auto" w:fill="DD3089"/>
          </w:tcPr>
          <w:p/>
        </w:tc>
        <w:tc>
          <w:tcPr>
            <w:tcW w:type="dxa" w:w="181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Magenta</w:t>
            </w:r>
          </w:p>
        </w:tc>
        <w:tc>
          <w:tcPr>
            <w:tcW w:type="dxa" w:w="1247"/>
            <w:shd w:val="clear" w:color="auto" w:fill="F9F5EE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4A3F4E"/>
                <w:sz w:val="18"/>
              </w:rPr>
              <w:t>#DD3089</w:t>
            </w:r>
          </w:p>
        </w:tc>
        <w:tc>
          <w:tcPr>
            <w:tcW w:type="dxa" w:w="3572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Buttons (CTA), Akzente, Highlights – sparsam</w:t>
            </w:r>
          </w:p>
        </w:tc>
      </w:tr>
      <w:tr>
        <w:tc>
          <w:tcPr>
            <w:tcW w:type="dxa" w:w="1020"/>
            <w:shd w:val="clear" w:color="auto" w:fill="3A2E3D"/>
          </w:tcPr>
          <w:p/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Dunkelviolett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4A3F4E"/>
                <w:sz w:val="18"/>
              </w:rPr>
              <w:t>#3A2E3D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Dark Sections, Hintergründe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/>
        </w:tc>
        <w:tc>
          <w:tcPr>
            <w:tcW w:type="dxa" w:w="181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Weiß</w:t>
            </w:r>
          </w:p>
        </w:tc>
        <w:tc>
          <w:tcPr>
            <w:tcW w:type="dxa" w:w="1247"/>
            <w:shd w:val="clear" w:color="auto" w:fill="F9F5EE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4A3F4E"/>
                <w:sz w:val="18"/>
              </w:rPr>
              <w:t>#FFFFFF</w:t>
            </w:r>
          </w:p>
        </w:tc>
        <w:tc>
          <w:tcPr>
            <w:tcW w:type="dxa" w:w="3572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Haupt-Hintergrund – dominiert immer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Inter" w:hAnsi="Inter"/>
          <w:b/>
          <w:color w:val="3A2E3D"/>
          <w:sz w:val="20"/>
        </w:rPr>
        <w:t>Sekundärfarben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1020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Farbe</w:t>
            </w:r>
          </w:p>
        </w:tc>
        <w:tc>
          <w:tcPr>
            <w:tcW w:type="dxa" w:w="1814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247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Hex-Code</w:t>
            </w:r>
          </w:p>
        </w:tc>
        <w:tc>
          <w:tcPr>
            <w:tcW w:type="dxa" w:w="3572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Verwendung</w:t>
            </w:r>
          </w:p>
        </w:tc>
      </w:tr>
      <w:tr>
        <w:tc>
          <w:tcPr>
            <w:tcW w:type="dxa" w:w="1020"/>
            <w:shd w:val="clear" w:color="auto" w:fill="CFAC5E"/>
          </w:tcPr>
          <w:p/>
        </w:tc>
        <w:tc>
          <w:tcPr>
            <w:tcW w:type="dxa" w:w="181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Gold</w:t>
            </w:r>
          </w:p>
        </w:tc>
        <w:tc>
          <w:tcPr>
            <w:tcW w:type="dxa" w:w="1247"/>
            <w:shd w:val="clear" w:color="auto" w:fill="F9F5EE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4A3F4E"/>
                <w:sz w:val="18"/>
              </w:rPr>
              <w:t>#CFAC5E</w:t>
            </w:r>
          </w:p>
        </w:tc>
        <w:tc>
          <w:tcPr>
            <w:tcW w:type="dxa" w:w="3572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Dekoration, Bordüren, Icons</w:t>
            </w:r>
          </w:p>
        </w:tc>
      </w:tr>
      <w:tr>
        <w:tc>
          <w:tcPr>
            <w:tcW w:type="dxa" w:w="1020"/>
            <w:shd w:val="clear" w:color="auto" w:fill="F7DE7A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Gold Hell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4A3F4E"/>
                <w:sz w:val="18"/>
              </w:rPr>
              <w:t>#F7DE7A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Leuchtende Akzente in Überschriften</w:t>
            </w:r>
          </w:p>
        </w:tc>
      </w:tr>
      <w:tr>
        <w:tc>
          <w:tcPr>
            <w:tcW w:type="dxa" w:w="1020"/>
            <w:shd w:val="clear" w:color="auto" w:fill="EAD1D7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81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Blush</w:t>
            </w:r>
          </w:p>
        </w:tc>
        <w:tc>
          <w:tcPr>
            <w:tcW w:type="dxa" w:w="1247"/>
            <w:shd w:val="clear" w:color="auto" w:fill="F9F5EE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4A3F4E"/>
                <w:sz w:val="18"/>
              </w:rPr>
              <w:t>#EAD1D7</w:t>
            </w:r>
          </w:p>
        </w:tc>
        <w:tc>
          <w:tcPr>
            <w:tcW w:type="dxa" w:w="3572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Sanfte Hintergründe, Cards</w:t>
            </w:r>
          </w:p>
        </w:tc>
      </w:tr>
      <w:tr>
        <w:tc>
          <w:tcPr>
            <w:tcW w:type="dxa" w:w="1020"/>
            <w:shd w:val="clear" w:color="auto" w:fill="F9F5EE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/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Sand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4A3F4E"/>
                <w:sz w:val="18"/>
              </w:rPr>
              <w:t>#F9F5EE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Abschnittshintergründe, ruhige Flächen</w:t>
            </w:r>
          </w:p>
        </w:tc>
      </w:tr>
      <w:tr>
        <w:tc>
          <w:tcPr>
            <w:tcW w:type="dxa" w:w="1020"/>
            <w:shd w:val="clear" w:color="auto" w:fill="4A3F4E"/>
          </w:tcPr>
          <w:p/>
        </w:tc>
        <w:tc>
          <w:tcPr>
            <w:tcW w:type="dxa" w:w="181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Body Text</w:t>
            </w:r>
          </w:p>
        </w:tc>
        <w:tc>
          <w:tcPr>
            <w:tcW w:type="dxa" w:w="1247"/>
            <w:shd w:val="clear" w:color="auto" w:fill="F9F5EE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4A3F4E"/>
                <w:sz w:val="18"/>
              </w:rPr>
              <w:t>#4A3F4E</w:t>
            </w:r>
          </w:p>
        </w:tc>
        <w:tc>
          <w:tcPr>
            <w:tcW w:type="dxa" w:w="3572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Fließtext</w:t>
            </w:r>
          </w:p>
        </w:tc>
      </w:tr>
      <w:tr>
        <w:tc>
          <w:tcPr>
            <w:tcW w:type="dxa" w:w="1020"/>
            <w:shd w:val="clear" w:color="auto" w:fill="7E6B84"/>
          </w:tcPr>
          <w:p/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Muted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4A3F4E"/>
                <w:sz w:val="18"/>
              </w:rPr>
              <w:t>#7E6B84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Untergeordneter Text, Labels</w:t>
            </w:r>
          </w:p>
        </w:tc>
      </w:tr>
    </w:tbl>
    <w:p>
      <w:pPr>
        <w:spacing w:after="40"/>
      </w:pPr>
    </w:p>
    <w:p>
      <w:pPr>
        <w:spacing w:before="120" w:after="200"/>
        <w:ind w:left="227"/>
        <w:pBdr>
          <w:left w:val="single" w:sz="12" w:space="4" w:color="DD3089"/>
        </w:pBdr>
      </w:pPr>
      <w:r>
        <w:rPr>
          <w:rFonts w:ascii="Inter" w:hAnsi="Inter"/>
          <w:i/>
          <w:color w:val="4A3F4E"/>
          <w:sz w:val="19"/>
        </w:rPr>
        <w:t>Farbregel: Weiß dominiert immer. Magenta nur als Impuls/Akzent. Gold als "Atem" – warm und zurückhaltend. Dunkelviolett (#3A2E3D) für dunkle Sektionen.</w:t>
      </w:r>
    </w:p>
    <w:p>
      <w:pPr>
        <w:spacing w:before="400" w:after="120"/>
        <w:pBdr>
          <w:bottom w:val="single" w:sz="6" w:space="1" w:color="CFAC5E"/>
        </w:pBdr>
      </w:pPr>
      <w:r>
        <w:rPr>
          <w:rFonts w:ascii="Inter" w:hAnsi="Inter"/>
          <w:b/>
          <w:color w:val="DD3089"/>
          <w:sz w:val="16"/>
        </w:rPr>
        <w:t xml:space="preserve">02  </w:t>
      </w:r>
      <w:r>
        <w:rPr>
          <w:rFonts w:ascii="Inter" w:hAnsi="Inter"/>
          <w:b/>
          <w:color w:val="3A2E3D"/>
          <w:sz w:val="24"/>
        </w:rPr>
        <w:t>TYPOGRAFIE</w:t>
      </w:r>
    </w:p>
    <w:p>
      <w:pPr>
        <w:spacing w:before="240" w:after="80"/>
      </w:pPr>
      <w:r>
        <w:rPr>
          <w:rFonts w:ascii="Inter" w:hAnsi="Inter"/>
          <w:b/>
          <w:color w:val="3A2E3D"/>
          <w:sz w:val="20"/>
        </w:rPr>
        <w:t>Schriftarten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551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Schrift</w:t>
            </w:r>
          </w:p>
        </w:tc>
        <w:tc>
          <w:tcPr>
            <w:tcW w:type="dxa" w:w="1417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Typ</w:t>
            </w:r>
          </w:p>
        </w:tc>
        <w:tc>
          <w:tcPr>
            <w:tcW w:type="dxa" w:w="1701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Quelle</w:t>
            </w:r>
          </w:p>
        </w:tc>
        <w:tc>
          <w:tcPr>
            <w:tcW w:type="dxa" w:w="1984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Verwendung</w:t>
            </w:r>
          </w:p>
        </w:tc>
      </w:tr>
      <w:tr>
        <w:tc>
          <w:tcPr>
            <w:tcW w:type="dxa" w:w="2551"/>
            <w:shd w:val="clear" w:color="auto" w:fill="F9F5EE"/>
          </w:tcPr>
          <w:p>
            <w:pPr>
              <w:spacing w:before="60" w:after="60"/>
            </w:pPr>
            <w:r>
              <w:rPr>
                <w:rFonts w:ascii="Cormorant Garamond" w:hAnsi="Cormorant Garamond"/>
                <w:b/>
                <w:color w:val="4A3F4E"/>
                <w:sz w:val="20"/>
              </w:rPr>
              <w:t>Cormorant Garamond</w:t>
            </w:r>
          </w:p>
        </w:tc>
        <w:tc>
          <w:tcPr>
            <w:tcW w:type="dxa" w:w="1417"/>
            <w:shd w:val="clear" w:color="auto" w:fill="F9F5EE"/>
          </w:tcPr>
          <w:p>
            <w:pPr>
              <w:spacing w:before="60" w:after="60"/>
            </w:pPr>
            <w:r>
              <w:rPr>
                <w:rFonts w:ascii="Inter" w:hAnsi="Inter"/>
                <w:color w:val="4A3F4E"/>
                <w:sz w:val="18"/>
              </w:rPr>
              <w:t>Serif</w:t>
            </w:r>
          </w:p>
        </w:tc>
        <w:tc>
          <w:tcPr>
            <w:tcW w:type="dxa" w:w="1701"/>
            <w:shd w:val="clear" w:color="auto" w:fill="F9F5EE"/>
          </w:tcPr>
          <w:p>
            <w:pPr>
              <w:spacing w:before="60" w:after="60"/>
            </w:pPr>
            <w:r>
              <w:rPr>
                <w:rFonts w:ascii="Inter" w:hAnsi="Inter"/>
                <w:color w:val="4A3F4E"/>
                <w:sz w:val="18"/>
              </w:rPr>
              <w:t>Google Fonts</w:t>
            </w:r>
          </w:p>
        </w:tc>
        <w:tc>
          <w:tcPr>
            <w:tcW w:type="dxa" w:w="1984"/>
            <w:shd w:val="clear" w:color="auto" w:fill="F9F5EE"/>
          </w:tcPr>
          <w:p>
            <w:pPr>
              <w:spacing w:before="60" w:after="60"/>
            </w:pPr>
            <w:r>
              <w:rPr>
                <w:rFonts w:ascii="Inter" w:hAnsi="Inter"/>
                <w:color w:val="4A3F4E"/>
                <w:sz w:val="18"/>
              </w:rPr>
              <w:t>Alle Überschriften (H1–H3), Display-Texte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rFonts w:ascii="Inter" w:hAnsi="Inter"/>
                <w:b/>
                <w:color w:val="4A3F4E"/>
                <w:sz w:val="20"/>
              </w:rPr>
              <w:t>Inter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rFonts w:ascii="Inter" w:hAnsi="Inter"/>
                <w:color w:val="4A3F4E"/>
                <w:sz w:val="18"/>
              </w:rPr>
              <w:t>Sans-Serif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</w:pPr>
            <w:r>
              <w:rPr>
                <w:rFonts w:ascii="Inter" w:hAnsi="Inter"/>
                <w:color w:val="4A3F4E"/>
                <w:sz w:val="18"/>
              </w:rPr>
              <w:t>Google Fonts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>
              <w:rPr>
                <w:rFonts w:ascii="Inter" w:hAnsi="Inter"/>
                <w:color w:val="4A3F4E"/>
                <w:sz w:val="18"/>
              </w:rPr>
              <w:t>Fließtext, Buttons, Labels, Navigation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Inter" w:hAnsi="Inter"/>
          <w:b/>
          <w:color w:val="3A2E3D"/>
          <w:sz w:val="20"/>
        </w:rPr>
        <w:t>Schriftgrößen &amp; Hierarchie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1417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Ebene</w:t>
            </w:r>
          </w:p>
        </w:tc>
        <w:tc>
          <w:tcPr>
            <w:tcW w:type="dxa" w:w="2268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Schrift</w:t>
            </w:r>
          </w:p>
        </w:tc>
        <w:tc>
          <w:tcPr>
            <w:tcW w:type="dxa" w:w="1984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Größe / Gewicht</w:t>
            </w:r>
          </w:p>
        </w:tc>
        <w:tc>
          <w:tcPr>
            <w:tcW w:type="dxa" w:w="1984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Verwendung</w:t>
            </w:r>
          </w:p>
        </w:tc>
      </w:tr>
      <w:tr>
        <w:tc>
          <w:tcPr>
            <w:tcW w:type="dxa" w:w="1417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3A2E3D"/>
                <w:sz w:val="18"/>
              </w:rPr>
              <w:t>Display / H1</w:t>
            </w:r>
          </w:p>
        </w:tc>
        <w:tc>
          <w:tcPr>
            <w:tcW w:type="dxa" w:w="2268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Cormorant Garamond</w:t>
            </w:r>
          </w:p>
        </w:tc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42–80px  |  Gewicht 400</w:t>
            </w:r>
          </w:p>
        </w:tc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Hauptüberschrift Hero-Bereich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3A2E3D"/>
                <w:sz w:val="18"/>
              </w:rPr>
              <w:t>H2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Cormorant Garamond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32–51px  |  Gewicht 400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Sektionsüberschriften</w:t>
            </w:r>
          </w:p>
        </w:tc>
      </w:tr>
      <w:tr>
        <w:tc>
          <w:tcPr>
            <w:tcW w:type="dxa" w:w="1417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3A2E3D"/>
                <w:sz w:val="18"/>
              </w:rPr>
              <w:t>H3</w:t>
            </w:r>
          </w:p>
        </w:tc>
        <w:tc>
          <w:tcPr>
            <w:tcW w:type="dxa" w:w="2268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Cormorant Garamond</w:t>
            </w:r>
          </w:p>
        </w:tc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22–32px  |  Gewicht 500</w:t>
            </w:r>
          </w:p>
        </w:tc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Karten-Titel, Unterüberschriften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3A2E3D"/>
                <w:sz w:val="18"/>
              </w:rPr>
              <w:t>Label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Inter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11.5px   |  Gewicht 500  |  CAPS  |  LS +0.16em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Obertitel vor Überschriften</w:t>
            </w:r>
          </w:p>
        </w:tc>
      </w:tr>
      <w:tr>
        <w:tc>
          <w:tcPr>
            <w:tcW w:type="dxa" w:w="1417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3A2E3D"/>
                <w:sz w:val="18"/>
              </w:rPr>
              <w:t>Fließtext</w:t>
            </w:r>
          </w:p>
        </w:tc>
        <w:tc>
          <w:tcPr>
            <w:tcW w:type="dxa" w:w="2268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Inter</w:t>
            </w:r>
          </w:p>
        </w:tc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16px     |  Gewicht 400  |  LH 1.7</w:t>
            </w:r>
          </w:p>
        </w:tc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Absätze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3A2E3D"/>
                <w:sz w:val="18"/>
              </w:rPr>
              <w:t>Button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Inter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14.4px   |  Gewicht 600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CTA-Buttons</w:t>
            </w:r>
          </w:p>
        </w:tc>
      </w:tr>
    </w:tbl>
    <w:p>
      <w:pPr>
        <w:spacing w:after="40"/>
      </w:pPr>
    </w:p>
    <w:p>
      <w:pPr>
        <w:spacing w:before="120" w:after="200"/>
        <w:ind w:left="227"/>
        <w:pBdr>
          <w:left w:val="single" w:sz="12" w:space="4" w:color="DD3089"/>
        </w:pBdr>
      </w:pPr>
      <w:r>
        <w:rPr>
          <w:rFonts w:ascii="Inter" w:hAnsi="Inter"/>
          <w:i/>
          <w:color w:val="4A3F4E"/>
          <w:sz w:val="19"/>
        </w:rPr>
        <w:t>Goldene Kursiv-Überschriften: Kursive Wörter in Überschriften erhalten einen animierten Gold-Verlauf (#FFE57A → #CFAC5E → #F7DE7A) mit leuchtendem Glow-Effekt. Einsatz für emotionale Schlüsselwörter.</w:t>
      </w:r>
    </w:p>
    <w:p>
      <w:pPr>
        <w:spacing w:before="400" w:after="120"/>
        <w:pBdr>
          <w:bottom w:val="single" w:sz="6" w:space="1" w:color="CFAC5E"/>
        </w:pBdr>
      </w:pPr>
      <w:r>
        <w:rPr>
          <w:rFonts w:ascii="Inter" w:hAnsi="Inter"/>
          <w:b/>
          <w:color w:val="DD3089"/>
          <w:sz w:val="16"/>
        </w:rPr>
        <w:t xml:space="preserve">03  </w:t>
      </w:r>
      <w:r>
        <w:rPr>
          <w:rFonts w:ascii="Inter" w:hAnsi="Inter"/>
          <w:b/>
          <w:color w:val="3A2E3D"/>
          <w:sz w:val="24"/>
        </w:rPr>
        <w:t>BUTTONS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984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Eigenschaft</w:t>
            </w:r>
          </w:p>
        </w:tc>
        <w:tc>
          <w:tcPr>
            <w:tcW w:type="dxa" w:w="3402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Primär-Button (CTA)</w:t>
            </w:r>
          </w:p>
        </w:tc>
        <w:tc>
          <w:tcPr>
            <w:tcW w:type="dxa" w:w="2268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Sekundär-Button (Ghost)</w:t>
            </w:r>
          </w:p>
        </w:tc>
      </w:tr>
      <w:tr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3A2E3D"/>
                <w:sz w:val="18"/>
              </w:rPr>
              <w:t>Hintergrund</w:t>
            </w:r>
          </w:p>
        </w:tc>
        <w:tc>
          <w:tcPr>
            <w:tcW w:type="dxa" w:w="3402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Magenta #DD3089 (Verlauf → #C4206F)</w:t>
            </w:r>
          </w:p>
        </w:tc>
        <w:tc>
          <w:tcPr>
            <w:tcW w:type="dxa" w:w="2268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Transparent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3A2E3D"/>
                <w:sz w:val="18"/>
              </w:rPr>
              <w:t>Rahmen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Keiner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2px solid rgba(Magenta, 0.4) oder Weiß</w:t>
            </w:r>
          </w:p>
        </w:tc>
      </w:tr>
      <w:tr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3A2E3D"/>
                <w:sz w:val="18"/>
              </w:rPr>
              <w:t>Schrift</w:t>
            </w:r>
          </w:p>
        </w:tc>
        <w:tc>
          <w:tcPr>
            <w:tcW w:type="dxa" w:w="3402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Inter  |  14.4px  |  Gewicht 600  |  Weiß</w:t>
            </w:r>
          </w:p>
        </w:tc>
        <w:tc>
          <w:tcPr>
            <w:tcW w:type="dxa" w:w="2268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Inter  |  14.4px  |  Weiß oder Magenta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3A2E3D"/>
                <w:sz w:val="18"/>
              </w:rPr>
              <w:t>Ecken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Vollständig rund (60px)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Vollständig rund (60px)</w:t>
            </w:r>
          </w:p>
        </w:tc>
      </w:tr>
      <w:tr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3A2E3D"/>
                <w:sz w:val="18"/>
              </w:rPr>
              <w:t>Innenabstand</w:t>
            </w:r>
          </w:p>
        </w:tc>
        <w:tc>
          <w:tcPr>
            <w:tcW w:type="dxa" w:w="3402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14px oben/unten  |  32px links/rechts</w:t>
            </w:r>
          </w:p>
        </w:tc>
        <w:tc>
          <w:tcPr>
            <w:tcW w:type="dxa" w:w="2268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12px oben/unten  |  28px links/rechts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3A2E3D"/>
                <w:sz w:val="18"/>
              </w:rPr>
              <w:t>Hover-Effekt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Aufwärts (-2px)  +  stärkerer Magenta-Schatten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Hellere Rahmenfarbe</w:t>
            </w:r>
          </w:p>
        </w:tc>
      </w:tr>
    </w:tbl>
    <w:p>
      <w:pPr>
        <w:spacing w:before="400" w:after="120"/>
        <w:pBdr>
          <w:bottom w:val="single" w:sz="6" w:space="1" w:color="CFAC5E"/>
        </w:pBdr>
      </w:pPr>
      <w:r>
        <w:rPr>
          <w:rFonts w:ascii="Inter" w:hAnsi="Inter"/>
          <w:b/>
          <w:color w:val="DD3089"/>
          <w:sz w:val="16"/>
        </w:rPr>
        <w:t xml:space="preserve">04  </w:t>
      </w:r>
      <w:r>
        <w:rPr>
          <w:rFonts w:ascii="Inter" w:hAnsi="Inter"/>
          <w:b/>
          <w:color w:val="3A2E3D"/>
          <w:sz w:val="24"/>
        </w:rPr>
        <w:t>ABSTÄNDE &amp; LAYOUT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3969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685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Wert</w:t>
            </w:r>
          </w:p>
        </w:tc>
      </w:tr>
      <w:tr>
        <w:tc>
          <w:tcPr>
            <w:tcW w:type="dxa" w:w="3969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Container Max-Breite</w:t>
            </w:r>
          </w:p>
        </w:tc>
        <w:tc>
          <w:tcPr>
            <w:tcW w:type="dxa" w:w="3685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1200px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Innenabstand Container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0 24px (Mobile)  |  0 40px (Desktop)</w:t>
            </w:r>
          </w:p>
        </w:tc>
      </w:tr>
      <w:tr>
        <w:tc>
          <w:tcPr>
            <w:tcW w:type="dxa" w:w="3969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Große Sektionen (padding)</w:t>
            </w:r>
          </w:p>
        </w:tc>
        <w:tc>
          <w:tcPr>
            <w:tcW w:type="dxa" w:w="3685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120px oben/unten (Desktop)  |  72px (Mobile)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Kleine Sektionen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80px oben/unten</w:t>
            </w:r>
          </w:p>
        </w:tc>
      </w:tr>
      <w:tr>
        <w:tc>
          <w:tcPr>
            <w:tcW w:type="dxa" w:w="3969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Eckenradius Standard</w:t>
            </w:r>
          </w:p>
        </w:tc>
        <w:tc>
          <w:tcPr>
            <w:tcW w:type="dxa" w:w="3685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12px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Eckenradius groß (Cards, Modals)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24px</w:t>
            </w:r>
          </w:p>
        </w:tc>
      </w:tr>
      <w:tr>
        <w:tc>
          <w:tcPr>
            <w:tcW w:type="dxa" w:w="3969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Schatten Standard</w:t>
            </w:r>
          </w:p>
        </w:tc>
        <w:tc>
          <w:tcPr>
            <w:tcW w:type="dxa" w:w="3685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0 4px 32px rgba(58,46,61, 10%)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Schatten groß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0 16px 64px rgba(58,46,61, 18%)</w:t>
            </w:r>
          </w:p>
        </w:tc>
      </w:tr>
    </w:tbl>
    <w:p>
      <w:pPr>
        <w:spacing w:before="400" w:after="120"/>
        <w:pBdr>
          <w:bottom w:val="single" w:sz="6" w:space="1" w:color="CFAC5E"/>
        </w:pBdr>
      </w:pPr>
      <w:r>
        <w:rPr>
          <w:rFonts w:ascii="Inter" w:hAnsi="Inter"/>
          <w:b/>
          <w:color w:val="DD3089"/>
          <w:sz w:val="16"/>
        </w:rPr>
        <w:t xml:space="preserve">05  </w:t>
      </w:r>
      <w:r>
        <w:rPr>
          <w:rFonts w:ascii="Inter" w:hAnsi="Inter"/>
          <w:b/>
          <w:color w:val="3A2E3D"/>
          <w:sz w:val="24"/>
        </w:rPr>
        <w:t>DESIGN-PRINZIPIEN</w:t>
      </w:r>
    </w:p>
    <w:p>
      <w:pPr>
        <w:spacing w:before="120" w:after="40"/>
      </w:pPr>
      <w:r>
        <w:rPr>
          <w:rFonts w:ascii="Inter" w:hAnsi="Inter"/>
          <w:b/>
          <w:color w:val="DD3089"/>
          <w:sz w:val="16"/>
        </w:rPr>
        <w:t xml:space="preserve">01  </w:t>
      </w:r>
      <w:r>
        <w:rPr>
          <w:rFonts w:ascii="Inter" w:hAnsi="Inter"/>
          <w:b/>
          <w:color w:val="3A2E3D"/>
          <w:sz w:val="20"/>
        </w:rPr>
        <w:t>Emotional, nicht esoterisch</w:t>
      </w:r>
    </w:p>
    <w:p>
      <w:pPr>
        <w:spacing w:after="40"/>
        <w:ind w:left="454"/>
      </w:pPr>
      <w:r>
        <w:rPr>
          <w:rFonts w:ascii="Inter" w:hAnsi="Inter"/>
          <w:color w:val="4A3F4E"/>
          <w:sz w:val="19"/>
        </w:rPr>
        <w:t>Professionell und warmherzig – nicht mystisch oder kitschig. Das Design spricht Frauen in echtem Schmerz an, nicht Hobby-Spiritual-Fans.</w:t>
      </w:r>
    </w:p>
    <w:p>
      <w:pPr>
        <w:spacing w:before="120" w:after="40"/>
      </w:pPr>
      <w:r>
        <w:rPr>
          <w:rFonts w:ascii="Inter" w:hAnsi="Inter"/>
          <w:b/>
          <w:color w:val="DD3089"/>
          <w:sz w:val="16"/>
        </w:rPr>
        <w:t xml:space="preserve">02  </w:t>
      </w:r>
      <w:r>
        <w:rPr>
          <w:rFonts w:ascii="Inter" w:hAnsi="Inter"/>
          <w:b/>
          <w:color w:val="3A2E3D"/>
          <w:sz w:val="20"/>
        </w:rPr>
        <w:t>Viel Weißraum</w:t>
      </w:r>
    </w:p>
    <w:p>
      <w:pPr>
        <w:spacing w:after="40"/>
        <w:ind w:left="454"/>
      </w:pPr>
      <w:r>
        <w:rPr>
          <w:rFonts w:ascii="Inter" w:hAnsi="Inter"/>
          <w:color w:val="4A3F4E"/>
          <w:sz w:val="19"/>
        </w:rPr>
        <w:t>Weiß dominiert. Elemente atmen. Nie überladen. Ruhe als Designentscheidung.</w:t>
      </w:r>
    </w:p>
    <w:p>
      <w:pPr>
        <w:spacing w:before="120" w:after="40"/>
      </w:pPr>
      <w:r>
        <w:rPr>
          <w:rFonts w:ascii="Inter" w:hAnsi="Inter"/>
          <w:b/>
          <w:color w:val="DD3089"/>
          <w:sz w:val="16"/>
        </w:rPr>
        <w:t xml:space="preserve">03  </w:t>
      </w:r>
      <w:r>
        <w:rPr>
          <w:rFonts w:ascii="Inter" w:hAnsi="Inter"/>
          <w:b/>
          <w:color w:val="3A2E3D"/>
          <w:sz w:val="20"/>
        </w:rPr>
        <w:t>Kontrast durch dunkle Sektionen</w:t>
      </w:r>
    </w:p>
    <w:p>
      <w:pPr>
        <w:spacing w:after="40"/>
        <w:ind w:left="454"/>
      </w:pPr>
      <w:r>
        <w:rPr>
          <w:rFonts w:ascii="Inter" w:hAnsi="Inter"/>
          <w:color w:val="4A3F4E"/>
          <w:sz w:val="19"/>
        </w:rPr>
        <w:t>Dunkelviolett (#3A2E3D) als bewusste Kontrast-Sektionen zwischen hellen Bereichen – schafft Rhythmus und Tiefe.</w:t>
      </w:r>
    </w:p>
    <w:p>
      <w:pPr>
        <w:spacing w:before="120" w:after="40"/>
      </w:pPr>
      <w:r>
        <w:rPr>
          <w:rFonts w:ascii="Inter" w:hAnsi="Inter"/>
          <w:b/>
          <w:color w:val="DD3089"/>
          <w:sz w:val="16"/>
        </w:rPr>
        <w:t xml:space="preserve">04  </w:t>
      </w:r>
      <w:r>
        <w:rPr>
          <w:rFonts w:ascii="Inter" w:hAnsi="Inter"/>
          <w:b/>
          <w:color w:val="3A2E3D"/>
          <w:sz w:val="20"/>
        </w:rPr>
        <w:t>Gold sparsam einsetzen</w:t>
      </w:r>
    </w:p>
    <w:p>
      <w:pPr>
        <w:spacing w:after="40"/>
        <w:ind w:left="454"/>
      </w:pPr>
      <w:r>
        <w:rPr>
          <w:rFonts w:ascii="Inter" w:hAnsi="Inter"/>
          <w:color w:val="4A3F4E"/>
          <w:sz w:val="19"/>
        </w:rPr>
        <w:t>Gold ist ein Akzent, kein Hintergrund. Nie als Flächenfarbe. In Überschriften (kursiv), Bordüren, Icons.</w:t>
      </w:r>
    </w:p>
    <w:p>
      <w:pPr>
        <w:spacing w:before="120" w:after="40"/>
      </w:pPr>
      <w:r>
        <w:rPr>
          <w:rFonts w:ascii="Inter" w:hAnsi="Inter"/>
          <w:b/>
          <w:color w:val="DD3089"/>
          <w:sz w:val="16"/>
        </w:rPr>
        <w:t xml:space="preserve">05  </w:t>
      </w:r>
      <w:r>
        <w:rPr>
          <w:rFonts w:ascii="Inter" w:hAnsi="Inter"/>
          <w:b/>
          <w:color w:val="3A2E3D"/>
          <w:sz w:val="20"/>
        </w:rPr>
        <w:t>Echte Fotos von Susanne</w:t>
      </w:r>
    </w:p>
    <w:p>
      <w:pPr>
        <w:spacing w:after="40"/>
        <w:ind w:left="454"/>
      </w:pPr>
      <w:r>
        <w:rPr>
          <w:rFonts w:ascii="Inter" w:hAnsi="Inter"/>
          <w:color w:val="4A3F4E"/>
          <w:sz w:val="19"/>
        </w:rPr>
        <w:t>Immer Susannes eigene Fotos als Autorenphoto und im Header. Kein Stock-Foto.</w:t>
      </w:r>
    </w:p>
    <w:p>
      <w:pPr>
        <w:spacing w:before="120" w:after="40"/>
      </w:pPr>
      <w:r>
        <w:rPr>
          <w:rFonts w:ascii="Inter" w:hAnsi="Inter"/>
          <w:b/>
          <w:color w:val="DD3089"/>
          <w:sz w:val="16"/>
        </w:rPr>
        <w:t xml:space="preserve">06  </w:t>
      </w:r>
      <w:r>
        <w:rPr>
          <w:rFonts w:ascii="Inter" w:hAnsi="Inter"/>
          <w:b/>
          <w:color w:val="3A2E3D"/>
          <w:sz w:val="20"/>
        </w:rPr>
        <w:t>Serif für Emotion, Sans für Klarheit</w:t>
      </w:r>
    </w:p>
    <w:p>
      <w:pPr>
        <w:spacing w:after="40"/>
        <w:ind w:left="454"/>
      </w:pPr>
      <w:r>
        <w:rPr>
          <w:rFonts w:ascii="Inter" w:hAnsi="Inter"/>
          <w:color w:val="4A3F4E"/>
          <w:sz w:val="19"/>
        </w:rPr>
        <w:t>Cormorant Garamond (warm, elegant) für Überschriften. Inter (klar, modern) für Text, Buttons, Labels.</w:t>
      </w:r>
    </w:p>
    <w:p>
      <w:pPr>
        <w:spacing w:before="400" w:after="120"/>
        <w:pBdr>
          <w:bottom w:val="single" w:sz="6" w:space="1" w:color="CFAC5E"/>
        </w:pBdr>
      </w:pPr>
      <w:r>
        <w:rPr>
          <w:rFonts w:ascii="Inter" w:hAnsi="Inter"/>
          <w:b/>
          <w:color w:val="DD3089"/>
          <w:sz w:val="16"/>
        </w:rPr>
        <w:t xml:space="preserve">06  </w:t>
      </w:r>
      <w:r>
        <w:rPr>
          <w:rFonts w:ascii="Inter" w:hAnsi="Inter"/>
          <w:b/>
          <w:color w:val="3A2E3D"/>
          <w:sz w:val="24"/>
        </w:rPr>
        <w:t>DUNKLE SEKTIONEN (DARK BACKGROUND #3A2E3D)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3402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4252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Farbe / Wert</w:t>
            </w:r>
          </w:p>
        </w:tc>
      </w:tr>
      <w:tr>
        <w:tc>
          <w:tcPr>
            <w:tcW w:type="dxa" w:w="3402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Überschriften</w:t>
            </w:r>
          </w:p>
        </w:tc>
        <w:tc>
          <w:tcPr>
            <w:tcW w:type="dxa" w:w="4252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#FFFFFF – Weiß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Fließtext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rgba(255,255,255, 75%) – Weiß gedimmt</w:t>
            </w:r>
          </w:p>
        </w:tc>
      </w:tr>
      <w:tr>
        <w:tc>
          <w:tcPr>
            <w:tcW w:type="dxa" w:w="3402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Labels / Kleintext</w:t>
            </w:r>
          </w:p>
        </w:tc>
        <w:tc>
          <w:tcPr>
            <w:tcW w:type="dxa" w:w="4252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rgba(255,255,255, 50%)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Rahmen / Trennlinien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rgba(207,172,94, 35%) – Gold, dezent (#CFAC5E)</w:t>
            </w:r>
          </w:p>
        </w:tc>
      </w:tr>
      <w:tr>
        <w:tc>
          <w:tcPr>
            <w:tcW w:type="dxa" w:w="3402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Kursive Highlights</w:t>
            </w:r>
          </w:p>
        </w:tc>
        <w:tc>
          <w:tcPr>
            <w:tcW w:type="dxa" w:w="4252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Gold-Verlauf wie in Abschnitt 02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CTA-Button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Magenta #DD3089 (gleich wie auf hellen Flächen)</w:t>
            </w:r>
          </w:p>
        </w:tc>
      </w:tr>
    </w:tbl>
    <w:p>
      <w:pPr>
        <w:spacing w:before="400" w:after="120"/>
        <w:pBdr>
          <w:bottom w:val="single" w:sz="6" w:space="1" w:color="CFAC5E"/>
        </w:pBdr>
      </w:pPr>
      <w:r>
        <w:rPr>
          <w:rFonts w:ascii="Inter" w:hAnsi="Inter"/>
          <w:b/>
          <w:color w:val="DD3089"/>
          <w:sz w:val="16"/>
        </w:rPr>
        <w:t xml:space="preserve">07  </w:t>
      </w:r>
      <w:r>
        <w:rPr>
          <w:rFonts w:ascii="Inter" w:hAnsi="Inter"/>
          <w:b/>
          <w:color w:val="3A2E3D"/>
          <w:sz w:val="24"/>
        </w:rPr>
        <w:t>LOGO &amp; NAVIGATION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3118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4535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Spezifikation</w:t>
            </w:r>
          </w:p>
        </w:tc>
      </w:tr>
      <w:tr>
        <w:tc>
          <w:tcPr>
            <w:tcW w:type="dxa" w:w="3118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"Susanne Wachter" (Haupttext)</w:t>
            </w:r>
          </w:p>
        </w:tc>
        <w:tc>
          <w:tcPr>
            <w:tcW w:type="dxa" w:w="4535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Inter  |  16.8px  |  Gewicht 600  |  #3A2E3D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"SEELENPARTNER-BEGLEITUNG" (Untertitel)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Inter  |  9.3px  |  Gewicht 500  |  LS +0.18em  |  #DD3089 Magenta</w:t>
            </w:r>
          </w:p>
        </w:tc>
      </w:tr>
      <w:tr>
        <w:tc>
          <w:tcPr>
            <w:tcW w:type="dxa" w:w="3118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Logo-Symbol</w:t>
            </w:r>
          </w:p>
        </w:tc>
        <w:tc>
          <w:tcPr>
            <w:tcW w:type="dxa" w:w="4535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Kleiner Kreis mit Ornament  |  Farben: Magenta + Gold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Nav-Links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Inter  |  14px  |  #4A3F4E  |  Hover: Magenta</w:t>
            </w:r>
          </w:p>
        </w:tc>
      </w:tr>
      <w:tr>
        <w:tc>
          <w:tcPr>
            <w:tcW w:type="dxa" w:w="3118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Nav CTA-Button ("Sitzung buchen")</w:t>
            </w:r>
          </w:p>
        </w:tc>
        <w:tc>
          <w:tcPr>
            <w:tcW w:type="dxa" w:w="4535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Magenta  |  Rund  |  Gewicht 600</w:t>
            </w:r>
          </w:p>
        </w:tc>
      </w:tr>
    </w:tbl>
    <w:p>
      <w:pPr>
        <w:spacing w:before="400" w:after="120"/>
        <w:pBdr>
          <w:bottom w:val="single" w:sz="6" w:space="1" w:color="CFAC5E"/>
        </w:pBdr>
      </w:pPr>
      <w:r>
        <w:rPr>
          <w:rFonts w:ascii="Inter" w:hAnsi="Inter"/>
          <w:b/>
          <w:color w:val="DD3089"/>
          <w:sz w:val="16"/>
        </w:rPr>
        <w:t xml:space="preserve">08  </w:t>
      </w:r>
      <w:r>
        <w:rPr>
          <w:rFonts w:ascii="Inter" w:hAnsi="Inter"/>
          <w:b/>
          <w:color w:val="3A2E3D"/>
          <w:sz w:val="24"/>
        </w:rPr>
        <w:t>SCHNELLREFERENZ FÜR CANVA &amp; ANDERE TOOLS</w:t>
      </w:r>
    </w:p>
    <w:p>
      <w:pPr>
        <w:spacing w:after="60"/>
      </w:pPr>
      <w:r>
        <w:rPr>
          <w:rFonts w:ascii="Inter" w:hAnsi="Inter"/>
          <w:i w:val="0"/>
          <w:color w:val="4A3F4E"/>
          <w:sz w:val="19"/>
        </w:rPr>
        <w:t>Für Grafiken, Social Media Posts, PDFs und Werbemittel – direkt verwendbare Werte: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984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Farbe / Schrift</w:t>
            </w:r>
          </w:p>
        </w:tc>
        <w:tc>
          <w:tcPr>
            <w:tcW w:type="dxa" w:w="1984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Wert</w:t>
            </w:r>
          </w:p>
        </w:tc>
        <w:tc>
          <w:tcPr>
            <w:tcW w:type="dxa" w:w="3685"/>
            <w:shd w:val="clear" w:color="auto" w:fill="3A2E3D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FFFFFF"/>
                <w:sz w:val="17"/>
              </w:rPr>
              <w:t>Zweck</w:t>
            </w:r>
          </w:p>
        </w:tc>
      </w:tr>
      <w:tr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Magenta</w:t>
            </w:r>
          </w:p>
        </w:tc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4A3F4E"/>
                <w:sz w:val="18"/>
              </w:rPr>
              <w:t>#DD3089</w:t>
            </w:r>
          </w:p>
        </w:tc>
        <w:tc>
          <w:tcPr>
            <w:tcW w:type="dxa" w:w="3685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Buttons, Akzente, Highlights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Dunkelviolett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4A3F4E"/>
                <w:sz w:val="18"/>
              </w:rPr>
              <w:t>#3A2E3D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Dunkle Hintergründe, Haupttext</w:t>
            </w:r>
          </w:p>
        </w:tc>
      </w:tr>
      <w:tr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Weiß</w:t>
            </w:r>
          </w:p>
        </w:tc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4A3F4E"/>
                <w:sz w:val="18"/>
              </w:rPr>
              <w:t>#FFFFFF</w:t>
            </w:r>
          </w:p>
        </w:tc>
        <w:tc>
          <w:tcPr>
            <w:tcW w:type="dxa" w:w="3685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Haupt-Hintergrund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Gold warm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4A3F4E"/>
                <w:sz w:val="18"/>
              </w:rPr>
              <w:t>#CFAC5E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Dekoration, Bordüren</w:t>
            </w:r>
          </w:p>
        </w:tc>
      </w:tr>
      <w:tr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Gold hell</w:t>
            </w:r>
          </w:p>
        </w:tc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4A3F4E"/>
                <w:sz w:val="18"/>
              </w:rPr>
              <w:t>#F7DE7A</w:t>
            </w:r>
          </w:p>
        </w:tc>
        <w:tc>
          <w:tcPr>
            <w:tcW w:type="dxa" w:w="3685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Leuchtende Akzente in Headlines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Sand (Hintergrund)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4A3F4E"/>
                <w:sz w:val="18"/>
              </w:rPr>
              <w:t>#F9F5EE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Helle Abschnittsflächen</w:t>
            </w:r>
          </w:p>
        </w:tc>
      </w:tr>
      <w:tr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Body Text</w:t>
            </w:r>
          </w:p>
        </w:tc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4A3F4E"/>
                <w:sz w:val="18"/>
              </w:rPr>
              <w:t>#4A3F4E</w:t>
            </w:r>
          </w:p>
        </w:tc>
        <w:tc>
          <w:tcPr>
            <w:tcW w:type="dxa" w:w="3685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Fließtext</w:t>
            </w:r>
          </w:p>
        </w:tc>
      </w:tr>
      <w:tr>
        <w:tc>
          <w:tcPr>
            <w:tcW w:type="dxa" w:w="3025"/>
            <w:shd w:val="clear" w:color="auto" w:fill="EEEEEE"/>
          </w:tcPr>
          <w:p>
            <w:pPr>
              <w:spacing w:before="20" w:after="20"/>
            </w:pPr>
          </w:p>
        </w:tc>
        <w:tc>
          <w:tcPr>
            <w:tcW w:type="dxa" w:w="3025"/>
            <w:shd w:val="clear" w:color="auto" w:fill="EEEEEE"/>
          </w:tcPr>
          <w:p>
            <w:pPr>
              <w:spacing w:before="20" w:after="20"/>
            </w:pPr>
          </w:p>
        </w:tc>
        <w:tc>
          <w:tcPr>
            <w:tcW w:type="dxa" w:w="3025"/>
            <w:shd w:val="clear" w:color="auto" w:fill="EEEEEE"/>
          </w:tcPr>
          <w:p>
            <w:pPr>
              <w:spacing w:before="20" w:after="20"/>
            </w:pPr>
          </w:p>
        </w:tc>
      </w:tr>
      <w:tr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Überschriften-Schrift</w:t>
            </w:r>
          </w:p>
        </w:tc>
        <w:tc>
          <w:tcPr>
            <w:tcW w:type="dxa" w:w="1984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Cormorant Garamond</w:t>
            </w:r>
          </w:p>
        </w:tc>
        <w:tc>
          <w:tcPr>
            <w:tcW w:type="dxa" w:w="3685"/>
            <w:shd w:val="clear" w:color="auto" w:fill="F9F5EE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Kostenlos: fonts.google.com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Text-Schrift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Inter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color w:val="4A3F4E"/>
                <w:sz w:val="18"/>
              </w:rPr>
              <w:t>Kostenlos: fonts.google.com</w:t>
            </w:r>
          </w:p>
        </w:tc>
      </w:tr>
    </w:tbl>
    <w:p>
      <w:pPr>
        <w:spacing w:after="120"/>
      </w:pPr>
    </w:p>
    <w:p>
      <w:pPr>
        <w:spacing w:before="120" w:after="200"/>
        <w:ind w:left="227"/>
        <w:pBdr>
          <w:left w:val="single" w:sz="12" w:space="4" w:color="DD3089"/>
        </w:pBdr>
      </w:pPr>
      <w:r>
        <w:rPr>
          <w:rFonts w:ascii="Inter" w:hAnsi="Inter"/>
          <w:i/>
          <w:color w:val="4A3F4E"/>
          <w:sz w:val="19"/>
        </w:rPr>
        <w:t>Design-Gefühl: Elegant. Feminin. Warm. Professionell. Nicht esoterisch. Viel Luft. Gold als Seele.</w:t>
      </w:r>
    </w:p>
    <w:p>
      <w:pPr>
        <w:spacing w:before="480"/>
        <w:pBdr>
          <w:bottom w:val="single" w:sz="4" w:space="1" w:color="CFAC5E"/>
        </w:pBdr>
      </w:pPr>
    </w:p>
    <w:p>
      <w:r>
        <w:rPr>
          <w:rFonts w:ascii="Inter" w:hAnsi="Inter"/>
          <w:color w:val="7E6B84"/>
          <w:sz w:val="16"/>
        </w:rPr>
        <w:t xml:space="preserve">Susanne Wachter  ·  </w:t>
      </w:r>
      <w:r>
        <w:rPr>
          <w:rFonts w:ascii="Inter" w:hAnsi="Inter"/>
          <w:color w:val="DD3089"/>
          <w:sz w:val="16"/>
        </w:rPr>
        <w:t>susanne-wachter.at</w:t>
      </w:r>
      <w:r>
        <w:rPr>
          <w:rFonts w:ascii="Inter" w:hAnsi="Inter"/>
          <w:color w:val="7E6B84"/>
          <w:sz w:val="16"/>
        </w:rPr>
        <w:t xml:space="preserve">  ·  Design-Richtlinien 2026</w:t>
      </w:r>
    </w:p>
    <w:sectPr w:rsidR="00FC693F" w:rsidRPr="0006063C" w:rsidSect="00034616">
      <w:pgSz w:w="11909" w:h="16834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4A3F4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