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3D5" w:rsidRDefault="00C243D5" w:rsidP="00C243D5">
      <w:pPr>
        <w:pStyle w:val="Heading1"/>
      </w:pPr>
      <w:r>
        <w:t>Retroreflectivity</w:t>
      </w:r>
      <w:r>
        <w:t xml:space="preserve"> Project Status</w:t>
      </w:r>
    </w:p>
    <w:p w:rsidR="00C243D5" w:rsidRDefault="00C243D5" w:rsidP="00C243D5">
      <w:pPr>
        <w:pStyle w:val="Heading2"/>
      </w:pPr>
      <w:r>
        <w:t>Introduction</w:t>
      </w:r>
    </w:p>
    <w:p w:rsidR="00C243D5" w:rsidRDefault="00C243D5" w:rsidP="00C243D5">
      <w:r>
        <w:t xml:space="preserve">Retroreflectivity is an </w:t>
      </w:r>
      <w:r>
        <w:t>optical phenomenon</w:t>
      </w:r>
      <w:r>
        <w:t xml:space="preserve"> where a surface returns directed light back at </w:t>
      </w:r>
      <w:r>
        <w:t>its</w:t>
      </w:r>
      <w:r>
        <w:t xml:space="preserve"> source. Without retroreflectivity, traffic signs would not be visible at night when headlights hit the sign's surface. The MUTCD outlines that the retroreflectivity of signs shall be replaced if it fails retroreflectivity tests.</w:t>
      </w:r>
    </w:p>
    <w:p w:rsidR="00BC7F97" w:rsidRDefault="00C243D5" w:rsidP="00C243D5">
      <w:r>
        <w:t xml:space="preserve">To record the retroreflectivity of traffic signs, a </w:t>
      </w:r>
      <w:r>
        <w:t>device</w:t>
      </w:r>
      <w:r>
        <w:t xml:space="preserve"> called a retroreflectometer was used. It is a device that measures the light reflecting properties of signs accurately and reliably.</w:t>
      </w:r>
      <w:r>
        <w:t xml:space="preserve"> </w:t>
      </w:r>
      <w:r>
        <w:t xml:space="preserve">The purpose of the </w:t>
      </w:r>
      <w:r>
        <w:t>r</w:t>
      </w:r>
      <w:r>
        <w:t>etroreflectivity Project status is to assess the retroreflectivity of traffic signs to determine whether these sample traffic signs should be replaced. Furthermore, this will also serve as a benchmark for determining sign condition as well.</w:t>
      </w:r>
    </w:p>
    <w:p w:rsidR="00C243D5" w:rsidRDefault="00C243D5" w:rsidP="00C243D5">
      <w:pPr>
        <w:pStyle w:val="Heading2"/>
      </w:pPr>
      <w:r>
        <w:t>Standard</w:t>
      </w:r>
    </w:p>
    <w:p w:rsidR="00C243D5" w:rsidRDefault="00C243D5" w:rsidP="00C243D5">
      <w:r>
        <w:t xml:space="preserve">"Public agencies or officials having jurisdiction shall use an assessment or management method that is designed to maintain sign retroreflectivity at or above the minimum levels in </w:t>
      </w:r>
      <w:hyperlink r:id="rId4" w:anchor="table2A03" w:history="1">
        <w:r w:rsidRPr="00C243D5">
          <w:rPr>
            <w:rStyle w:val="Hyperlink"/>
          </w:rPr>
          <w:t>Table2A</w:t>
        </w:r>
        <w:r w:rsidRPr="00C243D5">
          <w:rPr>
            <w:rStyle w:val="Hyperlink"/>
          </w:rPr>
          <w:t>-3</w:t>
        </w:r>
      </w:hyperlink>
      <w:r>
        <w:t>.</w:t>
      </w:r>
    </w:p>
    <w:p w:rsidR="00C243D5" w:rsidRDefault="00C243D5" w:rsidP="00C243D5">
      <w:pPr>
        <w:pStyle w:val="Heading2"/>
      </w:pPr>
      <w:r>
        <w:t xml:space="preserve">Data </w:t>
      </w:r>
    </w:p>
    <w:tbl>
      <w:tblPr>
        <w:tblStyle w:val="TableGrid"/>
        <w:tblW w:w="0" w:type="auto"/>
        <w:tblInd w:w="2027" w:type="dxa"/>
        <w:tblLook w:val="04A0" w:firstRow="1" w:lastRow="0" w:firstColumn="1" w:lastColumn="0" w:noHBand="0" w:noVBand="1"/>
      </w:tblPr>
      <w:tblGrid>
        <w:gridCol w:w="2640"/>
        <w:gridCol w:w="1100"/>
        <w:gridCol w:w="1551"/>
      </w:tblGrid>
      <w:tr w:rsidR="00C243D5" w:rsidRPr="00C243D5" w:rsidTr="00C243D5">
        <w:trPr>
          <w:trHeight w:val="300"/>
        </w:trPr>
        <w:tc>
          <w:tcPr>
            <w:tcW w:w="2640" w:type="dxa"/>
            <w:noWrap/>
            <w:hideMark/>
          </w:tcPr>
          <w:p w:rsidR="00C243D5" w:rsidRPr="00C243D5" w:rsidRDefault="00C243D5">
            <w:r w:rsidRPr="00C243D5">
              <w:t>MUTCD</w:t>
            </w:r>
          </w:p>
        </w:tc>
        <w:tc>
          <w:tcPr>
            <w:tcW w:w="1100" w:type="dxa"/>
            <w:noWrap/>
            <w:hideMark/>
          </w:tcPr>
          <w:p w:rsidR="00C243D5" w:rsidRPr="00C243D5" w:rsidRDefault="00C243D5">
            <w:r w:rsidRPr="00C243D5">
              <w:t>Sign Totals</w:t>
            </w:r>
          </w:p>
        </w:tc>
        <w:tc>
          <w:tcPr>
            <w:tcW w:w="1551" w:type="dxa"/>
          </w:tcPr>
          <w:p w:rsidR="00C243D5" w:rsidRPr="00C243D5" w:rsidRDefault="00C243D5">
            <w:r>
              <w:t>Retroreflective Condition</w:t>
            </w:r>
          </w:p>
        </w:tc>
      </w:tr>
      <w:tr w:rsidR="00C243D5" w:rsidRPr="00C243D5" w:rsidTr="00C243D5">
        <w:trPr>
          <w:trHeight w:val="300"/>
        </w:trPr>
        <w:tc>
          <w:tcPr>
            <w:tcW w:w="2640" w:type="dxa"/>
            <w:noWrap/>
            <w:hideMark/>
          </w:tcPr>
          <w:p w:rsidR="00C243D5" w:rsidRPr="00C243D5" w:rsidRDefault="00C243D5">
            <w:r w:rsidRPr="00C243D5">
              <w:t>Stop Sign</w:t>
            </w:r>
          </w:p>
        </w:tc>
        <w:tc>
          <w:tcPr>
            <w:tcW w:w="1100" w:type="dxa"/>
            <w:noWrap/>
            <w:hideMark/>
          </w:tcPr>
          <w:p w:rsidR="00C243D5" w:rsidRPr="00C243D5" w:rsidRDefault="00C243D5" w:rsidP="00C243D5">
            <w:r w:rsidRPr="00C243D5">
              <w:t>13</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No Truck</w:t>
            </w:r>
          </w:p>
        </w:tc>
        <w:tc>
          <w:tcPr>
            <w:tcW w:w="1100" w:type="dxa"/>
            <w:noWrap/>
            <w:hideMark/>
          </w:tcPr>
          <w:p w:rsidR="00C243D5" w:rsidRPr="00C243D5" w:rsidRDefault="00C243D5" w:rsidP="00C243D5">
            <w:r w:rsidRPr="00C243D5">
              <w:t>4</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School Pedestrian Crossing</w:t>
            </w:r>
          </w:p>
        </w:tc>
        <w:tc>
          <w:tcPr>
            <w:tcW w:w="1100" w:type="dxa"/>
            <w:noWrap/>
            <w:hideMark/>
          </w:tcPr>
          <w:p w:rsidR="00C243D5" w:rsidRPr="00C243D5" w:rsidRDefault="00C243D5" w:rsidP="00C243D5">
            <w:r w:rsidRPr="00C243D5">
              <w:t>3</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Speed Limit</w:t>
            </w:r>
          </w:p>
        </w:tc>
        <w:tc>
          <w:tcPr>
            <w:tcW w:w="1100" w:type="dxa"/>
            <w:noWrap/>
            <w:hideMark/>
          </w:tcPr>
          <w:p w:rsidR="00C243D5" w:rsidRPr="00C243D5" w:rsidRDefault="00C243D5" w:rsidP="00C243D5">
            <w:r w:rsidRPr="00C243D5">
              <w:t>2</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End School Zone</w:t>
            </w:r>
          </w:p>
        </w:tc>
        <w:tc>
          <w:tcPr>
            <w:tcW w:w="1100" w:type="dxa"/>
            <w:noWrap/>
            <w:hideMark/>
          </w:tcPr>
          <w:p w:rsidR="00C243D5" w:rsidRPr="00C243D5" w:rsidRDefault="00C243D5" w:rsidP="00C243D5">
            <w:r w:rsidRPr="00C243D5">
              <w:t>1</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Handicap Sign</w:t>
            </w:r>
          </w:p>
        </w:tc>
        <w:tc>
          <w:tcPr>
            <w:tcW w:w="1100" w:type="dxa"/>
            <w:noWrap/>
            <w:hideMark/>
          </w:tcPr>
          <w:p w:rsidR="00C243D5" w:rsidRPr="00C243D5" w:rsidRDefault="00C243D5" w:rsidP="00C243D5">
            <w:r w:rsidRPr="00C243D5">
              <w:t>1</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No Outlet</w:t>
            </w:r>
          </w:p>
        </w:tc>
        <w:tc>
          <w:tcPr>
            <w:tcW w:w="1100" w:type="dxa"/>
            <w:noWrap/>
            <w:hideMark/>
          </w:tcPr>
          <w:p w:rsidR="00C243D5" w:rsidRPr="00C243D5" w:rsidRDefault="00C243D5" w:rsidP="00C243D5">
            <w:r w:rsidRPr="00C243D5">
              <w:t>1</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Stop Ahead</w:t>
            </w:r>
          </w:p>
        </w:tc>
        <w:tc>
          <w:tcPr>
            <w:tcW w:w="1100" w:type="dxa"/>
            <w:noWrap/>
            <w:hideMark/>
          </w:tcPr>
          <w:p w:rsidR="00C243D5" w:rsidRPr="00C243D5" w:rsidRDefault="00C243D5" w:rsidP="00C243D5">
            <w:r w:rsidRPr="00C243D5">
              <w:t>1</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Street Name Sign</w:t>
            </w:r>
          </w:p>
        </w:tc>
        <w:tc>
          <w:tcPr>
            <w:tcW w:w="1100" w:type="dxa"/>
            <w:noWrap/>
            <w:hideMark/>
          </w:tcPr>
          <w:p w:rsidR="00C243D5" w:rsidRPr="00C243D5" w:rsidRDefault="00C243D5" w:rsidP="00C243D5">
            <w:r w:rsidRPr="00C243D5">
              <w:t>1</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W1-3</w:t>
            </w:r>
          </w:p>
        </w:tc>
        <w:tc>
          <w:tcPr>
            <w:tcW w:w="1100" w:type="dxa"/>
            <w:noWrap/>
            <w:hideMark/>
          </w:tcPr>
          <w:p w:rsidR="00C243D5" w:rsidRPr="00C243D5" w:rsidRDefault="00C243D5" w:rsidP="00C243D5">
            <w:r w:rsidRPr="00C243D5">
              <w:t>1</w:t>
            </w:r>
          </w:p>
        </w:tc>
        <w:tc>
          <w:tcPr>
            <w:tcW w:w="1551" w:type="dxa"/>
          </w:tcPr>
          <w:p w:rsidR="00C243D5" w:rsidRPr="00C243D5" w:rsidRDefault="00C243D5" w:rsidP="00C243D5">
            <w:r>
              <w:t>100%</w:t>
            </w:r>
          </w:p>
        </w:tc>
      </w:tr>
      <w:tr w:rsidR="00C243D5" w:rsidRPr="00C243D5" w:rsidTr="00C243D5">
        <w:trPr>
          <w:trHeight w:val="300"/>
        </w:trPr>
        <w:tc>
          <w:tcPr>
            <w:tcW w:w="2640" w:type="dxa"/>
            <w:noWrap/>
            <w:hideMark/>
          </w:tcPr>
          <w:p w:rsidR="00C243D5" w:rsidRPr="00C243D5" w:rsidRDefault="00C243D5">
            <w:r w:rsidRPr="00C243D5">
              <w:t>Yield</w:t>
            </w:r>
          </w:p>
        </w:tc>
        <w:tc>
          <w:tcPr>
            <w:tcW w:w="1100" w:type="dxa"/>
            <w:noWrap/>
            <w:hideMark/>
          </w:tcPr>
          <w:p w:rsidR="00C243D5" w:rsidRPr="00C243D5" w:rsidRDefault="00C243D5" w:rsidP="00C243D5">
            <w:r w:rsidRPr="00C243D5">
              <w:t>1</w:t>
            </w:r>
          </w:p>
        </w:tc>
        <w:tc>
          <w:tcPr>
            <w:tcW w:w="1551" w:type="dxa"/>
          </w:tcPr>
          <w:p w:rsidR="00C243D5" w:rsidRPr="00C243D5" w:rsidRDefault="00C243D5" w:rsidP="00C243D5">
            <w:r>
              <w:t>100%</w:t>
            </w:r>
          </w:p>
        </w:tc>
      </w:tr>
    </w:tbl>
    <w:p w:rsidR="00C243D5" w:rsidRPr="00C243D5" w:rsidRDefault="00C243D5" w:rsidP="00C243D5"/>
    <w:p w:rsidR="00C243D5" w:rsidRDefault="00C243D5" w:rsidP="00C243D5">
      <w:pPr>
        <w:pStyle w:val="Heading2"/>
      </w:pPr>
      <w:r>
        <w:t>Conclusions</w:t>
      </w:r>
    </w:p>
    <w:p w:rsidR="00C243D5" w:rsidRDefault="00C243D5" w:rsidP="00C243D5">
      <w:r>
        <w:t xml:space="preserve">All 29 signs collected in the field </w:t>
      </w:r>
      <w:r>
        <w:t xml:space="preserve">passed </w:t>
      </w:r>
      <w:r>
        <w:t>retroreflectivity standards according to the MUTCD. The project is 29% completed. Measuring retroreflectivity of 1 sign takes about 5-10 minutes not including travel time, so it should be possible to collect all 100 signs within next week.</w:t>
      </w:r>
    </w:p>
    <w:p w:rsidR="00C243D5" w:rsidRDefault="00C243D5" w:rsidP="00C243D5">
      <w:r>
        <w:t xml:space="preserve">There are some signs that are suspected to be in poor condition, even though the sign </w:t>
      </w:r>
      <w:r>
        <w:t>fulfills</w:t>
      </w:r>
      <w:r>
        <w:t xml:space="preserve"> retroreflective MUTCD standards. After project completion, we can create a new sign condition standard.</w:t>
      </w:r>
      <w:bookmarkStart w:id="0" w:name="_GoBack"/>
      <w:bookmarkEnd w:id="0"/>
    </w:p>
    <w:sectPr w:rsidR="00C2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D5"/>
    <w:rsid w:val="00BC7F97"/>
    <w:rsid w:val="00C2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D92D"/>
  <w15:chartTrackingRefBased/>
  <w15:docId w15:val="{D3A9D7B0-FB3A-4864-9429-16A0F472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4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43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43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243D5"/>
    <w:rPr>
      <w:color w:val="0563C1" w:themeColor="hyperlink"/>
      <w:u w:val="single"/>
    </w:rPr>
  </w:style>
  <w:style w:type="character" w:styleId="UnresolvedMention">
    <w:name w:val="Unresolved Mention"/>
    <w:basedOn w:val="DefaultParagraphFont"/>
    <w:uiPriority w:val="99"/>
    <w:semiHidden/>
    <w:unhideWhenUsed/>
    <w:rsid w:val="00C243D5"/>
    <w:rPr>
      <w:color w:val="605E5C"/>
      <w:shd w:val="clear" w:color="auto" w:fill="E1DFDD"/>
    </w:rPr>
  </w:style>
  <w:style w:type="table" w:styleId="TableGrid">
    <w:name w:val="Table Grid"/>
    <w:basedOn w:val="TableNormal"/>
    <w:uiPriority w:val="39"/>
    <w:rsid w:val="00C2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4659">
      <w:bodyDiv w:val="1"/>
      <w:marLeft w:val="0"/>
      <w:marRight w:val="0"/>
      <w:marTop w:val="0"/>
      <w:marBottom w:val="0"/>
      <w:divBdr>
        <w:top w:val="none" w:sz="0" w:space="0" w:color="auto"/>
        <w:left w:val="none" w:sz="0" w:space="0" w:color="auto"/>
        <w:bottom w:val="none" w:sz="0" w:space="0" w:color="auto"/>
        <w:right w:val="none" w:sz="0" w:space="0" w:color="auto"/>
      </w:divBdr>
    </w:div>
    <w:div w:id="358966933">
      <w:bodyDiv w:val="1"/>
      <w:marLeft w:val="0"/>
      <w:marRight w:val="0"/>
      <w:marTop w:val="0"/>
      <w:marBottom w:val="0"/>
      <w:divBdr>
        <w:top w:val="none" w:sz="0" w:space="0" w:color="auto"/>
        <w:left w:val="none" w:sz="0" w:space="0" w:color="auto"/>
        <w:bottom w:val="none" w:sz="0" w:space="0" w:color="auto"/>
        <w:right w:val="none" w:sz="0" w:space="0" w:color="auto"/>
      </w:divBdr>
    </w:div>
    <w:div w:id="5738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utcd.fhwa.dot.gov/htm/2009/part2/part2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 Susanne</dc:creator>
  <cp:keywords/>
  <dc:description/>
  <cp:lastModifiedBy>Gov, Susanne</cp:lastModifiedBy>
  <cp:revision>1</cp:revision>
  <dcterms:created xsi:type="dcterms:W3CDTF">2019-09-23T23:25:00Z</dcterms:created>
  <dcterms:modified xsi:type="dcterms:W3CDTF">2019-09-23T23:35:00Z</dcterms:modified>
</cp:coreProperties>
</file>