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Relationship Id="R81a5d44d9f084337"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150"/>
      </w:pPr>
    </w:p>
    <w:p>
      <w:pPr>
        <w:pStyle w:val="Normal"/>
        <w:spacing w:after="200"/>
        <w:jc w:val="center"/>
      </w:pPr>
      <w:r>
        <w:rPr>
          <w:rFonts w:ascii="Calibri" w:hAnsi="Calibri" w:eastAsia="Microsoft YaHei" w:cs="Calibri"/>
          <w:b/>
          <w:color w:val="455A64"/>
          <w:sz w:val="120"/>
          <w:szCs w:val="120"/>
          <w:spacing w:val="60"/>
        </w:rPr>
        <w:t>IMESI Charter &amp; Foundational Principles</w:t>
      </w:r>
    </w:p>
    <w:p>
      <w:pPr>
        <w:pStyle w:val="Normal"/>
        <w:spacing w:after="700"/>
        <w:jc w:val="center"/>
      </w:pPr>
      <w:r>
        <w:rPr>
          <w:rFonts w:ascii="Calibri" w:hAnsi="Calibri" w:eastAsia="Microsoft YaHei" w:cs="Calibri"/>
          <w:color w:val="263238"/>
          <w:sz w:val="30"/>
          <w:szCs w:val="30"/>
          <w:spacing w:val="20"/>
        </w:rPr>
        <w:t>International Mutual Economic Security Instrument</w:t>
      </w:r>
    </w:p>
    <w:p>
      <w:pPr>
        <w:pStyle w:val="Normal"/>
        <w:spacing w:after="200"/>
        <w:jc w:val="center"/>
      </w:pPr>
      <w:r>
        <w:rPr>
          <w:rFonts w:ascii="Calibri" w:hAnsi="Calibri" w:eastAsia="Microsoft YaHei" w:cs="Calibri"/>
          <w:color w:val="546E7A"/>
          <w:sz w:val="24"/>
          <w:szCs w:val="24"/>
        </w:rPr>
        <w:t xml:space="preserve">Political Layer  |  Ministers, Diplomats, Heads of State</w:t>
      </w:r>
    </w:p>
    <w:p>
      <w:pPr>
        <w:pStyle w:val="Normal"/>
        <w:spacing w:after="80"/>
        <w:jc w:val="center"/>
      </w:pPr>
      <w:r>
        <w:rPr>
          <w:rFonts w:ascii="Calibri" w:hAnsi="Calibri" w:eastAsia="Microsoft YaHei" w:cs="Calibri"/>
          <w:color w:val="546E7A"/>
          <w:sz w:val="22"/>
          <w:szCs w:val="22"/>
        </w:rPr>
        <w:t>With 135 WTO-Aligned Amendments, 62 v12.1 Hardening Provisions, 32 v13.0 Hybrid Architecture and Hardening Provisions, 10 v14.0 Private-Sector Incentive Provisions, 94 v15.0 Red Team, Defector, Integrity, Military, Anti-Fragility, WTO-Defence, and Gap-Closing Provisions, the Nofade Protocol,</w:t>
      </w:r>
    </w:p>
    <w:p>
      <w:pPr>
        <w:pStyle w:val="Normal"/>
        <w:spacing w:after="1200"/>
        <w:jc w:val="center"/>
      </w:pPr>
      <w:r>
        <w:rPr>
          <w:rFonts w:ascii="Calibri" w:hAnsi="Calibri" w:eastAsia="Microsoft YaHei" w:cs="Calibri"/>
          <w:color w:val="546E7A"/>
          <w:sz w:val="22"/>
          <w:szCs w:val="22"/>
        </w:rPr>
        <w:t>and Full Immutable Present-Tense Matrix Redraft</w:t>
      </w:r>
    </w:p>
    <w:p>
      <w:pPr>
        <w:pStyle w:val="Normal"/>
        <w:pBdr>
          <w:bottom w:val="single" w:color="B8860B" w:sz="12" w:space="1"/>
        </w:pBdr>
        <w:spacing w:after="500"/>
        <w:ind w:left="2400" w:right="2400"/>
      </w:pPr>
    </w:p>
    <w:p>
      <w:pPr>
        <w:pStyle w:val="Normal"/>
        <w:spacing w:after="240"/>
        <w:jc w:val="center"/>
      </w:pPr>
      <w:r>
        <w:rPr>
          <w:rFonts w:ascii="Calibri" w:hAnsi="Calibri" w:eastAsia="Microsoft YaHei" w:cs="Calibri"/>
          <w:b/>
          <w:color w:val="B8860B"/>
          <w:sz w:val="44"/>
          <w:szCs w:val="44"/>
          <w:spacing w:val="40"/>
        </w:rPr>
        <w:t>Version 15.0 (Hardened)</w:t>
      </w:r>
    </w:p>
    <w:p>
      <w:pPr>
        <w:pStyle w:val="Normal"/>
        <w:spacing w:after="300"/>
        <w:jc w:val="center"/>
      </w:pPr>
      <w:r>
        <w:rPr>
          <w:rFonts w:ascii="Calibri" w:hAnsi="Calibri" w:eastAsia="Microsoft YaHei" w:cs="Calibri"/>
          <w:color w:val="263238"/>
          <w:sz w:val="26"/>
          <w:szCs w:val="26"/>
        </w:rPr>
        <w:t>August 2026</w:t>
      </w:r>
    </w:p>
    <w:p>
      <w:pPr>
        <w:pStyle w:val="Normal"/>
        <w:spacing w:after="0"/>
        <w:jc w:val="center"/>
        <w:sectPr>
          <w:headerReference w:type="default" r:id="rId1"/>
          <w:footerReference w:type="default" r:id="rId2"/>
          <w:headerReference w:type="first" r:id="rId3"/>
          <w:footerReference w:type="first" r:id="rId4"/>
          <w:headerReference w:type="even" r:id="rId5"/>
          <w:footerReference w:type="even" r:id="rId6"/>
          <w:type w:val="nextPage"/>
          <w:pgSz w:w="11906" w:h="16838"/>
          <w:pgMar w:top="1440" w:right="1440" w:bottom="1440" w:left="1440" w:header="720" w:footer="720"/>
          <w:pgBorders>
            <w:top w:val="single" w:color="B8860B" w:sz="18" w:space="24"/>
            <w:left w:val="single" w:color="B8860B" w:sz="18" w:space="24"/>
            <w:bottom w:val="single" w:color="B8860B" w:sz="18" w:space="24"/>
            <w:right w:val="single" w:color="B8860B" w:sz="18" w:space="24"/>
          </w:pgBorders>
          <w:titlePg/>
        </w:sectPr>
      </w:pPr>
      <w:r>
        <w:rPr>
          <w:rFonts w:ascii="Calibri" w:hAnsi="Calibri" w:eastAsia="Microsoft YaHei" w:cs="Calibri"/>
          <w:color w:val="78909C"/>
          <w:sz w:val="20"/>
          <w:szCs w:val="20"/>
          <w:spacing w:val="30"/>
        </w:rPr>
        <w:t xml:space="preserve">REFERENCE ARCHITECTURE  |  FOR OPEN CIRCULATION</w:t>
      </w:r>
    </w:p>
    <w:p>
      <w:pPr>
        <w:pStyle w:val="Normal"/>
        <w:keepNext/>
        <w:spacing w:after="360"/>
      </w:pPr>
      <w:r>
        <w:rPr>
          <w:rFonts w:ascii="Calibri" w:eastAsia="Calibri" w:hAnsi="Calibri" w:cs="Calibri"/>
          <w:b/>
          <w:color w:val="37474F"/>
          <w:sz w:val="32"/>
          <w:szCs w:val="32"/>
          <w:caps/>
        </w:rPr>
        <w:t>Table of Contents</w:t>
      </w:r>
    </w:p>
    <w:p>
      <w:pPr>
        <w:pStyle w:val="TOC1"/>
      </w:pPr>
      <w:r>
        <w:fldChar w:fldCharType="begin"/>
      </w:r>
      <w:r>
        <w:instrText xml:space="preserve"> TOC \o "1-2" \h \z \u </w:instrText>
      </w:r>
      <w:r>
        <w:fldChar w:fldCharType="separate"/>
      </w:r>
      <w:r>
        <w:t xml:space="preserve">EXECUTIVE SUMMARY FOR HEADS OF STATE</w:t>
        <w:tab/>
        <w:t>14</w:t>
      </w:r>
    </w:p>
    <w:p>
      <w:pPr>
        <w:pStyle w:val="TOC1"/>
      </w:pPr>
      <w:r>
        <w:rPr>
          <w:rFonts w:ascii="Calibri" w:hAnsi="Calibri" w:eastAsia="Calibri" w:cs="Calibri"/>
          <w:b/>
          <w:color w:val="37474F"/>
          <w:sz w:val="21"/>
          <w:szCs w:val="21"/>
        </w:rPr>
        <w:t>FINANCIAL SNAPSHOT FOR MINISTERS</w:t>
      </w:r>
      <w:r>
        <w:rPr>
          <w:rFonts w:ascii="Calibri" w:hAnsi="Calibri"/>
          <w:b/>
          <w:color w:val="37474F"/>
          <w:sz w:val="21"/>
        </w:rPr>
        <w:tab/>
      </w:r>
      <w:r>
        <w:rPr>
          <w:rFonts w:ascii="Calibri" w:hAnsi="Calibri" w:eastAsia="Calibri" w:cs="Calibri"/>
          <w:b/>
          <w:color w:val="37474F"/>
          <w:sz w:val="21"/>
          <w:szCs w:val="21"/>
        </w:rPr>
        <w:t>15</w:t>
      </w:r>
    </w:p>
    <w:p>
      <w:pPr>
        <w:pStyle w:val="TOC1"/>
      </w:pPr>
      <w:r>
        <w:rPr>
          <w:rFonts w:ascii="Calibri" w:hAnsi="Calibri" w:eastAsia="Calibri" w:cs="Calibri"/>
          <w:b/>
          <w:color w:val="37474F"/>
          <w:sz w:val="21"/>
          <w:szCs w:val="21"/>
        </w:rPr>
        <w:t>HOW THE CLOCK WORKS</w:t>
      </w:r>
      <w:r>
        <w:rPr>
          <w:rFonts w:ascii="Calibri" w:hAnsi="Calibri"/>
          <w:b/>
          <w:color w:val="37474F"/>
          <w:sz w:val="21"/>
        </w:rPr>
        <w:tab/>
      </w:r>
      <w:r>
        <w:rPr>
          <w:rFonts w:ascii="Calibri" w:hAnsi="Calibri" w:eastAsia="Calibri" w:cs="Calibri"/>
          <w:b/>
          <w:color w:val="37474F"/>
          <w:sz w:val="21"/>
          <w:szCs w:val="21"/>
        </w:rPr>
        <w:t>16</w:t>
      </w:r>
    </w:p>
    <w:p>
      <w:pPr>
        <w:pStyle w:val="TOC1"/>
      </w:pPr>
      <w:r>
        <w:rPr>
          <w:rFonts w:ascii="Calibri" w:hAnsi="Calibri" w:eastAsia="Calibri" w:cs="Calibri"/>
          <w:b/>
          <w:color w:val="37474F"/>
          <w:sz w:val="21"/>
          <w:szCs w:val="21"/>
        </w:rPr>
        <w:t>TIMEFRAMES AND THRESHOLD BANDS</w:t>
      </w:r>
      <w:r>
        <w:rPr>
          <w:rFonts w:ascii="Calibri" w:hAnsi="Calibri"/>
          <w:b/>
          <w:color w:val="37474F"/>
          <w:sz w:val="21"/>
        </w:rPr>
        <w:tab/>
      </w:r>
      <w:r>
        <w:rPr>
          <w:rFonts w:ascii="Calibri" w:hAnsi="Calibri" w:eastAsia="Calibri" w:cs="Calibri"/>
          <w:b/>
          <w:color w:val="37474F"/>
          <w:sz w:val="21"/>
          <w:szCs w:val="21"/>
        </w:rPr>
        <w:t>17</w:t>
      </w:r>
    </w:p>
    <w:p>
      <w:pPr>
        <w:pStyle w:val="TOC1"/>
      </w:pPr>
      <w:r>
        <w:rPr>
          <w:rFonts w:ascii="Calibri" w:hAnsi="Calibri" w:eastAsia="Calibri" w:cs="Calibri"/>
          <w:b/>
          <w:color w:val="37474F"/>
          <w:sz w:val="21"/>
          <w:szCs w:val="21"/>
        </w:rPr>
        <w:t>HOW IMESI WORKS IN PRACTICE</w:t>
      </w:r>
      <w:r>
        <w:rPr>
          <w:rFonts w:ascii="Calibri" w:hAnsi="Calibri"/>
          <w:b/>
          <w:color w:val="37474F"/>
          <w:sz w:val="21"/>
        </w:rPr>
        <w:tab/>
      </w:r>
      <w:r>
        <w:rPr>
          <w:rFonts w:ascii="Calibri" w:hAnsi="Calibri" w:eastAsia="Calibri" w:cs="Calibri"/>
          <w:b/>
          <w:color w:val="37474F"/>
          <w:sz w:val="21"/>
          <w:szCs w:val="21"/>
        </w:rPr>
        <w:t>18</w:t>
      </w:r>
    </w:p>
    <w:p>
      <w:pPr>
        <w:pStyle w:val="TOC1"/>
      </w:pPr>
      <w:r>
        <w:rPr>
          <w:rFonts w:ascii="Calibri" w:hAnsi="Calibri" w:eastAsia="Calibri" w:cs="Calibri"/>
          <w:b/>
          <w:color w:val="37474F"/>
          <w:sz w:val="21"/>
          <w:szCs w:val="21"/>
        </w:rPr>
        <w:t>PATTERNS IMESI IS BUILT FOR</w:t>
      </w:r>
      <w:r>
        <w:rPr>
          <w:rFonts w:ascii="Calibri" w:hAnsi="Calibri"/>
          <w:b/>
          <w:color w:val="37474F"/>
          <w:sz w:val="21"/>
        </w:rPr>
        <w:tab/>
      </w:r>
      <w:r>
        <w:rPr>
          <w:rFonts w:ascii="Calibri" w:hAnsi="Calibri" w:eastAsia="Calibri" w:cs="Calibri"/>
          <w:b/>
          <w:color w:val="37474F"/>
          <w:sz w:val="21"/>
          <w:szCs w:val="21"/>
        </w:rPr>
        <w:t>20</w:t>
      </w:r>
    </w:p>
    <w:p>
      <w:pPr>
        <w:pStyle w:val="TOC1"/>
      </w:pPr>
      <w:r>
        <w:rPr>
          <w:rFonts w:ascii="Calibri" w:hAnsi="Calibri" w:eastAsia="Calibri" w:cs="Calibri"/>
          <w:b/>
          <w:color w:val="37474F"/>
          <w:sz w:val="21"/>
          <w:szCs w:val="21"/>
        </w:rPr>
        <w:t>GOVERNANCE SAFEGUARDS AT A GLANCE</w:t>
      </w:r>
      <w:r>
        <w:rPr>
          <w:rFonts w:ascii="Calibri" w:hAnsi="Calibri"/>
          <w:b/>
          <w:color w:val="37474F"/>
          <w:sz w:val="21"/>
        </w:rPr>
        <w:tab/>
      </w:r>
      <w:r>
        <w:rPr>
          <w:rFonts w:ascii="Calibri" w:hAnsi="Calibri" w:eastAsia="Calibri" w:cs="Calibri"/>
          <w:b/>
          <w:color w:val="37474F"/>
          <w:sz w:val="21"/>
          <w:szCs w:val="21"/>
        </w:rPr>
        <w:t>20</w:t>
      </w:r>
    </w:p>
    <w:p>
      <w:pPr>
        <w:pStyle w:val="TOC1"/>
      </w:pPr>
      <w:r>
        <w:rPr>
          <w:rFonts w:ascii="Calibri" w:hAnsi="Calibri" w:eastAsia="Calibri" w:cs="Calibri"/>
          <w:b/>
          <w:color w:val="37474F"/>
          <w:sz w:val="21"/>
          <w:szCs w:val="21"/>
        </w:rPr>
        <w:t>PHILOSOPHICAL PREAMBLE</w:t>
      </w:r>
      <w:r>
        <w:rPr>
          <w:rFonts w:ascii="Calibri" w:hAnsi="Calibri"/>
          <w:b/>
          <w:color w:val="37474F"/>
          <w:sz w:val="21"/>
        </w:rPr>
        <w:tab/>
      </w:r>
      <w:r>
        <w:rPr>
          <w:rFonts w:ascii="Calibri" w:hAnsi="Calibri" w:eastAsia="Calibri" w:cs="Calibri"/>
          <w:b/>
          <w:color w:val="37474F"/>
          <w:sz w:val="21"/>
          <w:szCs w:val="21"/>
        </w:rPr>
        <w:t>22</w:t>
      </w:r>
    </w:p>
    <w:p>
      <w:pPr>
        <w:pStyle w:val="TOC1"/>
      </w:pPr>
      <w:r>
        <w:rPr>
          <w:rFonts w:ascii="Calibri" w:hAnsi="Calibri" w:eastAsia="Calibri" w:cs="Calibri"/>
          <w:b/>
          <w:color w:val="37474F"/>
          <w:sz w:val="21"/>
          <w:szCs w:val="21"/>
        </w:rPr>
        <w:t>PART A: FOUNDATIONAL CHARTER</w:t>
      </w:r>
      <w:r>
        <w:rPr>
          <w:rFonts w:ascii="Calibri" w:hAnsi="Calibri"/>
          <w:b/>
          <w:color w:val="37474F"/>
          <w:sz w:val="21"/>
        </w:rPr>
        <w:tab/>
      </w:r>
      <w:r>
        <w:rPr>
          <w:rFonts w:ascii="Calibri" w:hAnsi="Calibri" w:eastAsia="Calibri" w:cs="Calibri"/>
          <w:b/>
          <w:color w:val="37474F"/>
          <w:sz w:val="21"/>
          <w:szCs w:val="21"/>
        </w:rPr>
        <w:t>24</w:t>
      </w:r>
    </w:p>
    <w:p>
      <w:pPr>
        <w:pStyle w:val="TOC1"/>
      </w:pPr>
      <w:r>
        <w:rPr>
          <w:rFonts w:ascii="Calibri" w:hAnsi="Calibri" w:eastAsia="Calibri" w:cs="Calibri"/>
          <w:b/>
          <w:color w:val="37474F"/>
          <w:sz w:val="21"/>
          <w:szCs w:val="21"/>
        </w:rPr>
        <w:t>ARTICLE I: COLLECTIVE ECONOMIC SECURITY DOCTRINE</w:t>
      </w:r>
      <w:r>
        <w:rPr>
          <w:rFonts w:ascii="Calibri" w:hAnsi="Calibri"/>
          <w:b/>
          <w:color w:val="37474F"/>
          <w:sz w:val="21"/>
        </w:rPr>
        <w:tab/>
      </w:r>
      <w:r>
        <w:rPr>
          <w:rFonts w:ascii="Calibri" w:hAnsi="Calibri" w:eastAsia="Calibri" w:cs="Calibri"/>
          <w:b/>
          <w:color w:val="37474F"/>
          <w:sz w:val="21"/>
          <w:szCs w:val="21"/>
        </w:rPr>
        <w:t>24</w:t>
      </w:r>
    </w:p>
    <w:p>
      <w:pPr>
        <w:pStyle w:val="TOC2"/>
      </w:pPr>
      <w:r>
        <w:rPr>
          <w:rFonts w:ascii="Calibri" w:hAnsi="Calibri" w:eastAsia="Calibri" w:cs="Calibri"/>
          <w:color w:val="212121"/>
          <w:sz w:val="20"/>
          <w:szCs w:val="20"/>
        </w:rPr>
        <w:t>Section 1.0A: Domestic Sovereignty Safeguard</w:t>
      </w:r>
      <w:r>
        <w:rPr>
          <w:rFonts w:ascii="Calibri" w:hAnsi="Calibri"/>
          <w:color w:val="212121"/>
          <w:sz w:val="20"/>
        </w:rPr>
        <w:tab/>
      </w:r>
      <w:r>
        <w:rPr>
          <w:rFonts w:ascii="Calibri" w:hAnsi="Calibri" w:eastAsia="Calibri" w:cs="Calibri"/>
          <w:color w:val="212121"/>
          <w:sz w:val="20"/>
          <w:szCs w:val="20"/>
        </w:rPr>
        <w:t>24</w:t>
      </w:r>
    </w:p>
    <w:p>
      <w:pPr>
        <w:pStyle w:val="TOC2"/>
      </w:pPr>
      <w:r>
        <w:rPr>
          <w:rFonts w:ascii="Calibri" w:hAnsi="Calibri" w:eastAsia="Calibri" w:cs="Calibri"/>
          <w:color w:val="212121"/>
          <w:sz w:val="20"/>
          <w:szCs w:val="20"/>
        </w:rPr>
        <w:t>Section 1.1: Core Principles</w:t>
      </w:r>
      <w:r>
        <w:rPr>
          <w:rFonts w:ascii="Calibri" w:hAnsi="Calibri"/>
          <w:color w:val="212121"/>
          <w:sz w:val="20"/>
        </w:rPr>
        <w:tab/>
      </w:r>
      <w:r>
        <w:rPr>
          <w:rFonts w:ascii="Calibri" w:hAnsi="Calibri" w:eastAsia="Calibri" w:cs="Calibri"/>
          <w:color w:val="212121"/>
          <w:sz w:val="20"/>
          <w:szCs w:val="20"/>
        </w:rPr>
        <w:t>25</w:t>
      </w:r>
    </w:p>
    <w:p>
      <w:pPr>
        <w:pStyle w:val="TOC2"/>
      </w:pPr>
      <w:r>
        <w:rPr>
          <w:rFonts w:ascii="Calibri" w:hAnsi="Calibri" w:eastAsia="Calibri" w:cs="Calibri"/>
          <w:color w:val="212121"/>
          <w:sz w:val="20"/>
          <w:szCs w:val="20"/>
        </w:rPr>
        <w:t>Section 1.2: Escalation Containment Commitments</w:t>
      </w:r>
      <w:r>
        <w:rPr>
          <w:rFonts w:ascii="Calibri" w:hAnsi="Calibri"/>
          <w:color w:val="212121"/>
          <w:sz w:val="20"/>
        </w:rPr>
        <w:tab/>
      </w:r>
      <w:r>
        <w:rPr>
          <w:rFonts w:ascii="Calibri" w:hAnsi="Calibri" w:eastAsia="Calibri" w:cs="Calibri"/>
          <w:color w:val="212121"/>
          <w:sz w:val="20"/>
          <w:szCs w:val="20"/>
        </w:rPr>
        <w:t>28</w:t>
      </w:r>
    </w:p>
    <w:p>
      <w:pPr>
        <w:pStyle w:val="TOC2"/>
      </w:pPr>
      <w:r>
        <w:rPr>
          <w:rFonts w:ascii="Calibri" w:hAnsi="Calibri" w:eastAsia="Calibri" w:cs="Calibri"/>
          <w:color w:val="212121"/>
          <w:sz w:val="20"/>
          <w:szCs w:val="20"/>
        </w:rPr>
        <w:t>Section 1.3: De-Escalation Default Principle</w:t>
      </w:r>
      <w:r>
        <w:rPr>
          <w:rFonts w:ascii="Calibri" w:hAnsi="Calibri"/>
          <w:color w:val="212121"/>
          <w:sz w:val="20"/>
        </w:rPr>
        <w:tab/>
      </w:r>
      <w:r>
        <w:rPr>
          <w:rFonts w:ascii="Calibri" w:hAnsi="Calibri" w:eastAsia="Calibri" w:cs="Calibri"/>
          <w:color w:val="212121"/>
          <w:sz w:val="20"/>
          <w:szCs w:val="20"/>
        </w:rPr>
        <w:t>29</w:t>
      </w:r>
    </w:p>
    <w:p>
      <w:pPr>
        <w:pStyle w:val="TOC2"/>
      </w:pPr>
      <w:r>
        <w:rPr>
          <w:rFonts w:ascii="Calibri" w:hAnsi="Calibri" w:eastAsia="Calibri" w:cs="Calibri"/>
          <w:color w:val="212121"/>
          <w:sz w:val="20"/>
          <w:szCs w:val="20"/>
        </w:rPr>
        <w:t>Section 1.4: Global Systemic Disruption Doctrine (GSD)</w:t>
      </w:r>
      <w:r>
        <w:rPr>
          <w:rFonts w:ascii="Calibri" w:hAnsi="Calibri"/>
          <w:color w:val="212121"/>
          <w:sz w:val="20"/>
        </w:rPr>
        <w:tab/>
      </w:r>
      <w:r>
        <w:rPr>
          <w:rFonts w:ascii="Calibri" w:hAnsi="Calibri" w:eastAsia="Calibri" w:cs="Calibri"/>
          <w:color w:val="212121"/>
          <w:sz w:val="20"/>
          <w:szCs w:val="20"/>
        </w:rPr>
        <w:t>30</w:t>
      </w:r>
    </w:p>
    <w:p>
      <w:pPr>
        <w:pStyle w:val="TOC2"/>
      </w:pPr>
      <w:r>
        <w:rPr>
          <w:rFonts w:ascii="Calibri" w:hAnsi="Calibri" w:eastAsia="Calibri" w:cs="Calibri"/>
          <w:color w:val="212121"/>
          <w:sz w:val="20"/>
          <w:szCs w:val="20"/>
        </w:rPr>
        <w:t>Section 1.4B: Systemic Non-Coercive Disruption (SND)</w:t>
      </w:r>
      <w:r>
        <w:rPr>
          <w:rFonts w:ascii="Calibri" w:hAnsi="Calibri"/>
          <w:color w:val="212121"/>
          <w:sz w:val="20"/>
        </w:rPr>
        <w:tab/>
      </w:r>
      <w:r>
        <w:rPr>
          <w:rFonts w:ascii="Calibri" w:hAnsi="Calibri" w:eastAsia="Calibri" w:cs="Calibri"/>
          <w:color w:val="212121"/>
          <w:sz w:val="20"/>
          <w:szCs w:val="20"/>
        </w:rPr>
        <w:t>30</w:t>
      </w:r>
    </w:p>
    <w:p>
      <w:pPr>
        <w:pStyle w:val="TOC2"/>
      </w:pPr>
      <w:r>
        <w:rPr>
          <w:rFonts w:ascii="Calibri" w:hAnsi="Calibri" w:eastAsia="Calibri" w:cs="Calibri"/>
          <w:color w:val="212121"/>
          <w:sz w:val="20"/>
          <w:szCs w:val="20"/>
        </w:rPr>
        <w:t>Section 1.5: Institutional Sovereignty and Self-Defence</w:t>
      </w:r>
      <w:r>
        <w:rPr>
          <w:rFonts w:ascii="Calibri" w:hAnsi="Calibri"/>
          <w:color w:val="212121"/>
          <w:sz w:val="20"/>
        </w:rPr>
        <w:tab/>
      </w:r>
      <w:r>
        <w:rPr>
          <w:rFonts w:ascii="Calibri" w:hAnsi="Calibri" w:eastAsia="Calibri" w:cs="Calibri"/>
          <w:color w:val="212121"/>
          <w:sz w:val="20"/>
          <w:szCs w:val="20"/>
        </w:rPr>
        <w:t>31</w:t>
      </w:r>
    </w:p>
    <w:p>
      <w:pPr>
        <w:pStyle w:val="TOC2"/>
      </w:pPr>
      <w:r>
        <w:rPr>
          <w:rFonts w:ascii="Calibri" w:hAnsi="Calibri" w:eastAsia="Calibri" w:cs="Calibri"/>
          <w:color w:val="212121"/>
          <w:sz w:val="20"/>
          <w:szCs w:val="20"/>
        </w:rPr>
        <w:t>Section 1.6: Compound Emergency and Stacked Crisis Protocol</w:t>
      </w:r>
      <w:r>
        <w:rPr>
          <w:rFonts w:ascii="Calibri" w:hAnsi="Calibri"/>
          <w:color w:val="212121"/>
          <w:sz w:val="20"/>
        </w:rPr>
        <w:tab/>
      </w:r>
      <w:r>
        <w:rPr>
          <w:rFonts w:ascii="Calibri" w:hAnsi="Calibri" w:eastAsia="Calibri" w:cs="Calibri"/>
          <w:color w:val="212121"/>
          <w:sz w:val="20"/>
          <w:szCs w:val="20"/>
        </w:rPr>
        <w:t>33</w:t>
      </w:r>
    </w:p>
    <w:p>
      <w:pPr>
        <w:pStyle w:val="TOC2"/>
      </w:pPr>
      <w:r>
        <w:rPr>
          <w:rFonts w:ascii="Calibri" w:hAnsi="Calibri" w:eastAsia="Calibri" w:cs="Calibri"/>
          <w:color w:val="212121"/>
          <w:sz w:val="20"/>
          <w:szCs w:val="20"/>
        </w:rPr>
        <w:t>Section 1.0B: Plural Alignment Principle [NEW: v9.8A Institutional Maturity]</w:t>
      </w:r>
      <w:r>
        <w:rPr>
          <w:rFonts w:ascii="Calibri" w:hAnsi="Calibri"/>
          <w:color w:val="212121"/>
          <w:sz w:val="20"/>
        </w:rPr>
        <w:tab/>
      </w:r>
      <w:r>
        <w:rPr>
          <w:rFonts w:ascii="Calibri" w:hAnsi="Calibri" w:eastAsia="Calibri" w:cs="Calibri"/>
          <w:color w:val="212121"/>
          <w:sz w:val="20"/>
          <w:szCs w:val="20"/>
        </w:rPr>
        <w:t>34</w:t>
      </w:r>
    </w:p>
    <w:p>
      <w:pPr>
        <w:pStyle w:val="TOC2"/>
      </w:pPr>
      <w:r>
        <w:rPr>
          <w:rFonts w:ascii="Calibri" w:hAnsi="Calibri" w:eastAsia="Calibri" w:cs="Calibri"/>
          <w:color w:val="212121"/>
          <w:sz w:val="20"/>
          <w:szCs w:val="20"/>
        </w:rPr>
        <w:t>Section 1.0C: Domestic Sovereignty and Benefit Guarantee [NEW: v9.8A Institutional Maturity]</w:t>
      </w:r>
      <w:r>
        <w:rPr>
          <w:rFonts w:ascii="Calibri" w:hAnsi="Calibri"/>
          <w:color w:val="212121"/>
          <w:sz w:val="20"/>
        </w:rPr>
        <w:tab/>
      </w:r>
      <w:r>
        <w:rPr>
          <w:rFonts w:ascii="Calibri" w:hAnsi="Calibri" w:eastAsia="Calibri" w:cs="Calibri"/>
          <w:color w:val="212121"/>
          <w:sz w:val="20"/>
          <w:szCs w:val="20"/>
        </w:rPr>
        <w:t>35</w:t>
      </w:r>
    </w:p>
    <w:p>
      <w:pPr>
        <w:pStyle w:val="TOC2"/>
      </w:pPr>
      <w:r>
        <w:rPr>
          <w:rFonts w:ascii="Calibri" w:hAnsi="Calibri" w:eastAsia="Calibri" w:cs="Calibri"/>
          <w:color w:val="212121"/>
          <w:sz w:val="20"/>
          <w:szCs w:val="20"/>
        </w:rPr>
        <w:t>Section 1.0D: Regulatory Sovereignty Firewall [NEW: v9.9]</w:t>
      </w:r>
      <w:r>
        <w:rPr>
          <w:rFonts w:ascii="Calibri" w:hAnsi="Calibri"/>
          <w:color w:val="212121"/>
          <w:sz w:val="20"/>
        </w:rPr>
        <w:tab/>
      </w:r>
      <w:r>
        <w:rPr>
          <w:rFonts w:ascii="Calibri" w:hAnsi="Calibri" w:eastAsia="Calibri" w:cs="Calibri"/>
          <w:color w:val="212121"/>
          <w:sz w:val="20"/>
          <w:szCs w:val="20"/>
        </w:rPr>
        <w:t>35</w:t>
      </w:r>
    </w:p>
    <w:p>
      <w:pPr>
        <w:pStyle w:val="TOC2"/>
      </w:pPr>
      <w:r>
        <w:rPr>
          <w:rFonts w:ascii="Calibri" w:hAnsi="Calibri" w:eastAsia="Calibri" w:cs="Calibri"/>
          <w:color w:val="212121"/>
          <w:sz w:val="20"/>
          <w:szCs w:val="20"/>
        </w:rPr>
        <w:t>Section 1.0E: Modular Economic Security Framework [NEW: v13.0]</w:t>
      </w:r>
      <w:r>
        <w:rPr>
          <w:rFonts w:ascii="Calibri" w:hAnsi="Calibri"/>
          <w:color w:val="212121"/>
          <w:sz w:val="20"/>
        </w:rPr>
        <w:tab/>
      </w:r>
      <w:r>
        <w:rPr>
          <w:rFonts w:ascii="Calibri" w:hAnsi="Calibri" w:eastAsia="Calibri" w:cs="Calibri"/>
          <w:color w:val="212121"/>
          <w:sz w:val="20"/>
          <w:szCs w:val="20"/>
        </w:rPr>
        <w:t>35</w:t>
      </w:r>
    </w:p>
    <w:p>
      <w:pPr>
        <w:pStyle w:val="TOC2"/>
      </w:pPr>
      <w:r>
        <w:rPr>
          <w:rFonts w:ascii="Calibri" w:hAnsi="Calibri" w:eastAsia="Calibri" w:cs="Calibri"/>
          <w:color w:val="212121"/>
          <w:sz w:val="20"/>
          <w:szCs w:val="20"/>
        </w:rPr>
        <w:t>Section 1.0F: Mutual Architecture Declaration [NEW: v13.0]</w:t>
      </w:r>
      <w:r>
        <w:rPr>
          <w:rFonts w:ascii="Calibri" w:hAnsi="Calibri"/>
          <w:color w:val="212121"/>
          <w:sz w:val="20"/>
        </w:rPr>
        <w:tab/>
      </w:r>
      <w:r>
        <w:rPr>
          <w:rFonts w:ascii="Calibri" w:hAnsi="Calibri" w:eastAsia="Calibri" w:cs="Calibri"/>
          <w:color w:val="212121"/>
          <w:sz w:val="20"/>
          <w:szCs w:val="20"/>
        </w:rPr>
        <w:t>36</w:t>
      </w:r>
    </w:p>
    <w:p>
      <w:pPr>
        <w:pStyle w:val="TOC2"/>
      </w:pPr>
      <w:r>
        <w:rPr>
          <w:rFonts w:ascii="Calibri" w:hAnsi="Calibri" w:eastAsia="Calibri" w:cs="Calibri"/>
          <w:color w:val="212121"/>
          <w:sz w:val="20"/>
          <w:szCs w:val="20"/>
        </w:rPr>
        <w:t>Section 1.1A: Cross-Coalition Compatibility Clause [NEW: v9.8A Institutional Maturity]</w:t>
      </w:r>
      <w:r>
        <w:rPr>
          <w:rFonts w:ascii="Calibri" w:hAnsi="Calibri"/>
          <w:color w:val="212121"/>
          <w:sz w:val="20"/>
        </w:rPr>
        <w:tab/>
      </w:r>
      <w:r>
        <w:rPr>
          <w:rFonts w:ascii="Calibri" w:hAnsi="Calibri" w:eastAsia="Calibri" w:cs="Calibri"/>
          <w:color w:val="212121"/>
          <w:sz w:val="20"/>
          <w:szCs w:val="20"/>
        </w:rPr>
        <w:t>36</w:t>
      </w:r>
    </w:p>
    <w:p>
      <w:pPr>
        <w:pStyle w:val="TOC2"/>
      </w:pPr>
      <w:r>
        <w:rPr>
          <w:rFonts w:ascii="Calibri" w:hAnsi="Calibri" w:eastAsia="Calibri" w:cs="Calibri"/>
          <w:color w:val="212121"/>
          <w:sz w:val="20"/>
          <w:szCs w:val="20"/>
        </w:rPr>
        <w:t>Section 1.4C: Non-Use Guarantee for Routine Trade Policy [NEW: v9.8A Adoption Readiness]</w:t>
      </w:r>
      <w:r>
        <w:rPr>
          <w:rFonts w:ascii="Calibri" w:hAnsi="Calibri"/>
          <w:color w:val="212121"/>
          <w:sz w:val="20"/>
        </w:rPr>
        <w:tab/>
      </w:r>
      <w:r>
        <w:rPr>
          <w:rFonts w:ascii="Calibri" w:hAnsi="Calibri" w:eastAsia="Calibri" w:cs="Calibri"/>
          <w:color w:val="212121"/>
          <w:sz w:val="20"/>
          <w:szCs w:val="20"/>
        </w:rPr>
        <w:t>37</w:t>
      </w:r>
    </w:p>
    <w:p>
      <w:pPr>
        <w:pStyle w:val="TOC2"/>
      </w:pPr>
      <w:r>
        <w:rPr>
          <w:rFonts w:ascii="Calibri" w:hAnsi="Calibri" w:eastAsia="Calibri" w:cs="Calibri"/>
          <w:color w:val="212121"/>
          <w:sz w:val="20"/>
          <w:szCs w:val="20"/>
        </w:rPr>
        <w:t>Section 1.4D: Systemic Disruption Safeguards Protocol [NEW: v9.8A Institutional Maturity]</w:t>
      </w:r>
      <w:r>
        <w:rPr>
          <w:rFonts w:ascii="Calibri" w:hAnsi="Calibri"/>
          <w:color w:val="212121"/>
          <w:sz w:val="20"/>
        </w:rPr>
        <w:tab/>
      </w:r>
      <w:r>
        <w:rPr>
          <w:rFonts w:ascii="Calibri" w:hAnsi="Calibri" w:eastAsia="Calibri" w:cs="Calibri"/>
          <w:color w:val="212121"/>
          <w:sz w:val="20"/>
          <w:szCs w:val="20"/>
        </w:rPr>
        <w:t>37</w:t>
      </w:r>
    </w:p>
    <w:p>
      <w:pPr>
        <w:pStyle w:val="TOC2"/>
      </w:pPr>
      <w:r>
        <w:rPr>
          <w:rFonts w:ascii="Calibri" w:hAnsi="Calibri" w:eastAsia="Calibri" w:cs="Calibri"/>
          <w:color w:val="212121"/>
          <w:sz w:val="20"/>
          <w:szCs w:val="20"/>
        </w:rPr>
        <w:t>Section 1.4H: Unilateral Economic Statecraft Presumption [NEW: v12.1]</w:t>
      </w:r>
      <w:r>
        <w:rPr>
          <w:rFonts w:ascii="Calibri" w:hAnsi="Calibri"/>
          <w:color w:val="212121"/>
          <w:sz w:val="20"/>
        </w:rPr>
        <w:tab/>
      </w:r>
      <w:r>
        <w:rPr>
          <w:rFonts w:ascii="Calibri" w:hAnsi="Calibri" w:eastAsia="Calibri" w:cs="Calibri"/>
          <w:color w:val="212121"/>
          <w:sz w:val="20"/>
          <w:szCs w:val="20"/>
        </w:rPr>
        <w:t>38</w:t>
      </w:r>
    </w:p>
    <w:p>
      <w:pPr>
        <w:pStyle w:val="TOC2"/>
      </w:pPr>
      <w:r>
        <w:rPr>
          <w:rFonts w:ascii="Calibri" w:hAnsi="Calibri" w:eastAsia="Calibri" w:cs="Calibri"/>
          <w:color w:val="212121"/>
          <w:sz w:val="20"/>
          <w:szCs w:val="20"/>
        </w:rPr>
        <w:t>Section 1.4I: Pattern-of-Conduct Coercion Doctrine [NEW: v12.1]</w:t>
      </w:r>
      <w:r>
        <w:rPr>
          <w:rFonts w:ascii="Calibri" w:hAnsi="Calibri"/>
          <w:color w:val="212121"/>
          <w:sz w:val="20"/>
        </w:rPr>
        <w:tab/>
      </w:r>
      <w:r>
        <w:rPr>
          <w:rFonts w:ascii="Calibri" w:hAnsi="Calibri" w:eastAsia="Calibri" w:cs="Calibri"/>
          <w:color w:val="212121"/>
          <w:sz w:val="20"/>
          <w:szCs w:val="20"/>
        </w:rPr>
        <w:t>39</w:t>
      </w:r>
    </w:p>
    <w:p>
      <w:pPr>
        <w:pStyle w:val="TOC2"/>
      </w:pPr>
      <w:r>
        <w:rPr>
          <w:rFonts w:ascii="Calibri" w:hAnsi="Calibri" w:eastAsia="Calibri" w:cs="Calibri"/>
          <w:color w:val="212121"/>
          <w:sz w:val="20"/>
          <w:szCs w:val="20"/>
        </w:rPr>
        <w:t>Section 1.5A: Economic Stabilisation in Armed-Force Context [NEW: v9.8A Military-Economic Nexus]</w:t>
      </w:r>
      <w:r>
        <w:rPr>
          <w:rFonts w:ascii="Calibri" w:hAnsi="Calibri"/>
          <w:color w:val="212121"/>
          <w:sz w:val="20"/>
        </w:rPr>
        <w:tab/>
      </w:r>
      <w:r>
        <w:rPr>
          <w:rFonts w:ascii="Calibri" w:hAnsi="Calibri" w:eastAsia="Calibri" w:cs="Calibri"/>
          <w:color w:val="212121"/>
          <w:sz w:val="20"/>
          <w:szCs w:val="20"/>
        </w:rPr>
        <w:t>39</w:t>
      </w:r>
    </w:p>
    <w:p>
      <w:pPr>
        <w:pStyle w:val="TOC2"/>
      </w:pPr>
      <w:r>
        <w:rPr>
          <w:rFonts w:ascii="Calibri" w:hAnsi="Calibri" w:eastAsia="Calibri" w:cs="Calibri"/>
          <w:color w:val="212121"/>
          <w:sz w:val="20"/>
          <w:szCs w:val="20"/>
        </w:rPr>
        <w:t>Section 1.5B: Clarification of Non-Defence Character [NEW: v9.8A Political Inoculation]</w:t>
      </w:r>
      <w:r>
        <w:rPr>
          <w:rFonts w:ascii="Calibri" w:hAnsi="Calibri"/>
          <w:color w:val="212121"/>
          <w:sz w:val="20"/>
        </w:rPr>
        <w:tab/>
      </w:r>
      <w:r>
        <w:rPr>
          <w:rFonts w:ascii="Calibri" w:hAnsi="Calibri" w:eastAsia="Calibri" w:cs="Calibri"/>
          <w:color w:val="212121"/>
          <w:sz w:val="20"/>
          <w:szCs w:val="20"/>
        </w:rPr>
        <w:t>40</w:t>
      </w:r>
    </w:p>
    <w:p>
      <w:pPr>
        <w:pStyle w:val="TOC2"/>
      </w:pPr>
      <w:r>
        <w:rPr>
          <w:rFonts w:ascii="Calibri" w:hAnsi="Calibri" w:eastAsia="Calibri" w:cs="Calibri"/>
          <w:color w:val="212121"/>
          <w:sz w:val="20"/>
          <w:szCs w:val="20"/>
        </w:rPr>
        <w:t>Section 1.6B: Institutional Independence Safeguards for IEWC [NEW: v9.8 Red Team Fix]</w:t>
      </w:r>
      <w:r>
        <w:rPr>
          <w:rFonts w:ascii="Calibri" w:hAnsi="Calibri"/>
          <w:color w:val="212121"/>
          <w:sz w:val="20"/>
        </w:rPr>
        <w:tab/>
      </w:r>
      <w:r>
        <w:rPr>
          <w:rFonts w:ascii="Calibri" w:hAnsi="Calibri" w:eastAsia="Calibri" w:cs="Calibri"/>
          <w:color w:val="212121"/>
          <w:sz w:val="20"/>
          <w:szCs w:val="20"/>
        </w:rPr>
        <w:t>40</w:t>
      </w:r>
    </w:p>
    <w:p>
      <w:pPr>
        <w:pStyle w:val="TOC2"/>
      </w:pPr>
      <w:r>
        <w:rPr>
          <w:rFonts w:ascii="Calibri" w:hAnsi="Calibri" w:eastAsia="Calibri" w:cs="Calibri"/>
          <w:color w:val="212121"/>
          <w:sz w:val="20"/>
          <w:szCs w:val="20"/>
        </w:rPr>
        <w:t>Section 1.1B: Declaration of Purpose and Nature [NEW: v15.0]</w:t>
      </w:r>
      <w:r>
        <w:rPr>
          <w:rFonts w:ascii="Calibri" w:hAnsi="Calibri"/>
          <w:color w:val="212121"/>
          <w:sz w:val="20"/>
        </w:rPr>
        <w:tab/>
      </w:r>
      <w:r>
        <w:rPr>
          <w:rFonts w:ascii="Calibri" w:hAnsi="Calibri" w:eastAsia="Calibri" w:cs="Calibri"/>
          <w:color w:val="212121"/>
          <w:sz w:val="20"/>
          <w:szCs w:val="20"/>
        </w:rPr>
        <w:t>41</w:t>
      </w:r>
    </w:p>
    <w:p>
      <w:pPr>
        <w:pStyle w:val="TOC2"/>
      </w:pPr>
      <w:r>
        <w:rPr>
          <w:rFonts w:ascii="Calibri" w:hAnsi="Calibri" w:eastAsia="Calibri" w:cs="Calibri"/>
          <w:color w:val="212121"/>
          <w:sz w:val="20"/>
          <w:szCs w:val="20"/>
        </w:rPr>
        <w:t>Section 1.0E (Addendum): Permanent Exclusion Carve-Out for Existential Misconduct [NEW: v15.0]</w:t>
      </w:r>
      <w:r>
        <w:rPr>
          <w:rFonts w:ascii="Calibri" w:hAnsi="Calibri"/>
          <w:color w:val="212121"/>
          <w:sz w:val="20"/>
        </w:rPr>
        <w:tab/>
      </w:r>
      <w:r>
        <w:rPr>
          <w:rFonts w:ascii="Calibri" w:hAnsi="Calibri" w:eastAsia="Calibri" w:cs="Calibri"/>
          <w:color w:val="212121"/>
          <w:sz w:val="20"/>
          <w:szCs w:val="20"/>
        </w:rPr>
        <w:t>42</w:t>
      </w:r>
    </w:p>
    <w:p>
      <w:pPr>
        <w:pStyle w:val="TOC2"/>
      </w:pPr>
      <w:r>
        <w:rPr>
          <w:rFonts w:ascii="Calibri" w:hAnsi="Calibri" w:eastAsia="Calibri" w:cs="Calibri"/>
          <w:color w:val="212121"/>
          <w:sz w:val="20"/>
          <w:szCs w:val="20"/>
        </w:rPr>
        <w:t>Section 1.7: Attack-Induced Ratchet Clause [NEW: v15.0]</w:t>
      </w:r>
      <w:r>
        <w:rPr>
          <w:rFonts w:ascii="Calibri" w:hAnsi="Calibri"/>
          <w:color w:val="212121"/>
          <w:sz w:val="20"/>
        </w:rPr>
        <w:tab/>
      </w:r>
      <w:r>
        <w:rPr>
          <w:rFonts w:ascii="Calibri" w:hAnsi="Calibri" w:eastAsia="Calibri" w:cs="Calibri"/>
          <w:color w:val="212121"/>
          <w:sz w:val="20"/>
          <w:szCs w:val="20"/>
        </w:rPr>
        <w:t>42</w:t>
      </w:r>
    </w:p>
    <w:p>
      <w:pPr>
        <w:pStyle w:val="TOC1"/>
      </w:pPr>
      <w:r>
        <w:rPr>
          <w:rFonts w:ascii="Calibri" w:hAnsi="Calibri" w:eastAsia="Calibri" w:cs="Calibri"/>
          <w:b/>
          <w:color w:val="37474F"/>
          <w:sz w:val="21"/>
          <w:szCs w:val="21"/>
        </w:rPr>
        <w:t>ARTICLE II: DEFINITIONS AND SCOPE</w:t>
      </w:r>
      <w:r>
        <w:rPr>
          <w:rFonts w:ascii="Calibri" w:hAnsi="Calibri"/>
          <w:b/>
          <w:color w:val="37474F"/>
          <w:sz w:val="21"/>
        </w:rPr>
        <w:tab/>
      </w:r>
      <w:r>
        <w:rPr>
          <w:rFonts w:ascii="Calibri" w:hAnsi="Calibri" w:eastAsia="Calibri" w:cs="Calibri"/>
          <w:b/>
          <w:color w:val="37474F"/>
          <w:sz w:val="21"/>
          <w:szCs w:val="21"/>
        </w:rPr>
        <w:t>43</w:t>
      </w:r>
    </w:p>
    <w:p>
      <w:pPr>
        <w:pStyle w:val="TOC2"/>
      </w:pPr>
      <w:r>
        <w:rPr>
          <w:rFonts w:ascii="Calibri" w:hAnsi="Calibri" w:eastAsia="Calibri" w:cs="Calibri"/>
          <w:color w:val="212121"/>
          <w:sz w:val="20"/>
          <w:szCs w:val="20"/>
        </w:rPr>
        <w:t>Section 2.1: Definition of Economic Coercion</w:t>
      </w:r>
      <w:r>
        <w:rPr>
          <w:rFonts w:ascii="Calibri" w:hAnsi="Calibri"/>
          <w:color w:val="212121"/>
          <w:sz w:val="20"/>
        </w:rPr>
        <w:tab/>
      </w:r>
      <w:r>
        <w:rPr>
          <w:rFonts w:ascii="Calibri" w:hAnsi="Calibri" w:eastAsia="Calibri" w:cs="Calibri"/>
          <w:color w:val="212121"/>
          <w:sz w:val="20"/>
          <w:szCs w:val="20"/>
        </w:rPr>
        <w:t>43</w:t>
      </w:r>
    </w:p>
    <w:p>
      <w:pPr>
        <w:pStyle w:val="TOC2"/>
      </w:pPr>
      <w:r>
        <w:rPr>
          <w:rFonts w:ascii="Calibri" w:hAnsi="Calibri" w:eastAsia="Calibri" w:cs="Calibri"/>
          <w:color w:val="212121"/>
          <w:sz w:val="20"/>
          <w:szCs w:val="20"/>
        </w:rPr>
        <w:t>Section 2.1J: Retroactive Policy-Linkage Doctrine [NEW: v12.1]</w:t>
      </w:r>
      <w:r>
        <w:rPr>
          <w:rFonts w:ascii="Calibri" w:hAnsi="Calibri"/>
          <w:color w:val="212121"/>
          <w:sz w:val="20"/>
        </w:rPr>
        <w:tab/>
      </w:r>
      <w:r>
        <w:rPr>
          <w:rFonts w:ascii="Calibri" w:hAnsi="Calibri" w:eastAsia="Calibri" w:cs="Calibri"/>
          <w:color w:val="212121"/>
          <w:sz w:val="20"/>
          <w:szCs w:val="20"/>
        </w:rPr>
        <w:t>47</w:t>
      </w:r>
    </w:p>
    <w:p>
      <w:pPr>
        <w:pStyle w:val="TOC2"/>
      </w:pPr>
      <w:r>
        <w:rPr>
          <w:rFonts w:ascii="Calibri" w:hAnsi="Calibri" w:eastAsia="Calibri" w:cs="Calibri"/>
          <w:color w:val="212121"/>
          <w:sz w:val="20"/>
          <w:szCs w:val="20"/>
        </w:rPr>
        <w:t>Section 2.1K: Executive Authority Aggravation Standard [NEW: v12.1]</w:t>
      </w:r>
      <w:r>
        <w:rPr>
          <w:rFonts w:ascii="Calibri" w:hAnsi="Calibri"/>
          <w:color w:val="212121"/>
          <w:sz w:val="20"/>
        </w:rPr>
        <w:tab/>
      </w:r>
      <w:r>
        <w:rPr>
          <w:rFonts w:ascii="Calibri" w:hAnsi="Calibri" w:eastAsia="Calibri" w:cs="Calibri"/>
          <w:color w:val="212121"/>
          <w:sz w:val="20"/>
          <w:szCs w:val="20"/>
        </w:rPr>
        <w:t>47</w:t>
      </w:r>
    </w:p>
    <w:p>
      <w:pPr>
        <w:pStyle w:val="TOC2"/>
      </w:pPr>
      <w:r>
        <w:rPr>
          <w:rFonts w:ascii="Calibri" w:hAnsi="Calibri" w:eastAsia="Calibri" w:cs="Calibri"/>
          <w:color w:val="212121"/>
          <w:sz w:val="20"/>
          <w:szCs w:val="20"/>
        </w:rPr>
        <w:t>Section 2.1L: Consumer Goods Export Restriction Protocol [NEW: v12.1]</w:t>
      </w:r>
      <w:r>
        <w:rPr>
          <w:rFonts w:ascii="Calibri" w:hAnsi="Calibri"/>
          <w:color w:val="212121"/>
          <w:sz w:val="20"/>
        </w:rPr>
        <w:tab/>
      </w:r>
      <w:r>
        <w:rPr>
          <w:rFonts w:ascii="Calibri" w:hAnsi="Calibri" w:eastAsia="Calibri" w:cs="Calibri"/>
          <w:color w:val="212121"/>
          <w:sz w:val="20"/>
          <w:szCs w:val="20"/>
        </w:rPr>
        <w:t>48</w:t>
      </w:r>
    </w:p>
    <w:p>
      <w:pPr>
        <w:pStyle w:val="TOC2"/>
      </w:pPr>
      <w:r>
        <w:rPr>
          <w:rFonts w:ascii="Calibri" w:hAnsi="Calibri" w:eastAsia="Calibri" w:cs="Calibri"/>
          <w:color w:val="212121"/>
          <w:sz w:val="20"/>
          <w:szCs w:val="20"/>
        </w:rPr>
        <w:t>Section 2.1A: Constructive Coercion Doctrine [Pilot Status, 36 Months]</w:t>
      </w:r>
      <w:r>
        <w:rPr>
          <w:rFonts w:ascii="Calibri" w:hAnsi="Calibri"/>
          <w:color w:val="212121"/>
          <w:sz w:val="20"/>
        </w:rPr>
        <w:tab/>
      </w:r>
      <w:r>
        <w:rPr>
          <w:rFonts w:ascii="Calibri" w:hAnsi="Calibri" w:eastAsia="Calibri" w:cs="Calibri"/>
          <w:color w:val="212121"/>
          <w:sz w:val="20"/>
          <w:szCs w:val="20"/>
        </w:rPr>
        <w:t>48</w:t>
      </w:r>
    </w:p>
    <w:p>
      <w:pPr>
        <w:pStyle w:val="TOC2"/>
      </w:pPr>
      <w:r>
        <w:rPr>
          <w:rFonts w:ascii="Calibri" w:hAnsi="Calibri" w:eastAsia="Calibri" w:cs="Calibri"/>
          <w:color w:val="212121"/>
          <w:sz w:val="20"/>
          <w:szCs w:val="20"/>
        </w:rPr>
        <w:t>Section 2.1B: Adverse Economic Security Incident (AESI)</w:t>
      </w:r>
      <w:r>
        <w:rPr>
          <w:rFonts w:ascii="Calibri" w:hAnsi="Calibri"/>
          <w:color w:val="212121"/>
          <w:sz w:val="20"/>
        </w:rPr>
        <w:tab/>
      </w:r>
      <w:r>
        <w:rPr>
          <w:rFonts w:ascii="Calibri" w:hAnsi="Calibri" w:eastAsia="Calibri" w:cs="Calibri"/>
          <w:color w:val="212121"/>
          <w:sz w:val="20"/>
          <w:szCs w:val="20"/>
        </w:rPr>
        <w:t>49</w:t>
      </w:r>
    </w:p>
    <w:p>
      <w:pPr>
        <w:pStyle w:val="TOC2"/>
      </w:pPr>
      <w:r>
        <w:rPr>
          <w:rFonts w:ascii="Calibri" w:hAnsi="Calibri" w:eastAsia="Calibri" w:cs="Calibri"/>
          <w:color w:val="212121"/>
          <w:sz w:val="20"/>
          <w:szCs w:val="20"/>
        </w:rPr>
        <w:t>Section 2.2: Red-Line Coercion Categories</w:t>
      </w:r>
      <w:r>
        <w:rPr>
          <w:rFonts w:ascii="Calibri" w:hAnsi="Calibri"/>
          <w:color w:val="212121"/>
          <w:sz w:val="20"/>
        </w:rPr>
        <w:tab/>
      </w:r>
      <w:r>
        <w:rPr>
          <w:rFonts w:ascii="Calibri" w:hAnsi="Calibri" w:eastAsia="Calibri" w:cs="Calibri"/>
          <w:color w:val="212121"/>
          <w:sz w:val="20"/>
          <w:szCs w:val="20"/>
        </w:rPr>
        <w:t>49</w:t>
      </w:r>
    </w:p>
    <w:p>
      <w:pPr>
        <w:pStyle w:val="TOC2"/>
      </w:pPr>
      <w:r>
        <w:rPr>
          <w:rFonts w:ascii="Calibri" w:hAnsi="Calibri" w:eastAsia="Calibri" w:cs="Calibri"/>
          <w:color w:val="212121"/>
          <w:sz w:val="20"/>
          <w:szCs w:val="20"/>
        </w:rPr>
        <w:t>Section 2.2B: Category 10, Unilateral Tariff Regime Disruption [NEW: v12.1]</w:t>
      </w:r>
      <w:r>
        <w:rPr>
          <w:rFonts w:ascii="Calibri" w:hAnsi="Calibri"/>
          <w:color w:val="212121"/>
          <w:sz w:val="20"/>
        </w:rPr>
        <w:tab/>
      </w:r>
      <w:r>
        <w:rPr>
          <w:rFonts w:ascii="Calibri" w:hAnsi="Calibri" w:eastAsia="Calibri" w:cs="Calibri"/>
          <w:color w:val="212121"/>
          <w:sz w:val="20"/>
          <w:szCs w:val="20"/>
        </w:rPr>
        <w:t>49</w:t>
      </w:r>
    </w:p>
    <w:p>
      <w:pPr>
        <w:pStyle w:val="TOC2"/>
      </w:pPr>
      <w:r>
        <w:rPr>
          <w:rFonts w:ascii="Calibri" w:hAnsi="Calibri" w:eastAsia="Calibri" w:cs="Calibri"/>
          <w:color w:val="212121"/>
          <w:sz w:val="20"/>
          <w:szCs w:val="20"/>
        </w:rPr>
        <w:t>Section 2.3: Strategic Severity Multiplier Clause</w:t>
      </w:r>
      <w:r>
        <w:rPr>
          <w:rFonts w:ascii="Calibri" w:hAnsi="Calibri"/>
          <w:color w:val="212121"/>
          <w:sz w:val="20"/>
        </w:rPr>
        <w:tab/>
      </w:r>
      <w:r>
        <w:rPr>
          <w:rFonts w:ascii="Calibri" w:hAnsi="Calibri" w:eastAsia="Calibri" w:cs="Calibri"/>
          <w:color w:val="212121"/>
          <w:sz w:val="20"/>
          <w:szCs w:val="20"/>
        </w:rPr>
        <w:t>51</w:t>
      </w:r>
    </w:p>
    <w:p>
      <w:pPr>
        <w:pStyle w:val="TOC2"/>
      </w:pPr>
      <w:r>
        <w:rPr>
          <w:rFonts w:ascii="Calibri" w:hAnsi="Calibri" w:eastAsia="Calibri" w:cs="Calibri"/>
          <w:color w:val="212121"/>
          <w:sz w:val="20"/>
          <w:szCs w:val="20"/>
        </w:rPr>
        <w:t>Section 2.4: Non-Alignment Protection Clause</w:t>
      </w:r>
      <w:r>
        <w:rPr>
          <w:rFonts w:ascii="Calibri" w:hAnsi="Calibri"/>
          <w:color w:val="212121"/>
          <w:sz w:val="20"/>
        </w:rPr>
        <w:tab/>
      </w:r>
      <w:r>
        <w:rPr>
          <w:rFonts w:ascii="Calibri" w:hAnsi="Calibri" w:eastAsia="Calibri" w:cs="Calibri"/>
          <w:color w:val="212121"/>
          <w:sz w:val="20"/>
          <w:szCs w:val="20"/>
        </w:rPr>
        <w:t>52</w:t>
      </w:r>
    </w:p>
    <w:p>
      <w:pPr>
        <w:pStyle w:val="TOC2"/>
      </w:pPr>
      <w:r>
        <w:rPr>
          <w:rFonts w:ascii="Calibri" w:hAnsi="Calibri" w:eastAsia="Calibri" w:cs="Calibri"/>
          <w:color w:val="212121"/>
          <w:sz w:val="20"/>
          <w:szCs w:val="20"/>
        </w:rPr>
        <w:t>Section 2.5: Attribution of Non-State Coercion (State-Adjoining Entity Doctrine)</w:t>
      </w:r>
      <w:r>
        <w:rPr>
          <w:rFonts w:ascii="Calibri" w:hAnsi="Calibri"/>
          <w:color w:val="212121"/>
          <w:sz w:val="20"/>
        </w:rPr>
        <w:tab/>
      </w:r>
      <w:r>
        <w:rPr>
          <w:rFonts w:ascii="Calibri" w:hAnsi="Calibri" w:eastAsia="Calibri" w:cs="Calibri"/>
          <w:color w:val="212121"/>
          <w:sz w:val="20"/>
          <w:szCs w:val="20"/>
        </w:rPr>
        <w:t>53</w:t>
      </w:r>
    </w:p>
    <w:p>
      <w:pPr>
        <w:pStyle w:val="TOC2"/>
      </w:pPr>
      <w:r>
        <w:rPr>
          <w:rFonts w:ascii="Calibri" w:hAnsi="Calibri" w:eastAsia="Calibri" w:cs="Calibri"/>
          <w:color w:val="212121"/>
          <w:sz w:val="20"/>
          <w:szCs w:val="20"/>
        </w:rPr>
        <w:t>Section 2.5D: Systemic Infrastructure Provider Framework [Pilot Status]</w:t>
      </w:r>
      <w:r>
        <w:rPr>
          <w:rFonts w:ascii="Calibri" w:hAnsi="Calibri"/>
          <w:color w:val="212121"/>
          <w:sz w:val="20"/>
        </w:rPr>
        <w:tab/>
      </w:r>
      <w:r>
        <w:rPr>
          <w:rFonts w:ascii="Calibri" w:hAnsi="Calibri" w:eastAsia="Calibri" w:cs="Calibri"/>
          <w:color w:val="212121"/>
          <w:sz w:val="20"/>
          <w:szCs w:val="20"/>
        </w:rPr>
        <w:t>54</w:t>
      </w:r>
    </w:p>
    <w:p>
      <w:pPr>
        <w:pStyle w:val="TOC2"/>
      </w:pPr>
      <w:r>
        <w:rPr>
          <w:rFonts w:ascii="Calibri" w:hAnsi="Calibri" w:eastAsia="Calibri" w:cs="Calibri"/>
          <w:color w:val="212121"/>
          <w:sz w:val="20"/>
          <w:szCs w:val="20"/>
        </w:rPr>
        <w:t>Section 2.5H: Coercion-as-Service Attribution [NEW: v15.0]</w:t>
      </w:r>
      <w:r>
        <w:rPr>
          <w:rFonts w:ascii="Calibri" w:hAnsi="Calibri"/>
          <w:color w:val="212121"/>
          <w:sz w:val="20"/>
        </w:rPr>
        <w:tab/>
      </w:r>
      <w:r>
        <w:rPr>
          <w:rFonts w:ascii="Calibri" w:hAnsi="Calibri" w:eastAsia="Calibri" w:cs="Calibri"/>
          <w:color w:val="212121"/>
          <w:sz w:val="20"/>
          <w:szCs w:val="20"/>
        </w:rPr>
        <w:t>54</w:t>
      </w:r>
    </w:p>
    <w:p>
      <w:pPr>
        <w:pStyle w:val="TOC2"/>
      </w:pPr>
      <w:r>
        <w:rPr>
          <w:rFonts w:ascii="Calibri" w:hAnsi="Calibri" w:eastAsia="Calibri" w:cs="Calibri"/>
          <w:color w:val="212121"/>
          <w:sz w:val="20"/>
          <w:szCs w:val="20"/>
        </w:rPr>
        <w:t>Section 2.6: Tiered Verification for Compressed Timelines</w:t>
      </w:r>
      <w:r>
        <w:rPr>
          <w:rFonts w:ascii="Calibri" w:hAnsi="Calibri"/>
          <w:color w:val="212121"/>
          <w:sz w:val="20"/>
        </w:rPr>
        <w:tab/>
      </w:r>
      <w:r>
        <w:rPr>
          <w:rFonts w:ascii="Calibri" w:hAnsi="Calibri" w:eastAsia="Calibri" w:cs="Calibri"/>
          <w:color w:val="212121"/>
          <w:sz w:val="20"/>
          <w:szCs w:val="20"/>
        </w:rPr>
        <w:t>55</w:t>
      </w:r>
    </w:p>
    <w:p>
      <w:pPr>
        <w:pStyle w:val="TOC2"/>
      </w:pPr>
      <w:r>
        <w:rPr>
          <w:rFonts w:ascii="Calibri" w:hAnsi="Calibri" w:eastAsia="Calibri" w:cs="Calibri"/>
          <w:color w:val="212121"/>
          <w:sz w:val="20"/>
          <w:szCs w:val="20"/>
        </w:rPr>
        <w:t>Section 2.7: Climate-Trade Coercion Protocol (CTCP)</w:t>
      </w:r>
      <w:r>
        <w:rPr>
          <w:rFonts w:ascii="Calibri" w:hAnsi="Calibri"/>
          <w:color w:val="212121"/>
          <w:sz w:val="20"/>
        </w:rPr>
        <w:tab/>
      </w:r>
      <w:r>
        <w:rPr>
          <w:rFonts w:ascii="Calibri" w:hAnsi="Calibri" w:eastAsia="Calibri" w:cs="Calibri"/>
          <w:color w:val="212121"/>
          <w:sz w:val="20"/>
          <w:szCs w:val="20"/>
        </w:rPr>
        <w:t>55</w:t>
      </w:r>
    </w:p>
    <w:p>
      <w:pPr>
        <w:pStyle w:val="TOC2"/>
      </w:pPr>
      <w:r>
        <w:rPr>
          <w:rFonts w:ascii="Calibri" w:hAnsi="Calibri" w:eastAsia="Calibri" w:cs="Calibri"/>
          <w:color w:val="212121"/>
          <w:sz w:val="20"/>
          <w:szCs w:val="20"/>
        </w:rPr>
        <w:t>Section 2.8: ESG Standards Coercion</w:t>
      </w:r>
      <w:r>
        <w:rPr>
          <w:rFonts w:ascii="Calibri" w:hAnsi="Calibri"/>
          <w:color w:val="212121"/>
          <w:sz w:val="20"/>
        </w:rPr>
        <w:tab/>
      </w:r>
      <w:r>
        <w:rPr>
          <w:rFonts w:ascii="Calibri" w:hAnsi="Calibri" w:eastAsia="Calibri" w:cs="Calibri"/>
          <w:color w:val="212121"/>
          <w:sz w:val="20"/>
          <w:szCs w:val="20"/>
        </w:rPr>
        <w:t>56</w:t>
      </w:r>
    </w:p>
    <w:p>
      <w:pPr>
        <w:pStyle w:val="TOC2"/>
      </w:pPr>
      <w:r>
        <w:rPr>
          <w:rFonts w:ascii="Calibri" w:hAnsi="Calibri" w:eastAsia="Calibri" w:cs="Calibri"/>
          <w:color w:val="212121"/>
          <w:sz w:val="20"/>
          <w:szCs w:val="20"/>
        </w:rPr>
        <w:t>Section 2.9: Cognitive and Information Coercion</w:t>
      </w:r>
      <w:r>
        <w:rPr>
          <w:rFonts w:ascii="Calibri" w:hAnsi="Calibri"/>
          <w:color w:val="212121"/>
          <w:sz w:val="20"/>
        </w:rPr>
        <w:tab/>
      </w:r>
      <w:r>
        <w:rPr>
          <w:rFonts w:ascii="Calibri" w:hAnsi="Calibri" w:eastAsia="Calibri" w:cs="Calibri"/>
          <w:color w:val="212121"/>
          <w:sz w:val="20"/>
          <w:szCs w:val="20"/>
        </w:rPr>
        <w:t>57</w:t>
      </w:r>
    </w:p>
    <w:p>
      <w:pPr>
        <w:pStyle w:val="TOC2"/>
      </w:pPr>
      <w:r>
        <w:rPr>
          <w:rFonts w:ascii="Calibri" w:hAnsi="Calibri" w:eastAsia="Calibri" w:cs="Calibri"/>
          <w:color w:val="212121"/>
          <w:sz w:val="20"/>
          <w:szCs w:val="20"/>
        </w:rPr>
        <w:t>Section 2.9D: Defensive Market-Integrity Measures Against Algorithmic Disinformation [NEW: v12.1]</w:t>
      </w:r>
      <w:r>
        <w:rPr>
          <w:rFonts w:ascii="Calibri" w:hAnsi="Calibri"/>
          <w:color w:val="212121"/>
          <w:sz w:val="20"/>
        </w:rPr>
        <w:tab/>
      </w:r>
      <w:r>
        <w:rPr>
          <w:rFonts w:ascii="Calibri" w:hAnsi="Calibri" w:eastAsia="Calibri" w:cs="Calibri"/>
          <w:color w:val="212121"/>
          <w:sz w:val="20"/>
          <w:szCs w:val="20"/>
        </w:rPr>
        <w:t>58</w:t>
      </w:r>
    </w:p>
    <w:p>
      <w:pPr>
        <w:pStyle w:val="TOC2"/>
      </w:pPr>
      <w:r>
        <w:rPr>
          <w:rFonts w:ascii="Calibri" w:hAnsi="Calibri" w:eastAsia="Calibri" w:cs="Calibri"/>
          <w:color w:val="212121"/>
          <w:sz w:val="20"/>
          <w:szCs w:val="20"/>
        </w:rPr>
        <w:t>Section 2.10: Chronic and Gradual Coercion Protocol (CGP)</w:t>
      </w:r>
      <w:r>
        <w:rPr>
          <w:rFonts w:ascii="Calibri" w:hAnsi="Calibri"/>
          <w:color w:val="212121"/>
          <w:sz w:val="20"/>
        </w:rPr>
        <w:tab/>
      </w:r>
      <w:r>
        <w:rPr>
          <w:rFonts w:ascii="Calibri" w:hAnsi="Calibri" w:eastAsia="Calibri" w:cs="Calibri"/>
          <w:color w:val="212121"/>
          <w:sz w:val="20"/>
          <w:szCs w:val="20"/>
        </w:rPr>
        <w:t>58</w:t>
      </w:r>
    </w:p>
    <w:p>
      <w:pPr>
        <w:pStyle w:val="TOC2"/>
      </w:pPr>
      <w:r>
        <w:rPr>
          <w:rFonts w:ascii="Calibri" w:hAnsi="Calibri" w:eastAsia="Calibri" w:cs="Calibri"/>
          <w:color w:val="212121"/>
          <w:sz w:val="20"/>
          <w:szCs w:val="20"/>
        </w:rPr>
        <w:t>Section 2.10A: Intensity-Compressed Coercion Protocol [NEW: v9.8 Red Team Fix]</w:t>
      </w:r>
      <w:r>
        <w:rPr>
          <w:rFonts w:ascii="Calibri" w:hAnsi="Calibri"/>
          <w:color w:val="212121"/>
          <w:sz w:val="20"/>
        </w:rPr>
        <w:tab/>
      </w:r>
      <w:r>
        <w:rPr>
          <w:rFonts w:ascii="Calibri" w:hAnsi="Calibri" w:eastAsia="Calibri" w:cs="Calibri"/>
          <w:color w:val="212121"/>
          <w:sz w:val="20"/>
          <w:szCs w:val="20"/>
        </w:rPr>
        <w:t>60</w:t>
      </w:r>
    </w:p>
    <w:p>
      <w:pPr>
        <w:pStyle w:val="TOC2"/>
      </w:pPr>
      <w:r>
        <w:rPr>
          <w:rFonts w:ascii="Calibri" w:hAnsi="Calibri" w:eastAsia="Calibri" w:cs="Calibri"/>
          <w:color w:val="212121"/>
          <w:sz w:val="20"/>
          <w:szCs w:val="20"/>
        </w:rPr>
        <w:t>Section 2.10B: Repeat Coercer Presumption for Small States [NEW: v9.8A Small-State Protection]</w:t>
      </w:r>
      <w:r>
        <w:rPr>
          <w:rFonts w:ascii="Calibri" w:hAnsi="Calibri"/>
          <w:color w:val="212121"/>
          <w:sz w:val="20"/>
        </w:rPr>
        <w:tab/>
      </w:r>
      <w:r>
        <w:rPr>
          <w:rFonts w:ascii="Calibri" w:hAnsi="Calibri" w:eastAsia="Calibri" w:cs="Calibri"/>
          <w:color w:val="212121"/>
          <w:sz w:val="20"/>
          <w:szCs w:val="20"/>
        </w:rPr>
        <w:t>61</w:t>
      </w:r>
    </w:p>
    <w:p>
      <w:pPr>
        <w:pStyle w:val="TOC2"/>
      </w:pPr>
      <w:r>
        <w:rPr>
          <w:rFonts w:ascii="Calibri" w:hAnsi="Calibri" w:eastAsia="Calibri" w:cs="Calibri"/>
          <w:color w:val="212121"/>
          <w:sz w:val="20"/>
          <w:szCs w:val="20"/>
        </w:rPr>
        <w:t>Section 2.10C: Regulatory Surprise Protocol [NEW: v12.1]</w:t>
      </w:r>
      <w:r>
        <w:rPr>
          <w:rFonts w:ascii="Calibri" w:hAnsi="Calibri"/>
          <w:color w:val="212121"/>
          <w:sz w:val="20"/>
        </w:rPr>
        <w:tab/>
      </w:r>
      <w:r>
        <w:rPr>
          <w:rFonts w:ascii="Calibri" w:hAnsi="Calibri" w:eastAsia="Calibri" w:cs="Calibri"/>
          <w:color w:val="212121"/>
          <w:sz w:val="20"/>
          <w:szCs w:val="20"/>
        </w:rPr>
        <w:t>62</w:t>
      </w:r>
    </w:p>
    <w:p>
      <w:pPr>
        <w:pStyle w:val="TOC2"/>
      </w:pPr>
      <w:r>
        <w:rPr>
          <w:rFonts w:ascii="Calibri" w:hAnsi="Calibri" w:eastAsia="Calibri" w:cs="Calibri"/>
          <w:color w:val="212121"/>
          <w:sz w:val="20"/>
          <w:szCs w:val="20"/>
        </w:rPr>
        <w:t>Section 2.10D: Customs Harassment and Administrative Obstruction Protocol [NEW: v12.1]</w:t>
      </w:r>
      <w:r>
        <w:rPr>
          <w:rFonts w:ascii="Calibri" w:hAnsi="Calibri"/>
          <w:color w:val="212121"/>
          <w:sz w:val="20"/>
        </w:rPr>
        <w:tab/>
      </w:r>
      <w:r>
        <w:rPr>
          <w:rFonts w:ascii="Calibri" w:hAnsi="Calibri" w:eastAsia="Calibri" w:cs="Calibri"/>
          <w:color w:val="212121"/>
          <w:sz w:val="20"/>
          <w:szCs w:val="20"/>
        </w:rPr>
        <w:t>62</w:t>
      </w:r>
    </w:p>
    <w:p>
      <w:pPr>
        <w:pStyle w:val="TOC2"/>
      </w:pPr>
      <w:r>
        <w:rPr>
          <w:rFonts w:ascii="Calibri" w:hAnsi="Calibri" w:eastAsia="Calibri" w:cs="Calibri"/>
          <w:color w:val="212121"/>
          <w:sz w:val="20"/>
          <w:szCs w:val="20"/>
        </w:rPr>
        <w:t>Section 2.11: Environmental Force Majeure</w:t>
      </w:r>
      <w:r>
        <w:rPr>
          <w:rFonts w:ascii="Calibri" w:hAnsi="Calibri"/>
          <w:color w:val="212121"/>
          <w:sz w:val="20"/>
        </w:rPr>
        <w:tab/>
      </w:r>
      <w:r>
        <w:rPr>
          <w:rFonts w:ascii="Calibri" w:hAnsi="Calibri" w:eastAsia="Calibri" w:cs="Calibri"/>
          <w:color w:val="212121"/>
          <w:sz w:val="20"/>
          <w:szCs w:val="20"/>
        </w:rPr>
        <w:t>62</w:t>
      </w:r>
    </w:p>
    <w:p>
      <w:pPr>
        <w:pStyle w:val="TOC2"/>
      </w:pPr>
      <w:r>
        <w:rPr>
          <w:rFonts w:ascii="Calibri" w:hAnsi="Calibri" w:eastAsia="Calibri" w:cs="Calibri"/>
          <w:color w:val="212121"/>
          <w:sz w:val="20"/>
          <w:szCs w:val="20"/>
        </w:rPr>
        <w:t>Section 2.12: Hybrid Coercion Doctrine</w:t>
      </w:r>
      <w:r>
        <w:rPr>
          <w:rFonts w:ascii="Calibri" w:hAnsi="Calibri"/>
          <w:color w:val="212121"/>
          <w:sz w:val="20"/>
        </w:rPr>
        <w:tab/>
      </w:r>
      <w:r>
        <w:rPr>
          <w:rFonts w:ascii="Calibri" w:hAnsi="Calibri" w:eastAsia="Calibri" w:cs="Calibri"/>
          <w:color w:val="212121"/>
          <w:sz w:val="20"/>
          <w:szCs w:val="20"/>
        </w:rPr>
        <w:t>63</w:t>
      </w:r>
    </w:p>
    <w:p>
      <w:pPr>
        <w:pStyle w:val="TOC2"/>
      </w:pPr>
      <w:r>
        <w:rPr>
          <w:rFonts w:ascii="Calibri" w:hAnsi="Calibri" w:eastAsia="Calibri" w:cs="Calibri"/>
          <w:color w:val="212121"/>
          <w:sz w:val="20"/>
          <w:szCs w:val="20"/>
        </w:rPr>
        <w:t>Section 2.14: Private Economic Coercion Protocol (PECP)</w:t>
      </w:r>
      <w:r>
        <w:rPr>
          <w:rFonts w:ascii="Calibri" w:hAnsi="Calibri"/>
          <w:color w:val="212121"/>
          <w:sz w:val="20"/>
        </w:rPr>
        <w:tab/>
      </w:r>
      <w:r>
        <w:rPr>
          <w:rFonts w:ascii="Calibri" w:hAnsi="Calibri" w:eastAsia="Calibri" w:cs="Calibri"/>
          <w:color w:val="212121"/>
          <w:sz w:val="20"/>
          <w:szCs w:val="20"/>
        </w:rPr>
        <w:t>63</w:t>
      </w:r>
    </w:p>
    <w:p>
      <w:pPr>
        <w:pStyle w:val="TOC2"/>
      </w:pPr>
      <w:r>
        <w:rPr>
          <w:rFonts w:ascii="Calibri" w:hAnsi="Calibri" w:eastAsia="Calibri" w:cs="Calibri"/>
          <w:color w:val="212121"/>
          <w:sz w:val="20"/>
          <w:szCs w:val="20"/>
        </w:rPr>
        <w:t>Section 2.15: Climate Policy Coordination Charter (CPCC)</w:t>
      </w:r>
      <w:r>
        <w:rPr>
          <w:rFonts w:ascii="Calibri" w:hAnsi="Calibri"/>
          <w:color w:val="212121"/>
          <w:sz w:val="20"/>
        </w:rPr>
        <w:tab/>
      </w:r>
      <w:r>
        <w:rPr>
          <w:rFonts w:ascii="Calibri" w:hAnsi="Calibri" w:eastAsia="Calibri" w:cs="Calibri"/>
          <w:color w:val="212121"/>
          <w:sz w:val="20"/>
          <w:szCs w:val="20"/>
        </w:rPr>
        <w:t>64</w:t>
      </w:r>
    </w:p>
    <w:p>
      <w:pPr>
        <w:pStyle w:val="TOC2"/>
      </w:pPr>
      <w:r>
        <w:rPr>
          <w:rFonts w:ascii="Calibri" w:hAnsi="Calibri" w:eastAsia="Calibri" w:cs="Calibri"/>
          <w:color w:val="212121"/>
          <w:sz w:val="20"/>
          <w:szCs w:val="20"/>
        </w:rPr>
        <w:t>Section 2.13: Regional and Sectoral Inclusion Clause</w:t>
      </w:r>
      <w:r>
        <w:rPr>
          <w:rFonts w:ascii="Calibri" w:hAnsi="Calibri"/>
          <w:color w:val="212121"/>
          <w:sz w:val="20"/>
        </w:rPr>
        <w:tab/>
      </w:r>
      <w:r>
        <w:rPr>
          <w:rFonts w:ascii="Calibri" w:hAnsi="Calibri" w:eastAsia="Calibri" w:cs="Calibri"/>
          <w:color w:val="212121"/>
          <w:sz w:val="20"/>
          <w:szCs w:val="20"/>
        </w:rPr>
        <w:t>64</w:t>
      </w:r>
    </w:p>
    <w:p>
      <w:pPr>
        <w:pStyle w:val="TOC2"/>
      </w:pPr>
      <w:r>
        <w:rPr>
          <w:rFonts w:ascii="Calibri" w:hAnsi="Calibri" w:eastAsia="Calibri" w:cs="Calibri"/>
          <w:color w:val="212121"/>
          <w:sz w:val="20"/>
          <w:szCs w:val="20"/>
        </w:rPr>
        <w:t>Section 2.0A: Universal Applicability Principle [NEW: v9.8B]</w:t>
      </w:r>
      <w:r>
        <w:rPr>
          <w:rFonts w:ascii="Calibri" w:hAnsi="Calibri"/>
          <w:color w:val="212121"/>
          <w:sz w:val="20"/>
        </w:rPr>
        <w:tab/>
      </w:r>
      <w:r>
        <w:rPr>
          <w:rFonts w:ascii="Calibri" w:hAnsi="Calibri" w:eastAsia="Calibri" w:cs="Calibri"/>
          <w:color w:val="212121"/>
          <w:sz w:val="20"/>
          <w:szCs w:val="20"/>
        </w:rPr>
        <w:t>64</w:t>
      </w:r>
    </w:p>
    <w:p>
      <w:pPr>
        <w:pStyle w:val="TOC2"/>
      </w:pPr>
      <w:r>
        <w:rPr>
          <w:rFonts w:ascii="Calibri" w:hAnsi="Calibri" w:eastAsia="Calibri" w:cs="Calibri"/>
          <w:color w:val="212121"/>
          <w:sz w:val="20"/>
          <w:szCs w:val="20"/>
        </w:rPr>
        <w:t>Section 2.1C: Preferential Aggregation for Small-State Coercion Cases [NEW: v9.8A Small-State Protection]</w:t>
      </w:r>
      <w:r>
        <w:rPr>
          <w:rFonts w:ascii="Calibri" w:hAnsi="Calibri"/>
          <w:color w:val="212121"/>
          <w:sz w:val="20"/>
        </w:rPr>
        <w:tab/>
      </w:r>
      <w:r>
        <w:rPr>
          <w:rFonts w:ascii="Calibri" w:hAnsi="Calibri" w:eastAsia="Calibri" w:cs="Calibri"/>
          <w:color w:val="212121"/>
          <w:sz w:val="20"/>
          <w:szCs w:val="20"/>
        </w:rPr>
        <w:t>65</w:t>
      </w:r>
    </w:p>
    <w:p>
      <w:pPr>
        <w:pStyle w:val="TOC2"/>
      </w:pPr>
      <w:r>
        <w:rPr>
          <w:rFonts w:ascii="Calibri" w:hAnsi="Calibri" w:eastAsia="Calibri" w:cs="Calibri"/>
          <w:color w:val="212121"/>
          <w:sz w:val="20"/>
          <w:szCs w:val="20"/>
        </w:rPr>
        <w:t>Section 2.4A: Symmetry of Economic Exposure [NEW: v9.8A Political Inoculation]</w:t>
      </w:r>
      <w:r>
        <w:rPr>
          <w:rFonts w:ascii="Calibri" w:hAnsi="Calibri"/>
          <w:color w:val="212121"/>
          <w:sz w:val="20"/>
        </w:rPr>
        <w:tab/>
      </w:r>
      <w:r>
        <w:rPr>
          <w:rFonts w:ascii="Calibri" w:hAnsi="Calibri" w:eastAsia="Calibri" w:cs="Calibri"/>
          <w:color w:val="212121"/>
          <w:sz w:val="20"/>
          <w:szCs w:val="20"/>
        </w:rPr>
        <w:t>65</w:t>
      </w:r>
    </w:p>
    <w:p>
      <w:pPr>
        <w:pStyle w:val="TOC2"/>
      </w:pPr>
      <w:r>
        <w:rPr>
          <w:rFonts w:ascii="Calibri" w:hAnsi="Calibri" w:eastAsia="Calibri" w:cs="Calibri"/>
          <w:color w:val="212121"/>
          <w:sz w:val="20"/>
          <w:szCs w:val="20"/>
        </w:rPr>
        <w:t>Section 2.8A: Coalition Standards Recognition [NEW: v9.8A Small-State Protection]</w:t>
      </w:r>
      <w:r>
        <w:rPr>
          <w:rFonts w:ascii="Calibri" w:hAnsi="Calibri"/>
          <w:color w:val="212121"/>
          <w:sz w:val="20"/>
        </w:rPr>
        <w:tab/>
      </w:r>
      <w:r>
        <w:rPr>
          <w:rFonts w:ascii="Calibri" w:hAnsi="Calibri" w:eastAsia="Calibri" w:cs="Calibri"/>
          <w:color w:val="212121"/>
          <w:sz w:val="20"/>
          <w:szCs w:val="20"/>
        </w:rPr>
        <w:t>67</w:t>
      </w:r>
    </w:p>
    <w:p>
      <w:pPr>
        <w:pStyle w:val="TOC2"/>
      </w:pPr>
      <w:r>
        <w:rPr>
          <w:rFonts w:ascii="Calibri" w:hAnsi="Calibri" w:eastAsia="Calibri" w:cs="Calibri"/>
          <w:color w:val="212121"/>
          <w:sz w:val="20"/>
          <w:szCs w:val="20"/>
        </w:rPr>
        <w:t>Section 2.12A: Hybrid Threat Integration Protocol [NEW: v9.8A Military-Economic Nexus]</w:t>
      </w:r>
      <w:r>
        <w:rPr>
          <w:rFonts w:ascii="Calibri" w:hAnsi="Calibri"/>
          <w:color w:val="212121"/>
          <w:sz w:val="20"/>
        </w:rPr>
        <w:tab/>
      </w:r>
      <w:r>
        <w:rPr>
          <w:rFonts w:ascii="Calibri" w:hAnsi="Calibri" w:eastAsia="Calibri" w:cs="Calibri"/>
          <w:color w:val="212121"/>
          <w:sz w:val="20"/>
          <w:szCs w:val="20"/>
        </w:rPr>
        <w:t>68</w:t>
      </w:r>
    </w:p>
    <w:p>
      <w:pPr>
        <w:pStyle w:val="TOC2"/>
      </w:pPr>
      <w:r>
        <w:rPr>
          <w:rFonts w:ascii="Calibri" w:hAnsi="Calibri" w:eastAsia="Calibri" w:cs="Calibri"/>
          <w:color w:val="212121"/>
          <w:sz w:val="20"/>
          <w:szCs w:val="20"/>
        </w:rPr>
        <w:t>Section 2.15: Evidentiary Standards for Coercion Certification [NEW: v9.8 Red Team Fix]</w:t>
      </w:r>
      <w:r>
        <w:rPr>
          <w:rFonts w:ascii="Calibri" w:hAnsi="Calibri"/>
          <w:color w:val="212121"/>
          <w:sz w:val="20"/>
        </w:rPr>
        <w:tab/>
      </w:r>
      <w:r>
        <w:rPr>
          <w:rFonts w:ascii="Calibri" w:hAnsi="Calibri" w:eastAsia="Calibri" w:cs="Calibri"/>
          <w:color w:val="212121"/>
          <w:sz w:val="20"/>
          <w:szCs w:val="20"/>
        </w:rPr>
        <w:t>69</w:t>
      </w:r>
    </w:p>
    <w:p>
      <w:pPr>
        <w:pStyle w:val="TOC2"/>
      </w:pPr>
      <w:r>
        <w:rPr>
          <w:rFonts w:ascii="Calibri" w:hAnsi="Calibri" w:eastAsia="Calibri" w:cs="Calibri"/>
          <w:color w:val="212121"/>
          <w:sz w:val="20"/>
          <w:szCs w:val="20"/>
        </w:rPr>
        <w:t>Section 2.15A: Unsubstantiated National Security Claim Protocol [NEW: v12.1]</w:t>
      </w:r>
      <w:r>
        <w:rPr>
          <w:rFonts w:ascii="Calibri" w:hAnsi="Calibri"/>
          <w:color w:val="212121"/>
          <w:sz w:val="20"/>
        </w:rPr>
        <w:tab/>
      </w:r>
      <w:r>
        <w:rPr>
          <w:rFonts w:ascii="Calibri" w:hAnsi="Calibri" w:eastAsia="Calibri" w:cs="Calibri"/>
          <w:color w:val="212121"/>
          <w:sz w:val="20"/>
          <w:szCs w:val="20"/>
        </w:rPr>
        <w:t>69</w:t>
      </w:r>
    </w:p>
    <w:p>
      <w:pPr>
        <w:pStyle w:val="TOC2"/>
      </w:pPr>
      <w:r>
        <w:rPr>
          <w:rFonts w:ascii="Calibri" w:hAnsi="Calibri" w:eastAsia="Calibri" w:cs="Calibri"/>
          <w:color w:val="212121"/>
          <w:sz w:val="20"/>
          <w:szCs w:val="20"/>
        </w:rPr>
        <w:t>Section 2.15C: Mixed-Issue Tariff Protocol [NEW: v12.1]</w:t>
      </w:r>
      <w:r>
        <w:rPr>
          <w:rFonts w:ascii="Calibri" w:hAnsi="Calibri"/>
          <w:color w:val="212121"/>
          <w:sz w:val="20"/>
        </w:rPr>
        <w:tab/>
      </w:r>
      <w:r>
        <w:rPr>
          <w:rFonts w:ascii="Calibri" w:hAnsi="Calibri" w:eastAsia="Calibri" w:cs="Calibri"/>
          <w:color w:val="212121"/>
          <w:sz w:val="20"/>
          <w:szCs w:val="20"/>
        </w:rPr>
        <w:t>70</w:t>
      </w:r>
    </w:p>
    <w:p>
      <w:pPr>
        <w:pStyle w:val="TOC2"/>
      </w:pPr>
      <w:r>
        <w:rPr>
          <w:rFonts w:ascii="Calibri" w:hAnsi="Calibri" w:eastAsia="Calibri" w:cs="Calibri"/>
          <w:color w:val="212121"/>
          <w:sz w:val="20"/>
          <w:szCs w:val="20"/>
        </w:rPr>
        <w:t>Section 2.15D: Secondary Supply Chain Sanctions Protocol [NEW: v12.1]</w:t>
      </w:r>
      <w:r>
        <w:rPr>
          <w:rFonts w:ascii="Calibri" w:hAnsi="Calibri"/>
          <w:color w:val="212121"/>
          <w:sz w:val="20"/>
        </w:rPr>
        <w:tab/>
      </w:r>
      <w:r>
        <w:rPr>
          <w:rFonts w:ascii="Calibri" w:hAnsi="Calibri" w:eastAsia="Calibri" w:cs="Calibri"/>
          <w:color w:val="212121"/>
          <w:sz w:val="20"/>
          <w:szCs w:val="20"/>
        </w:rPr>
        <w:t>70</w:t>
      </w:r>
    </w:p>
    <w:p>
      <w:pPr>
        <w:pStyle w:val="TOC2"/>
      </w:pPr>
      <w:r>
        <w:rPr>
          <w:rFonts w:ascii="Calibri" w:hAnsi="Calibri" w:eastAsia="Calibri" w:cs="Calibri"/>
          <w:color w:val="212121"/>
          <w:sz w:val="20"/>
          <w:szCs w:val="20"/>
        </w:rPr>
        <w:t>Section 2.15E: Official Statement Consistency Protocol [NEW: v12.1]</w:t>
      </w:r>
      <w:r>
        <w:rPr>
          <w:rFonts w:ascii="Calibri" w:hAnsi="Calibri"/>
          <w:color w:val="212121"/>
          <w:sz w:val="20"/>
        </w:rPr>
        <w:tab/>
      </w:r>
      <w:r>
        <w:rPr>
          <w:rFonts w:ascii="Calibri" w:hAnsi="Calibri" w:eastAsia="Calibri" w:cs="Calibri"/>
          <w:color w:val="212121"/>
          <w:sz w:val="20"/>
          <w:szCs w:val="20"/>
        </w:rPr>
        <w:t>70</w:t>
      </w:r>
    </w:p>
    <w:p>
      <w:pPr>
        <w:pStyle w:val="TOC2"/>
      </w:pPr>
      <w:r>
        <w:rPr>
          <w:rFonts w:ascii="Calibri" w:hAnsi="Calibri" w:eastAsia="Calibri" w:cs="Calibri"/>
          <w:color w:val="212121"/>
          <w:sz w:val="20"/>
          <w:szCs w:val="20"/>
        </w:rPr>
        <w:t>Section 2.15F: Retroactive Policy Reversal Protocol [NEW: v12.1]</w:t>
      </w:r>
      <w:r>
        <w:rPr>
          <w:rFonts w:ascii="Calibri" w:hAnsi="Calibri"/>
          <w:color w:val="212121"/>
          <w:sz w:val="20"/>
        </w:rPr>
        <w:tab/>
      </w:r>
      <w:r>
        <w:rPr>
          <w:rFonts w:ascii="Calibri" w:hAnsi="Calibri" w:eastAsia="Calibri" w:cs="Calibri"/>
          <w:color w:val="212121"/>
          <w:sz w:val="20"/>
          <w:szCs w:val="20"/>
        </w:rPr>
        <w:t>71</w:t>
      </w:r>
    </w:p>
    <w:p>
      <w:pPr>
        <w:pStyle w:val="TOC2"/>
      </w:pPr>
      <w:r>
        <w:rPr>
          <w:rFonts w:ascii="Calibri" w:hAnsi="Calibri" w:eastAsia="Calibri" w:cs="Calibri"/>
          <w:color w:val="212121"/>
          <w:sz w:val="20"/>
          <w:szCs w:val="20"/>
        </w:rPr>
        <w:t>Section 2.15B: Protocol-Layer Coercion Certification [NEW: v15.0]</w:t>
      </w:r>
      <w:r>
        <w:rPr>
          <w:rFonts w:ascii="Calibri" w:hAnsi="Calibri"/>
          <w:color w:val="212121"/>
          <w:sz w:val="20"/>
        </w:rPr>
        <w:tab/>
      </w:r>
      <w:r>
        <w:rPr>
          <w:rFonts w:ascii="Calibri" w:hAnsi="Calibri" w:eastAsia="Calibri" w:cs="Calibri"/>
          <w:color w:val="212121"/>
          <w:sz w:val="20"/>
          <w:szCs w:val="20"/>
        </w:rPr>
        <w:t>71</w:t>
      </w:r>
    </w:p>
    <w:p>
      <w:pPr>
        <w:pStyle w:val="TOC2"/>
      </w:pPr>
      <w:r>
        <w:rPr>
          <w:rFonts w:ascii="Calibri" w:hAnsi="Calibri" w:eastAsia="Calibri" w:cs="Calibri"/>
          <w:color w:val="212121"/>
          <w:sz w:val="20"/>
          <w:szCs w:val="20"/>
        </w:rPr>
        <w:t>Section 2.15G: Standing Evidentiary Challenge Panel [NEW: v15.0]</w:t>
      </w:r>
      <w:r>
        <w:rPr>
          <w:rFonts w:ascii="Calibri" w:hAnsi="Calibri"/>
          <w:color w:val="212121"/>
          <w:sz w:val="20"/>
        </w:rPr>
        <w:tab/>
      </w:r>
      <w:r>
        <w:rPr>
          <w:rFonts w:ascii="Calibri" w:hAnsi="Calibri" w:eastAsia="Calibri" w:cs="Calibri"/>
          <w:color w:val="212121"/>
          <w:sz w:val="20"/>
          <w:szCs w:val="20"/>
        </w:rPr>
        <w:t>71</w:t>
      </w:r>
    </w:p>
    <w:p>
      <w:pPr>
        <w:pStyle w:val="TOC2"/>
      </w:pPr>
      <w:r>
        <w:rPr>
          <w:rFonts w:ascii="Calibri" w:hAnsi="Calibri" w:eastAsia="Calibri" w:cs="Calibri"/>
          <w:color w:val="212121"/>
          <w:sz w:val="20"/>
          <w:szCs w:val="20"/>
        </w:rPr>
        <w:t>Section 2.15H: Proxy Force Attribution Protocol [NEW: v15.0]</w:t>
      </w:r>
      <w:r>
        <w:rPr>
          <w:rFonts w:ascii="Calibri" w:hAnsi="Calibri"/>
          <w:color w:val="212121"/>
          <w:sz w:val="20"/>
        </w:rPr>
        <w:tab/>
      </w:r>
      <w:r>
        <w:rPr>
          <w:rFonts w:ascii="Calibri" w:hAnsi="Calibri" w:eastAsia="Calibri" w:cs="Calibri"/>
          <w:color w:val="212121"/>
          <w:sz w:val="20"/>
          <w:szCs w:val="20"/>
        </w:rPr>
        <w:t>72</w:t>
      </w:r>
    </w:p>
    <w:p>
      <w:pPr>
        <w:pStyle w:val="TOC1"/>
      </w:pPr>
      <w:r>
        <w:rPr>
          <w:rFonts w:ascii="Calibri" w:hAnsi="Calibri" w:eastAsia="Calibri" w:cs="Calibri"/>
          <w:b/>
          <w:color w:val="37474F"/>
          <w:sz w:val="21"/>
          <w:szCs w:val="21"/>
        </w:rPr>
        <w:t>ARTICLE III: TIERED MEMBERSHIP</w:t>
      </w:r>
      <w:r>
        <w:rPr>
          <w:rFonts w:ascii="Calibri" w:hAnsi="Calibri"/>
          <w:b/>
          <w:color w:val="37474F"/>
          <w:sz w:val="21"/>
        </w:rPr>
        <w:tab/>
      </w:r>
      <w:r>
        <w:rPr>
          <w:rFonts w:ascii="Calibri" w:hAnsi="Calibri" w:eastAsia="Calibri" w:cs="Calibri"/>
          <w:b/>
          <w:color w:val="37474F"/>
          <w:sz w:val="21"/>
          <w:szCs w:val="21"/>
        </w:rPr>
        <w:t>73</w:t>
      </w:r>
    </w:p>
    <w:p>
      <w:pPr>
        <w:pStyle w:val="TOC2"/>
      </w:pPr>
      <w:r>
        <w:rPr>
          <w:rFonts w:ascii="Calibri" w:hAnsi="Calibri" w:eastAsia="Calibri" w:cs="Calibri"/>
          <w:color w:val="212121"/>
          <w:sz w:val="20"/>
          <w:szCs w:val="20"/>
        </w:rPr>
        <w:t>Section 3.1: Five-Tier Framework (v8.6)</w:t>
      </w:r>
      <w:r>
        <w:rPr>
          <w:rFonts w:ascii="Calibri" w:hAnsi="Calibri"/>
          <w:color w:val="212121"/>
          <w:sz w:val="20"/>
        </w:rPr>
        <w:tab/>
      </w:r>
      <w:r>
        <w:rPr>
          <w:rFonts w:ascii="Calibri" w:hAnsi="Calibri" w:eastAsia="Calibri" w:cs="Calibri"/>
          <w:color w:val="212121"/>
          <w:sz w:val="20"/>
          <w:szCs w:val="20"/>
        </w:rPr>
        <w:t>73</w:t>
      </w:r>
    </w:p>
    <w:p>
      <w:pPr>
        <w:pStyle w:val="TOC2"/>
      </w:pPr>
      <w:r>
        <w:rPr>
          <w:rFonts w:ascii="Calibri" w:hAnsi="Calibri" w:eastAsia="Calibri" w:cs="Calibri"/>
          <w:color w:val="212121"/>
          <w:sz w:val="20"/>
          <w:szCs w:val="20"/>
        </w:rPr>
        <w:t>Section 3.1A: Graduated Solidarity Entry (GSE)</w:t>
      </w:r>
      <w:r>
        <w:rPr>
          <w:rFonts w:ascii="Calibri" w:hAnsi="Calibri"/>
          <w:color w:val="212121"/>
          <w:sz w:val="20"/>
        </w:rPr>
        <w:tab/>
      </w:r>
      <w:r>
        <w:rPr>
          <w:rFonts w:ascii="Calibri" w:hAnsi="Calibri" w:eastAsia="Calibri" w:cs="Calibri"/>
          <w:color w:val="212121"/>
          <w:sz w:val="20"/>
          <w:szCs w:val="20"/>
        </w:rPr>
        <w:t>74</w:t>
      </w:r>
    </w:p>
    <w:p>
      <w:pPr>
        <w:pStyle w:val="TOC2"/>
      </w:pPr>
      <w:r>
        <w:rPr>
          <w:rFonts w:ascii="Calibri" w:hAnsi="Calibri" w:eastAsia="Calibri" w:cs="Calibri"/>
          <w:color w:val="212121"/>
          <w:sz w:val="20"/>
          <w:szCs w:val="20"/>
        </w:rPr>
        <w:t>Section 3.1B: Southern Partnership Track</w:t>
      </w:r>
      <w:r>
        <w:rPr>
          <w:rFonts w:ascii="Calibri" w:hAnsi="Calibri"/>
          <w:color w:val="212121"/>
          <w:sz w:val="20"/>
        </w:rPr>
        <w:tab/>
      </w:r>
      <w:r>
        <w:rPr>
          <w:rFonts w:ascii="Calibri" w:hAnsi="Calibri" w:eastAsia="Calibri" w:cs="Calibri"/>
          <w:color w:val="212121"/>
          <w:sz w:val="20"/>
          <w:szCs w:val="20"/>
        </w:rPr>
        <w:t>74</w:t>
      </w:r>
    </w:p>
    <w:p>
      <w:pPr>
        <w:pStyle w:val="TOC2"/>
      </w:pPr>
      <w:r>
        <w:rPr>
          <w:rFonts w:ascii="Calibri" w:hAnsi="Calibri" w:eastAsia="Calibri" w:cs="Calibri"/>
          <w:color w:val="212121"/>
          <w:sz w:val="20"/>
          <w:szCs w:val="20"/>
        </w:rPr>
        <w:t>Section 3.1C: IMESI-LDC Protocol</w:t>
      </w:r>
      <w:r>
        <w:rPr>
          <w:rFonts w:ascii="Calibri" w:hAnsi="Calibri"/>
          <w:color w:val="212121"/>
          <w:sz w:val="20"/>
        </w:rPr>
        <w:tab/>
      </w:r>
      <w:r>
        <w:rPr>
          <w:rFonts w:ascii="Calibri" w:hAnsi="Calibri" w:eastAsia="Calibri" w:cs="Calibri"/>
          <w:color w:val="212121"/>
          <w:sz w:val="20"/>
          <w:szCs w:val="20"/>
        </w:rPr>
        <w:t>75</w:t>
      </w:r>
    </w:p>
    <w:p>
      <w:pPr>
        <w:pStyle w:val="TOC2"/>
      </w:pPr>
      <w:r>
        <w:rPr>
          <w:rFonts w:ascii="Calibri" w:hAnsi="Calibri" w:eastAsia="Calibri" w:cs="Calibri"/>
          <w:color w:val="212121"/>
          <w:sz w:val="20"/>
          <w:szCs w:val="20"/>
        </w:rPr>
        <w:t>Section 3.2: Provisional Pathway</w:t>
      </w:r>
      <w:r>
        <w:rPr>
          <w:rFonts w:ascii="Calibri" w:hAnsi="Calibri"/>
          <w:color w:val="212121"/>
          <w:sz w:val="20"/>
        </w:rPr>
        <w:tab/>
      </w:r>
      <w:r>
        <w:rPr>
          <w:rFonts w:ascii="Calibri" w:hAnsi="Calibri" w:eastAsia="Calibri" w:cs="Calibri"/>
          <w:color w:val="212121"/>
          <w:sz w:val="20"/>
          <w:szCs w:val="20"/>
        </w:rPr>
        <w:t>76</w:t>
      </w:r>
    </w:p>
    <w:p>
      <w:pPr>
        <w:pStyle w:val="TOC2"/>
      </w:pPr>
      <w:r>
        <w:rPr>
          <w:rFonts w:ascii="Calibri" w:hAnsi="Calibri" w:eastAsia="Calibri" w:cs="Calibri"/>
          <w:color w:val="212121"/>
          <w:sz w:val="20"/>
          <w:szCs w:val="20"/>
        </w:rPr>
        <w:t>Section 3.2A: "Reverse Accession" Pathway</w:t>
      </w:r>
      <w:r>
        <w:rPr>
          <w:rFonts w:ascii="Calibri" w:hAnsi="Calibri"/>
          <w:color w:val="212121"/>
          <w:sz w:val="20"/>
        </w:rPr>
        <w:tab/>
      </w:r>
      <w:r>
        <w:rPr>
          <w:rFonts w:ascii="Calibri" w:hAnsi="Calibri" w:eastAsia="Calibri" w:cs="Calibri"/>
          <w:color w:val="212121"/>
          <w:sz w:val="20"/>
          <w:szCs w:val="20"/>
        </w:rPr>
        <w:t>76</w:t>
      </w:r>
    </w:p>
    <w:p>
      <w:pPr>
        <w:pStyle w:val="TOC2"/>
      </w:pPr>
      <w:r>
        <w:rPr>
          <w:rFonts w:ascii="Calibri" w:hAnsi="Calibri" w:eastAsia="Calibri" w:cs="Calibri"/>
          <w:color w:val="212121"/>
          <w:sz w:val="20"/>
          <w:szCs w:val="20"/>
        </w:rPr>
        <w:t>Section 3.2B: Automatic Trade Data Sharing Incentive</w:t>
      </w:r>
      <w:r>
        <w:rPr>
          <w:rFonts w:ascii="Calibri" w:hAnsi="Calibri"/>
          <w:color w:val="212121"/>
          <w:sz w:val="20"/>
        </w:rPr>
        <w:tab/>
      </w:r>
      <w:r>
        <w:rPr>
          <w:rFonts w:ascii="Calibri" w:hAnsi="Calibri" w:eastAsia="Calibri" w:cs="Calibri"/>
          <w:color w:val="212121"/>
          <w:sz w:val="20"/>
          <w:szCs w:val="20"/>
        </w:rPr>
        <w:t>77</w:t>
      </w:r>
    </w:p>
    <w:p>
      <w:pPr>
        <w:pStyle w:val="TOC2"/>
      </w:pPr>
      <w:r>
        <w:rPr>
          <w:rFonts w:ascii="Calibri" w:hAnsi="Calibri" w:eastAsia="Calibri" w:cs="Calibri"/>
          <w:color w:val="212121"/>
          <w:sz w:val="20"/>
          <w:szCs w:val="20"/>
        </w:rPr>
        <w:t>Section 3.3: Sector-Specific Opt-Ins</w:t>
      </w:r>
      <w:r>
        <w:rPr>
          <w:rFonts w:ascii="Calibri" w:hAnsi="Calibri"/>
          <w:color w:val="212121"/>
          <w:sz w:val="20"/>
        </w:rPr>
        <w:tab/>
      </w:r>
      <w:r>
        <w:rPr>
          <w:rFonts w:ascii="Calibri" w:hAnsi="Calibri" w:eastAsia="Calibri" w:cs="Calibri"/>
          <w:color w:val="212121"/>
          <w:sz w:val="20"/>
          <w:szCs w:val="20"/>
        </w:rPr>
        <w:t>77</w:t>
      </w:r>
    </w:p>
    <w:p>
      <w:pPr>
        <w:pStyle w:val="TOC2"/>
      </w:pPr>
      <w:r>
        <w:rPr>
          <w:rFonts w:ascii="Calibri" w:hAnsi="Calibri" w:eastAsia="Calibri" w:cs="Calibri"/>
          <w:color w:val="212121"/>
          <w:sz w:val="20"/>
          <w:szCs w:val="20"/>
        </w:rPr>
        <w:t>Section 3.3A: Modular Response Architecture</w:t>
      </w:r>
      <w:r>
        <w:rPr>
          <w:rFonts w:ascii="Calibri" w:hAnsi="Calibri"/>
          <w:color w:val="212121"/>
          <w:sz w:val="20"/>
        </w:rPr>
        <w:tab/>
      </w:r>
      <w:r>
        <w:rPr>
          <w:rFonts w:ascii="Calibri" w:hAnsi="Calibri" w:eastAsia="Calibri" w:cs="Calibri"/>
          <w:color w:val="212121"/>
          <w:sz w:val="20"/>
          <w:szCs w:val="20"/>
        </w:rPr>
        <w:t>77</w:t>
      </w:r>
    </w:p>
    <w:p>
      <w:pPr>
        <w:pStyle w:val="TOC2"/>
      </w:pPr>
      <w:r>
        <w:rPr>
          <w:rFonts w:ascii="Calibri" w:hAnsi="Calibri" w:eastAsia="Calibri" w:cs="Calibri"/>
          <w:color w:val="212121"/>
          <w:sz w:val="20"/>
          <w:szCs w:val="20"/>
        </w:rPr>
        <w:t>Section 3.4: Minimum Response Floor</w:t>
      </w:r>
      <w:r>
        <w:rPr>
          <w:rFonts w:ascii="Calibri" w:hAnsi="Calibri"/>
          <w:color w:val="212121"/>
          <w:sz w:val="20"/>
        </w:rPr>
        <w:tab/>
      </w:r>
      <w:r>
        <w:rPr>
          <w:rFonts w:ascii="Calibri" w:hAnsi="Calibri" w:eastAsia="Calibri" w:cs="Calibri"/>
          <w:color w:val="212121"/>
          <w:sz w:val="20"/>
          <w:szCs w:val="20"/>
        </w:rPr>
        <w:t>78</w:t>
      </w:r>
    </w:p>
    <w:p>
      <w:pPr>
        <w:pStyle w:val="TOC2"/>
      </w:pPr>
      <w:r>
        <w:rPr>
          <w:rFonts w:ascii="Calibri" w:hAnsi="Calibri" w:eastAsia="Calibri" w:cs="Calibri"/>
          <w:color w:val="212121"/>
          <w:sz w:val="20"/>
          <w:szCs w:val="20"/>
        </w:rPr>
        <w:t>Section 3.4A: Sectoral Pilot Participation</w:t>
      </w:r>
      <w:r>
        <w:rPr>
          <w:rFonts w:ascii="Calibri" w:hAnsi="Calibri"/>
          <w:color w:val="212121"/>
          <w:sz w:val="20"/>
        </w:rPr>
        <w:tab/>
      </w:r>
      <w:r>
        <w:rPr>
          <w:rFonts w:ascii="Calibri" w:hAnsi="Calibri" w:eastAsia="Calibri" w:cs="Calibri"/>
          <w:color w:val="212121"/>
          <w:sz w:val="20"/>
          <w:szCs w:val="20"/>
        </w:rPr>
        <w:t>82</w:t>
      </w:r>
    </w:p>
    <w:p>
      <w:pPr>
        <w:pStyle w:val="TOC2"/>
      </w:pPr>
      <w:r>
        <w:rPr>
          <w:rFonts w:ascii="Calibri" w:hAnsi="Calibri" w:eastAsia="Calibri" w:cs="Calibri"/>
          <w:color w:val="212121"/>
          <w:sz w:val="20"/>
          <w:szCs w:val="20"/>
        </w:rPr>
        <w:t>Section 3.1D: No Retrospective Liability [NEW: v9.8A Institutional Maturity]</w:t>
      </w:r>
      <w:r>
        <w:rPr>
          <w:rFonts w:ascii="Calibri" w:hAnsi="Calibri"/>
          <w:color w:val="212121"/>
          <w:sz w:val="20"/>
        </w:rPr>
        <w:tab/>
      </w:r>
      <w:r>
        <w:rPr>
          <w:rFonts w:ascii="Calibri" w:hAnsi="Calibri" w:eastAsia="Calibri" w:cs="Calibri"/>
          <w:color w:val="212121"/>
          <w:sz w:val="20"/>
          <w:szCs w:val="20"/>
        </w:rPr>
        <w:t>82</w:t>
      </w:r>
    </w:p>
    <w:p>
      <w:pPr>
        <w:pStyle w:val="TOC2"/>
      </w:pPr>
      <w:r>
        <w:rPr>
          <w:rFonts w:ascii="Calibri" w:hAnsi="Calibri" w:eastAsia="Calibri" w:cs="Calibri"/>
          <w:color w:val="212121"/>
          <w:sz w:val="20"/>
          <w:szCs w:val="20"/>
        </w:rPr>
        <w:t>Section 3.1E: New Member Grace Period [NEW: v9.8A Institutional Maturity]</w:t>
      </w:r>
      <w:r>
        <w:rPr>
          <w:rFonts w:ascii="Calibri" w:hAnsi="Calibri"/>
          <w:color w:val="212121"/>
          <w:sz w:val="20"/>
        </w:rPr>
        <w:tab/>
      </w:r>
      <w:r>
        <w:rPr>
          <w:rFonts w:ascii="Calibri" w:hAnsi="Calibri" w:eastAsia="Calibri" w:cs="Calibri"/>
          <w:color w:val="212121"/>
          <w:sz w:val="20"/>
          <w:szCs w:val="20"/>
        </w:rPr>
        <w:t>82</w:t>
      </w:r>
    </w:p>
    <w:p>
      <w:pPr>
        <w:pStyle w:val="TOC2"/>
      </w:pPr>
      <w:r>
        <w:rPr>
          <w:rFonts w:ascii="Calibri" w:hAnsi="Calibri" w:eastAsia="Calibri" w:cs="Calibri"/>
          <w:color w:val="212121"/>
          <w:sz w:val="20"/>
          <w:szCs w:val="20"/>
        </w:rPr>
        <w:t>Section 3.1F: First-Mover Protection Package [NEW: v9.8A Political Roadmap]</w:t>
      </w:r>
      <w:r>
        <w:rPr>
          <w:rFonts w:ascii="Calibri" w:hAnsi="Calibri"/>
          <w:color w:val="212121"/>
          <w:sz w:val="20"/>
        </w:rPr>
        <w:tab/>
      </w:r>
      <w:r>
        <w:rPr>
          <w:rFonts w:ascii="Calibri" w:hAnsi="Calibri" w:eastAsia="Calibri" w:cs="Calibri"/>
          <w:color w:val="212121"/>
          <w:sz w:val="20"/>
          <w:szCs w:val="20"/>
        </w:rPr>
        <w:t>83</w:t>
      </w:r>
    </w:p>
    <w:p>
      <w:pPr>
        <w:pStyle w:val="TOC2"/>
      </w:pPr>
      <w:r>
        <w:rPr>
          <w:rFonts w:ascii="Calibri" w:hAnsi="Calibri" w:eastAsia="Calibri" w:cs="Calibri"/>
          <w:color w:val="212121"/>
          <w:sz w:val="20"/>
          <w:szCs w:val="20"/>
        </w:rPr>
        <w:t>Section 3.1G: Systemic Economy Founding Sponsor Option [NEW: v9.8B]</w:t>
      </w:r>
      <w:r>
        <w:rPr>
          <w:rFonts w:ascii="Calibri" w:hAnsi="Calibri"/>
          <w:color w:val="212121"/>
          <w:sz w:val="20"/>
        </w:rPr>
        <w:tab/>
      </w:r>
      <w:r>
        <w:rPr>
          <w:rFonts w:ascii="Calibri" w:hAnsi="Calibri" w:eastAsia="Calibri" w:cs="Calibri"/>
          <w:color w:val="212121"/>
          <w:sz w:val="20"/>
          <w:szCs w:val="20"/>
        </w:rPr>
        <w:t>83</w:t>
      </w:r>
    </w:p>
    <w:p>
      <w:pPr>
        <w:pStyle w:val="TOC2"/>
      </w:pPr>
      <w:r>
        <w:rPr>
          <w:rFonts w:ascii="Calibri" w:hAnsi="Calibri" w:eastAsia="Calibri" w:cs="Calibri"/>
          <w:color w:val="212121"/>
          <w:sz w:val="20"/>
          <w:szCs w:val="20"/>
        </w:rPr>
        <w:t>Section 3.2C: Founding Observer Track [NEW: v9.8A Adoption Readiness]</w:t>
      </w:r>
      <w:r>
        <w:rPr>
          <w:rFonts w:ascii="Calibri" w:hAnsi="Calibri"/>
          <w:color w:val="212121"/>
          <w:sz w:val="20"/>
        </w:rPr>
        <w:tab/>
      </w:r>
      <w:r>
        <w:rPr>
          <w:rFonts w:ascii="Calibri" w:hAnsi="Calibri" w:eastAsia="Calibri" w:cs="Calibri"/>
          <w:color w:val="212121"/>
          <w:sz w:val="20"/>
          <w:szCs w:val="20"/>
        </w:rPr>
        <w:t>84</w:t>
      </w:r>
    </w:p>
    <w:p>
      <w:pPr>
        <w:pStyle w:val="TOC2"/>
      </w:pPr>
      <w:r>
        <w:rPr>
          <w:rFonts w:ascii="Calibri" w:hAnsi="Calibri" w:eastAsia="Calibri" w:cs="Calibri"/>
          <w:color w:val="212121"/>
          <w:sz w:val="20"/>
          <w:szCs w:val="20"/>
        </w:rPr>
        <w:t>Section 3.3B: Selective Participation Mode [NEW: v9.8A Adoption Readiness]</w:t>
      </w:r>
      <w:r>
        <w:rPr>
          <w:rFonts w:ascii="Calibri" w:hAnsi="Calibri"/>
          <w:color w:val="212121"/>
          <w:sz w:val="20"/>
        </w:rPr>
        <w:tab/>
      </w:r>
      <w:r>
        <w:rPr>
          <w:rFonts w:ascii="Calibri" w:hAnsi="Calibri" w:eastAsia="Calibri" w:cs="Calibri"/>
          <w:color w:val="212121"/>
          <w:sz w:val="20"/>
          <w:szCs w:val="20"/>
        </w:rPr>
        <w:t>86</w:t>
      </w:r>
    </w:p>
    <w:p>
      <w:pPr>
        <w:pStyle w:val="TOC2"/>
      </w:pPr>
      <w:r>
        <w:rPr>
          <w:rFonts w:ascii="Calibri" w:hAnsi="Calibri" w:eastAsia="Calibri" w:cs="Calibri"/>
          <w:color w:val="212121"/>
          <w:sz w:val="20"/>
          <w:szCs w:val="20"/>
        </w:rPr>
        <w:t>Section 3.3C: Silent Participation Option [NEW: v9.8A Institutional Maturity]</w:t>
      </w:r>
      <w:r>
        <w:rPr>
          <w:rFonts w:ascii="Calibri" w:hAnsi="Calibri"/>
          <w:color w:val="212121"/>
          <w:sz w:val="20"/>
        </w:rPr>
        <w:tab/>
      </w:r>
      <w:r>
        <w:rPr>
          <w:rFonts w:ascii="Calibri" w:hAnsi="Calibri" w:eastAsia="Calibri" w:cs="Calibri"/>
          <w:color w:val="212121"/>
          <w:sz w:val="20"/>
          <w:szCs w:val="20"/>
        </w:rPr>
        <w:t>86</w:t>
      </w:r>
    </w:p>
    <w:p>
      <w:pPr>
        <w:pStyle w:val="TOC2"/>
      </w:pPr>
      <w:r>
        <w:rPr>
          <w:rFonts w:ascii="Calibri" w:hAnsi="Calibri" w:eastAsia="Calibri" w:cs="Calibri"/>
          <w:color w:val="212121"/>
          <w:sz w:val="20"/>
          <w:szCs w:val="20"/>
        </w:rPr>
        <w:t>Section 3.3D: Minimum Viable Implementation Layer (MVIL) [NEW: v9.9]</w:t>
      </w:r>
      <w:r>
        <w:rPr>
          <w:rFonts w:ascii="Calibri" w:hAnsi="Calibri"/>
          <w:color w:val="212121"/>
          <w:sz w:val="20"/>
        </w:rPr>
        <w:tab/>
      </w:r>
      <w:r>
        <w:rPr>
          <w:rFonts w:ascii="Calibri" w:hAnsi="Calibri" w:eastAsia="Calibri" w:cs="Calibri"/>
          <w:color w:val="212121"/>
          <w:sz w:val="20"/>
          <w:szCs w:val="20"/>
        </w:rPr>
        <w:t>87</w:t>
      </w:r>
    </w:p>
    <w:p>
      <w:pPr>
        <w:pStyle w:val="TOC2"/>
      </w:pPr>
      <w:r>
        <w:rPr>
          <w:rFonts w:ascii="Calibri" w:hAnsi="Calibri" w:eastAsia="Calibri" w:cs="Calibri"/>
          <w:color w:val="212121"/>
          <w:sz w:val="20"/>
          <w:szCs w:val="20"/>
        </w:rPr>
        <w:t>Section 3.4B: Small-State Solidarity Pledge [NEW: v9.8A Small-State Protection]</w:t>
      </w:r>
      <w:r>
        <w:rPr>
          <w:rFonts w:ascii="Calibri" w:hAnsi="Calibri"/>
          <w:color w:val="212121"/>
          <w:sz w:val="20"/>
        </w:rPr>
        <w:tab/>
      </w:r>
      <w:r>
        <w:rPr>
          <w:rFonts w:ascii="Calibri" w:hAnsi="Calibri" w:eastAsia="Calibri" w:cs="Calibri"/>
          <w:color w:val="212121"/>
          <w:sz w:val="20"/>
          <w:szCs w:val="20"/>
        </w:rPr>
        <w:t>87</w:t>
      </w:r>
    </w:p>
    <w:p>
      <w:pPr>
        <w:pStyle w:val="TOC2"/>
      </w:pPr>
      <w:r>
        <w:rPr>
          <w:rFonts w:ascii="Calibri" w:hAnsi="Calibri" w:eastAsia="Calibri" w:cs="Calibri"/>
          <w:color w:val="212121"/>
          <w:sz w:val="20"/>
          <w:szCs w:val="20"/>
        </w:rPr>
        <w:t>Section 3.4C: Minimum Action Floor per Tier [NEW: v9.8A Institutional Maturity]</w:t>
      </w:r>
      <w:r>
        <w:rPr>
          <w:rFonts w:ascii="Calibri" w:hAnsi="Calibri"/>
          <w:color w:val="212121"/>
          <w:sz w:val="20"/>
        </w:rPr>
        <w:tab/>
      </w:r>
      <w:r>
        <w:rPr>
          <w:rFonts w:ascii="Calibri" w:hAnsi="Calibri" w:eastAsia="Calibri" w:cs="Calibri"/>
          <w:color w:val="212121"/>
          <w:sz w:val="20"/>
          <w:szCs w:val="20"/>
        </w:rPr>
        <w:t>87</w:t>
      </w:r>
    </w:p>
    <w:p>
      <w:pPr>
        <w:pStyle w:val="TOC2"/>
      </w:pPr>
      <w:r>
        <w:rPr>
          <w:rFonts w:ascii="Calibri" w:hAnsi="Calibri" w:eastAsia="Calibri" w:cs="Calibri"/>
          <w:color w:val="212121"/>
          <w:sz w:val="20"/>
          <w:szCs w:val="20"/>
        </w:rPr>
        <w:t>Section 3.4D: Continuous Active Participation Requirement [NEW: v15.0]</w:t>
      </w:r>
      <w:r>
        <w:rPr>
          <w:rFonts w:ascii="Calibri" w:hAnsi="Calibri"/>
          <w:color w:val="212121"/>
          <w:sz w:val="20"/>
        </w:rPr>
        <w:tab/>
      </w:r>
      <w:r>
        <w:rPr>
          <w:rFonts w:ascii="Calibri" w:hAnsi="Calibri" w:eastAsia="Calibri" w:cs="Calibri"/>
          <w:color w:val="212121"/>
          <w:sz w:val="20"/>
          <w:szCs w:val="20"/>
        </w:rPr>
        <w:t>88</w:t>
      </w:r>
    </w:p>
    <w:p>
      <w:pPr>
        <w:pStyle w:val="TOC2"/>
      </w:pPr>
      <w:r>
        <w:rPr>
          <w:rFonts w:ascii="Calibri" w:hAnsi="Calibri" w:eastAsia="Calibri" w:cs="Calibri"/>
          <w:color w:val="212121"/>
          <w:sz w:val="20"/>
          <w:szCs w:val="20"/>
        </w:rPr>
        <w:t>Section 3.8F: Parliamentary Rejection and Procedural Consequences [NEW: v9.8 Structural Fix]</w:t>
      </w:r>
      <w:r>
        <w:rPr>
          <w:rFonts w:ascii="Calibri" w:hAnsi="Calibri"/>
          <w:color w:val="212121"/>
          <w:sz w:val="20"/>
        </w:rPr>
        <w:tab/>
      </w:r>
      <w:r>
        <w:rPr>
          <w:rFonts w:ascii="Calibri" w:hAnsi="Calibri" w:eastAsia="Calibri" w:cs="Calibri"/>
          <w:color w:val="212121"/>
          <w:sz w:val="20"/>
          <w:szCs w:val="20"/>
        </w:rPr>
        <w:t>88</w:t>
      </w:r>
    </w:p>
    <w:p>
      <w:pPr>
        <w:pStyle w:val="TOC2"/>
      </w:pPr>
      <w:r>
        <w:rPr>
          <w:rFonts w:ascii="Calibri" w:hAnsi="Calibri" w:eastAsia="Calibri" w:cs="Calibri"/>
          <w:color w:val="212121"/>
          <w:sz w:val="20"/>
          <w:szCs w:val="20"/>
        </w:rPr>
        <w:t>Section 3.9A: Coercer Rehabilitation Protocol (CRP)</w:t>
      </w:r>
      <w:r>
        <w:rPr>
          <w:rFonts w:ascii="Calibri" w:hAnsi="Calibri"/>
          <w:color w:val="212121"/>
          <w:sz w:val="20"/>
        </w:rPr>
        <w:tab/>
      </w:r>
      <w:r>
        <w:rPr>
          <w:rFonts w:ascii="Calibri" w:hAnsi="Calibri" w:eastAsia="Calibri" w:cs="Calibri"/>
          <w:color w:val="212121"/>
          <w:sz w:val="20"/>
          <w:szCs w:val="20"/>
        </w:rPr>
        <w:t>89</w:t>
      </w:r>
    </w:p>
    <w:p>
      <w:pPr>
        <w:pStyle w:val="TOC2"/>
      </w:pPr>
      <w:r>
        <w:rPr>
          <w:rFonts w:ascii="Calibri" w:hAnsi="Calibri" w:eastAsia="Calibri" w:cs="Calibri"/>
          <w:color w:val="212121"/>
          <w:sz w:val="20"/>
          <w:szCs w:val="20"/>
        </w:rPr>
        <w:t>Section 3.9B: Coercer Rehabilitation Bond Syndication and Guarantee [Clarifying Rule, v9.8]</w:t>
      </w:r>
      <w:r>
        <w:rPr>
          <w:rFonts w:ascii="Calibri" w:hAnsi="Calibri"/>
          <w:color w:val="212121"/>
          <w:sz w:val="20"/>
        </w:rPr>
        <w:tab/>
      </w:r>
      <w:r>
        <w:rPr>
          <w:rFonts w:ascii="Calibri" w:hAnsi="Calibri" w:eastAsia="Calibri" w:cs="Calibri"/>
          <w:color w:val="212121"/>
          <w:sz w:val="20"/>
          <w:szCs w:val="20"/>
        </w:rPr>
        <w:t>89</w:t>
      </w:r>
    </w:p>
    <w:p>
      <w:pPr>
        <w:pStyle w:val="TOC2"/>
      </w:pPr>
      <w:r>
        <w:rPr>
          <w:rFonts w:ascii="Calibri" w:hAnsi="Calibri" w:eastAsia="Calibri" w:cs="Calibri"/>
          <w:color w:val="212121"/>
          <w:sz w:val="20"/>
          <w:szCs w:val="20"/>
        </w:rPr>
        <w:t>Section 3.5: Constructive Abstention Mechanism</w:t>
      </w:r>
      <w:r>
        <w:rPr>
          <w:rFonts w:ascii="Calibri" w:hAnsi="Calibri"/>
          <w:color w:val="212121"/>
          <w:sz w:val="20"/>
        </w:rPr>
        <w:tab/>
      </w:r>
      <w:r>
        <w:rPr>
          <w:rFonts w:ascii="Calibri" w:hAnsi="Calibri" w:eastAsia="Calibri" w:cs="Calibri"/>
          <w:color w:val="212121"/>
          <w:sz w:val="20"/>
          <w:szCs w:val="20"/>
        </w:rPr>
        <w:t>89</w:t>
      </w:r>
    </w:p>
    <w:p>
      <w:pPr>
        <w:pStyle w:val="TOC2"/>
      </w:pPr>
      <w:r>
        <w:rPr>
          <w:rFonts w:ascii="Calibri" w:hAnsi="Calibri" w:eastAsia="Calibri" w:cs="Calibri"/>
          <w:color w:val="212121"/>
          <w:sz w:val="20"/>
          <w:szCs w:val="20"/>
        </w:rPr>
        <w:t>Section 3.7: Rolling Review Horizons by Tier (Nofade Protocol)</w:t>
      </w:r>
      <w:r>
        <w:rPr>
          <w:rFonts w:ascii="Calibri" w:hAnsi="Calibri"/>
          <w:color w:val="212121"/>
          <w:sz w:val="20"/>
        </w:rPr>
        <w:tab/>
      </w:r>
      <w:r>
        <w:rPr>
          <w:rFonts w:ascii="Calibri" w:hAnsi="Calibri" w:eastAsia="Calibri" w:cs="Calibri"/>
          <w:color w:val="212121"/>
          <w:sz w:val="20"/>
          <w:szCs w:val="20"/>
        </w:rPr>
        <w:t>91</w:t>
      </w:r>
    </w:p>
    <w:p>
      <w:pPr>
        <w:pStyle w:val="TOC2"/>
      </w:pPr>
      <w:r>
        <w:rPr>
          <w:rFonts w:ascii="Calibri" w:hAnsi="Calibri" w:eastAsia="Calibri" w:cs="Calibri"/>
          <w:color w:val="212121"/>
          <w:sz w:val="20"/>
          <w:szCs w:val="20"/>
        </w:rPr>
        <w:t>Section 3.7C: State Succession Protocol [NEW: v15.0]</w:t>
      </w:r>
      <w:r>
        <w:rPr>
          <w:rFonts w:ascii="Calibri" w:hAnsi="Calibri"/>
          <w:color w:val="212121"/>
          <w:sz w:val="20"/>
        </w:rPr>
        <w:tab/>
      </w:r>
      <w:r>
        <w:rPr>
          <w:rFonts w:ascii="Calibri" w:hAnsi="Calibri" w:eastAsia="Calibri" w:cs="Calibri"/>
          <w:color w:val="212121"/>
          <w:sz w:val="20"/>
          <w:szCs w:val="20"/>
        </w:rPr>
        <w:t>94</w:t>
      </w:r>
    </w:p>
    <w:p>
      <w:pPr>
        <w:pStyle w:val="TOC2"/>
      </w:pPr>
      <w:r>
        <w:rPr>
          <w:rFonts w:ascii="Calibri" w:hAnsi="Calibri" w:eastAsia="Calibri" w:cs="Calibri"/>
          <w:color w:val="212121"/>
          <w:sz w:val="20"/>
          <w:szCs w:val="20"/>
        </w:rPr>
        <w:t>Section 3.7A: Differentiated Review and Evergreening</w:t>
      </w:r>
      <w:r>
        <w:rPr>
          <w:rFonts w:ascii="Calibri" w:hAnsi="Calibri"/>
          <w:color w:val="212121"/>
          <w:sz w:val="20"/>
        </w:rPr>
        <w:tab/>
      </w:r>
      <w:r>
        <w:rPr>
          <w:rFonts w:ascii="Calibri" w:hAnsi="Calibri" w:eastAsia="Calibri" w:cs="Calibri"/>
          <w:color w:val="212121"/>
          <w:sz w:val="20"/>
          <w:szCs w:val="20"/>
        </w:rPr>
        <w:t>95</w:t>
      </w:r>
    </w:p>
    <w:p>
      <w:pPr>
        <w:pStyle w:val="TOC2"/>
      </w:pPr>
      <w:r>
        <w:rPr>
          <w:rFonts w:ascii="Calibri" w:hAnsi="Calibri" w:eastAsia="Calibri" w:cs="Calibri"/>
          <w:color w:val="212121"/>
          <w:sz w:val="20"/>
          <w:szCs w:val="20"/>
        </w:rPr>
        <w:t>Section 3.8: Domestic Continuity Mechanisms</w:t>
      </w:r>
      <w:r>
        <w:rPr>
          <w:rFonts w:ascii="Calibri" w:hAnsi="Calibri"/>
          <w:color w:val="212121"/>
          <w:sz w:val="20"/>
        </w:rPr>
        <w:tab/>
      </w:r>
      <w:r>
        <w:rPr>
          <w:rFonts w:ascii="Calibri" w:hAnsi="Calibri" w:eastAsia="Calibri" w:cs="Calibri"/>
          <w:color w:val="212121"/>
          <w:sz w:val="20"/>
          <w:szCs w:val="20"/>
        </w:rPr>
        <w:t>96</w:t>
      </w:r>
    </w:p>
    <w:p>
      <w:pPr>
        <w:pStyle w:val="TOC2"/>
      </w:pPr>
      <w:r>
        <w:rPr>
          <w:rFonts w:ascii="Calibri" w:hAnsi="Calibri" w:eastAsia="Calibri" w:cs="Calibri"/>
          <w:color w:val="212121"/>
          <w:sz w:val="20"/>
          <w:szCs w:val="20"/>
        </w:rPr>
        <w:t>Section 3.8A: Mandatory Democratic Safeguards</w:t>
      </w:r>
      <w:r>
        <w:rPr>
          <w:rFonts w:ascii="Calibri" w:hAnsi="Calibri"/>
          <w:color w:val="212121"/>
          <w:sz w:val="20"/>
        </w:rPr>
        <w:tab/>
      </w:r>
      <w:r>
        <w:rPr>
          <w:rFonts w:ascii="Calibri" w:hAnsi="Calibri" w:eastAsia="Calibri" w:cs="Calibri"/>
          <w:color w:val="212121"/>
          <w:sz w:val="20"/>
          <w:szCs w:val="20"/>
        </w:rPr>
        <w:t>97</w:t>
      </w:r>
    </w:p>
    <w:p>
      <w:pPr>
        <w:pStyle w:val="TOC2"/>
      </w:pPr>
      <w:r>
        <w:rPr>
          <w:rFonts w:ascii="Calibri" w:hAnsi="Calibri" w:eastAsia="Calibri" w:cs="Calibri"/>
          <w:color w:val="212121"/>
          <w:sz w:val="20"/>
          <w:szCs w:val="20"/>
        </w:rPr>
        <w:t>Section 3.8B: Sub-National Democratic Safeguard</w:t>
      </w:r>
      <w:r>
        <w:rPr>
          <w:rFonts w:ascii="Calibri" w:hAnsi="Calibri"/>
          <w:color w:val="212121"/>
          <w:sz w:val="20"/>
        </w:rPr>
        <w:tab/>
      </w:r>
      <w:r>
        <w:rPr>
          <w:rFonts w:ascii="Calibri" w:hAnsi="Calibri" w:eastAsia="Calibri" w:cs="Calibri"/>
          <w:color w:val="212121"/>
          <w:sz w:val="20"/>
          <w:szCs w:val="20"/>
        </w:rPr>
        <w:t>98</w:t>
      </w:r>
    </w:p>
    <w:p>
      <w:pPr>
        <w:pStyle w:val="TOC2"/>
      </w:pPr>
      <w:r>
        <w:rPr>
          <w:rFonts w:ascii="Calibri" w:hAnsi="Calibri" w:eastAsia="Calibri" w:cs="Calibri"/>
          <w:color w:val="212121"/>
          <w:sz w:val="20"/>
          <w:szCs w:val="20"/>
        </w:rPr>
        <w:t>Section 3.8C: Non-Interference with Domestic Constitutional Processes</w:t>
      </w:r>
      <w:r>
        <w:rPr>
          <w:rFonts w:ascii="Calibri" w:hAnsi="Calibri"/>
          <w:color w:val="212121"/>
          <w:sz w:val="20"/>
        </w:rPr>
        <w:tab/>
      </w:r>
      <w:r>
        <w:rPr>
          <w:rFonts w:ascii="Calibri" w:hAnsi="Calibri" w:eastAsia="Calibri" w:cs="Calibri"/>
          <w:color w:val="212121"/>
          <w:sz w:val="20"/>
          <w:szCs w:val="20"/>
        </w:rPr>
        <w:t>98</w:t>
      </w:r>
    </w:p>
    <w:p>
      <w:pPr>
        <w:pStyle w:val="TOC2"/>
      </w:pPr>
      <w:r>
        <w:rPr>
          <w:rFonts w:ascii="Calibri" w:hAnsi="Calibri" w:eastAsia="Calibri" w:cs="Calibri"/>
          <w:color w:val="212121"/>
          <w:sz w:val="20"/>
          <w:szCs w:val="20"/>
        </w:rPr>
        <w:t>Section 3.8D: Continuity Facilitation</w:t>
      </w:r>
      <w:r>
        <w:rPr>
          <w:rFonts w:ascii="Calibri" w:hAnsi="Calibri"/>
          <w:color w:val="212121"/>
          <w:sz w:val="20"/>
        </w:rPr>
        <w:tab/>
      </w:r>
      <w:r>
        <w:rPr>
          <w:rFonts w:ascii="Calibri" w:hAnsi="Calibri" w:eastAsia="Calibri" w:cs="Calibri"/>
          <w:color w:val="212121"/>
          <w:sz w:val="20"/>
          <w:szCs w:val="20"/>
        </w:rPr>
        <w:t>98</w:t>
      </w:r>
    </w:p>
    <w:p>
      <w:pPr>
        <w:pStyle w:val="TOC2"/>
      </w:pPr>
      <w:r>
        <w:rPr>
          <w:rFonts w:ascii="Calibri" w:hAnsi="Calibri" w:eastAsia="Calibri" w:cs="Calibri"/>
          <w:color w:val="212121"/>
          <w:sz w:val="20"/>
          <w:szCs w:val="20"/>
        </w:rPr>
        <w:t>Section 3.8E: Democratic Review of Domestic Lock-Ins</w:t>
      </w:r>
      <w:r>
        <w:rPr>
          <w:rFonts w:ascii="Calibri" w:hAnsi="Calibri"/>
          <w:color w:val="212121"/>
          <w:sz w:val="20"/>
        </w:rPr>
        <w:tab/>
      </w:r>
      <w:r>
        <w:rPr>
          <w:rFonts w:ascii="Calibri" w:hAnsi="Calibri" w:eastAsia="Calibri" w:cs="Calibri"/>
          <w:color w:val="212121"/>
          <w:sz w:val="20"/>
          <w:szCs w:val="20"/>
        </w:rPr>
        <w:t>99</w:t>
      </w:r>
    </w:p>
    <w:p>
      <w:pPr>
        <w:pStyle w:val="TOC2"/>
      </w:pPr>
      <w:r>
        <w:rPr>
          <w:rFonts w:ascii="Calibri" w:hAnsi="Calibri" w:eastAsia="Calibri" w:cs="Calibri"/>
          <w:color w:val="212121"/>
          <w:sz w:val="20"/>
          <w:szCs w:val="20"/>
        </w:rPr>
        <w:t>Section 3.8G: Lame Duck and Transition Period Protections [NEW: v15.0]</w:t>
      </w:r>
      <w:r>
        <w:rPr>
          <w:rFonts w:ascii="Calibri" w:hAnsi="Calibri"/>
          <w:color w:val="212121"/>
          <w:sz w:val="20"/>
        </w:rPr>
        <w:tab/>
      </w:r>
      <w:r>
        <w:rPr>
          <w:rFonts w:ascii="Calibri" w:hAnsi="Calibri" w:eastAsia="Calibri" w:cs="Calibri"/>
          <w:color w:val="212121"/>
          <w:sz w:val="20"/>
          <w:szCs w:val="20"/>
        </w:rPr>
        <w:t>99</w:t>
      </w:r>
    </w:p>
    <w:p>
      <w:pPr>
        <w:pStyle w:val="TOC2"/>
      </w:pPr>
      <w:r>
        <w:rPr>
          <w:rFonts w:ascii="Calibri" w:hAnsi="Calibri" w:eastAsia="Calibri" w:cs="Calibri"/>
          <w:color w:val="212121"/>
          <w:sz w:val="20"/>
          <w:szCs w:val="20"/>
        </w:rPr>
        <w:t>Section 3.9: Protective Association and Strategic Supplier Partnership</w:t>
      </w:r>
      <w:r>
        <w:rPr>
          <w:rFonts w:ascii="Calibri" w:hAnsi="Calibri"/>
          <w:color w:val="212121"/>
          <w:sz w:val="20"/>
        </w:rPr>
        <w:tab/>
      </w:r>
      <w:r>
        <w:rPr>
          <w:rFonts w:ascii="Calibri" w:hAnsi="Calibri" w:eastAsia="Calibri" w:cs="Calibri"/>
          <w:color w:val="212121"/>
          <w:sz w:val="20"/>
          <w:szCs w:val="20"/>
        </w:rPr>
        <w:t>99</w:t>
      </w:r>
    </w:p>
    <w:p>
      <w:pPr>
        <w:pStyle w:val="TOC2"/>
      </w:pPr>
      <w:r>
        <w:rPr>
          <w:rFonts w:ascii="Calibri" w:hAnsi="Calibri" w:eastAsia="Calibri" w:cs="Calibri"/>
          <w:color w:val="212121"/>
          <w:sz w:val="20"/>
          <w:szCs w:val="20"/>
        </w:rPr>
        <w:t>Section 3.10: Mutual Recognition of Supply Chain Due Diligence</w:t>
      </w:r>
      <w:r>
        <w:rPr>
          <w:rFonts w:ascii="Calibri" w:hAnsi="Calibri"/>
          <w:color w:val="212121"/>
          <w:sz w:val="20"/>
        </w:rPr>
        <w:tab/>
      </w:r>
      <w:r>
        <w:rPr>
          <w:rFonts w:ascii="Calibri" w:hAnsi="Calibri" w:eastAsia="Calibri" w:cs="Calibri"/>
          <w:color w:val="212121"/>
          <w:sz w:val="20"/>
          <w:szCs w:val="20"/>
        </w:rPr>
        <w:t>101</w:t>
      </w:r>
    </w:p>
    <w:p>
      <w:pPr>
        <w:pStyle w:val="TOC2"/>
      </w:pPr>
      <w:r>
        <w:rPr>
          <w:rFonts w:ascii="Calibri" w:hAnsi="Calibri" w:eastAsia="Calibri" w:cs="Calibri"/>
          <w:color w:val="212121"/>
          <w:sz w:val="20"/>
          <w:szCs w:val="20"/>
        </w:rPr>
        <w:t>Section 3.11: Preferred Alternative Status (PAS)</w:t>
      </w:r>
      <w:r>
        <w:rPr>
          <w:rFonts w:ascii="Calibri" w:hAnsi="Calibri"/>
          <w:color w:val="212121"/>
          <w:sz w:val="20"/>
        </w:rPr>
        <w:tab/>
      </w:r>
      <w:r>
        <w:rPr>
          <w:rFonts w:ascii="Calibri" w:hAnsi="Calibri" w:eastAsia="Calibri" w:cs="Calibri"/>
          <w:color w:val="212121"/>
          <w:sz w:val="20"/>
          <w:szCs w:val="20"/>
        </w:rPr>
        <w:t>102</w:t>
      </w:r>
    </w:p>
    <w:p>
      <w:pPr>
        <w:pStyle w:val="TOC2"/>
      </w:pPr>
      <w:r>
        <w:rPr>
          <w:rFonts w:ascii="Calibri" w:hAnsi="Calibri" w:eastAsia="Calibri" w:cs="Calibri"/>
          <w:color w:val="212121"/>
          <w:sz w:val="20"/>
          <w:szCs w:val="20"/>
        </w:rPr>
        <w:t>Section 3.12: Strategic Entity Pre-Certification (SEPC)</w:t>
      </w:r>
      <w:r>
        <w:rPr>
          <w:rFonts w:ascii="Calibri" w:hAnsi="Calibri"/>
          <w:color w:val="212121"/>
          <w:sz w:val="20"/>
        </w:rPr>
        <w:tab/>
      </w:r>
      <w:r>
        <w:rPr>
          <w:rFonts w:ascii="Calibri" w:hAnsi="Calibri" w:eastAsia="Calibri" w:cs="Calibri"/>
          <w:color w:val="212121"/>
          <w:sz w:val="20"/>
          <w:szCs w:val="20"/>
        </w:rPr>
        <w:t>102</w:t>
      </w:r>
    </w:p>
    <w:p>
      <w:pPr>
        <w:pStyle w:val="TOC2"/>
      </w:pPr>
      <w:r>
        <w:rPr>
          <w:rFonts w:ascii="Calibri" w:hAnsi="Calibri" w:eastAsia="Calibri" w:cs="Calibri"/>
          <w:color w:val="212121"/>
          <w:sz w:val="20"/>
          <w:szCs w:val="20"/>
        </w:rPr>
        <w:t>Section 3.13: Observer+ Fast-Track Procurement (OFTP)</w:t>
      </w:r>
      <w:r>
        <w:rPr>
          <w:rFonts w:ascii="Calibri" w:hAnsi="Calibri"/>
          <w:color w:val="212121"/>
          <w:sz w:val="20"/>
        </w:rPr>
        <w:tab/>
      </w:r>
      <w:r>
        <w:rPr>
          <w:rFonts w:ascii="Calibri" w:hAnsi="Calibri" w:eastAsia="Calibri" w:cs="Calibri"/>
          <w:color w:val="212121"/>
          <w:sz w:val="20"/>
          <w:szCs w:val="20"/>
        </w:rPr>
        <w:t>103</w:t>
      </w:r>
    </w:p>
    <w:p>
      <w:pPr>
        <w:pStyle w:val="TOC2"/>
      </w:pPr>
      <w:r>
        <w:rPr>
          <w:rFonts w:ascii="Calibri" w:hAnsi="Calibri" w:eastAsia="Calibri" w:cs="Calibri"/>
          <w:color w:val="212121"/>
          <w:sz w:val="20"/>
          <w:szCs w:val="20"/>
        </w:rPr>
        <w:t>Section 3.14: Technology Solidarity Pledge (TSP)</w:t>
      </w:r>
      <w:r>
        <w:rPr>
          <w:rFonts w:ascii="Calibri" w:hAnsi="Calibri"/>
          <w:color w:val="212121"/>
          <w:sz w:val="20"/>
        </w:rPr>
        <w:tab/>
      </w:r>
      <w:r>
        <w:rPr>
          <w:rFonts w:ascii="Calibri" w:hAnsi="Calibri" w:eastAsia="Calibri" w:cs="Calibri"/>
          <w:color w:val="212121"/>
          <w:sz w:val="20"/>
          <w:szCs w:val="20"/>
        </w:rPr>
        <w:t>103</w:t>
      </w:r>
    </w:p>
    <w:p>
      <w:pPr>
        <w:pStyle w:val="TOC2"/>
      </w:pPr>
      <w:r>
        <w:rPr>
          <w:rFonts w:ascii="Calibri" w:hAnsi="Calibri" w:eastAsia="Calibri" w:cs="Calibri"/>
          <w:color w:val="212121"/>
          <w:sz w:val="20"/>
          <w:szCs w:val="20"/>
        </w:rPr>
        <w:t>Section 3.15: Emergency Accession Protocol (EAP)</w:t>
      </w:r>
      <w:r>
        <w:rPr>
          <w:rFonts w:ascii="Calibri" w:hAnsi="Calibri"/>
          <w:color w:val="212121"/>
          <w:sz w:val="20"/>
        </w:rPr>
        <w:tab/>
      </w:r>
      <w:r>
        <w:rPr>
          <w:rFonts w:ascii="Calibri" w:hAnsi="Calibri" w:eastAsia="Calibri" w:cs="Calibri"/>
          <w:color w:val="212121"/>
          <w:sz w:val="20"/>
          <w:szCs w:val="20"/>
        </w:rPr>
        <w:t>104</w:t>
      </w:r>
    </w:p>
    <w:p>
      <w:pPr>
        <w:pStyle w:val="TOC2"/>
      </w:pPr>
      <w:r>
        <w:rPr>
          <w:rFonts w:ascii="Calibri" w:hAnsi="Calibri" w:eastAsia="Calibri" w:cs="Calibri"/>
          <w:color w:val="212121"/>
          <w:sz w:val="20"/>
          <w:szCs w:val="20"/>
        </w:rPr>
        <w:t>Section 3.1D: Emergency Protection Facility (EPF)</w:t>
      </w:r>
      <w:r>
        <w:rPr>
          <w:rFonts w:ascii="Calibri" w:hAnsi="Calibri"/>
          <w:color w:val="212121"/>
          <w:sz w:val="20"/>
        </w:rPr>
        <w:tab/>
      </w:r>
      <w:r>
        <w:rPr>
          <w:rFonts w:ascii="Calibri" w:hAnsi="Calibri" w:eastAsia="Calibri" w:cs="Calibri"/>
          <w:color w:val="212121"/>
          <w:sz w:val="20"/>
          <w:szCs w:val="20"/>
        </w:rPr>
        <w:t>104</w:t>
      </w:r>
    </w:p>
    <w:p>
      <w:pPr>
        <w:pStyle w:val="TOC2"/>
      </w:pPr>
      <w:r>
        <w:rPr>
          <w:rFonts w:ascii="Calibri" w:hAnsi="Calibri" w:eastAsia="Calibri" w:cs="Calibri"/>
          <w:color w:val="212121"/>
          <w:sz w:val="20"/>
          <w:szCs w:val="20"/>
        </w:rPr>
        <w:t>Section 3.15A: Crisis Accession Fast-Track</w:t>
      </w:r>
      <w:r>
        <w:rPr>
          <w:rFonts w:ascii="Calibri" w:hAnsi="Calibri"/>
          <w:color w:val="212121"/>
          <w:sz w:val="20"/>
        </w:rPr>
        <w:tab/>
      </w:r>
      <w:r>
        <w:rPr>
          <w:rFonts w:ascii="Calibri" w:hAnsi="Calibri" w:eastAsia="Calibri" w:cs="Calibri"/>
          <w:color w:val="212121"/>
          <w:sz w:val="20"/>
          <w:szCs w:val="20"/>
        </w:rPr>
        <w:t>105</w:t>
      </w:r>
    </w:p>
    <w:p>
      <w:pPr>
        <w:pStyle w:val="TOC2"/>
      </w:pPr>
      <w:r>
        <w:rPr>
          <w:rFonts w:ascii="Calibri" w:hAnsi="Calibri" w:eastAsia="Calibri" w:cs="Calibri"/>
          <w:color w:val="212121"/>
          <w:sz w:val="20"/>
          <w:szCs w:val="20"/>
        </w:rPr>
        <w:t>Section 3.15B: Strategic Buffer Accession Fast-Track [NEW: v15.0]</w:t>
      </w:r>
      <w:r>
        <w:rPr>
          <w:rFonts w:ascii="Calibri" w:hAnsi="Calibri"/>
          <w:color w:val="212121"/>
          <w:sz w:val="20"/>
        </w:rPr>
        <w:tab/>
      </w:r>
      <w:r>
        <w:rPr>
          <w:rFonts w:ascii="Calibri" w:hAnsi="Calibri" w:eastAsia="Calibri" w:cs="Calibri"/>
          <w:color w:val="212121"/>
          <w:sz w:val="20"/>
          <w:szCs w:val="20"/>
        </w:rPr>
        <w:t>105</w:t>
      </w:r>
    </w:p>
    <w:p>
      <w:pPr>
        <w:pStyle w:val="TOC2"/>
      </w:pPr>
      <w:r>
        <w:rPr>
          <w:rFonts w:ascii="Calibri" w:hAnsi="Calibri" w:eastAsia="Calibri" w:cs="Calibri"/>
          <w:color w:val="212121"/>
          <w:sz w:val="20"/>
          <w:szCs w:val="20"/>
        </w:rPr>
        <w:t>Section 3.16: Crisis-Tested Supplier Certification</w:t>
      </w:r>
      <w:r>
        <w:rPr>
          <w:rFonts w:ascii="Calibri" w:hAnsi="Calibri"/>
          <w:color w:val="212121"/>
          <w:sz w:val="20"/>
        </w:rPr>
        <w:tab/>
      </w:r>
      <w:r>
        <w:rPr>
          <w:rFonts w:ascii="Calibri" w:hAnsi="Calibri" w:eastAsia="Calibri" w:cs="Calibri"/>
          <w:color w:val="212121"/>
          <w:sz w:val="20"/>
          <w:szCs w:val="20"/>
        </w:rPr>
        <w:t>106</w:t>
      </w:r>
    </w:p>
    <w:p>
      <w:pPr>
        <w:pStyle w:val="TOC2"/>
      </w:pPr>
      <w:r>
        <w:rPr>
          <w:rFonts w:ascii="Calibri" w:hAnsi="Calibri" w:eastAsia="Calibri" w:cs="Calibri"/>
          <w:color w:val="212121"/>
          <w:sz w:val="20"/>
          <w:szCs w:val="20"/>
        </w:rPr>
        <w:t>Section 3.18: IMESI Trade Preference Margin (ITPM) [NEW: v15.0]</w:t>
      </w:r>
      <w:r>
        <w:rPr>
          <w:rFonts w:ascii="Calibri" w:hAnsi="Calibri"/>
          <w:color w:val="212121"/>
          <w:sz w:val="20"/>
        </w:rPr>
        <w:tab/>
      </w:r>
      <w:r>
        <w:rPr>
          <w:rFonts w:ascii="Calibri" w:hAnsi="Calibri" w:eastAsia="Calibri" w:cs="Calibri"/>
          <w:color w:val="212121"/>
          <w:sz w:val="20"/>
          <w:szCs w:val="20"/>
        </w:rPr>
        <w:t>106</w:t>
      </w:r>
    </w:p>
    <w:p>
      <w:pPr>
        <w:pStyle w:val="TOC2"/>
      </w:pPr>
      <w:r>
        <w:rPr>
          <w:rFonts w:ascii="Calibri" w:hAnsi="Calibri" w:eastAsia="Calibri" w:cs="Calibri"/>
          <w:color w:val="212121"/>
          <w:sz w:val="20"/>
          <w:szCs w:val="20"/>
        </w:rPr>
        <w:t>Section 3.18A: Talent Mobility and Skills Passport (TMSP) [NEW: v15.0]</w:t>
      </w:r>
      <w:r>
        <w:rPr>
          <w:rFonts w:ascii="Calibri" w:hAnsi="Calibri"/>
          <w:color w:val="212121"/>
          <w:sz w:val="20"/>
        </w:rPr>
        <w:tab/>
      </w:r>
      <w:r>
        <w:rPr>
          <w:rFonts w:ascii="Calibri" w:hAnsi="Calibri" w:eastAsia="Calibri" w:cs="Calibri"/>
          <w:color w:val="212121"/>
          <w:sz w:val="20"/>
          <w:szCs w:val="20"/>
        </w:rPr>
        <w:t>107</w:t>
      </w:r>
    </w:p>
    <w:p>
      <w:pPr>
        <w:pStyle w:val="TOC1"/>
      </w:pPr>
      <w:r>
        <w:rPr>
          <w:rFonts w:ascii="Calibri" w:hAnsi="Calibri" w:eastAsia="Calibri" w:cs="Calibri"/>
          <w:b/>
          <w:color w:val="37474F"/>
          <w:sz w:val="21"/>
          <w:szCs w:val="21"/>
        </w:rPr>
        <w:t>ARTICLE IV: GOVERNANCE</w:t>
      </w:r>
      <w:r>
        <w:rPr>
          <w:rFonts w:ascii="Calibri" w:hAnsi="Calibri"/>
          <w:b/>
          <w:color w:val="37474F"/>
          <w:sz w:val="21"/>
        </w:rPr>
        <w:tab/>
      </w:r>
      <w:r>
        <w:rPr>
          <w:rFonts w:ascii="Calibri" w:hAnsi="Calibri" w:eastAsia="Calibri" w:cs="Calibri"/>
          <w:b/>
          <w:color w:val="37474F"/>
          <w:sz w:val="21"/>
          <w:szCs w:val="21"/>
        </w:rPr>
        <w:t>108</w:t>
      </w:r>
    </w:p>
    <w:p>
      <w:pPr>
        <w:pStyle w:val="TOC2"/>
      </w:pPr>
      <w:r>
        <w:rPr>
          <w:rFonts w:ascii="Calibri" w:hAnsi="Calibri" w:eastAsia="Calibri" w:cs="Calibri"/>
          <w:color w:val="212121"/>
          <w:sz w:val="20"/>
          <w:szCs w:val="20"/>
        </w:rPr>
        <w:t>Section 3.17: Certified Transparent Operator Program [NEW: v9.8 Safe Addition]</w:t>
      </w:r>
      <w:r>
        <w:rPr>
          <w:rFonts w:ascii="Calibri" w:hAnsi="Calibri"/>
          <w:color w:val="212121"/>
          <w:sz w:val="20"/>
        </w:rPr>
        <w:tab/>
      </w:r>
      <w:r>
        <w:rPr>
          <w:rFonts w:ascii="Calibri" w:hAnsi="Calibri" w:eastAsia="Calibri" w:cs="Calibri"/>
          <w:color w:val="212121"/>
          <w:sz w:val="20"/>
          <w:szCs w:val="20"/>
        </w:rPr>
        <w:t>108</w:t>
      </w:r>
    </w:p>
    <w:p>
      <w:pPr>
        <w:pStyle w:val="TOC2"/>
      </w:pPr>
      <w:r>
        <w:rPr>
          <w:rFonts w:ascii="Calibri" w:hAnsi="Calibri" w:eastAsia="Calibri" w:cs="Calibri"/>
          <w:color w:val="212121"/>
          <w:sz w:val="20"/>
          <w:szCs w:val="20"/>
        </w:rPr>
        <w:t>Section 4.1: Coordination Committee Voting</w:t>
      </w:r>
      <w:r>
        <w:rPr>
          <w:rFonts w:ascii="Calibri" w:hAnsi="Calibri"/>
          <w:color w:val="212121"/>
          <w:sz w:val="20"/>
        </w:rPr>
        <w:tab/>
      </w:r>
      <w:r>
        <w:rPr>
          <w:rFonts w:ascii="Calibri" w:hAnsi="Calibri" w:eastAsia="Calibri" w:cs="Calibri"/>
          <w:color w:val="212121"/>
          <w:sz w:val="20"/>
          <w:szCs w:val="20"/>
        </w:rPr>
        <w:t>109</w:t>
      </w:r>
    </w:p>
    <w:p>
      <w:pPr>
        <w:pStyle w:val="TOC2"/>
      </w:pPr>
      <w:r>
        <w:rPr>
          <w:rFonts w:ascii="Calibri" w:hAnsi="Calibri" w:eastAsia="Calibri" w:cs="Calibri"/>
          <w:color w:val="212121"/>
          <w:sz w:val="20"/>
          <w:szCs w:val="20"/>
        </w:rPr>
        <w:t>Section 4.1A: Regional Sub-Committees with Delegated Authority</w:t>
      </w:r>
      <w:r>
        <w:rPr>
          <w:rFonts w:ascii="Calibri" w:hAnsi="Calibri"/>
          <w:color w:val="212121"/>
          <w:sz w:val="20"/>
        </w:rPr>
        <w:tab/>
      </w:r>
      <w:r>
        <w:rPr>
          <w:rFonts w:ascii="Calibri" w:hAnsi="Calibri" w:eastAsia="Calibri" w:cs="Calibri"/>
          <w:color w:val="212121"/>
          <w:sz w:val="20"/>
          <w:szCs w:val="20"/>
        </w:rPr>
        <w:t>110</w:t>
      </w:r>
    </w:p>
    <w:p>
      <w:pPr>
        <w:pStyle w:val="TOC2"/>
      </w:pPr>
      <w:r>
        <w:rPr>
          <w:rFonts w:ascii="Calibri" w:hAnsi="Calibri" w:eastAsia="Calibri" w:cs="Calibri"/>
          <w:color w:val="212121"/>
          <w:sz w:val="20"/>
          <w:szCs w:val="20"/>
        </w:rPr>
        <w:t>Section 4.1B: "Coalition of the Willing" Activation</w:t>
      </w:r>
      <w:r>
        <w:rPr>
          <w:rFonts w:ascii="Calibri" w:hAnsi="Calibri"/>
          <w:color w:val="212121"/>
          <w:sz w:val="20"/>
        </w:rPr>
        <w:tab/>
      </w:r>
      <w:r>
        <w:rPr>
          <w:rFonts w:ascii="Calibri" w:hAnsi="Calibri" w:eastAsia="Calibri" w:cs="Calibri"/>
          <w:color w:val="212121"/>
          <w:sz w:val="20"/>
          <w:szCs w:val="20"/>
        </w:rPr>
        <w:t>110</w:t>
      </w:r>
    </w:p>
    <w:p>
      <w:pPr>
        <w:pStyle w:val="TOC2"/>
      </w:pPr>
      <w:r>
        <w:rPr>
          <w:rFonts w:ascii="Calibri" w:hAnsi="Calibri" w:eastAsia="Calibri" w:cs="Calibri"/>
          <w:color w:val="212121"/>
          <w:sz w:val="20"/>
          <w:szCs w:val="20"/>
        </w:rPr>
        <w:t>Section 4.1C: Emergency Flexibility</w:t>
      </w:r>
      <w:r>
        <w:rPr>
          <w:rFonts w:ascii="Calibri" w:hAnsi="Calibri"/>
          <w:color w:val="212121"/>
          <w:sz w:val="20"/>
        </w:rPr>
        <w:tab/>
      </w:r>
      <w:r>
        <w:rPr>
          <w:rFonts w:ascii="Calibri" w:hAnsi="Calibri" w:eastAsia="Calibri" w:cs="Calibri"/>
          <w:color w:val="212121"/>
          <w:sz w:val="20"/>
          <w:szCs w:val="20"/>
        </w:rPr>
        <w:t>110</w:t>
      </w:r>
    </w:p>
    <w:p>
      <w:pPr>
        <w:pStyle w:val="TOC2"/>
      </w:pPr>
      <w:r>
        <w:rPr>
          <w:rFonts w:ascii="Calibri" w:hAnsi="Calibri" w:eastAsia="Calibri" w:cs="Calibri"/>
          <w:color w:val="212121"/>
          <w:sz w:val="20"/>
          <w:szCs w:val="20"/>
        </w:rPr>
        <w:t>Section 4.1D: Development Balance Mechanism</w:t>
      </w:r>
      <w:r>
        <w:rPr>
          <w:rFonts w:ascii="Calibri" w:hAnsi="Calibri"/>
          <w:color w:val="212121"/>
          <w:sz w:val="20"/>
        </w:rPr>
        <w:tab/>
      </w:r>
      <w:r>
        <w:rPr>
          <w:rFonts w:ascii="Calibri" w:hAnsi="Calibri" w:eastAsia="Calibri" w:cs="Calibri"/>
          <w:color w:val="212121"/>
          <w:sz w:val="20"/>
          <w:szCs w:val="20"/>
        </w:rPr>
        <w:t>111</w:t>
      </w:r>
    </w:p>
    <w:p>
      <w:pPr>
        <w:pStyle w:val="TOC2"/>
      </w:pPr>
      <w:r>
        <w:rPr>
          <w:rFonts w:ascii="Calibri" w:hAnsi="Calibri" w:eastAsia="Calibri" w:cs="Calibri"/>
          <w:color w:val="212121"/>
          <w:sz w:val="20"/>
          <w:szCs w:val="20"/>
        </w:rPr>
        <w:t>Section 4.2: Integrated Early Warning Cell (IEWC)</w:t>
      </w:r>
      <w:r>
        <w:rPr>
          <w:rFonts w:ascii="Calibri" w:hAnsi="Calibri"/>
          <w:color w:val="212121"/>
          <w:sz w:val="20"/>
        </w:rPr>
        <w:tab/>
      </w:r>
      <w:r>
        <w:rPr>
          <w:rFonts w:ascii="Calibri" w:hAnsi="Calibri" w:eastAsia="Calibri" w:cs="Calibri"/>
          <w:color w:val="212121"/>
          <w:sz w:val="20"/>
          <w:szCs w:val="20"/>
        </w:rPr>
        <w:t>111</w:t>
      </w:r>
    </w:p>
    <w:p>
      <w:pPr>
        <w:pStyle w:val="TOC2"/>
      </w:pPr>
      <w:r>
        <w:rPr>
          <w:rFonts w:ascii="Calibri" w:hAnsi="Calibri" w:eastAsia="Calibri" w:cs="Calibri"/>
          <w:color w:val="212121"/>
          <w:sz w:val="20"/>
          <w:szCs w:val="20"/>
        </w:rPr>
        <w:t>Section 4.2A: Transparent Institutional Readiness Dashboard</w:t>
      </w:r>
      <w:r>
        <w:rPr>
          <w:rFonts w:ascii="Calibri" w:hAnsi="Calibri"/>
          <w:color w:val="212121"/>
          <w:sz w:val="20"/>
        </w:rPr>
        <w:tab/>
      </w:r>
      <w:r>
        <w:rPr>
          <w:rFonts w:ascii="Calibri" w:hAnsi="Calibri" w:eastAsia="Calibri" w:cs="Calibri"/>
          <w:color w:val="212121"/>
          <w:sz w:val="20"/>
          <w:szCs w:val="20"/>
        </w:rPr>
        <w:t>112</w:t>
      </w:r>
    </w:p>
    <w:p>
      <w:pPr>
        <w:pStyle w:val="TOC2"/>
      </w:pPr>
      <w:r>
        <w:rPr>
          <w:rFonts w:ascii="Calibri" w:hAnsi="Calibri" w:eastAsia="Calibri" w:cs="Calibri"/>
          <w:color w:val="212121"/>
          <w:sz w:val="20"/>
          <w:szCs w:val="20"/>
        </w:rPr>
        <w:t>Section 4.2A.3: Restraint Indicators</w:t>
      </w:r>
      <w:r>
        <w:rPr>
          <w:rFonts w:ascii="Calibri" w:hAnsi="Calibri"/>
          <w:color w:val="212121"/>
          <w:sz w:val="20"/>
        </w:rPr>
        <w:tab/>
      </w:r>
      <w:r>
        <w:rPr>
          <w:rFonts w:ascii="Calibri" w:hAnsi="Calibri" w:eastAsia="Calibri" w:cs="Calibri"/>
          <w:color w:val="212121"/>
          <w:sz w:val="20"/>
          <w:szCs w:val="20"/>
        </w:rPr>
        <w:t>113</w:t>
      </w:r>
    </w:p>
    <w:p>
      <w:pPr>
        <w:pStyle w:val="TOC2"/>
      </w:pPr>
      <w:r>
        <w:rPr>
          <w:rFonts w:ascii="Calibri" w:hAnsi="Calibri" w:eastAsia="Calibri" w:cs="Calibri"/>
          <w:color w:val="212121"/>
          <w:sz w:val="20"/>
          <w:szCs w:val="20"/>
        </w:rPr>
        <w:t>Section 4.2A.1: Early-Warning and Transparency Platform</w:t>
      </w:r>
      <w:r>
        <w:rPr>
          <w:rFonts w:ascii="Calibri" w:hAnsi="Calibri"/>
          <w:color w:val="212121"/>
          <w:sz w:val="20"/>
        </w:rPr>
        <w:tab/>
      </w:r>
      <w:r>
        <w:rPr>
          <w:rFonts w:ascii="Calibri" w:hAnsi="Calibri" w:eastAsia="Calibri" w:cs="Calibri"/>
          <w:color w:val="212121"/>
          <w:sz w:val="20"/>
          <w:szCs w:val="20"/>
        </w:rPr>
        <w:t>113</w:t>
      </w:r>
    </w:p>
    <w:p>
      <w:pPr>
        <w:pStyle w:val="TOC2"/>
      </w:pPr>
      <w:r>
        <w:rPr>
          <w:rFonts w:ascii="Calibri" w:hAnsi="Calibri" w:eastAsia="Calibri" w:cs="Calibri"/>
          <w:color w:val="212121"/>
          <w:sz w:val="20"/>
          <w:szCs w:val="20"/>
        </w:rPr>
        <w:t>Section 4.2B: Adaptive Early Warning System (ADAI)</w:t>
      </w:r>
      <w:r>
        <w:rPr>
          <w:rFonts w:ascii="Calibri" w:hAnsi="Calibri"/>
          <w:color w:val="212121"/>
          <w:sz w:val="20"/>
        </w:rPr>
        <w:tab/>
      </w:r>
      <w:r>
        <w:rPr>
          <w:rFonts w:ascii="Calibri" w:hAnsi="Calibri" w:eastAsia="Calibri" w:cs="Calibri"/>
          <w:color w:val="212121"/>
          <w:sz w:val="20"/>
          <w:szCs w:val="20"/>
        </w:rPr>
        <w:t>113</w:t>
      </w:r>
    </w:p>
    <w:p>
      <w:pPr>
        <w:pStyle w:val="TOC2"/>
      </w:pPr>
      <w:r>
        <w:rPr>
          <w:rFonts w:ascii="Calibri" w:hAnsi="Calibri" w:eastAsia="Calibri" w:cs="Calibri"/>
          <w:color w:val="212121"/>
          <w:sz w:val="20"/>
          <w:szCs w:val="20"/>
        </w:rPr>
        <w:t>Section 4.2C: Coercion Forecast Market (CFM)</w:t>
      </w:r>
      <w:r>
        <w:rPr>
          <w:rFonts w:ascii="Calibri" w:hAnsi="Calibri"/>
          <w:color w:val="212121"/>
          <w:sz w:val="20"/>
        </w:rPr>
        <w:tab/>
      </w:r>
      <w:r>
        <w:rPr>
          <w:rFonts w:ascii="Calibri" w:hAnsi="Calibri" w:eastAsia="Calibri" w:cs="Calibri"/>
          <w:color w:val="212121"/>
          <w:sz w:val="20"/>
          <w:szCs w:val="20"/>
        </w:rPr>
        <w:t>115</w:t>
      </w:r>
    </w:p>
    <w:p>
      <w:pPr>
        <w:pStyle w:val="TOC2"/>
      </w:pPr>
      <w:r>
        <w:rPr>
          <w:rFonts w:ascii="Calibri" w:hAnsi="Calibri" w:eastAsia="Calibri" w:cs="Calibri"/>
          <w:color w:val="212121"/>
          <w:sz w:val="20"/>
          <w:szCs w:val="20"/>
        </w:rPr>
        <w:t>Section 4.2D: Pre-Positioned Tier 1 Authority</w:t>
      </w:r>
      <w:r>
        <w:rPr>
          <w:rFonts w:ascii="Calibri" w:hAnsi="Calibri"/>
          <w:color w:val="212121"/>
          <w:sz w:val="20"/>
        </w:rPr>
        <w:tab/>
      </w:r>
      <w:r>
        <w:rPr>
          <w:rFonts w:ascii="Calibri" w:hAnsi="Calibri" w:eastAsia="Calibri" w:cs="Calibri"/>
          <w:color w:val="212121"/>
          <w:sz w:val="20"/>
          <w:szCs w:val="20"/>
        </w:rPr>
        <w:t>116</w:t>
      </w:r>
    </w:p>
    <w:p>
      <w:pPr>
        <w:pStyle w:val="TOC2"/>
      </w:pPr>
      <w:r>
        <w:rPr>
          <w:rFonts w:ascii="Calibri" w:hAnsi="Calibri" w:eastAsia="Calibri" w:cs="Calibri"/>
          <w:color w:val="212121"/>
          <w:sz w:val="20"/>
          <w:szCs w:val="20"/>
        </w:rPr>
        <w:t>Section 4.2E: Anticipatory Prevention Authority</w:t>
      </w:r>
      <w:r>
        <w:rPr>
          <w:rFonts w:ascii="Calibri" w:hAnsi="Calibri"/>
          <w:color w:val="212121"/>
          <w:sz w:val="20"/>
        </w:rPr>
        <w:tab/>
      </w:r>
      <w:r>
        <w:rPr>
          <w:rFonts w:ascii="Calibri" w:hAnsi="Calibri" w:eastAsia="Calibri" w:cs="Calibri"/>
          <w:color w:val="212121"/>
          <w:sz w:val="20"/>
          <w:szCs w:val="20"/>
        </w:rPr>
        <w:t>116</w:t>
      </w:r>
    </w:p>
    <w:p>
      <w:pPr>
        <w:pStyle w:val="TOC2"/>
      </w:pPr>
      <w:r>
        <w:rPr>
          <w:rFonts w:ascii="Calibri" w:hAnsi="Calibri" w:eastAsia="Calibri" w:cs="Calibri"/>
          <w:color w:val="212121"/>
          <w:sz w:val="20"/>
          <w:szCs w:val="20"/>
        </w:rPr>
        <w:t>Section 4.2F: Deterrence Signalling Protocol (DSP)</w:t>
      </w:r>
      <w:r>
        <w:rPr>
          <w:rFonts w:ascii="Calibri" w:hAnsi="Calibri"/>
          <w:color w:val="212121"/>
          <w:sz w:val="20"/>
        </w:rPr>
        <w:tab/>
      </w:r>
      <w:r>
        <w:rPr>
          <w:rFonts w:ascii="Calibri" w:hAnsi="Calibri" w:eastAsia="Calibri" w:cs="Calibri"/>
          <w:color w:val="212121"/>
          <w:sz w:val="20"/>
          <w:szCs w:val="20"/>
        </w:rPr>
        <w:t>117</w:t>
      </w:r>
    </w:p>
    <w:p>
      <w:pPr>
        <w:pStyle w:val="TOC2"/>
      </w:pPr>
      <w:r>
        <w:rPr>
          <w:rFonts w:ascii="Calibri" w:hAnsi="Calibri" w:eastAsia="Calibri" w:cs="Calibri"/>
          <w:color w:val="212121"/>
          <w:sz w:val="20"/>
          <w:szCs w:val="20"/>
        </w:rPr>
        <w:t>Section 4.2G: Data Governance Protocol</w:t>
      </w:r>
      <w:r>
        <w:rPr>
          <w:rFonts w:ascii="Calibri" w:hAnsi="Calibri"/>
          <w:color w:val="212121"/>
          <w:sz w:val="20"/>
        </w:rPr>
        <w:tab/>
      </w:r>
      <w:r>
        <w:rPr>
          <w:rFonts w:ascii="Calibri" w:hAnsi="Calibri" w:eastAsia="Calibri" w:cs="Calibri"/>
          <w:color w:val="212121"/>
          <w:sz w:val="20"/>
          <w:szCs w:val="20"/>
        </w:rPr>
        <w:t>117</w:t>
      </w:r>
    </w:p>
    <w:p>
      <w:pPr>
        <w:pStyle w:val="TOC2"/>
      </w:pPr>
      <w:r>
        <w:rPr>
          <w:rFonts w:ascii="Calibri" w:hAnsi="Calibri" w:eastAsia="Calibri" w:cs="Calibri"/>
          <w:color w:val="212121"/>
          <w:sz w:val="20"/>
          <w:szCs w:val="20"/>
        </w:rPr>
        <w:t>Section 4.2H: Systemic Monitoring Unit</w:t>
      </w:r>
      <w:r>
        <w:rPr>
          <w:rFonts w:ascii="Calibri" w:hAnsi="Calibri"/>
          <w:color w:val="212121"/>
          <w:sz w:val="20"/>
        </w:rPr>
        <w:tab/>
      </w:r>
      <w:r>
        <w:rPr>
          <w:rFonts w:ascii="Calibri" w:hAnsi="Calibri" w:eastAsia="Calibri" w:cs="Calibri"/>
          <w:color w:val="212121"/>
          <w:sz w:val="20"/>
          <w:szCs w:val="20"/>
        </w:rPr>
        <w:t>117</w:t>
      </w:r>
    </w:p>
    <w:p>
      <w:pPr>
        <w:pStyle w:val="TOC2"/>
      </w:pPr>
      <w:r>
        <w:rPr>
          <w:rFonts w:ascii="Calibri" w:hAnsi="Calibri" w:eastAsia="Calibri" w:cs="Calibri"/>
          <w:color w:val="212121"/>
          <w:sz w:val="20"/>
          <w:szCs w:val="20"/>
        </w:rPr>
        <w:t>Section 4.2I: Intra-Coalition Monitoring</w:t>
      </w:r>
      <w:r>
        <w:rPr>
          <w:rFonts w:ascii="Calibri" w:hAnsi="Calibri"/>
          <w:color w:val="212121"/>
          <w:sz w:val="20"/>
        </w:rPr>
        <w:tab/>
      </w:r>
      <w:r>
        <w:rPr>
          <w:rFonts w:ascii="Calibri" w:hAnsi="Calibri" w:eastAsia="Calibri" w:cs="Calibri"/>
          <w:color w:val="212121"/>
          <w:sz w:val="20"/>
          <w:szCs w:val="20"/>
        </w:rPr>
        <w:t>118</w:t>
      </w:r>
    </w:p>
    <w:p>
      <w:pPr>
        <w:pStyle w:val="TOC2"/>
      </w:pPr>
      <w:r>
        <w:rPr>
          <w:rFonts w:ascii="Calibri" w:hAnsi="Calibri" w:eastAsia="Calibri" w:cs="Calibri"/>
          <w:color w:val="212121"/>
          <w:sz w:val="20"/>
          <w:szCs w:val="20"/>
        </w:rPr>
        <w:t>Section 4.2J: Rolling Baseline Recalculation</w:t>
      </w:r>
      <w:r>
        <w:rPr>
          <w:rFonts w:ascii="Calibri" w:hAnsi="Calibri"/>
          <w:color w:val="212121"/>
          <w:sz w:val="20"/>
        </w:rPr>
        <w:tab/>
      </w:r>
      <w:r>
        <w:rPr>
          <w:rFonts w:ascii="Calibri" w:hAnsi="Calibri" w:eastAsia="Calibri" w:cs="Calibri"/>
          <w:color w:val="212121"/>
          <w:sz w:val="20"/>
          <w:szCs w:val="20"/>
        </w:rPr>
        <w:t>118</w:t>
      </w:r>
    </w:p>
    <w:p>
      <w:pPr>
        <w:pStyle w:val="TOC2"/>
      </w:pPr>
      <w:r>
        <w:rPr>
          <w:rFonts w:ascii="Calibri" w:hAnsi="Calibri" w:eastAsia="Calibri" w:cs="Calibri"/>
          <w:color w:val="212121"/>
          <w:sz w:val="20"/>
          <w:szCs w:val="20"/>
        </w:rPr>
        <w:t>Section 4.2K: Professional Standards and Data Stewardship</w:t>
      </w:r>
      <w:r>
        <w:rPr>
          <w:rFonts w:ascii="Calibri" w:hAnsi="Calibri"/>
          <w:color w:val="212121"/>
          <w:sz w:val="20"/>
        </w:rPr>
        <w:tab/>
      </w:r>
      <w:r>
        <w:rPr>
          <w:rFonts w:ascii="Calibri" w:hAnsi="Calibri" w:eastAsia="Calibri" w:cs="Calibri"/>
          <w:color w:val="212121"/>
          <w:sz w:val="20"/>
          <w:szCs w:val="20"/>
        </w:rPr>
        <w:t>118</w:t>
      </w:r>
    </w:p>
    <w:p>
      <w:pPr>
        <w:pStyle w:val="TOC2"/>
      </w:pPr>
      <w:r>
        <w:rPr>
          <w:rFonts w:ascii="Calibri" w:hAnsi="Calibri" w:eastAsia="Calibri" w:cs="Calibri"/>
          <w:color w:val="212121"/>
          <w:sz w:val="20"/>
          <w:szCs w:val="20"/>
        </w:rPr>
        <w:t>Section 4.2L: Shared Analysis Protection</w:t>
      </w:r>
      <w:r>
        <w:rPr>
          <w:rFonts w:ascii="Calibri" w:hAnsi="Calibri"/>
          <w:color w:val="212121"/>
          <w:sz w:val="20"/>
        </w:rPr>
        <w:tab/>
      </w:r>
      <w:r>
        <w:rPr>
          <w:rFonts w:ascii="Calibri" w:hAnsi="Calibri" w:eastAsia="Calibri" w:cs="Calibri"/>
          <w:color w:val="212121"/>
          <w:sz w:val="20"/>
          <w:szCs w:val="20"/>
        </w:rPr>
        <w:t>119</w:t>
      </w:r>
    </w:p>
    <w:p>
      <w:pPr>
        <w:pStyle w:val="TOC2"/>
      </w:pPr>
      <w:r>
        <w:rPr>
          <w:rFonts w:ascii="Calibri" w:hAnsi="Calibri" w:eastAsia="Calibri" w:cs="Calibri"/>
          <w:color w:val="212121"/>
          <w:sz w:val="20"/>
          <w:szCs w:val="20"/>
        </w:rPr>
        <w:t>Section 4.2M: Coalition Resilience Planning</w:t>
      </w:r>
      <w:r>
        <w:rPr>
          <w:rFonts w:ascii="Calibri" w:hAnsi="Calibri"/>
          <w:color w:val="212121"/>
          <w:sz w:val="20"/>
        </w:rPr>
        <w:tab/>
      </w:r>
      <w:r>
        <w:rPr>
          <w:rFonts w:ascii="Calibri" w:hAnsi="Calibri" w:eastAsia="Calibri" w:cs="Calibri"/>
          <w:color w:val="212121"/>
          <w:sz w:val="20"/>
          <w:szCs w:val="20"/>
        </w:rPr>
        <w:t>119</w:t>
      </w:r>
    </w:p>
    <w:p>
      <w:pPr>
        <w:pStyle w:val="TOC2"/>
      </w:pPr>
      <w:r>
        <w:rPr>
          <w:rFonts w:ascii="Calibri" w:hAnsi="Calibri" w:eastAsia="Calibri" w:cs="Calibri"/>
          <w:color w:val="212121"/>
          <w:sz w:val="20"/>
          <w:szCs w:val="20"/>
        </w:rPr>
        <w:t>Section 4.1A: Small States Collective Caucus [NEW: v9.8A Small-State Protection]</w:t>
      </w:r>
      <w:r>
        <w:rPr>
          <w:rFonts w:ascii="Calibri" w:hAnsi="Calibri"/>
          <w:color w:val="212121"/>
          <w:sz w:val="20"/>
        </w:rPr>
        <w:tab/>
      </w:r>
      <w:r>
        <w:rPr>
          <w:rFonts w:ascii="Calibri" w:hAnsi="Calibri" w:eastAsia="Calibri" w:cs="Calibri"/>
          <w:color w:val="212121"/>
          <w:sz w:val="20"/>
          <w:szCs w:val="20"/>
        </w:rPr>
        <w:t>119</w:t>
      </w:r>
    </w:p>
    <w:p>
      <w:pPr>
        <w:pStyle w:val="TOC2"/>
      </w:pPr>
      <w:r>
        <w:rPr>
          <w:rFonts w:ascii="Calibri" w:hAnsi="Calibri" w:eastAsia="Calibri" w:cs="Calibri"/>
          <w:color w:val="212121"/>
          <w:sz w:val="20"/>
          <w:szCs w:val="20"/>
        </w:rPr>
        <w:t>Section 4.1B: National IMESI Authority [NEW: v10.0]</w:t>
      </w:r>
      <w:r>
        <w:rPr>
          <w:rFonts w:ascii="Calibri" w:hAnsi="Calibri"/>
          <w:color w:val="212121"/>
          <w:sz w:val="20"/>
        </w:rPr>
        <w:tab/>
      </w:r>
      <w:r>
        <w:rPr>
          <w:rFonts w:ascii="Calibri" w:hAnsi="Calibri" w:eastAsia="Calibri" w:cs="Calibri"/>
          <w:color w:val="212121"/>
          <w:sz w:val="20"/>
          <w:szCs w:val="20"/>
        </w:rPr>
        <w:t>120</w:t>
      </w:r>
    </w:p>
    <w:p>
      <w:pPr>
        <w:pStyle w:val="TOC2"/>
      </w:pPr>
      <w:r>
        <w:rPr>
          <w:rFonts w:ascii="Calibri" w:hAnsi="Calibri" w:eastAsia="Calibri" w:cs="Calibri"/>
          <w:color w:val="212121"/>
          <w:sz w:val="20"/>
          <w:szCs w:val="20"/>
        </w:rPr>
        <w:t>Section 4.2N: Intelligence Compartmentalization and Leakage Response Protocol [NEW: v9.8 Structural Fix]</w:t>
      </w:r>
      <w:r>
        <w:rPr>
          <w:rFonts w:ascii="Calibri" w:hAnsi="Calibri"/>
          <w:color w:val="212121"/>
          <w:sz w:val="20"/>
        </w:rPr>
        <w:tab/>
      </w:r>
      <w:r>
        <w:rPr>
          <w:rFonts w:ascii="Calibri" w:hAnsi="Calibri" w:eastAsia="Calibri" w:cs="Calibri"/>
          <w:color w:val="212121"/>
          <w:sz w:val="20"/>
          <w:szCs w:val="20"/>
        </w:rPr>
        <w:t>120</w:t>
      </w:r>
    </w:p>
    <w:p>
      <w:pPr>
        <w:pStyle w:val="TOC2"/>
      </w:pPr>
      <w:r>
        <w:rPr>
          <w:rFonts w:ascii="Calibri" w:hAnsi="Calibri" w:eastAsia="Calibri" w:cs="Calibri"/>
          <w:color w:val="212121"/>
          <w:sz w:val="20"/>
          <w:szCs w:val="20"/>
        </w:rPr>
        <w:t>Section 4.2P: IEWC Capacity Management and Surge Protocol [NEW: v9.8 Structural Fix]</w:t>
      </w:r>
      <w:r>
        <w:rPr>
          <w:rFonts w:ascii="Calibri" w:hAnsi="Calibri"/>
          <w:color w:val="212121"/>
          <w:sz w:val="20"/>
        </w:rPr>
        <w:tab/>
      </w:r>
      <w:r>
        <w:rPr>
          <w:rFonts w:ascii="Calibri" w:hAnsi="Calibri" w:eastAsia="Calibri" w:cs="Calibri"/>
          <w:color w:val="212121"/>
          <w:sz w:val="20"/>
          <w:szCs w:val="20"/>
        </w:rPr>
        <w:t>122</w:t>
      </w:r>
    </w:p>
    <w:p>
      <w:pPr>
        <w:pStyle w:val="TOC2"/>
      </w:pPr>
      <w:r>
        <w:rPr>
          <w:rFonts w:ascii="Calibri" w:hAnsi="Calibri" w:eastAsia="Calibri" w:cs="Calibri"/>
          <w:color w:val="212121"/>
          <w:sz w:val="20"/>
          <w:szCs w:val="20"/>
        </w:rPr>
        <w:t>Section 4.2Q: Military-Linked Supply Chain Emergency Authority [NEW: v9.8A Military-Economic Nexus]</w:t>
      </w:r>
      <w:r>
        <w:rPr>
          <w:rFonts w:ascii="Calibri" w:hAnsi="Calibri"/>
          <w:color w:val="212121"/>
          <w:sz w:val="20"/>
        </w:rPr>
        <w:tab/>
      </w:r>
      <w:r>
        <w:rPr>
          <w:rFonts w:ascii="Calibri" w:hAnsi="Calibri" w:eastAsia="Calibri" w:cs="Calibri"/>
          <w:color w:val="212121"/>
          <w:sz w:val="20"/>
          <w:szCs w:val="20"/>
        </w:rPr>
        <w:t>123</w:t>
      </w:r>
    </w:p>
    <w:p>
      <w:pPr>
        <w:pStyle w:val="TOC2"/>
      </w:pPr>
      <w:r>
        <w:rPr>
          <w:rFonts w:ascii="Calibri" w:hAnsi="Calibri" w:eastAsia="Calibri" w:cs="Calibri"/>
          <w:color w:val="212121"/>
          <w:sz w:val="20"/>
          <w:szCs w:val="20"/>
        </w:rPr>
        <w:t>Section 4.2R: Military Context Registry [NEW: v9.8A Military-Economic Nexus Meta-Safeguard]</w:t>
      </w:r>
      <w:r>
        <w:rPr>
          <w:rFonts w:ascii="Calibri" w:hAnsi="Calibri"/>
          <w:color w:val="212121"/>
          <w:sz w:val="20"/>
        </w:rPr>
        <w:tab/>
      </w:r>
      <w:r>
        <w:rPr>
          <w:rFonts w:ascii="Calibri" w:hAnsi="Calibri" w:eastAsia="Calibri" w:cs="Calibri"/>
          <w:color w:val="212121"/>
          <w:sz w:val="20"/>
          <w:szCs w:val="20"/>
        </w:rPr>
        <w:t>123</w:t>
      </w:r>
    </w:p>
    <w:p>
      <w:pPr>
        <w:pStyle w:val="TOC2"/>
      </w:pPr>
      <w:r>
        <w:rPr>
          <w:rFonts w:ascii="Calibri" w:hAnsi="Calibri" w:eastAsia="Calibri" w:cs="Calibri"/>
          <w:color w:val="212121"/>
          <w:sz w:val="20"/>
          <w:szCs w:val="20"/>
        </w:rPr>
        <w:t>Section 4.2S: Small-State Legal and Negotiation Support Unit [NEW: v9.8A Small-State Protection]</w:t>
      </w:r>
      <w:r>
        <w:rPr>
          <w:rFonts w:ascii="Calibri" w:hAnsi="Calibri"/>
          <w:color w:val="212121"/>
          <w:sz w:val="20"/>
        </w:rPr>
        <w:tab/>
      </w:r>
      <w:r>
        <w:rPr>
          <w:rFonts w:ascii="Calibri" w:hAnsi="Calibri" w:eastAsia="Calibri" w:cs="Calibri"/>
          <w:color w:val="212121"/>
          <w:sz w:val="20"/>
          <w:szCs w:val="20"/>
        </w:rPr>
        <w:t>123</w:t>
      </w:r>
    </w:p>
    <w:p>
      <w:pPr>
        <w:pStyle w:val="TOC2"/>
      </w:pPr>
      <w:r>
        <w:rPr>
          <w:rFonts w:ascii="Calibri" w:hAnsi="Calibri" w:eastAsia="Calibri" w:cs="Calibri"/>
          <w:color w:val="212121"/>
          <w:sz w:val="20"/>
          <w:szCs w:val="20"/>
        </w:rPr>
        <w:t>Section 4.2T: IEWC Dissent Publication and Borderline Case Review [NEW: v9.8A Operational Accessibility]</w:t>
      </w:r>
      <w:r>
        <w:rPr>
          <w:rFonts w:ascii="Calibri" w:hAnsi="Calibri"/>
          <w:color w:val="212121"/>
          <w:sz w:val="20"/>
        </w:rPr>
        <w:tab/>
      </w:r>
      <w:r>
        <w:rPr>
          <w:rFonts w:ascii="Calibri" w:hAnsi="Calibri" w:eastAsia="Calibri" w:cs="Calibri"/>
          <w:color w:val="212121"/>
          <w:sz w:val="20"/>
          <w:szCs w:val="20"/>
        </w:rPr>
        <w:t>124</w:t>
      </w:r>
    </w:p>
    <w:p>
      <w:pPr>
        <w:pStyle w:val="TOC2"/>
      </w:pPr>
      <w:r>
        <w:rPr>
          <w:rFonts w:ascii="Calibri" w:hAnsi="Calibri" w:eastAsia="Calibri" w:cs="Calibri"/>
          <w:color w:val="212121"/>
          <w:sz w:val="20"/>
          <w:szCs w:val="20"/>
        </w:rPr>
        <w:t>Section 4.2U: Rapid Legitimacy Signal Mechanism (RLSM) [NEW: v9.8B]</w:t>
      </w:r>
      <w:r>
        <w:rPr>
          <w:rFonts w:ascii="Calibri" w:hAnsi="Calibri"/>
          <w:color w:val="212121"/>
          <w:sz w:val="20"/>
        </w:rPr>
        <w:tab/>
      </w:r>
      <w:r>
        <w:rPr>
          <w:rFonts w:ascii="Calibri" w:hAnsi="Calibri" w:eastAsia="Calibri" w:cs="Calibri"/>
          <w:color w:val="212121"/>
          <w:sz w:val="20"/>
          <w:szCs w:val="20"/>
        </w:rPr>
        <w:t>124</w:t>
      </w:r>
    </w:p>
    <w:p>
      <w:pPr>
        <w:pStyle w:val="TOC2"/>
      </w:pPr>
      <w:r>
        <w:rPr>
          <w:rFonts w:ascii="Calibri" w:hAnsi="Calibri" w:eastAsia="Calibri" w:cs="Calibri"/>
          <w:color w:val="212121"/>
          <w:sz w:val="20"/>
          <w:szCs w:val="20"/>
        </w:rPr>
        <w:t>Section 4.2V: IEWC Determination Transparency [NEW: v10.0]</w:t>
      </w:r>
      <w:r>
        <w:rPr>
          <w:rFonts w:ascii="Calibri" w:hAnsi="Calibri"/>
          <w:color w:val="212121"/>
          <w:sz w:val="20"/>
        </w:rPr>
        <w:tab/>
      </w:r>
      <w:r>
        <w:rPr>
          <w:rFonts w:ascii="Calibri" w:hAnsi="Calibri" w:eastAsia="Calibri" w:cs="Calibri"/>
          <w:color w:val="212121"/>
          <w:sz w:val="20"/>
          <w:szCs w:val="20"/>
        </w:rPr>
        <w:t>125</w:t>
      </w:r>
    </w:p>
    <w:p>
      <w:pPr>
        <w:pStyle w:val="TOC2"/>
      </w:pPr>
      <w:r>
        <w:rPr>
          <w:rFonts w:ascii="Calibri" w:hAnsi="Calibri" w:eastAsia="Calibri" w:cs="Calibri"/>
          <w:color w:val="212121"/>
          <w:sz w:val="20"/>
          <w:szCs w:val="20"/>
        </w:rPr>
        <w:t>Section 4.2W: Political Theater Immunity Protocol [NEW: v12.1]</w:t>
      </w:r>
      <w:r>
        <w:rPr>
          <w:rFonts w:ascii="Calibri" w:hAnsi="Calibri"/>
          <w:color w:val="212121"/>
          <w:sz w:val="20"/>
        </w:rPr>
        <w:tab/>
      </w:r>
      <w:r>
        <w:rPr>
          <w:rFonts w:ascii="Calibri" w:hAnsi="Calibri" w:eastAsia="Calibri" w:cs="Calibri"/>
          <w:color w:val="212121"/>
          <w:sz w:val="20"/>
          <w:szCs w:val="20"/>
        </w:rPr>
        <w:t>126</w:t>
      </w:r>
    </w:p>
    <w:p>
      <w:pPr>
        <w:pStyle w:val="TOC2"/>
      </w:pPr>
      <w:r>
        <w:rPr>
          <w:rFonts w:ascii="Calibri" w:hAnsi="Calibri" w:eastAsia="Calibri" w:cs="Calibri"/>
          <w:color w:val="212121"/>
          <w:sz w:val="20"/>
          <w:szCs w:val="20"/>
        </w:rPr>
        <w:t>Section 4.2X: Adversarial Policy Signal Decoder [NEW: v12.1]</w:t>
      </w:r>
      <w:r>
        <w:rPr>
          <w:rFonts w:ascii="Calibri" w:hAnsi="Calibri"/>
          <w:color w:val="212121"/>
          <w:sz w:val="20"/>
        </w:rPr>
        <w:tab/>
      </w:r>
      <w:r>
        <w:rPr>
          <w:rFonts w:ascii="Calibri" w:hAnsi="Calibri" w:eastAsia="Calibri" w:cs="Calibri"/>
          <w:color w:val="212121"/>
          <w:sz w:val="20"/>
          <w:szCs w:val="20"/>
        </w:rPr>
        <w:t>126</w:t>
      </w:r>
    </w:p>
    <w:p>
      <w:pPr>
        <w:pStyle w:val="TOC2"/>
      </w:pPr>
      <w:r>
        <w:rPr>
          <w:rFonts w:ascii="Calibri" w:hAnsi="Calibri" w:eastAsia="Calibri" w:cs="Calibri"/>
          <w:color w:val="212121"/>
          <w:sz w:val="20"/>
          <w:szCs w:val="20"/>
        </w:rPr>
        <w:t>Section 4.2Y: Coalition Narrative Integrity Cell [NEW: v12.1]</w:t>
      </w:r>
      <w:r>
        <w:rPr>
          <w:rFonts w:ascii="Calibri" w:hAnsi="Calibri"/>
          <w:color w:val="212121"/>
          <w:sz w:val="20"/>
        </w:rPr>
        <w:tab/>
      </w:r>
      <w:r>
        <w:rPr>
          <w:rFonts w:ascii="Calibri" w:hAnsi="Calibri" w:eastAsia="Calibri" w:cs="Calibri"/>
          <w:color w:val="212121"/>
          <w:sz w:val="20"/>
          <w:szCs w:val="20"/>
        </w:rPr>
        <w:t>127</w:t>
      </w:r>
    </w:p>
    <w:p>
      <w:pPr>
        <w:pStyle w:val="TOC2"/>
      </w:pPr>
      <w:r>
        <w:rPr>
          <w:rFonts w:ascii="Calibri" w:hAnsi="Calibri" w:eastAsia="Calibri" w:cs="Calibri"/>
          <w:color w:val="212121"/>
          <w:sz w:val="20"/>
          <w:szCs w:val="20"/>
        </w:rPr>
        <w:t>Section 4.2Z: Rapid Media Integrity Response Protocol [NEW: v12.1]</w:t>
      </w:r>
      <w:r>
        <w:rPr>
          <w:rFonts w:ascii="Calibri" w:hAnsi="Calibri"/>
          <w:color w:val="212121"/>
          <w:sz w:val="20"/>
        </w:rPr>
        <w:tab/>
      </w:r>
      <w:r>
        <w:rPr>
          <w:rFonts w:ascii="Calibri" w:hAnsi="Calibri" w:eastAsia="Calibri" w:cs="Calibri"/>
          <w:color w:val="212121"/>
          <w:sz w:val="20"/>
          <w:szCs w:val="20"/>
        </w:rPr>
        <w:t>127</w:t>
      </w:r>
    </w:p>
    <w:p>
      <w:pPr>
        <w:pStyle w:val="TOC2"/>
      </w:pPr>
      <w:r>
        <w:rPr>
          <w:rFonts w:ascii="Calibri" w:hAnsi="Calibri" w:eastAsia="Calibri" w:cs="Calibri"/>
          <w:color w:val="212121"/>
          <w:sz w:val="20"/>
          <w:szCs w:val="20"/>
        </w:rPr>
        <w:t>Section 4.2AA: Misinformation-Induced Harm Compensation Eligibility [NEW: v12.1]</w:t>
      </w:r>
      <w:r>
        <w:rPr>
          <w:rFonts w:ascii="Calibri" w:hAnsi="Calibri"/>
          <w:color w:val="212121"/>
          <w:sz w:val="20"/>
        </w:rPr>
        <w:tab/>
      </w:r>
      <w:r>
        <w:rPr>
          <w:rFonts w:ascii="Calibri" w:hAnsi="Calibri" w:eastAsia="Calibri" w:cs="Calibri"/>
          <w:color w:val="212121"/>
          <w:sz w:val="20"/>
          <w:szCs w:val="20"/>
        </w:rPr>
        <w:t>127</w:t>
      </w:r>
    </w:p>
    <w:p>
      <w:pPr>
        <w:pStyle w:val="TOC2"/>
      </w:pPr>
      <w:r>
        <w:rPr>
          <w:rFonts w:ascii="Calibri" w:hAnsi="Calibri" w:eastAsia="Calibri" w:cs="Calibri"/>
          <w:color w:val="212121"/>
          <w:sz w:val="20"/>
          <w:szCs w:val="20"/>
        </w:rPr>
        <w:t>Section 4.2AB: Domestic Political Cost Assessment [NEW: v12.1]</w:t>
      </w:r>
      <w:r>
        <w:rPr>
          <w:rFonts w:ascii="Calibri" w:hAnsi="Calibri"/>
          <w:color w:val="212121"/>
          <w:sz w:val="20"/>
        </w:rPr>
        <w:tab/>
      </w:r>
      <w:r>
        <w:rPr>
          <w:rFonts w:ascii="Calibri" w:hAnsi="Calibri" w:eastAsia="Calibri" w:cs="Calibri"/>
          <w:color w:val="212121"/>
          <w:sz w:val="20"/>
          <w:szCs w:val="20"/>
        </w:rPr>
        <w:t>128</w:t>
      </w:r>
    </w:p>
    <w:p>
      <w:pPr>
        <w:pStyle w:val="TOC2"/>
      </w:pPr>
      <w:r>
        <w:rPr>
          <w:rFonts w:ascii="Calibri" w:hAnsi="Calibri" w:eastAsia="Calibri" w:cs="Calibri"/>
          <w:color w:val="212121"/>
          <w:sz w:val="20"/>
          <w:szCs w:val="20"/>
        </w:rPr>
        <w:t>Section 4.2AC: Pre-Authorised Disinformation Counter-Narrative Library [NEW: v12.1]</w:t>
      </w:r>
      <w:r>
        <w:rPr>
          <w:rFonts w:ascii="Calibri" w:hAnsi="Calibri"/>
          <w:color w:val="212121"/>
          <w:sz w:val="20"/>
        </w:rPr>
        <w:tab/>
      </w:r>
      <w:r>
        <w:rPr>
          <w:rFonts w:ascii="Calibri" w:hAnsi="Calibri" w:eastAsia="Calibri" w:cs="Calibri"/>
          <w:color w:val="212121"/>
          <w:sz w:val="20"/>
          <w:szCs w:val="20"/>
        </w:rPr>
        <w:t>128</w:t>
      </w:r>
    </w:p>
    <w:p>
      <w:pPr>
        <w:pStyle w:val="TOC2"/>
      </w:pPr>
      <w:r>
        <w:rPr>
          <w:rFonts w:ascii="Calibri" w:hAnsi="Calibri" w:eastAsia="Calibri" w:cs="Calibri"/>
          <w:color w:val="212121"/>
          <w:sz w:val="20"/>
          <w:szCs w:val="20"/>
        </w:rPr>
        <w:t>Section 4.2AD: Market Signalling and Volatility Monitoring Unit [NEW: v12.1]</w:t>
      </w:r>
      <w:r>
        <w:rPr>
          <w:rFonts w:ascii="Calibri" w:hAnsi="Calibri"/>
          <w:color w:val="212121"/>
          <w:sz w:val="20"/>
        </w:rPr>
        <w:tab/>
      </w:r>
      <w:r>
        <w:rPr>
          <w:rFonts w:ascii="Calibri" w:hAnsi="Calibri" w:eastAsia="Calibri" w:cs="Calibri"/>
          <w:color w:val="212121"/>
          <w:sz w:val="20"/>
          <w:szCs w:val="20"/>
        </w:rPr>
        <w:t>128</w:t>
      </w:r>
    </w:p>
    <w:p>
      <w:pPr>
        <w:pStyle w:val="TOC2"/>
      </w:pPr>
      <w:r>
        <w:rPr>
          <w:rFonts w:ascii="Calibri" w:hAnsi="Calibri" w:eastAsia="Calibri" w:cs="Calibri"/>
          <w:color w:val="212121"/>
          <w:sz w:val="20"/>
          <w:szCs w:val="20"/>
        </w:rPr>
        <w:t>Section 4.2AE: Departure Communications Protocol [NEW: v15.0]</w:t>
      </w:r>
      <w:r>
        <w:rPr>
          <w:rFonts w:ascii="Calibri" w:hAnsi="Calibri"/>
          <w:color w:val="212121"/>
          <w:sz w:val="20"/>
        </w:rPr>
        <w:tab/>
      </w:r>
      <w:r>
        <w:rPr>
          <w:rFonts w:ascii="Calibri" w:hAnsi="Calibri" w:eastAsia="Calibri" w:cs="Calibri"/>
          <w:color w:val="212121"/>
          <w:sz w:val="20"/>
          <w:szCs w:val="20"/>
        </w:rPr>
        <w:t>129</w:t>
      </w:r>
    </w:p>
    <w:p>
      <w:pPr>
        <w:pStyle w:val="TOC2"/>
      </w:pPr>
      <w:r>
        <w:rPr>
          <w:rFonts w:ascii="Calibri" w:hAnsi="Calibri" w:eastAsia="Calibri" w:cs="Calibri"/>
          <w:color w:val="212121"/>
          <w:sz w:val="20"/>
          <w:szCs w:val="20"/>
        </w:rPr>
        <w:t>Section 4.2AF: Member Political Pressure Vulnerability Assessment [NEW: v15.0]</w:t>
      </w:r>
      <w:r>
        <w:rPr>
          <w:rFonts w:ascii="Calibri" w:hAnsi="Calibri"/>
          <w:color w:val="212121"/>
          <w:sz w:val="20"/>
        </w:rPr>
        <w:tab/>
      </w:r>
      <w:r>
        <w:rPr>
          <w:rFonts w:ascii="Calibri" w:hAnsi="Calibri" w:eastAsia="Calibri" w:cs="Calibri"/>
          <w:color w:val="212121"/>
          <w:sz w:val="20"/>
          <w:szCs w:val="20"/>
        </w:rPr>
        <w:t>129</w:t>
      </w:r>
    </w:p>
    <w:p>
      <w:pPr>
        <w:pStyle w:val="TOC2"/>
      </w:pPr>
      <w:r>
        <w:rPr>
          <w:rFonts w:ascii="Calibri" w:hAnsi="Calibri" w:eastAsia="Calibri" w:cs="Calibri"/>
          <w:color w:val="212121"/>
          <w:sz w:val="20"/>
          <w:szCs w:val="20"/>
        </w:rPr>
        <w:t>Section 4.2AG: Standing Expert Rotation and Independence Protocol [NEW: v15.0]</w:t>
      </w:r>
      <w:r>
        <w:rPr>
          <w:rFonts w:ascii="Calibri" w:hAnsi="Calibri"/>
          <w:color w:val="212121"/>
          <w:sz w:val="20"/>
        </w:rPr>
        <w:tab/>
      </w:r>
      <w:r>
        <w:rPr>
          <w:rFonts w:ascii="Calibri" w:hAnsi="Calibri" w:eastAsia="Calibri" w:cs="Calibri"/>
          <w:color w:val="212121"/>
          <w:sz w:val="20"/>
          <w:szCs w:val="20"/>
        </w:rPr>
        <w:t>130</w:t>
      </w:r>
    </w:p>
    <w:p>
      <w:pPr>
        <w:pStyle w:val="TOC2"/>
      </w:pPr>
      <w:r>
        <w:rPr>
          <w:rFonts w:ascii="Calibri" w:hAnsi="Calibri" w:eastAsia="Calibri" w:cs="Calibri"/>
          <w:color w:val="212121"/>
          <w:sz w:val="20"/>
          <w:szCs w:val="20"/>
        </w:rPr>
        <w:t>Section 4.2AH: Military-Economic Intelligence Fusion Unit [NEW: v15.0]</w:t>
      </w:r>
      <w:r>
        <w:rPr>
          <w:rFonts w:ascii="Calibri" w:hAnsi="Calibri"/>
          <w:color w:val="212121"/>
          <w:sz w:val="20"/>
        </w:rPr>
        <w:tab/>
      </w:r>
      <w:r>
        <w:rPr>
          <w:rFonts w:ascii="Calibri" w:hAnsi="Calibri" w:eastAsia="Calibri" w:cs="Calibri"/>
          <w:color w:val="212121"/>
          <w:sz w:val="20"/>
          <w:szCs w:val="20"/>
        </w:rPr>
        <w:t>130</w:t>
      </w:r>
    </w:p>
    <w:p>
      <w:pPr>
        <w:pStyle w:val="TOC2"/>
      </w:pPr>
      <w:r>
        <w:rPr>
          <w:rFonts w:ascii="Calibri" w:hAnsi="Calibri" w:eastAsia="Calibri" w:cs="Calibri"/>
          <w:color w:val="212121"/>
          <w:sz w:val="20"/>
          <w:szCs w:val="20"/>
        </w:rPr>
        <w:t>Section 4.3: Five-Year Institutional Review Clause</w:t>
      </w:r>
      <w:r>
        <w:rPr>
          <w:rFonts w:ascii="Calibri" w:hAnsi="Calibri"/>
          <w:color w:val="212121"/>
          <w:sz w:val="20"/>
        </w:rPr>
        <w:tab/>
      </w:r>
      <w:r>
        <w:rPr>
          <w:rFonts w:ascii="Calibri" w:hAnsi="Calibri" w:eastAsia="Calibri" w:cs="Calibri"/>
          <w:color w:val="212121"/>
          <w:sz w:val="20"/>
          <w:szCs w:val="20"/>
        </w:rPr>
        <w:t>131</w:t>
      </w:r>
    </w:p>
    <w:p>
      <w:pPr>
        <w:pStyle w:val="TOC2"/>
      </w:pPr>
      <w:r>
        <w:rPr>
          <w:rFonts w:ascii="Calibri" w:hAnsi="Calibri" w:eastAsia="Calibri" w:cs="Calibri"/>
          <w:color w:val="212121"/>
          <w:sz w:val="20"/>
          <w:szCs w:val="20"/>
        </w:rPr>
        <w:t>Section 4.3A: Continuous Review Mechanism</w:t>
      </w:r>
      <w:r>
        <w:rPr>
          <w:rFonts w:ascii="Calibri" w:hAnsi="Calibri"/>
          <w:color w:val="212121"/>
          <w:sz w:val="20"/>
        </w:rPr>
        <w:tab/>
      </w:r>
      <w:r>
        <w:rPr>
          <w:rFonts w:ascii="Calibri" w:hAnsi="Calibri" w:eastAsia="Calibri" w:cs="Calibri"/>
          <w:color w:val="212121"/>
          <w:sz w:val="20"/>
          <w:szCs w:val="20"/>
        </w:rPr>
        <w:t>132</w:t>
      </w:r>
    </w:p>
    <w:p>
      <w:pPr>
        <w:pStyle w:val="TOC2"/>
      </w:pPr>
      <w:r>
        <w:rPr>
          <w:rFonts w:ascii="Calibri" w:hAnsi="Calibri" w:eastAsia="Calibri" w:cs="Calibri"/>
          <w:color w:val="212121"/>
          <w:sz w:val="20"/>
          <w:szCs w:val="20"/>
        </w:rPr>
        <w:t>Section 4.3C: Periodic Review of Automatic and Presumptive Triggers</w:t>
      </w:r>
      <w:r>
        <w:rPr>
          <w:rFonts w:ascii="Calibri" w:hAnsi="Calibri"/>
          <w:color w:val="212121"/>
          <w:sz w:val="20"/>
        </w:rPr>
        <w:tab/>
      </w:r>
      <w:r>
        <w:rPr>
          <w:rFonts w:ascii="Calibri" w:hAnsi="Calibri" w:eastAsia="Calibri" w:cs="Calibri"/>
          <w:color w:val="212121"/>
          <w:sz w:val="20"/>
          <w:szCs w:val="20"/>
        </w:rPr>
        <w:t>132</w:t>
      </w:r>
    </w:p>
    <w:p>
      <w:pPr>
        <w:pStyle w:val="TOC2"/>
      </w:pPr>
      <w:r>
        <w:rPr>
          <w:rFonts w:ascii="Calibri" w:hAnsi="Calibri" w:eastAsia="Calibri" w:cs="Calibri"/>
          <w:color w:val="212121"/>
          <w:sz w:val="20"/>
          <w:szCs w:val="20"/>
        </w:rPr>
        <w:t>Section 4.3B: Recursive Review Mandate (RRM)</w:t>
      </w:r>
      <w:r>
        <w:rPr>
          <w:rFonts w:ascii="Calibri" w:hAnsi="Calibri"/>
          <w:color w:val="212121"/>
          <w:sz w:val="20"/>
        </w:rPr>
        <w:tab/>
      </w:r>
      <w:r>
        <w:rPr>
          <w:rFonts w:ascii="Calibri" w:hAnsi="Calibri" w:eastAsia="Calibri" w:cs="Calibri"/>
          <w:color w:val="212121"/>
          <w:sz w:val="20"/>
          <w:szCs w:val="20"/>
        </w:rPr>
        <w:t>132</w:t>
      </w:r>
    </w:p>
    <w:p>
      <w:pPr>
        <w:pStyle w:val="TOC2"/>
      </w:pPr>
      <w:r>
        <w:rPr>
          <w:rFonts w:ascii="Calibri" w:hAnsi="Calibri" w:eastAsia="Calibri" w:cs="Calibri"/>
          <w:color w:val="212121"/>
          <w:sz w:val="20"/>
          <w:szCs w:val="20"/>
        </w:rPr>
        <w:t>Section 4.3E: Learning Engine Mandate [NEW: v15.0]</w:t>
      </w:r>
      <w:r>
        <w:rPr>
          <w:rFonts w:ascii="Calibri" w:hAnsi="Calibri"/>
          <w:color w:val="212121"/>
          <w:sz w:val="20"/>
        </w:rPr>
        <w:tab/>
      </w:r>
      <w:r>
        <w:rPr>
          <w:rFonts w:ascii="Calibri" w:hAnsi="Calibri" w:eastAsia="Calibri" w:cs="Calibri"/>
          <w:color w:val="212121"/>
          <w:sz w:val="20"/>
          <w:szCs w:val="20"/>
        </w:rPr>
        <w:t>133</w:t>
      </w:r>
    </w:p>
    <w:p>
      <w:pPr>
        <w:pStyle w:val="TOC2"/>
      </w:pPr>
      <w:r>
        <w:rPr>
          <w:rFonts w:ascii="Calibri" w:hAnsi="Calibri" w:eastAsia="Calibri" w:cs="Calibri"/>
          <w:color w:val="212121"/>
          <w:sz w:val="20"/>
          <w:szCs w:val="20"/>
        </w:rPr>
        <w:t>Section 4.4A: Institutional Predictability Calendar [NEW: v9.8A Institutional Maturity]</w:t>
      </w:r>
      <w:r>
        <w:rPr>
          <w:rFonts w:ascii="Calibri" w:hAnsi="Calibri"/>
          <w:color w:val="212121"/>
          <w:sz w:val="20"/>
        </w:rPr>
        <w:tab/>
      </w:r>
      <w:r>
        <w:rPr>
          <w:rFonts w:ascii="Calibri" w:hAnsi="Calibri" w:eastAsia="Calibri" w:cs="Calibri"/>
          <w:color w:val="212121"/>
          <w:sz w:val="20"/>
          <w:szCs w:val="20"/>
        </w:rPr>
        <w:t>134</w:t>
      </w:r>
    </w:p>
    <w:p>
      <w:pPr>
        <w:pStyle w:val="TOC2"/>
      </w:pPr>
      <w:r>
        <w:rPr>
          <w:rFonts w:ascii="Calibri" w:hAnsi="Calibri" w:eastAsia="Calibri" w:cs="Calibri"/>
          <w:color w:val="212121"/>
          <w:sz w:val="20"/>
          <w:szCs w:val="20"/>
        </w:rPr>
        <w:t>Section 4.5A: IMESI Leaders' Meeting [NEW: v9.8B]</w:t>
      </w:r>
      <w:r>
        <w:rPr>
          <w:rFonts w:ascii="Calibri" w:hAnsi="Calibri"/>
          <w:color w:val="212121"/>
          <w:sz w:val="20"/>
        </w:rPr>
        <w:tab/>
      </w:r>
      <w:r>
        <w:rPr>
          <w:rFonts w:ascii="Calibri" w:hAnsi="Calibri" w:eastAsia="Calibri" w:cs="Calibri"/>
          <w:color w:val="212121"/>
          <w:sz w:val="20"/>
          <w:szCs w:val="20"/>
        </w:rPr>
        <w:t>134</w:t>
      </w:r>
    </w:p>
    <w:p>
      <w:pPr>
        <w:pStyle w:val="TOC2"/>
      </w:pPr>
      <w:r>
        <w:rPr>
          <w:rFonts w:ascii="Calibri" w:hAnsi="Calibri" w:eastAsia="Calibri" w:cs="Calibri"/>
          <w:color w:val="212121"/>
          <w:sz w:val="20"/>
          <w:szCs w:val="20"/>
        </w:rPr>
        <w:t>Section 4.4: Protection Against Over-Delegation</w:t>
      </w:r>
      <w:r>
        <w:rPr>
          <w:rFonts w:ascii="Calibri" w:hAnsi="Calibri"/>
          <w:color w:val="212121"/>
          <w:sz w:val="20"/>
        </w:rPr>
        <w:tab/>
      </w:r>
      <w:r>
        <w:rPr>
          <w:rFonts w:ascii="Calibri" w:hAnsi="Calibri" w:eastAsia="Calibri" w:cs="Calibri"/>
          <w:color w:val="212121"/>
          <w:sz w:val="20"/>
          <w:szCs w:val="20"/>
        </w:rPr>
        <w:t>134</w:t>
      </w:r>
    </w:p>
    <w:p>
      <w:pPr>
        <w:pStyle w:val="TOC2"/>
      </w:pPr>
      <w:r>
        <w:rPr>
          <w:rFonts w:ascii="Calibri" w:hAnsi="Calibri" w:eastAsia="Calibri" w:cs="Calibri"/>
          <w:color w:val="212121"/>
          <w:sz w:val="20"/>
          <w:szCs w:val="20"/>
        </w:rPr>
        <w:t>Section 4.5: Inter-Member Dispute Resolution Chamber</w:t>
      </w:r>
      <w:r>
        <w:rPr>
          <w:rFonts w:ascii="Calibri" w:hAnsi="Calibri"/>
          <w:color w:val="212121"/>
          <w:sz w:val="20"/>
        </w:rPr>
        <w:tab/>
      </w:r>
      <w:r>
        <w:rPr>
          <w:rFonts w:ascii="Calibri" w:hAnsi="Calibri" w:eastAsia="Calibri" w:cs="Calibri"/>
          <w:color w:val="212121"/>
          <w:sz w:val="20"/>
          <w:szCs w:val="20"/>
        </w:rPr>
        <w:t>134</w:t>
      </w:r>
    </w:p>
    <w:p>
      <w:pPr>
        <w:pStyle w:val="TOC2"/>
      </w:pPr>
      <w:r>
        <w:rPr>
          <w:rFonts w:ascii="Calibri" w:hAnsi="Calibri" w:eastAsia="Calibri" w:cs="Calibri"/>
          <w:color w:val="212121"/>
          <w:sz w:val="20"/>
          <w:szCs w:val="20"/>
        </w:rPr>
        <w:t>Section 4.5A: Public-Private Liaison Forum</w:t>
      </w:r>
      <w:r>
        <w:rPr>
          <w:rFonts w:ascii="Calibri" w:hAnsi="Calibri"/>
          <w:color w:val="212121"/>
          <w:sz w:val="20"/>
        </w:rPr>
        <w:tab/>
      </w:r>
      <w:r>
        <w:rPr>
          <w:rFonts w:ascii="Calibri" w:hAnsi="Calibri" w:eastAsia="Calibri" w:cs="Calibri"/>
          <w:color w:val="212121"/>
          <w:sz w:val="20"/>
          <w:szCs w:val="20"/>
        </w:rPr>
        <w:t>136</w:t>
      </w:r>
    </w:p>
    <w:p>
      <w:pPr>
        <w:pStyle w:val="TOC2"/>
      </w:pPr>
      <w:r>
        <w:rPr>
          <w:rFonts w:ascii="Calibri" w:hAnsi="Calibri" w:eastAsia="Calibri" w:cs="Calibri"/>
          <w:color w:val="212121"/>
          <w:sz w:val="20"/>
          <w:szCs w:val="20"/>
        </w:rPr>
        <w:t>Section 4.6: Institutional Memory and Continuity Safeguards</w:t>
      </w:r>
      <w:r>
        <w:rPr>
          <w:rFonts w:ascii="Calibri" w:hAnsi="Calibri"/>
          <w:color w:val="212121"/>
          <w:sz w:val="20"/>
        </w:rPr>
        <w:tab/>
      </w:r>
      <w:r>
        <w:rPr>
          <w:rFonts w:ascii="Calibri" w:hAnsi="Calibri" w:eastAsia="Calibri" w:cs="Calibri"/>
          <w:color w:val="212121"/>
          <w:sz w:val="20"/>
          <w:szCs w:val="20"/>
        </w:rPr>
        <w:t>136</w:t>
      </w:r>
    </w:p>
    <w:p>
      <w:pPr>
        <w:pStyle w:val="TOC2"/>
      </w:pPr>
      <w:r>
        <w:rPr>
          <w:rFonts w:ascii="Calibri" w:hAnsi="Calibri" w:eastAsia="Calibri" w:cs="Calibri"/>
          <w:color w:val="212121"/>
          <w:sz w:val="20"/>
          <w:szCs w:val="20"/>
        </w:rPr>
        <w:t>Section 4.6A: Peer Learning Exchange Program</w:t>
      </w:r>
      <w:r>
        <w:rPr>
          <w:rFonts w:ascii="Calibri" w:hAnsi="Calibri"/>
          <w:color w:val="212121"/>
          <w:sz w:val="20"/>
        </w:rPr>
        <w:tab/>
      </w:r>
      <w:r>
        <w:rPr>
          <w:rFonts w:ascii="Calibri" w:hAnsi="Calibri" w:eastAsia="Calibri" w:cs="Calibri"/>
          <w:color w:val="212121"/>
          <w:sz w:val="20"/>
          <w:szCs w:val="20"/>
        </w:rPr>
        <w:t>137</w:t>
      </w:r>
    </w:p>
    <w:p>
      <w:pPr>
        <w:pStyle w:val="TOC2"/>
      </w:pPr>
      <w:r>
        <w:rPr>
          <w:rFonts w:ascii="Calibri" w:hAnsi="Calibri" w:eastAsia="Calibri" w:cs="Calibri"/>
          <w:color w:val="212121"/>
          <w:sz w:val="20"/>
          <w:szCs w:val="20"/>
        </w:rPr>
        <w:t>Section 4.6D: Distributed Institutional Memory and Resilience</w:t>
      </w:r>
      <w:r>
        <w:rPr>
          <w:rFonts w:ascii="Calibri" w:hAnsi="Calibri"/>
          <w:color w:val="212121"/>
          <w:sz w:val="20"/>
        </w:rPr>
        <w:tab/>
      </w:r>
      <w:r>
        <w:rPr>
          <w:rFonts w:ascii="Calibri" w:hAnsi="Calibri" w:eastAsia="Calibri" w:cs="Calibri"/>
          <w:color w:val="212121"/>
          <w:sz w:val="20"/>
          <w:szCs w:val="20"/>
        </w:rPr>
        <w:t>137</w:t>
      </w:r>
    </w:p>
    <w:p>
      <w:pPr>
        <w:pStyle w:val="TOC2"/>
      </w:pPr>
      <w:r>
        <w:rPr>
          <w:rFonts w:ascii="Calibri" w:hAnsi="Calibri" w:eastAsia="Calibri" w:cs="Calibri"/>
          <w:color w:val="212121"/>
          <w:sz w:val="20"/>
          <w:szCs w:val="20"/>
        </w:rPr>
        <w:t>Section 4.6E: Legacy Case Archive</w:t>
      </w:r>
      <w:r>
        <w:rPr>
          <w:rFonts w:ascii="Calibri" w:hAnsi="Calibri"/>
          <w:color w:val="212121"/>
          <w:sz w:val="20"/>
        </w:rPr>
        <w:tab/>
      </w:r>
      <w:r>
        <w:rPr>
          <w:rFonts w:ascii="Calibri" w:hAnsi="Calibri" w:eastAsia="Calibri" w:cs="Calibri"/>
          <w:color w:val="212121"/>
          <w:sz w:val="20"/>
          <w:szCs w:val="20"/>
        </w:rPr>
        <w:t>138</w:t>
      </w:r>
    </w:p>
    <w:p>
      <w:pPr>
        <w:pStyle w:val="TOC2"/>
      </w:pPr>
      <w:r>
        <w:rPr>
          <w:rFonts w:ascii="Calibri" w:hAnsi="Calibri" w:eastAsia="Calibri" w:cs="Calibri"/>
          <w:color w:val="212121"/>
          <w:sz w:val="20"/>
          <w:szCs w:val="20"/>
        </w:rPr>
        <w:t>Section 4.3A: Compliance Audit and Transparency Protocol [NEW: v9.8 Red Team Fix]</w:t>
      </w:r>
      <w:r>
        <w:rPr>
          <w:rFonts w:ascii="Calibri" w:hAnsi="Calibri"/>
          <w:color w:val="212121"/>
          <w:sz w:val="20"/>
        </w:rPr>
        <w:tab/>
      </w:r>
      <w:r>
        <w:rPr>
          <w:rFonts w:ascii="Calibri" w:hAnsi="Calibri" w:eastAsia="Calibri" w:cs="Calibri"/>
          <w:color w:val="212121"/>
          <w:sz w:val="20"/>
          <w:szCs w:val="20"/>
        </w:rPr>
        <w:t>138</w:t>
      </w:r>
    </w:p>
    <w:p>
      <w:pPr>
        <w:pStyle w:val="TOC2"/>
      </w:pPr>
      <w:r>
        <w:rPr>
          <w:rFonts w:ascii="Calibri" w:hAnsi="Calibri" w:eastAsia="Calibri" w:cs="Calibri"/>
          <w:color w:val="212121"/>
          <w:sz w:val="20"/>
          <w:szCs w:val="20"/>
        </w:rPr>
        <w:t>Section 4.3B: Public Legitimacy and Independent Case Review [NEW: v9.8A Adoption Readiness]</w:t>
      </w:r>
      <w:r>
        <w:rPr>
          <w:rFonts w:ascii="Calibri" w:hAnsi="Calibri"/>
          <w:color w:val="212121"/>
          <w:sz w:val="20"/>
        </w:rPr>
        <w:tab/>
      </w:r>
      <w:r>
        <w:rPr>
          <w:rFonts w:ascii="Calibri" w:hAnsi="Calibri" w:eastAsia="Calibri" w:cs="Calibri"/>
          <w:color w:val="212121"/>
          <w:sz w:val="20"/>
          <w:szCs w:val="20"/>
        </w:rPr>
        <w:t>139</w:t>
      </w:r>
    </w:p>
    <w:p>
      <w:pPr>
        <w:pStyle w:val="TOC2"/>
      </w:pPr>
      <w:r>
        <w:rPr>
          <w:rFonts w:ascii="Calibri" w:hAnsi="Calibri" w:eastAsia="Calibri" w:cs="Calibri"/>
          <w:color w:val="212121"/>
          <w:sz w:val="20"/>
          <w:szCs w:val="20"/>
        </w:rPr>
        <w:t>Section 4.3C: Implementation Proportionality and Administrative Capacity [NEW: v9.9]</w:t>
      </w:r>
      <w:r>
        <w:rPr>
          <w:rFonts w:ascii="Calibri" w:hAnsi="Calibri"/>
          <w:color w:val="212121"/>
          <w:sz w:val="20"/>
        </w:rPr>
        <w:tab/>
      </w:r>
      <w:r>
        <w:rPr>
          <w:rFonts w:ascii="Calibri" w:hAnsi="Calibri" w:eastAsia="Calibri" w:cs="Calibri"/>
          <w:color w:val="212121"/>
          <w:sz w:val="20"/>
          <w:szCs w:val="20"/>
        </w:rPr>
        <w:t>139</w:t>
      </w:r>
    </w:p>
    <w:p>
      <w:pPr>
        <w:pStyle w:val="TOC2"/>
      </w:pPr>
      <w:r>
        <w:rPr>
          <w:rFonts w:ascii="Calibri" w:hAnsi="Calibri" w:eastAsia="Calibri" w:cs="Calibri"/>
          <w:color w:val="212121"/>
          <w:sz w:val="20"/>
          <w:szCs w:val="20"/>
        </w:rPr>
        <w:t>Section 4.3D: Impact and Deterrence Note [NEW: v10.0]</w:t>
      </w:r>
      <w:r>
        <w:rPr>
          <w:rFonts w:ascii="Calibri" w:hAnsi="Calibri"/>
          <w:color w:val="212121"/>
          <w:sz w:val="20"/>
        </w:rPr>
        <w:tab/>
      </w:r>
      <w:r>
        <w:rPr>
          <w:rFonts w:ascii="Calibri" w:hAnsi="Calibri" w:eastAsia="Calibri" w:cs="Calibri"/>
          <w:color w:val="212121"/>
          <w:sz w:val="20"/>
          <w:szCs w:val="20"/>
        </w:rPr>
        <w:t>140</w:t>
      </w:r>
    </w:p>
    <w:p>
      <w:pPr>
        <w:pStyle w:val="TOC2"/>
      </w:pPr>
      <w:r>
        <w:rPr>
          <w:rFonts w:ascii="Calibri" w:hAnsi="Calibri" w:eastAsia="Calibri" w:cs="Calibri"/>
          <w:color w:val="212121"/>
          <w:sz w:val="20"/>
          <w:szCs w:val="20"/>
        </w:rPr>
        <w:t>Section 4.6F: SFI Node Hosting Agreements and Infrastructure Resilience [NEW: v9.8 Structural Fix]</w:t>
      </w:r>
      <w:r>
        <w:rPr>
          <w:rFonts w:ascii="Calibri" w:hAnsi="Calibri"/>
          <w:color w:val="212121"/>
          <w:sz w:val="20"/>
        </w:rPr>
        <w:tab/>
      </w:r>
      <w:r>
        <w:rPr>
          <w:rFonts w:ascii="Calibri" w:hAnsi="Calibri" w:eastAsia="Calibri" w:cs="Calibri"/>
          <w:color w:val="212121"/>
          <w:sz w:val="20"/>
          <w:szCs w:val="20"/>
        </w:rPr>
        <w:t>140</w:t>
      </w:r>
    </w:p>
    <w:p>
      <w:pPr>
        <w:pStyle w:val="TOC2"/>
      </w:pPr>
      <w:r>
        <w:rPr>
          <w:rFonts w:ascii="Calibri" w:hAnsi="Calibri" w:eastAsia="Calibri" w:cs="Calibri"/>
          <w:color w:val="212121"/>
          <w:sz w:val="20"/>
          <w:szCs w:val="20"/>
        </w:rPr>
        <w:t>Section 4.6H: Central Bank Swap Coordination and Binding Framework [NEW: v9.8 Structural Fix]</w:t>
      </w:r>
      <w:r>
        <w:rPr>
          <w:rFonts w:ascii="Calibri" w:hAnsi="Calibri"/>
          <w:color w:val="212121"/>
          <w:sz w:val="20"/>
        </w:rPr>
        <w:tab/>
      </w:r>
      <w:r>
        <w:rPr>
          <w:rFonts w:ascii="Calibri" w:hAnsi="Calibri" w:eastAsia="Calibri" w:cs="Calibri"/>
          <w:color w:val="212121"/>
          <w:sz w:val="20"/>
          <w:szCs w:val="20"/>
        </w:rPr>
        <w:t>141</w:t>
      </w:r>
    </w:p>
    <w:p>
      <w:pPr>
        <w:pStyle w:val="TOC2"/>
      </w:pPr>
      <w:r>
        <w:rPr>
          <w:rFonts w:ascii="Calibri" w:hAnsi="Calibri" w:eastAsia="Calibri" w:cs="Calibri"/>
          <w:color w:val="212121"/>
          <w:sz w:val="20"/>
          <w:szCs w:val="20"/>
        </w:rPr>
        <w:t>Section 4.7: Integrity and Anti-Corruption Protocol [NEW: v15.0]</w:t>
      </w:r>
      <w:r>
        <w:rPr>
          <w:rFonts w:ascii="Calibri" w:hAnsi="Calibri"/>
          <w:color w:val="212121"/>
          <w:sz w:val="20"/>
        </w:rPr>
        <w:tab/>
      </w:r>
      <w:r>
        <w:rPr>
          <w:rFonts w:ascii="Calibri" w:hAnsi="Calibri" w:eastAsia="Calibri" w:cs="Calibri"/>
          <w:color w:val="212121"/>
          <w:sz w:val="20"/>
          <w:szCs w:val="20"/>
        </w:rPr>
        <w:t>141</w:t>
      </w:r>
    </w:p>
    <w:p>
      <w:pPr>
        <w:pStyle w:val="TOC2"/>
      </w:pPr>
      <w:r>
        <w:rPr>
          <w:rFonts w:ascii="Calibri" w:hAnsi="Calibri" w:eastAsia="Calibri" w:cs="Calibri"/>
          <w:color w:val="212121"/>
          <w:sz w:val="20"/>
          <w:szCs w:val="20"/>
        </w:rPr>
        <w:t>Section 4.7A: Revolving Door Restrictions [NEW: v15.0]</w:t>
      </w:r>
      <w:r>
        <w:rPr>
          <w:rFonts w:ascii="Calibri" w:hAnsi="Calibri"/>
          <w:color w:val="212121"/>
          <w:sz w:val="20"/>
        </w:rPr>
        <w:tab/>
      </w:r>
      <w:r>
        <w:rPr>
          <w:rFonts w:ascii="Calibri" w:hAnsi="Calibri" w:eastAsia="Calibri" w:cs="Calibri"/>
          <w:color w:val="212121"/>
          <w:sz w:val="20"/>
          <w:szCs w:val="20"/>
        </w:rPr>
        <w:t>142</w:t>
      </w:r>
    </w:p>
    <w:p>
      <w:pPr>
        <w:pStyle w:val="TOC2"/>
      </w:pPr>
      <w:r>
        <w:rPr>
          <w:rFonts w:ascii="Calibri" w:hAnsi="Calibri" w:eastAsia="Calibri" w:cs="Calibri"/>
          <w:color w:val="212121"/>
          <w:sz w:val="20"/>
          <w:szCs w:val="20"/>
        </w:rPr>
        <w:t>Section 4.7B: Whistleblower Fortress Protocol [NEW: v15.0]</w:t>
      </w:r>
      <w:r>
        <w:rPr>
          <w:rFonts w:ascii="Calibri" w:hAnsi="Calibri"/>
          <w:color w:val="212121"/>
          <w:sz w:val="20"/>
        </w:rPr>
        <w:tab/>
      </w:r>
      <w:r>
        <w:rPr>
          <w:rFonts w:ascii="Calibri" w:hAnsi="Calibri" w:eastAsia="Calibri" w:cs="Calibri"/>
          <w:color w:val="212121"/>
          <w:sz w:val="20"/>
          <w:szCs w:val="20"/>
        </w:rPr>
        <w:t>143</w:t>
      </w:r>
    </w:p>
    <w:p>
      <w:pPr>
        <w:pStyle w:val="TOC2"/>
      </w:pPr>
      <w:r>
        <w:rPr>
          <w:rFonts w:ascii="Calibri" w:hAnsi="Calibri" w:eastAsia="Calibri" w:cs="Calibri"/>
          <w:color w:val="212121"/>
          <w:sz w:val="20"/>
          <w:szCs w:val="20"/>
        </w:rPr>
        <w:t>Section 4.7C: Voting Integrity and Anti-Coercion Verification [NEW: v15.0]</w:t>
      </w:r>
      <w:r>
        <w:rPr>
          <w:rFonts w:ascii="Calibri" w:hAnsi="Calibri"/>
          <w:color w:val="212121"/>
          <w:sz w:val="20"/>
        </w:rPr>
        <w:tab/>
      </w:r>
      <w:r>
        <w:rPr>
          <w:rFonts w:ascii="Calibri" w:hAnsi="Calibri" w:eastAsia="Calibri" w:cs="Calibri"/>
          <w:color w:val="212121"/>
          <w:sz w:val="20"/>
          <w:szCs w:val="20"/>
        </w:rPr>
        <w:t>144</w:t>
      </w:r>
    </w:p>
    <w:p>
      <w:pPr>
        <w:pStyle w:val="TOC2"/>
      </w:pPr>
      <w:r>
        <w:rPr>
          <w:rFonts w:ascii="Calibri" w:hAnsi="Calibri" w:eastAsia="Calibri" w:cs="Calibri"/>
          <w:color w:val="212121"/>
          <w:sz w:val="20"/>
          <w:szCs w:val="20"/>
        </w:rPr>
        <w:t>Section 4.7D: Systemic Decision Golden Share [NEW: v15.0]</w:t>
      </w:r>
      <w:r>
        <w:rPr>
          <w:rFonts w:ascii="Calibri" w:hAnsi="Calibri"/>
          <w:color w:val="212121"/>
          <w:sz w:val="20"/>
        </w:rPr>
        <w:tab/>
      </w:r>
      <w:r>
        <w:rPr>
          <w:rFonts w:ascii="Calibri" w:hAnsi="Calibri" w:eastAsia="Calibri" w:cs="Calibri"/>
          <w:color w:val="212121"/>
          <w:sz w:val="20"/>
          <w:szCs w:val="20"/>
        </w:rPr>
        <w:t>144</w:t>
      </w:r>
    </w:p>
    <w:p>
      <w:pPr>
        <w:pStyle w:val="TOC2"/>
      </w:pPr>
      <w:r>
        <w:rPr>
          <w:rFonts w:ascii="Calibri" w:hAnsi="Calibri" w:eastAsia="Calibri" w:cs="Calibri"/>
          <w:color w:val="212121"/>
          <w:sz w:val="20"/>
          <w:szCs w:val="20"/>
        </w:rPr>
        <w:t>Section 4.7E: Crisis Continuity Mandate [NEW: v15.0]</w:t>
      </w:r>
      <w:r>
        <w:rPr>
          <w:rFonts w:ascii="Calibri" w:hAnsi="Calibri"/>
          <w:color w:val="212121"/>
          <w:sz w:val="20"/>
        </w:rPr>
        <w:tab/>
      </w:r>
      <w:r>
        <w:rPr>
          <w:rFonts w:ascii="Calibri" w:hAnsi="Calibri" w:eastAsia="Calibri" w:cs="Calibri"/>
          <w:color w:val="212121"/>
          <w:sz w:val="20"/>
          <w:szCs w:val="20"/>
        </w:rPr>
        <w:t>145</w:t>
      </w:r>
    </w:p>
    <w:p>
      <w:pPr>
        <w:pStyle w:val="TOC2"/>
      </w:pPr>
      <w:r>
        <w:rPr>
          <w:rFonts w:ascii="Calibri" w:hAnsi="Calibri" w:eastAsia="Calibri" w:cs="Calibri"/>
          <w:color w:val="212121"/>
          <w:sz w:val="20"/>
          <w:szCs w:val="20"/>
        </w:rPr>
        <w:t>Section 4.7F: Intelligence Integrity Canary Protocol [NEW: v15.0]</w:t>
      </w:r>
      <w:r>
        <w:rPr>
          <w:rFonts w:ascii="Calibri" w:hAnsi="Calibri"/>
          <w:color w:val="212121"/>
          <w:sz w:val="20"/>
        </w:rPr>
        <w:tab/>
      </w:r>
      <w:r>
        <w:rPr>
          <w:rFonts w:ascii="Calibri" w:hAnsi="Calibri" w:eastAsia="Calibri" w:cs="Calibri"/>
          <w:color w:val="212121"/>
          <w:sz w:val="20"/>
          <w:szCs w:val="20"/>
        </w:rPr>
        <w:t>145</w:t>
      </w:r>
    </w:p>
    <w:p>
      <w:pPr>
        <w:pStyle w:val="TOC2"/>
      </w:pPr>
      <w:r>
        <w:rPr>
          <w:rFonts w:ascii="Calibri" w:hAnsi="Calibri" w:eastAsia="Calibri" w:cs="Calibri"/>
          <w:color w:val="212121"/>
          <w:sz w:val="20"/>
          <w:szCs w:val="20"/>
        </w:rPr>
        <w:t>Section 4.7G: Solidarity Audit Protocol [NEW: v15.0]</w:t>
      </w:r>
      <w:r>
        <w:rPr>
          <w:rFonts w:ascii="Calibri" w:hAnsi="Calibri"/>
          <w:color w:val="212121"/>
          <w:sz w:val="20"/>
        </w:rPr>
        <w:tab/>
      </w:r>
      <w:r>
        <w:rPr>
          <w:rFonts w:ascii="Calibri" w:hAnsi="Calibri" w:eastAsia="Calibri" w:cs="Calibri"/>
          <w:color w:val="212121"/>
          <w:sz w:val="20"/>
          <w:szCs w:val="20"/>
        </w:rPr>
        <w:t>146</w:t>
      </w:r>
    </w:p>
    <w:p>
      <w:pPr>
        <w:pStyle w:val="TOC2"/>
      </w:pPr>
      <w:r>
        <w:rPr>
          <w:rFonts w:ascii="Calibri" w:hAnsi="Calibri" w:eastAsia="Calibri" w:cs="Calibri"/>
          <w:color w:val="212121"/>
          <w:sz w:val="20"/>
          <w:szCs w:val="20"/>
        </w:rPr>
        <w:t>Section 4.7H: Nuclear Umbrella and Security Guarantee Neutrality [NEW: v15.0]</w:t>
      </w:r>
      <w:r>
        <w:rPr>
          <w:rFonts w:ascii="Calibri" w:hAnsi="Calibri"/>
          <w:color w:val="212121"/>
          <w:sz w:val="20"/>
        </w:rPr>
        <w:tab/>
      </w:r>
      <w:r>
        <w:rPr>
          <w:rFonts w:ascii="Calibri" w:hAnsi="Calibri" w:eastAsia="Calibri" w:cs="Calibri"/>
          <w:color w:val="212121"/>
          <w:sz w:val="20"/>
          <w:szCs w:val="20"/>
        </w:rPr>
        <w:t>146</w:t>
      </w:r>
    </w:p>
    <w:p>
      <w:pPr>
        <w:pStyle w:val="TOC2"/>
      </w:pPr>
      <w:r>
        <w:rPr>
          <w:rFonts w:ascii="Calibri" w:hAnsi="Calibri" w:eastAsia="Calibri" w:cs="Calibri"/>
          <w:color w:val="212121"/>
          <w:sz w:val="20"/>
          <w:szCs w:val="20"/>
        </w:rPr>
        <w:t>Section 4.8: Secretariat Hosting and Depositary [NEW: v15.0]</w:t>
      </w:r>
      <w:r>
        <w:rPr>
          <w:rFonts w:ascii="Calibri" w:hAnsi="Calibri"/>
          <w:color w:val="212121"/>
          <w:sz w:val="20"/>
        </w:rPr>
        <w:tab/>
      </w:r>
      <w:r>
        <w:rPr>
          <w:rFonts w:ascii="Calibri" w:hAnsi="Calibri" w:eastAsia="Calibri" w:cs="Calibri"/>
          <w:color w:val="212121"/>
          <w:sz w:val="20"/>
          <w:szCs w:val="20"/>
        </w:rPr>
        <w:t>147</w:t>
      </w:r>
    </w:p>
    <w:p>
      <w:pPr>
        <w:pStyle w:val="TOC1"/>
      </w:pPr>
      <w:r>
        <w:rPr>
          <w:rFonts w:ascii="Calibri" w:hAnsi="Calibri" w:eastAsia="Calibri" w:cs="Calibri"/>
          <w:b/>
          <w:color w:val="37474F"/>
          <w:sz w:val="21"/>
          <w:szCs w:val="21"/>
        </w:rPr>
        <w:t>ARTICLE V: ACTIVATION PROCEDURES</w:t>
      </w:r>
      <w:r>
        <w:rPr>
          <w:rFonts w:ascii="Calibri" w:hAnsi="Calibri"/>
          <w:b/>
          <w:color w:val="37474F"/>
          <w:sz w:val="21"/>
        </w:rPr>
        <w:tab/>
      </w:r>
      <w:r>
        <w:rPr>
          <w:rFonts w:ascii="Calibri" w:hAnsi="Calibri" w:eastAsia="Calibri" w:cs="Calibri"/>
          <w:b/>
          <w:color w:val="37474F"/>
          <w:sz w:val="21"/>
          <w:szCs w:val="21"/>
        </w:rPr>
        <w:t>148</w:t>
      </w:r>
    </w:p>
    <w:p>
      <w:pPr>
        <w:pStyle w:val="TOC2"/>
      </w:pPr>
      <w:r>
        <w:rPr>
          <w:rFonts w:ascii="Calibri" w:hAnsi="Calibri" w:eastAsia="Calibri" w:cs="Calibri"/>
          <w:color w:val="212121"/>
          <w:sz w:val="20"/>
          <w:szCs w:val="20"/>
        </w:rPr>
        <w:t>Section 5.0: Phase 0, Mandatory Consultation Window</w:t>
      </w:r>
      <w:r>
        <w:rPr>
          <w:rFonts w:ascii="Calibri" w:hAnsi="Calibri"/>
          <w:color w:val="212121"/>
          <w:sz w:val="20"/>
        </w:rPr>
        <w:tab/>
      </w:r>
      <w:r>
        <w:rPr>
          <w:rFonts w:ascii="Calibri" w:hAnsi="Calibri" w:eastAsia="Calibri" w:cs="Calibri"/>
          <w:color w:val="212121"/>
          <w:sz w:val="20"/>
          <w:szCs w:val="20"/>
        </w:rPr>
        <w:t>148</w:t>
      </w:r>
    </w:p>
    <w:p>
      <w:pPr>
        <w:pStyle w:val="TOC2"/>
      </w:pPr>
      <w:r>
        <w:rPr>
          <w:rFonts w:ascii="Calibri" w:hAnsi="Calibri" w:eastAsia="Calibri" w:cs="Calibri"/>
          <w:color w:val="212121"/>
          <w:sz w:val="20"/>
          <w:szCs w:val="20"/>
        </w:rPr>
        <w:t>Section 5.0A: Fast-Track Activation Override (FTA-O)</w:t>
      </w:r>
      <w:r>
        <w:rPr>
          <w:rFonts w:ascii="Calibri" w:hAnsi="Calibri"/>
          <w:color w:val="212121"/>
          <w:sz w:val="20"/>
        </w:rPr>
        <w:tab/>
      </w:r>
      <w:r>
        <w:rPr>
          <w:rFonts w:ascii="Calibri" w:hAnsi="Calibri" w:eastAsia="Calibri" w:cs="Calibri"/>
          <w:color w:val="212121"/>
          <w:sz w:val="20"/>
          <w:szCs w:val="20"/>
        </w:rPr>
        <w:t>150</w:t>
      </w:r>
    </w:p>
    <w:p>
      <w:pPr>
        <w:pStyle w:val="TOC2"/>
      </w:pPr>
      <w:r>
        <w:rPr>
          <w:rFonts w:ascii="Calibri" w:hAnsi="Calibri" w:eastAsia="Calibri" w:cs="Calibri"/>
          <w:color w:val="212121"/>
          <w:sz w:val="20"/>
          <w:szCs w:val="20"/>
        </w:rPr>
        <w:t>Section 5.0B: Confirmatory Consultation for Fast-Track Activation [Pilot Status, 24 Months]</w:t>
      </w:r>
      <w:r>
        <w:rPr>
          <w:rFonts w:ascii="Calibri" w:hAnsi="Calibri"/>
          <w:color w:val="212121"/>
          <w:sz w:val="20"/>
        </w:rPr>
        <w:tab/>
      </w:r>
      <w:r>
        <w:rPr>
          <w:rFonts w:ascii="Calibri" w:hAnsi="Calibri" w:eastAsia="Calibri" w:cs="Calibri"/>
          <w:color w:val="212121"/>
          <w:sz w:val="20"/>
          <w:szCs w:val="20"/>
        </w:rPr>
        <w:t>151</w:t>
      </w:r>
    </w:p>
    <w:p>
      <w:pPr>
        <w:pStyle w:val="TOC2"/>
      </w:pPr>
      <w:r>
        <w:rPr>
          <w:rFonts w:ascii="Calibri" w:hAnsi="Calibri" w:eastAsia="Calibri" w:cs="Calibri"/>
          <w:color w:val="212121"/>
          <w:sz w:val="20"/>
          <w:szCs w:val="20"/>
        </w:rPr>
        <w:t>Section 5.0A: Expedited Phase 1 Standing Authority [NEW: v9.8 Revision]</w:t>
      </w:r>
      <w:r>
        <w:rPr>
          <w:rFonts w:ascii="Calibri" w:hAnsi="Calibri"/>
          <w:color w:val="212121"/>
          <w:sz w:val="20"/>
        </w:rPr>
        <w:tab/>
      </w:r>
      <w:r>
        <w:rPr>
          <w:rFonts w:ascii="Calibri" w:hAnsi="Calibri" w:eastAsia="Calibri" w:cs="Calibri"/>
          <w:color w:val="212121"/>
          <w:sz w:val="20"/>
          <w:szCs w:val="20"/>
        </w:rPr>
        <w:t>151</w:t>
      </w:r>
    </w:p>
    <w:p>
      <w:pPr>
        <w:pStyle w:val="TOC2"/>
      </w:pPr>
      <w:r>
        <w:rPr>
          <w:rFonts w:ascii="Calibri" w:hAnsi="Calibri" w:eastAsia="Calibri" w:cs="Calibri"/>
          <w:color w:val="212121"/>
          <w:sz w:val="20"/>
          <w:szCs w:val="20"/>
        </w:rPr>
        <w:t>Section 5.0B: Small-State First Activation Presumption [NEW: v9.8A Small-State Protection]</w:t>
      </w:r>
      <w:r>
        <w:rPr>
          <w:rFonts w:ascii="Calibri" w:hAnsi="Calibri"/>
          <w:color w:val="212121"/>
          <w:sz w:val="20"/>
        </w:rPr>
        <w:tab/>
      </w:r>
      <w:r>
        <w:rPr>
          <w:rFonts w:ascii="Calibri" w:hAnsi="Calibri" w:eastAsia="Calibri" w:cs="Calibri"/>
          <w:color w:val="212121"/>
          <w:sz w:val="20"/>
          <w:szCs w:val="20"/>
        </w:rPr>
        <w:t>152</w:t>
      </w:r>
    </w:p>
    <w:p>
      <w:pPr>
        <w:pStyle w:val="TOC2"/>
      </w:pPr>
      <w:r>
        <w:rPr>
          <w:rFonts w:ascii="Calibri" w:hAnsi="Calibri" w:eastAsia="Calibri" w:cs="Calibri"/>
          <w:color w:val="212121"/>
          <w:sz w:val="20"/>
          <w:szCs w:val="20"/>
        </w:rPr>
        <w:t>Section 5.0C: Small-State Non-Abandonment Clause [NEW: v9.8A Small-State Protection]</w:t>
      </w:r>
      <w:r>
        <w:rPr>
          <w:rFonts w:ascii="Calibri" w:hAnsi="Calibri"/>
          <w:color w:val="212121"/>
          <w:sz w:val="20"/>
        </w:rPr>
        <w:tab/>
      </w:r>
      <w:r>
        <w:rPr>
          <w:rFonts w:ascii="Calibri" w:hAnsi="Calibri" w:eastAsia="Calibri" w:cs="Calibri"/>
          <w:color w:val="212121"/>
          <w:sz w:val="20"/>
          <w:szCs w:val="20"/>
        </w:rPr>
        <w:t>152</w:t>
      </w:r>
    </w:p>
    <w:p>
      <w:pPr>
        <w:pStyle w:val="TOC2"/>
      </w:pPr>
      <w:r>
        <w:rPr>
          <w:rFonts w:ascii="Calibri" w:hAnsi="Calibri" w:eastAsia="Calibri" w:cs="Calibri"/>
          <w:color w:val="212121"/>
          <w:sz w:val="20"/>
          <w:szCs w:val="20"/>
        </w:rPr>
        <w:t>Section 5.0D: Pre-Activation Quiet Consultation Window [NEW: v9.8A Adoption Readiness]</w:t>
      </w:r>
      <w:r>
        <w:rPr>
          <w:rFonts w:ascii="Calibri" w:hAnsi="Calibri"/>
          <w:color w:val="212121"/>
          <w:sz w:val="20"/>
        </w:rPr>
        <w:tab/>
      </w:r>
      <w:r>
        <w:rPr>
          <w:rFonts w:ascii="Calibri" w:hAnsi="Calibri" w:eastAsia="Calibri" w:cs="Calibri"/>
          <w:color w:val="212121"/>
          <w:sz w:val="20"/>
          <w:szCs w:val="20"/>
        </w:rPr>
        <w:t>153</w:t>
      </w:r>
    </w:p>
    <w:p>
      <w:pPr>
        <w:pStyle w:val="TOC2"/>
      </w:pPr>
      <w:r>
        <w:rPr>
          <w:rFonts w:ascii="Calibri" w:hAnsi="Calibri" w:eastAsia="Calibri" w:cs="Calibri"/>
          <w:color w:val="212121"/>
          <w:sz w:val="20"/>
          <w:szCs w:val="20"/>
        </w:rPr>
        <w:t>Section 5.0E: Coalition-of-the-Willing Activation Under IMESI Principles [NEW: v9.8A Institutional Maturity]</w:t>
      </w:r>
      <w:r>
        <w:rPr>
          <w:rFonts w:ascii="Calibri" w:hAnsi="Calibri"/>
          <w:color w:val="212121"/>
          <w:sz w:val="20"/>
        </w:rPr>
        <w:tab/>
      </w:r>
      <w:r>
        <w:rPr>
          <w:rFonts w:ascii="Calibri" w:hAnsi="Calibri" w:eastAsia="Calibri" w:cs="Calibri"/>
          <w:color w:val="212121"/>
          <w:sz w:val="20"/>
          <w:szCs w:val="20"/>
        </w:rPr>
        <w:t>153</w:t>
      </w:r>
    </w:p>
    <w:p>
      <w:pPr>
        <w:pStyle w:val="TOC2"/>
      </w:pPr>
      <w:r>
        <w:rPr>
          <w:rFonts w:ascii="Calibri" w:hAnsi="Calibri" w:eastAsia="Calibri" w:cs="Calibri"/>
          <w:color w:val="212121"/>
          <w:sz w:val="20"/>
          <w:szCs w:val="20"/>
        </w:rPr>
        <w:t>Section 5.0F: Dual-Track Crisis Response Framework [NEW: v9.8A Institutional Maturity]</w:t>
      </w:r>
      <w:r>
        <w:rPr>
          <w:rFonts w:ascii="Calibri" w:hAnsi="Calibri"/>
          <w:color w:val="212121"/>
          <w:sz w:val="20"/>
        </w:rPr>
        <w:tab/>
      </w:r>
      <w:r>
        <w:rPr>
          <w:rFonts w:ascii="Calibri" w:hAnsi="Calibri" w:eastAsia="Calibri" w:cs="Calibri"/>
          <w:color w:val="212121"/>
          <w:sz w:val="20"/>
          <w:szCs w:val="20"/>
        </w:rPr>
        <w:t>153</w:t>
      </w:r>
    </w:p>
    <w:p>
      <w:pPr>
        <w:pStyle w:val="TOC2"/>
      </w:pPr>
      <w:r>
        <w:rPr>
          <w:rFonts w:ascii="Calibri" w:hAnsi="Calibri" w:eastAsia="Calibri" w:cs="Calibri"/>
          <w:color w:val="212121"/>
          <w:sz w:val="20"/>
          <w:szCs w:val="20"/>
        </w:rPr>
        <w:t>Section 5.0G: Harmonised Review Cycles [NEW: v9.8B Structural Simplification]</w:t>
      </w:r>
      <w:r>
        <w:rPr>
          <w:rFonts w:ascii="Calibri" w:hAnsi="Calibri"/>
          <w:color w:val="212121"/>
          <w:sz w:val="20"/>
        </w:rPr>
        <w:tab/>
      </w:r>
      <w:r>
        <w:rPr>
          <w:rFonts w:ascii="Calibri" w:hAnsi="Calibri" w:eastAsia="Calibri" w:cs="Calibri"/>
          <w:color w:val="212121"/>
          <w:sz w:val="20"/>
          <w:szCs w:val="20"/>
        </w:rPr>
        <w:t>154</w:t>
      </w:r>
    </w:p>
    <w:p>
      <w:pPr>
        <w:pStyle w:val="TOC2"/>
      </w:pPr>
      <w:r>
        <w:rPr>
          <w:rFonts w:ascii="Calibri" w:hAnsi="Calibri" w:eastAsia="Calibri" w:cs="Calibri"/>
          <w:color w:val="212121"/>
          <w:sz w:val="20"/>
          <w:szCs w:val="20"/>
        </w:rPr>
        <w:t>Section 5.0H: Non-Coordination Implementation Safe Harbour [NEW: v9.9]</w:t>
      </w:r>
      <w:r>
        <w:rPr>
          <w:rFonts w:ascii="Calibri" w:hAnsi="Calibri"/>
          <w:color w:val="212121"/>
          <w:sz w:val="20"/>
        </w:rPr>
        <w:tab/>
      </w:r>
      <w:r>
        <w:rPr>
          <w:rFonts w:ascii="Calibri" w:hAnsi="Calibri" w:eastAsia="Calibri" w:cs="Calibri"/>
          <w:color w:val="212121"/>
          <w:sz w:val="20"/>
          <w:szCs w:val="20"/>
        </w:rPr>
        <w:t>155</w:t>
      </w:r>
    </w:p>
    <w:p>
      <w:pPr>
        <w:pStyle w:val="TOC2"/>
      </w:pPr>
      <w:r>
        <w:rPr>
          <w:rFonts w:ascii="Calibri" w:hAnsi="Calibri" w:eastAsia="Calibri" w:cs="Calibri"/>
          <w:color w:val="212121"/>
          <w:sz w:val="20"/>
          <w:szCs w:val="20"/>
        </w:rPr>
        <w:t>Section 5.0I: Implementation Flexibility Menu [NEW: v9.9]</w:t>
      </w:r>
      <w:r>
        <w:rPr>
          <w:rFonts w:ascii="Calibri" w:hAnsi="Calibri"/>
          <w:color w:val="212121"/>
          <w:sz w:val="20"/>
        </w:rPr>
        <w:tab/>
      </w:r>
      <w:r>
        <w:rPr>
          <w:rFonts w:ascii="Calibri" w:hAnsi="Calibri" w:eastAsia="Calibri" w:cs="Calibri"/>
          <w:color w:val="212121"/>
          <w:sz w:val="20"/>
          <w:szCs w:val="20"/>
        </w:rPr>
        <w:t>155</w:t>
      </w:r>
    </w:p>
    <w:p>
      <w:pPr>
        <w:pStyle w:val="TOC2"/>
      </w:pPr>
      <w:r>
        <w:rPr>
          <w:rFonts w:ascii="Calibri" w:hAnsi="Calibri" w:eastAsia="Calibri" w:cs="Calibri"/>
          <w:color w:val="212121"/>
          <w:sz w:val="20"/>
          <w:szCs w:val="20"/>
        </w:rPr>
        <w:t>Section 5.0N: Deliberative-Process Acceleration Protocol [NEW: v12.1]</w:t>
      </w:r>
      <w:r>
        <w:rPr>
          <w:rFonts w:ascii="Calibri" w:hAnsi="Calibri"/>
          <w:color w:val="212121"/>
          <w:sz w:val="20"/>
        </w:rPr>
        <w:tab/>
      </w:r>
      <w:r>
        <w:rPr>
          <w:rFonts w:ascii="Calibri" w:hAnsi="Calibri" w:eastAsia="Calibri" w:cs="Calibri"/>
          <w:color w:val="212121"/>
          <w:sz w:val="20"/>
          <w:szCs w:val="20"/>
        </w:rPr>
        <w:t>155</w:t>
      </w:r>
    </w:p>
    <w:p>
      <w:pPr>
        <w:pStyle w:val="TOC2"/>
      </w:pPr>
      <w:r>
        <w:rPr>
          <w:rFonts w:ascii="Calibri" w:hAnsi="Calibri" w:eastAsia="Calibri" w:cs="Calibri"/>
          <w:color w:val="212121"/>
          <w:sz w:val="20"/>
          <w:szCs w:val="20"/>
        </w:rPr>
        <w:t>Section 5.0O: Unannounced Trade Action Protocol [NEW: v12.1]</w:t>
      </w:r>
      <w:r>
        <w:rPr>
          <w:rFonts w:ascii="Calibri" w:hAnsi="Calibri"/>
          <w:color w:val="212121"/>
          <w:sz w:val="20"/>
        </w:rPr>
        <w:tab/>
      </w:r>
      <w:r>
        <w:rPr>
          <w:rFonts w:ascii="Calibri" w:hAnsi="Calibri" w:eastAsia="Calibri" w:cs="Calibri"/>
          <w:color w:val="212121"/>
          <w:sz w:val="20"/>
          <w:szCs w:val="20"/>
        </w:rPr>
        <w:t>155</w:t>
      </w:r>
    </w:p>
    <w:p>
      <w:pPr>
        <w:pStyle w:val="TOC2"/>
      </w:pPr>
      <w:r>
        <w:rPr>
          <w:rFonts w:ascii="Calibri" w:hAnsi="Calibri" w:eastAsia="Calibri" w:cs="Calibri"/>
          <w:color w:val="212121"/>
          <w:sz w:val="20"/>
          <w:szCs w:val="20"/>
        </w:rPr>
        <w:t>Section 5.0P: Aggressive Negotiation Tactics Protocol [NEW: v12.1]</w:t>
      </w:r>
      <w:r>
        <w:rPr>
          <w:rFonts w:ascii="Calibri" w:hAnsi="Calibri"/>
          <w:color w:val="212121"/>
          <w:sz w:val="20"/>
        </w:rPr>
        <w:tab/>
      </w:r>
      <w:r>
        <w:rPr>
          <w:rFonts w:ascii="Calibri" w:hAnsi="Calibri" w:eastAsia="Calibri" w:cs="Calibri"/>
          <w:color w:val="212121"/>
          <w:sz w:val="20"/>
          <w:szCs w:val="20"/>
        </w:rPr>
        <w:t>156</w:t>
      </w:r>
    </w:p>
    <w:p>
      <w:pPr>
        <w:pStyle w:val="TOC2"/>
      </w:pPr>
      <w:r>
        <w:rPr>
          <w:rFonts w:ascii="Calibri" w:hAnsi="Calibri" w:eastAsia="Calibri" w:cs="Calibri"/>
          <w:color w:val="212121"/>
          <w:sz w:val="20"/>
          <w:szCs w:val="20"/>
        </w:rPr>
        <w:t>Section 5.0Q: No-Pretext Tariff Protocol [NEW: v12.1]</w:t>
      </w:r>
      <w:r>
        <w:rPr>
          <w:rFonts w:ascii="Calibri" w:hAnsi="Calibri"/>
          <w:color w:val="212121"/>
          <w:sz w:val="20"/>
        </w:rPr>
        <w:tab/>
      </w:r>
      <w:r>
        <w:rPr>
          <w:rFonts w:ascii="Calibri" w:hAnsi="Calibri" w:eastAsia="Calibri" w:cs="Calibri"/>
          <w:color w:val="212121"/>
          <w:sz w:val="20"/>
          <w:szCs w:val="20"/>
        </w:rPr>
        <w:t>156</w:t>
      </w:r>
    </w:p>
    <w:p>
      <w:pPr>
        <w:pStyle w:val="TOC2"/>
      </w:pPr>
      <w:r>
        <w:rPr>
          <w:rFonts w:ascii="Calibri" w:hAnsi="Calibri" w:eastAsia="Calibri" w:cs="Calibri"/>
          <w:color w:val="212121"/>
          <w:sz w:val="20"/>
          <w:szCs w:val="20"/>
        </w:rPr>
        <w:t>Section 5.0J: Standard Response Templates [NEW: v10.0]</w:t>
      </w:r>
      <w:r>
        <w:rPr>
          <w:rFonts w:ascii="Calibri" w:hAnsi="Calibri"/>
          <w:color w:val="212121"/>
          <w:sz w:val="20"/>
        </w:rPr>
        <w:tab/>
      </w:r>
      <w:r>
        <w:rPr>
          <w:rFonts w:ascii="Calibri" w:hAnsi="Calibri" w:eastAsia="Calibri" w:cs="Calibri"/>
          <w:color w:val="212121"/>
          <w:sz w:val="20"/>
          <w:szCs w:val="20"/>
        </w:rPr>
        <w:t>156</w:t>
      </w:r>
    </w:p>
    <w:p>
      <w:pPr>
        <w:pStyle w:val="TOC2"/>
      </w:pPr>
      <w:r>
        <w:rPr>
          <w:rFonts w:ascii="Calibri" w:hAnsi="Calibri" w:eastAsia="Calibri" w:cs="Calibri"/>
          <w:color w:val="212121"/>
          <w:sz w:val="20"/>
          <w:szCs w:val="20"/>
        </w:rPr>
        <w:t>Section 5.0R: Pre-Authorised Evidentiary Packages [NEW: v15.0]</w:t>
      </w:r>
      <w:r>
        <w:rPr>
          <w:rFonts w:ascii="Calibri" w:hAnsi="Calibri"/>
          <w:color w:val="212121"/>
          <w:sz w:val="20"/>
        </w:rPr>
        <w:tab/>
      </w:r>
      <w:r>
        <w:rPr>
          <w:rFonts w:ascii="Calibri" w:hAnsi="Calibri" w:eastAsia="Calibri" w:cs="Calibri"/>
          <w:color w:val="212121"/>
          <w:sz w:val="20"/>
          <w:szCs w:val="20"/>
        </w:rPr>
        <w:t>157</w:t>
      </w:r>
    </w:p>
    <w:p>
      <w:pPr>
        <w:pStyle w:val="TOC2"/>
      </w:pPr>
      <w:r>
        <w:rPr>
          <w:rFonts w:ascii="Calibri" w:hAnsi="Calibri" w:eastAsia="Calibri" w:cs="Calibri"/>
          <w:color w:val="212121"/>
          <w:sz w:val="20"/>
          <w:szCs w:val="20"/>
        </w:rPr>
        <w:t>Section 5.1: Systemic-Economy Scenario Protocol</w:t>
      </w:r>
      <w:r>
        <w:rPr>
          <w:rFonts w:ascii="Calibri" w:hAnsi="Calibri"/>
          <w:color w:val="212121"/>
          <w:sz w:val="20"/>
        </w:rPr>
        <w:tab/>
      </w:r>
      <w:r>
        <w:rPr>
          <w:rFonts w:ascii="Calibri" w:hAnsi="Calibri" w:eastAsia="Calibri" w:cs="Calibri"/>
          <w:color w:val="212121"/>
          <w:sz w:val="20"/>
          <w:szCs w:val="20"/>
        </w:rPr>
        <w:t>157</w:t>
      </w:r>
    </w:p>
    <w:p>
      <w:pPr>
        <w:pStyle w:val="TOC2"/>
      </w:pPr>
      <w:r>
        <w:rPr>
          <w:rFonts w:ascii="Calibri" w:hAnsi="Calibri" w:eastAsia="Calibri" w:cs="Calibri"/>
          <w:color w:val="212121"/>
          <w:sz w:val="20"/>
          <w:szCs w:val="20"/>
        </w:rPr>
        <w:t>Section 5.1A: Systemic-Economy Fast-Track (SFT)</w:t>
      </w:r>
      <w:r>
        <w:rPr>
          <w:rFonts w:ascii="Calibri" w:hAnsi="Calibri"/>
          <w:color w:val="212121"/>
          <w:sz w:val="20"/>
        </w:rPr>
        <w:tab/>
      </w:r>
      <w:r>
        <w:rPr>
          <w:rFonts w:ascii="Calibri" w:hAnsi="Calibri" w:eastAsia="Calibri" w:cs="Calibri"/>
          <w:color w:val="212121"/>
          <w:sz w:val="20"/>
          <w:szCs w:val="20"/>
        </w:rPr>
        <w:t>159</w:t>
      </w:r>
    </w:p>
    <w:p>
      <w:pPr>
        <w:pStyle w:val="TOC2"/>
      </w:pPr>
      <w:r>
        <w:rPr>
          <w:rFonts w:ascii="Calibri" w:hAnsi="Calibri" w:eastAsia="Calibri" w:cs="Calibri"/>
          <w:color w:val="212121"/>
          <w:sz w:val="20"/>
          <w:szCs w:val="20"/>
        </w:rPr>
        <w:t>Section 5.2: Formalised Reinstatement Mechanism</w:t>
      </w:r>
      <w:r>
        <w:rPr>
          <w:rFonts w:ascii="Calibri" w:hAnsi="Calibri"/>
          <w:color w:val="212121"/>
          <w:sz w:val="20"/>
        </w:rPr>
        <w:tab/>
      </w:r>
      <w:r>
        <w:rPr>
          <w:rFonts w:ascii="Calibri" w:hAnsi="Calibri" w:eastAsia="Calibri" w:cs="Calibri"/>
          <w:color w:val="212121"/>
          <w:sz w:val="20"/>
          <w:szCs w:val="20"/>
        </w:rPr>
        <w:t>159</w:t>
      </w:r>
    </w:p>
    <w:p>
      <w:pPr>
        <w:pStyle w:val="TOC2"/>
      </w:pPr>
      <w:r>
        <w:rPr>
          <w:rFonts w:ascii="Calibri" w:hAnsi="Calibri" w:eastAsia="Calibri" w:cs="Calibri"/>
          <w:color w:val="212121"/>
          <w:sz w:val="20"/>
          <w:szCs w:val="20"/>
        </w:rPr>
        <w:t>Section 5.2E: Reinstatement Suspension Option</w:t>
      </w:r>
      <w:r>
        <w:rPr>
          <w:rFonts w:ascii="Calibri" w:hAnsi="Calibri"/>
          <w:color w:val="212121"/>
          <w:sz w:val="20"/>
        </w:rPr>
        <w:tab/>
      </w:r>
      <w:r>
        <w:rPr>
          <w:rFonts w:ascii="Calibri" w:hAnsi="Calibri" w:eastAsia="Calibri" w:cs="Calibri"/>
          <w:color w:val="212121"/>
          <w:sz w:val="20"/>
          <w:szCs w:val="20"/>
        </w:rPr>
        <w:t>160</w:t>
      </w:r>
    </w:p>
    <w:p>
      <w:pPr>
        <w:pStyle w:val="TOC2"/>
      </w:pPr>
      <w:r>
        <w:rPr>
          <w:rFonts w:ascii="Calibri" w:hAnsi="Calibri" w:eastAsia="Calibri" w:cs="Calibri"/>
          <w:color w:val="212121"/>
          <w:sz w:val="20"/>
          <w:szCs w:val="20"/>
        </w:rPr>
        <w:t>Section 5.2A: Escalation Review Protocol (Phase Progression Forcing) [NEW: v9.8 Red Team Fix]</w:t>
      </w:r>
      <w:r>
        <w:rPr>
          <w:rFonts w:ascii="Calibri" w:hAnsi="Calibri"/>
          <w:color w:val="212121"/>
          <w:sz w:val="20"/>
        </w:rPr>
        <w:tab/>
      </w:r>
      <w:r>
        <w:rPr>
          <w:rFonts w:ascii="Calibri" w:hAnsi="Calibri" w:eastAsia="Calibri" w:cs="Calibri"/>
          <w:color w:val="212121"/>
          <w:sz w:val="20"/>
          <w:szCs w:val="20"/>
        </w:rPr>
        <w:t>160</w:t>
      </w:r>
    </w:p>
    <w:p>
      <w:pPr>
        <w:pStyle w:val="TOC2"/>
      </w:pPr>
      <w:r>
        <w:rPr>
          <w:rFonts w:ascii="Calibri" w:hAnsi="Calibri" w:eastAsia="Calibri" w:cs="Calibri"/>
          <w:color w:val="212121"/>
          <w:sz w:val="20"/>
          <w:szCs w:val="20"/>
        </w:rPr>
        <w:t>Section 5.2B: Enhanced Consultation for Systemic Economies [NEW: v9.9]</w:t>
      </w:r>
      <w:r>
        <w:rPr>
          <w:rFonts w:ascii="Calibri" w:hAnsi="Calibri"/>
          <w:color w:val="212121"/>
          <w:sz w:val="20"/>
        </w:rPr>
        <w:tab/>
      </w:r>
      <w:r>
        <w:rPr>
          <w:rFonts w:ascii="Calibri" w:hAnsi="Calibri" w:eastAsia="Calibri" w:cs="Calibri"/>
          <w:color w:val="212121"/>
          <w:sz w:val="20"/>
          <w:szCs w:val="20"/>
        </w:rPr>
        <w:t>161</w:t>
      </w:r>
    </w:p>
    <w:p>
      <w:pPr>
        <w:pStyle w:val="TOC2"/>
      </w:pPr>
      <w:r>
        <w:rPr>
          <w:rFonts w:ascii="Calibri" w:hAnsi="Calibri" w:eastAsia="Calibri" w:cs="Calibri"/>
          <w:color w:val="212121"/>
          <w:sz w:val="20"/>
          <w:szCs w:val="20"/>
        </w:rPr>
        <w:t>Section 5.1B: No Surprise Escalation Rule [NEW: v9.8A Institutional Maturity]</w:t>
      </w:r>
      <w:r>
        <w:rPr>
          <w:rFonts w:ascii="Calibri" w:hAnsi="Calibri"/>
          <w:color w:val="212121"/>
          <w:sz w:val="20"/>
        </w:rPr>
        <w:tab/>
      </w:r>
      <w:r>
        <w:rPr>
          <w:rFonts w:ascii="Calibri" w:hAnsi="Calibri" w:eastAsia="Calibri" w:cs="Calibri"/>
          <w:color w:val="212121"/>
          <w:sz w:val="20"/>
          <w:szCs w:val="20"/>
        </w:rPr>
        <w:t>161</w:t>
      </w:r>
    </w:p>
    <w:p>
      <w:pPr>
        <w:pStyle w:val="TOC2"/>
      </w:pPr>
      <w:r>
        <w:rPr>
          <w:rFonts w:ascii="Calibri" w:hAnsi="Calibri" w:eastAsia="Calibri" w:cs="Calibri"/>
          <w:color w:val="212121"/>
          <w:sz w:val="20"/>
          <w:szCs w:val="20"/>
        </w:rPr>
        <w:t>Section 5.3: Sustained Stabilisation Measures and Verification</w:t>
      </w:r>
      <w:r>
        <w:rPr>
          <w:rFonts w:ascii="Calibri" w:hAnsi="Calibri"/>
          <w:color w:val="212121"/>
          <w:sz w:val="20"/>
        </w:rPr>
        <w:tab/>
      </w:r>
      <w:r>
        <w:rPr>
          <w:rFonts w:ascii="Calibri" w:hAnsi="Calibri" w:eastAsia="Calibri" w:cs="Calibri"/>
          <w:color w:val="212121"/>
          <w:sz w:val="20"/>
          <w:szCs w:val="20"/>
        </w:rPr>
        <w:t>162</w:t>
      </w:r>
    </w:p>
    <w:p>
      <w:pPr>
        <w:pStyle w:val="TOC2"/>
      </w:pPr>
      <w:r>
        <w:rPr>
          <w:rFonts w:ascii="Calibri" w:hAnsi="Calibri" w:eastAsia="Calibri" w:cs="Calibri"/>
          <w:color w:val="212121"/>
          <w:sz w:val="20"/>
          <w:szCs w:val="20"/>
        </w:rPr>
        <w:t>Section 5.3A: Automatic De-Escalation Triggers</w:t>
      </w:r>
      <w:r>
        <w:rPr>
          <w:rFonts w:ascii="Calibri" w:hAnsi="Calibri"/>
          <w:color w:val="212121"/>
          <w:sz w:val="20"/>
        </w:rPr>
        <w:tab/>
      </w:r>
      <w:r>
        <w:rPr>
          <w:rFonts w:ascii="Calibri" w:hAnsi="Calibri" w:eastAsia="Calibri" w:cs="Calibri"/>
          <w:color w:val="212121"/>
          <w:sz w:val="20"/>
          <w:szCs w:val="20"/>
        </w:rPr>
        <w:t>163</w:t>
      </w:r>
    </w:p>
    <w:p>
      <w:pPr>
        <w:pStyle w:val="TOC2"/>
      </w:pPr>
      <w:r>
        <w:rPr>
          <w:rFonts w:ascii="Calibri" w:hAnsi="Calibri" w:eastAsia="Calibri" w:cs="Calibri"/>
          <w:color w:val="212121"/>
          <w:sz w:val="20"/>
          <w:szCs w:val="20"/>
        </w:rPr>
        <w:t>Section 5.3A.2: Proportionality Certification Memo</w:t>
      </w:r>
      <w:r>
        <w:rPr>
          <w:rFonts w:ascii="Calibri" w:hAnsi="Calibri"/>
          <w:color w:val="212121"/>
          <w:sz w:val="20"/>
        </w:rPr>
        <w:tab/>
      </w:r>
      <w:r>
        <w:rPr>
          <w:rFonts w:ascii="Calibri" w:hAnsi="Calibri" w:eastAsia="Calibri" w:cs="Calibri"/>
          <w:color w:val="212121"/>
          <w:sz w:val="20"/>
          <w:szCs w:val="20"/>
        </w:rPr>
        <w:t>164</w:t>
      </w:r>
    </w:p>
    <w:p>
      <w:pPr>
        <w:pStyle w:val="TOC2"/>
      </w:pPr>
      <w:r>
        <w:rPr>
          <w:rFonts w:ascii="Calibri" w:hAnsi="Calibri" w:eastAsia="Calibri" w:cs="Calibri"/>
          <w:color w:val="212121"/>
          <w:sz w:val="20"/>
          <w:szCs w:val="20"/>
        </w:rPr>
        <w:t>Section 5.3B: Pre-Positioned Bilateral Safeguards (PBS)</w:t>
      </w:r>
      <w:r>
        <w:rPr>
          <w:rFonts w:ascii="Calibri" w:hAnsi="Calibri"/>
          <w:color w:val="212121"/>
          <w:sz w:val="20"/>
        </w:rPr>
        <w:tab/>
      </w:r>
      <w:r>
        <w:rPr>
          <w:rFonts w:ascii="Calibri" w:hAnsi="Calibri" w:eastAsia="Calibri" w:cs="Calibri"/>
          <w:color w:val="212121"/>
          <w:sz w:val="20"/>
          <w:szCs w:val="20"/>
        </w:rPr>
        <w:t>165</w:t>
      </w:r>
    </w:p>
    <w:p>
      <w:pPr>
        <w:pStyle w:val="TOC2"/>
      </w:pPr>
      <w:r>
        <w:rPr>
          <w:rFonts w:ascii="Calibri" w:hAnsi="Calibri" w:eastAsia="Calibri" w:cs="Calibri"/>
          <w:color w:val="212121"/>
          <w:sz w:val="20"/>
          <w:szCs w:val="20"/>
        </w:rPr>
        <w:t>Section 5.3C: Comprehensive De-Escalation Framework</w:t>
      </w:r>
      <w:r>
        <w:rPr>
          <w:rFonts w:ascii="Calibri" w:hAnsi="Calibri"/>
          <w:color w:val="212121"/>
          <w:sz w:val="20"/>
        </w:rPr>
        <w:tab/>
      </w:r>
      <w:r>
        <w:rPr>
          <w:rFonts w:ascii="Calibri" w:hAnsi="Calibri" w:eastAsia="Calibri" w:cs="Calibri"/>
          <w:color w:val="212121"/>
          <w:sz w:val="20"/>
          <w:szCs w:val="20"/>
        </w:rPr>
        <w:t>166</w:t>
      </w:r>
    </w:p>
    <w:p>
      <w:pPr>
        <w:pStyle w:val="TOC2"/>
      </w:pPr>
      <w:r>
        <w:rPr>
          <w:rFonts w:ascii="Calibri" w:hAnsi="Calibri" w:eastAsia="Calibri" w:cs="Calibri"/>
          <w:color w:val="212121"/>
          <w:sz w:val="20"/>
          <w:szCs w:val="20"/>
        </w:rPr>
        <w:t>Section 5.3D: Withdrawal Authenticity Test</w:t>
      </w:r>
      <w:r>
        <w:rPr>
          <w:rFonts w:ascii="Calibri" w:hAnsi="Calibri"/>
          <w:color w:val="212121"/>
          <w:sz w:val="20"/>
        </w:rPr>
        <w:tab/>
      </w:r>
      <w:r>
        <w:rPr>
          <w:rFonts w:ascii="Calibri" w:hAnsi="Calibri" w:eastAsia="Calibri" w:cs="Calibri"/>
          <w:color w:val="212121"/>
          <w:sz w:val="20"/>
          <w:szCs w:val="20"/>
        </w:rPr>
        <w:t>168</w:t>
      </w:r>
    </w:p>
    <w:p>
      <w:pPr>
        <w:pStyle w:val="TOC2"/>
      </w:pPr>
      <w:r>
        <w:rPr>
          <w:rFonts w:ascii="Calibri" w:hAnsi="Calibri" w:eastAsia="Calibri" w:cs="Calibri"/>
          <w:color w:val="212121"/>
          <w:sz w:val="20"/>
          <w:szCs w:val="20"/>
        </w:rPr>
        <w:t>Section 5.3H: Automatic Structural Damage Compensation [NEW: v12.1]</w:t>
      </w:r>
      <w:r>
        <w:rPr>
          <w:rFonts w:ascii="Calibri" w:hAnsi="Calibri"/>
          <w:color w:val="212121"/>
          <w:sz w:val="20"/>
        </w:rPr>
        <w:tab/>
      </w:r>
      <w:r>
        <w:rPr>
          <w:rFonts w:ascii="Calibri" w:hAnsi="Calibri" w:eastAsia="Calibri" w:cs="Calibri"/>
          <w:color w:val="212121"/>
          <w:sz w:val="20"/>
          <w:szCs w:val="20"/>
        </w:rPr>
        <w:t>170</w:t>
      </w:r>
    </w:p>
    <w:p>
      <w:pPr>
        <w:pStyle w:val="TOC2"/>
      </w:pPr>
      <w:r>
        <w:rPr>
          <w:rFonts w:ascii="Calibri" w:hAnsi="Calibri" w:eastAsia="Calibri" w:cs="Calibri"/>
          <w:color w:val="212121"/>
          <w:sz w:val="20"/>
          <w:szCs w:val="20"/>
        </w:rPr>
        <w:t>Section 5.3I: Voluntary De-escalation Incentive for Cessation of Disinformation [NEW: v12.1]</w:t>
      </w:r>
      <w:r>
        <w:rPr>
          <w:rFonts w:ascii="Calibri" w:hAnsi="Calibri"/>
          <w:color w:val="212121"/>
          <w:sz w:val="20"/>
        </w:rPr>
        <w:tab/>
      </w:r>
      <w:r>
        <w:rPr>
          <w:rFonts w:ascii="Calibri" w:hAnsi="Calibri" w:eastAsia="Calibri" w:cs="Calibri"/>
          <w:color w:val="212121"/>
          <w:sz w:val="20"/>
          <w:szCs w:val="20"/>
        </w:rPr>
        <w:t>170</w:t>
      </w:r>
    </w:p>
    <w:p>
      <w:pPr>
        <w:pStyle w:val="TOC2"/>
      </w:pPr>
      <w:r>
        <w:rPr>
          <w:rFonts w:ascii="Calibri" w:hAnsi="Calibri" w:eastAsia="Calibri" w:cs="Calibri"/>
          <w:color w:val="212121"/>
          <w:sz w:val="20"/>
          <w:szCs w:val="20"/>
        </w:rPr>
        <w:t>Section 5.3J: Re-Escalation Safeguard Protocol [NEW: v12.1]</w:t>
      </w:r>
      <w:r>
        <w:rPr>
          <w:rFonts w:ascii="Calibri" w:hAnsi="Calibri"/>
          <w:color w:val="212121"/>
          <w:sz w:val="20"/>
        </w:rPr>
        <w:tab/>
      </w:r>
      <w:r>
        <w:rPr>
          <w:rFonts w:ascii="Calibri" w:hAnsi="Calibri" w:eastAsia="Calibri" w:cs="Calibri"/>
          <w:color w:val="212121"/>
          <w:sz w:val="20"/>
          <w:szCs w:val="20"/>
        </w:rPr>
        <w:t>170</w:t>
      </w:r>
    </w:p>
    <w:p>
      <w:pPr>
        <w:pStyle w:val="TOC2"/>
      </w:pPr>
      <w:r>
        <w:rPr>
          <w:rFonts w:ascii="Calibri" w:hAnsi="Calibri" w:eastAsia="Calibri" w:cs="Calibri"/>
          <w:color w:val="212121"/>
          <w:sz w:val="20"/>
          <w:szCs w:val="20"/>
        </w:rPr>
        <w:t>Section 5.3K: Resolution Voidance Protocol [NEW: v12.1]</w:t>
      </w:r>
      <w:r>
        <w:rPr>
          <w:rFonts w:ascii="Calibri" w:hAnsi="Calibri"/>
          <w:color w:val="212121"/>
          <w:sz w:val="20"/>
        </w:rPr>
        <w:tab/>
      </w:r>
      <w:r>
        <w:rPr>
          <w:rFonts w:ascii="Calibri" w:hAnsi="Calibri" w:eastAsia="Calibri" w:cs="Calibri"/>
          <w:color w:val="212121"/>
          <w:sz w:val="20"/>
          <w:szCs w:val="20"/>
        </w:rPr>
        <w:t>171</w:t>
      </w:r>
    </w:p>
    <w:p>
      <w:pPr>
        <w:pStyle w:val="TOC2"/>
      </w:pPr>
      <w:r>
        <w:rPr>
          <w:rFonts w:ascii="Calibri" w:hAnsi="Calibri" w:eastAsia="Calibri" w:cs="Calibri"/>
          <w:color w:val="212121"/>
          <w:sz w:val="20"/>
          <w:szCs w:val="20"/>
        </w:rPr>
        <w:t>Section 5.3E: Tariff Escalation Ceiling and Automatic Mutual Freeze [NEW: v9.8 Structural Fix]</w:t>
      </w:r>
      <w:r>
        <w:rPr>
          <w:rFonts w:ascii="Calibri" w:hAnsi="Calibri"/>
          <w:color w:val="212121"/>
          <w:sz w:val="20"/>
        </w:rPr>
        <w:tab/>
      </w:r>
      <w:r>
        <w:rPr>
          <w:rFonts w:ascii="Calibri" w:hAnsi="Calibri" w:eastAsia="Calibri" w:cs="Calibri"/>
          <w:color w:val="212121"/>
          <w:sz w:val="20"/>
          <w:szCs w:val="20"/>
        </w:rPr>
        <w:t>171</w:t>
      </w:r>
    </w:p>
    <w:p>
      <w:pPr>
        <w:pStyle w:val="TOC2"/>
      </w:pPr>
      <w:r>
        <w:rPr>
          <w:rFonts w:ascii="Calibri" w:hAnsi="Calibri" w:eastAsia="Calibri" w:cs="Calibri"/>
          <w:color w:val="212121"/>
          <w:sz w:val="20"/>
          <w:szCs w:val="20"/>
        </w:rPr>
        <w:t>Section 5.3F: Civilian Protection Trigger for Military-Triggered Economic Response [NEW: v9.8A Military-Economic Nexus]</w:t>
      </w:r>
      <w:r>
        <w:rPr>
          <w:rFonts w:ascii="Calibri" w:hAnsi="Calibri"/>
          <w:color w:val="212121"/>
          <w:sz w:val="20"/>
        </w:rPr>
        <w:tab/>
      </w:r>
      <w:r>
        <w:rPr>
          <w:rFonts w:ascii="Calibri" w:hAnsi="Calibri" w:eastAsia="Calibri" w:cs="Calibri"/>
          <w:color w:val="212121"/>
          <w:sz w:val="20"/>
          <w:szCs w:val="20"/>
        </w:rPr>
        <w:t>171</w:t>
      </w:r>
    </w:p>
    <w:p>
      <w:pPr>
        <w:pStyle w:val="TOC2"/>
      </w:pPr>
      <w:r>
        <w:rPr>
          <w:rFonts w:ascii="Calibri" w:hAnsi="Calibri" w:eastAsia="Calibri" w:cs="Calibri"/>
          <w:color w:val="212121"/>
          <w:sz w:val="20"/>
          <w:szCs w:val="20"/>
        </w:rPr>
        <w:t>Section 5.4A: Rolling Review Horizon for Phase 2+ Measures (Nofade Protocol) [NEW: v9.8A Adoption Readiness]</w:t>
      </w:r>
      <w:r>
        <w:rPr>
          <w:rFonts w:ascii="Calibri" w:hAnsi="Calibri"/>
          <w:color w:val="212121"/>
          <w:sz w:val="20"/>
        </w:rPr>
        <w:tab/>
      </w:r>
      <w:r>
        <w:rPr>
          <w:rFonts w:ascii="Calibri" w:hAnsi="Calibri" w:eastAsia="Calibri" w:cs="Calibri"/>
          <w:color w:val="212121"/>
          <w:sz w:val="20"/>
          <w:szCs w:val="20"/>
        </w:rPr>
        <w:t>172</w:t>
      </w:r>
    </w:p>
    <w:p>
      <w:pPr>
        <w:pStyle w:val="TOC2"/>
      </w:pPr>
      <w:r>
        <w:rPr>
          <w:rFonts w:ascii="Calibri" w:hAnsi="Calibri" w:eastAsia="Calibri" w:cs="Calibri"/>
          <w:color w:val="212121"/>
          <w:sz w:val="20"/>
          <w:szCs w:val="20"/>
        </w:rPr>
        <w:t>Section 5.4B: Step-Back/Earn-Back Protocol [NEW: v13.0]</w:t>
      </w:r>
      <w:r>
        <w:rPr>
          <w:rFonts w:ascii="Calibri" w:hAnsi="Calibri"/>
          <w:color w:val="212121"/>
          <w:sz w:val="20"/>
        </w:rPr>
        <w:tab/>
      </w:r>
      <w:r>
        <w:rPr>
          <w:rFonts w:ascii="Calibri" w:hAnsi="Calibri" w:eastAsia="Calibri" w:cs="Calibri"/>
          <w:color w:val="212121"/>
          <w:sz w:val="20"/>
          <w:szCs w:val="20"/>
        </w:rPr>
        <w:t>173</w:t>
      </w:r>
    </w:p>
    <w:p>
      <w:pPr>
        <w:pStyle w:val="TOC2"/>
      </w:pPr>
      <w:r>
        <w:rPr>
          <w:rFonts w:ascii="Calibri" w:hAnsi="Calibri" w:eastAsia="Calibri" w:cs="Calibri"/>
          <w:color w:val="212121"/>
          <w:sz w:val="20"/>
          <w:szCs w:val="20"/>
        </w:rPr>
        <w:t>Section 5.4C: Three-Tier Breach Classification System [NEW: v13.0]</w:t>
      </w:r>
      <w:r>
        <w:rPr>
          <w:rFonts w:ascii="Calibri" w:hAnsi="Calibri"/>
          <w:color w:val="212121"/>
          <w:sz w:val="20"/>
        </w:rPr>
        <w:tab/>
      </w:r>
      <w:r>
        <w:rPr>
          <w:rFonts w:ascii="Calibri" w:hAnsi="Calibri" w:eastAsia="Calibri" w:cs="Calibri"/>
          <w:color w:val="212121"/>
          <w:sz w:val="20"/>
          <w:szCs w:val="20"/>
        </w:rPr>
        <w:t>173</w:t>
      </w:r>
    </w:p>
    <w:p>
      <w:pPr>
        <w:pStyle w:val="TOC2"/>
      </w:pPr>
      <w:r>
        <w:rPr>
          <w:rFonts w:ascii="Calibri" w:hAnsi="Calibri" w:eastAsia="Calibri" w:cs="Calibri"/>
          <w:color w:val="212121"/>
          <w:sz w:val="20"/>
          <w:szCs w:val="20"/>
        </w:rPr>
        <w:t>Section 5.4D: Sequenced Impact and Human-in-the-Loop Requirement [NEW: v13.0]</w:t>
      </w:r>
      <w:r>
        <w:rPr>
          <w:rFonts w:ascii="Calibri" w:hAnsi="Calibri"/>
          <w:color w:val="212121"/>
          <w:sz w:val="20"/>
        </w:rPr>
        <w:tab/>
      </w:r>
      <w:r>
        <w:rPr>
          <w:rFonts w:ascii="Calibri" w:hAnsi="Calibri" w:eastAsia="Calibri" w:cs="Calibri"/>
          <w:color w:val="212121"/>
          <w:sz w:val="20"/>
          <w:szCs w:val="20"/>
        </w:rPr>
        <w:t>174</w:t>
      </w:r>
    </w:p>
    <w:p>
      <w:pPr>
        <w:pStyle w:val="TOC2"/>
      </w:pPr>
      <w:r>
        <w:rPr>
          <w:rFonts w:ascii="Calibri" w:hAnsi="Calibri" w:eastAsia="Calibri" w:cs="Calibri"/>
          <w:color w:val="212121"/>
          <w:sz w:val="20"/>
          <w:szCs w:val="20"/>
        </w:rPr>
        <w:t>Section 5.4E: Cross-Module Spillover Protection [NEW: v13.0]</w:t>
      </w:r>
      <w:r>
        <w:rPr>
          <w:rFonts w:ascii="Calibri" w:hAnsi="Calibri"/>
          <w:color w:val="212121"/>
          <w:sz w:val="20"/>
        </w:rPr>
        <w:tab/>
      </w:r>
      <w:r>
        <w:rPr>
          <w:rFonts w:ascii="Calibri" w:hAnsi="Calibri" w:eastAsia="Calibri" w:cs="Calibri"/>
          <w:color w:val="212121"/>
          <w:sz w:val="20"/>
          <w:szCs w:val="20"/>
        </w:rPr>
        <w:t>174</w:t>
      </w:r>
    </w:p>
    <w:p>
      <w:pPr>
        <w:pStyle w:val="TOC2"/>
      </w:pPr>
      <w:r>
        <w:rPr>
          <w:rFonts w:ascii="Calibri" w:hAnsi="Calibri" w:eastAsia="Calibri" w:cs="Calibri"/>
          <w:color w:val="212121"/>
          <w:sz w:val="20"/>
          <w:szCs w:val="20"/>
        </w:rPr>
        <w:t>Section 5.4F: Earn-Back Credit System [NEW: v13.0]</w:t>
      </w:r>
      <w:r>
        <w:rPr>
          <w:rFonts w:ascii="Calibri" w:hAnsi="Calibri"/>
          <w:color w:val="212121"/>
          <w:sz w:val="20"/>
        </w:rPr>
        <w:tab/>
      </w:r>
      <w:r>
        <w:rPr>
          <w:rFonts w:ascii="Calibri" w:hAnsi="Calibri" w:eastAsia="Calibri" w:cs="Calibri"/>
          <w:color w:val="212121"/>
          <w:sz w:val="20"/>
          <w:szCs w:val="20"/>
        </w:rPr>
        <w:t>175</w:t>
      </w:r>
    </w:p>
    <w:p>
      <w:pPr>
        <w:pStyle w:val="TOC2"/>
      </w:pPr>
      <w:r>
        <w:rPr>
          <w:rFonts w:ascii="Calibri" w:hAnsi="Calibri" w:eastAsia="Calibri" w:cs="Calibri"/>
          <w:color w:val="212121"/>
          <w:sz w:val="20"/>
          <w:szCs w:val="20"/>
        </w:rPr>
        <w:t>Section 5.4G: Reinstatement Review and Sunset Safeguards [NEW: v13.0]</w:t>
      </w:r>
      <w:r>
        <w:rPr>
          <w:rFonts w:ascii="Calibri" w:hAnsi="Calibri"/>
          <w:color w:val="212121"/>
          <w:sz w:val="20"/>
        </w:rPr>
        <w:tab/>
      </w:r>
      <w:r>
        <w:rPr>
          <w:rFonts w:ascii="Calibri" w:hAnsi="Calibri" w:eastAsia="Calibri" w:cs="Calibri"/>
          <w:color w:val="212121"/>
          <w:sz w:val="20"/>
          <w:szCs w:val="20"/>
        </w:rPr>
        <w:t>175</w:t>
      </w:r>
    </w:p>
    <w:p>
      <w:pPr>
        <w:pStyle w:val="TOC2"/>
      </w:pPr>
      <w:r>
        <w:rPr>
          <w:rFonts w:ascii="Calibri" w:hAnsi="Calibri" w:eastAsia="Calibri" w:cs="Calibri"/>
          <w:color w:val="212121"/>
          <w:sz w:val="20"/>
          <w:szCs w:val="20"/>
        </w:rPr>
        <w:t>Section 5.4H: Earn-Back Timelines Under Nofade Protocol [NEW: v13.0]</w:t>
      </w:r>
      <w:r>
        <w:rPr>
          <w:rFonts w:ascii="Calibri" w:hAnsi="Calibri"/>
          <w:color w:val="212121"/>
          <w:sz w:val="20"/>
        </w:rPr>
        <w:tab/>
      </w:r>
      <w:r>
        <w:rPr>
          <w:rFonts w:ascii="Calibri" w:hAnsi="Calibri" w:eastAsia="Calibri" w:cs="Calibri"/>
          <w:color w:val="212121"/>
          <w:sz w:val="20"/>
          <w:szCs w:val="20"/>
        </w:rPr>
        <w:t>175</w:t>
      </w:r>
    </w:p>
    <w:p>
      <w:pPr>
        <w:pStyle w:val="TOC2"/>
      </w:pPr>
      <w:r>
        <w:rPr>
          <w:rFonts w:ascii="Calibri" w:hAnsi="Calibri" w:eastAsia="Calibri" w:cs="Calibri"/>
          <w:color w:val="212121"/>
          <w:sz w:val="20"/>
          <w:szCs w:val="20"/>
        </w:rPr>
        <w:t>Section 5.3G: Third-Party Mediation Fast Track [NEW: v9.8A Institutional Maturity]</w:t>
      </w:r>
      <w:r>
        <w:rPr>
          <w:rFonts w:ascii="Calibri" w:hAnsi="Calibri"/>
          <w:color w:val="212121"/>
          <w:sz w:val="20"/>
        </w:rPr>
        <w:tab/>
      </w:r>
      <w:r>
        <w:rPr>
          <w:rFonts w:ascii="Calibri" w:hAnsi="Calibri" w:eastAsia="Calibri" w:cs="Calibri"/>
          <w:color w:val="212121"/>
          <w:sz w:val="20"/>
          <w:szCs w:val="20"/>
        </w:rPr>
        <w:t>176</w:t>
      </w:r>
    </w:p>
    <w:p>
      <w:pPr>
        <w:pStyle w:val="TOC2"/>
      </w:pPr>
      <w:r>
        <w:rPr>
          <w:rFonts w:ascii="Calibri" w:hAnsi="Calibri" w:eastAsia="Calibri" w:cs="Calibri"/>
          <w:color w:val="212121"/>
          <w:sz w:val="20"/>
          <w:szCs w:val="20"/>
        </w:rPr>
        <w:t>Section 5.5A: Unified Existential Speed Protocol (ESP) [NEW: v9.8B Structural Simplification]</w:t>
      </w:r>
      <w:r>
        <w:rPr>
          <w:rFonts w:ascii="Calibri" w:hAnsi="Calibri"/>
          <w:color w:val="212121"/>
          <w:sz w:val="20"/>
        </w:rPr>
        <w:tab/>
      </w:r>
      <w:r>
        <w:rPr>
          <w:rFonts w:ascii="Calibri" w:hAnsi="Calibri" w:eastAsia="Calibri" w:cs="Calibri"/>
          <w:color w:val="212121"/>
          <w:sz w:val="20"/>
          <w:szCs w:val="20"/>
        </w:rPr>
        <w:t>176</w:t>
      </w:r>
    </w:p>
    <w:p>
      <w:pPr>
        <w:pStyle w:val="TOC2"/>
      </w:pPr>
      <w:r>
        <w:rPr>
          <w:rFonts w:ascii="Calibri" w:hAnsi="Calibri" w:eastAsia="Calibri" w:cs="Calibri"/>
          <w:color w:val="212121"/>
          <w:sz w:val="20"/>
          <w:szCs w:val="20"/>
        </w:rPr>
        <w:t>Section 5.11: Escalation Cascade Safeguard [NEW: v9.8 Required Addition]</w:t>
      </w:r>
      <w:r>
        <w:rPr>
          <w:rFonts w:ascii="Calibri" w:hAnsi="Calibri"/>
          <w:color w:val="212121"/>
          <w:sz w:val="20"/>
        </w:rPr>
        <w:tab/>
      </w:r>
      <w:r>
        <w:rPr>
          <w:rFonts w:ascii="Calibri" w:hAnsi="Calibri" w:eastAsia="Calibri" w:cs="Calibri"/>
          <w:color w:val="212121"/>
          <w:sz w:val="20"/>
          <w:szCs w:val="20"/>
        </w:rPr>
        <w:t>177</w:t>
      </w:r>
    </w:p>
    <w:p>
      <w:pPr>
        <w:pStyle w:val="TOC2"/>
      </w:pPr>
      <w:r>
        <w:rPr>
          <w:rFonts w:ascii="Calibri" w:hAnsi="Calibri" w:eastAsia="Calibri" w:cs="Calibri"/>
          <w:color w:val="212121"/>
          <w:sz w:val="20"/>
          <w:szCs w:val="20"/>
        </w:rPr>
        <w:t>Section 5.4: Pre-Authorised Scenario Library</w:t>
      </w:r>
      <w:r>
        <w:rPr>
          <w:rFonts w:ascii="Calibri" w:hAnsi="Calibri"/>
          <w:color w:val="212121"/>
          <w:sz w:val="20"/>
        </w:rPr>
        <w:tab/>
      </w:r>
      <w:r>
        <w:rPr>
          <w:rFonts w:ascii="Calibri" w:hAnsi="Calibri" w:eastAsia="Calibri" w:cs="Calibri"/>
          <w:color w:val="212121"/>
          <w:sz w:val="20"/>
          <w:szCs w:val="20"/>
        </w:rPr>
        <w:t>178</w:t>
      </w:r>
    </w:p>
    <w:p>
      <w:pPr>
        <w:pStyle w:val="TOC2"/>
      </w:pPr>
      <w:r>
        <w:rPr>
          <w:rFonts w:ascii="Calibri" w:hAnsi="Calibri" w:eastAsia="Calibri" w:cs="Calibri"/>
          <w:color w:val="212121"/>
          <w:sz w:val="20"/>
          <w:szCs w:val="20"/>
        </w:rPr>
        <w:t>Section 5.5: Accelerated Presumptive Escalation</w:t>
      </w:r>
      <w:r>
        <w:rPr>
          <w:rFonts w:ascii="Calibri" w:hAnsi="Calibri"/>
          <w:color w:val="212121"/>
          <w:sz w:val="20"/>
        </w:rPr>
        <w:tab/>
      </w:r>
      <w:r>
        <w:rPr>
          <w:rFonts w:ascii="Calibri" w:hAnsi="Calibri" w:eastAsia="Calibri" w:cs="Calibri"/>
          <w:color w:val="212121"/>
          <w:sz w:val="20"/>
          <w:szCs w:val="20"/>
        </w:rPr>
        <w:t>179</w:t>
      </w:r>
    </w:p>
    <w:p>
      <w:pPr>
        <w:pStyle w:val="TOC2"/>
      </w:pPr>
      <w:r>
        <w:rPr>
          <w:rFonts w:ascii="Calibri" w:hAnsi="Calibri" w:eastAsia="Calibri" w:cs="Calibri"/>
          <w:color w:val="212121"/>
          <w:sz w:val="20"/>
          <w:szCs w:val="20"/>
        </w:rPr>
        <w:t>Section 5.5A: Escalation Justification Memorandum</w:t>
      </w:r>
      <w:r>
        <w:rPr>
          <w:rFonts w:ascii="Calibri" w:hAnsi="Calibri"/>
          <w:color w:val="212121"/>
          <w:sz w:val="20"/>
        </w:rPr>
        <w:tab/>
      </w:r>
      <w:r>
        <w:rPr>
          <w:rFonts w:ascii="Calibri" w:hAnsi="Calibri" w:eastAsia="Calibri" w:cs="Calibri"/>
          <w:color w:val="212121"/>
          <w:sz w:val="20"/>
          <w:szCs w:val="20"/>
        </w:rPr>
        <w:t>180</w:t>
      </w:r>
    </w:p>
    <w:p>
      <w:pPr>
        <w:pStyle w:val="TOC2"/>
      </w:pPr>
      <w:r>
        <w:rPr>
          <w:rFonts w:ascii="Calibri" w:hAnsi="Calibri" w:eastAsia="Calibri" w:cs="Calibri"/>
          <w:color w:val="212121"/>
          <w:sz w:val="20"/>
          <w:szCs w:val="20"/>
        </w:rPr>
        <w:t>Section 5.5A.1: Integrated De-Escalation Pathway</w:t>
      </w:r>
      <w:r>
        <w:rPr>
          <w:rFonts w:ascii="Calibri" w:hAnsi="Calibri"/>
          <w:color w:val="212121"/>
          <w:sz w:val="20"/>
        </w:rPr>
        <w:tab/>
      </w:r>
      <w:r>
        <w:rPr>
          <w:rFonts w:ascii="Calibri" w:hAnsi="Calibri" w:eastAsia="Calibri" w:cs="Calibri"/>
          <w:color w:val="212121"/>
          <w:sz w:val="20"/>
          <w:szCs w:val="20"/>
        </w:rPr>
        <w:t>180</w:t>
      </w:r>
    </w:p>
    <w:p>
      <w:pPr>
        <w:pStyle w:val="TOC2"/>
      </w:pPr>
      <w:r>
        <w:rPr>
          <w:rFonts w:ascii="Calibri" w:hAnsi="Calibri" w:eastAsia="Calibri" w:cs="Calibri"/>
          <w:color w:val="212121"/>
          <w:sz w:val="20"/>
          <w:szCs w:val="20"/>
        </w:rPr>
        <w:t>Section 5.5B: Mandatory Human Confirmation for Phase 2+</w:t>
      </w:r>
      <w:r>
        <w:rPr>
          <w:rFonts w:ascii="Calibri" w:hAnsi="Calibri"/>
          <w:color w:val="212121"/>
          <w:sz w:val="20"/>
        </w:rPr>
        <w:tab/>
      </w:r>
      <w:r>
        <w:rPr>
          <w:rFonts w:ascii="Calibri" w:hAnsi="Calibri" w:eastAsia="Calibri" w:cs="Calibri"/>
          <w:color w:val="212121"/>
          <w:sz w:val="20"/>
          <w:szCs w:val="20"/>
        </w:rPr>
        <w:t>180</w:t>
      </w:r>
    </w:p>
    <w:p>
      <w:pPr>
        <w:pStyle w:val="TOC2"/>
      </w:pPr>
      <w:r>
        <w:rPr>
          <w:rFonts w:ascii="Calibri" w:hAnsi="Calibri" w:eastAsia="Calibri" w:cs="Calibri"/>
          <w:color w:val="212121"/>
          <w:sz w:val="20"/>
          <w:szCs w:val="20"/>
        </w:rPr>
        <w:t>Section 5.5C: Existential Speed Protocol (ESP)</w:t>
      </w:r>
      <w:r>
        <w:rPr>
          <w:rFonts w:ascii="Calibri" w:hAnsi="Calibri"/>
          <w:color w:val="212121"/>
          <w:sz w:val="20"/>
        </w:rPr>
        <w:tab/>
      </w:r>
      <w:r>
        <w:rPr>
          <w:rFonts w:ascii="Calibri" w:hAnsi="Calibri" w:eastAsia="Calibri" w:cs="Calibri"/>
          <w:color w:val="212121"/>
          <w:sz w:val="20"/>
          <w:szCs w:val="20"/>
        </w:rPr>
        <w:t>182</w:t>
      </w:r>
    </w:p>
    <w:p>
      <w:pPr>
        <w:pStyle w:val="TOC2"/>
      </w:pPr>
      <w:r>
        <w:rPr>
          <w:rFonts w:ascii="Calibri" w:hAnsi="Calibri" w:eastAsia="Calibri" w:cs="Calibri"/>
          <w:color w:val="212121"/>
          <w:sz w:val="20"/>
          <w:szCs w:val="20"/>
        </w:rPr>
        <w:t>Section 5.6: Cumulative Escalation Pause</w:t>
      </w:r>
      <w:r>
        <w:rPr>
          <w:rFonts w:ascii="Calibri" w:hAnsi="Calibri"/>
          <w:color w:val="212121"/>
          <w:sz w:val="20"/>
        </w:rPr>
        <w:tab/>
      </w:r>
      <w:r>
        <w:rPr>
          <w:rFonts w:ascii="Calibri" w:hAnsi="Calibri" w:eastAsia="Calibri" w:cs="Calibri"/>
          <w:color w:val="212121"/>
          <w:sz w:val="20"/>
          <w:szCs w:val="20"/>
        </w:rPr>
        <w:t>182</w:t>
      </w:r>
    </w:p>
    <w:p>
      <w:pPr>
        <w:pStyle w:val="TOC2"/>
      </w:pPr>
      <w:r>
        <w:rPr>
          <w:rFonts w:ascii="Calibri" w:hAnsi="Calibri" w:eastAsia="Calibri" w:cs="Calibri"/>
          <w:color w:val="212121"/>
          <w:sz w:val="20"/>
          <w:szCs w:val="20"/>
        </w:rPr>
        <w:t>Section 5.7: Monthly Strategic Pulse</w:t>
      </w:r>
      <w:r>
        <w:rPr>
          <w:rFonts w:ascii="Calibri" w:hAnsi="Calibri"/>
          <w:color w:val="212121"/>
          <w:sz w:val="20"/>
        </w:rPr>
        <w:tab/>
      </w:r>
      <w:r>
        <w:rPr>
          <w:rFonts w:ascii="Calibri" w:hAnsi="Calibri" w:eastAsia="Calibri" w:cs="Calibri"/>
          <w:color w:val="212121"/>
          <w:sz w:val="20"/>
          <w:szCs w:val="20"/>
        </w:rPr>
        <w:t>183</w:t>
      </w:r>
    </w:p>
    <w:p>
      <w:pPr>
        <w:pStyle w:val="TOC2"/>
      </w:pPr>
      <w:r>
        <w:rPr>
          <w:rFonts w:ascii="Calibri" w:hAnsi="Calibri" w:eastAsia="Calibri" w:cs="Calibri"/>
          <w:color w:val="212121"/>
          <w:sz w:val="20"/>
          <w:szCs w:val="20"/>
        </w:rPr>
        <w:t>Section 5.14: Existential Threat Immediate Protection Protocol [NEW: v15.0]</w:t>
      </w:r>
      <w:r>
        <w:rPr>
          <w:rFonts w:ascii="Calibri" w:hAnsi="Calibri"/>
          <w:color w:val="212121"/>
          <w:sz w:val="20"/>
        </w:rPr>
        <w:tab/>
      </w:r>
      <w:r>
        <w:rPr>
          <w:rFonts w:ascii="Calibri" w:hAnsi="Calibri" w:eastAsia="Calibri" w:cs="Calibri"/>
          <w:color w:val="212121"/>
          <w:sz w:val="20"/>
          <w:szCs w:val="20"/>
        </w:rPr>
        <w:t>183</w:t>
      </w:r>
    </w:p>
    <w:p>
      <w:pPr>
        <w:pStyle w:val="TOC2"/>
      </w:pPr>
      <w:r>
        <w:rPr>
          <w:rFonts w:ascii="Calibri" w:hAnsi="Calibri" w:eastAsia="Calibri" w:cs="Calibri"/>
          <w:color w:val="212121"/>
          <w:sz w:val="20"/>
          <w:szCs w:val="20"/>
        </w:rPr>
        <w:t>Section 5.15: War Economy Transition Protocol [NEW: v15.0]</w:t>
      </w:r>
      <w:r>
        <w:rPr>
          <w:rFonts w:ascii="Calibri" w:hAnsi="Calibri"/>
          <w:color w:val="212121"/>
          <w:sz w:val="20"/>
        </w:rPr>
        <w:tab/>
      </w:r>
      <w:r>
        <w:rPr>
          <w:rFonts w:ascii="Calibri" w:hAnsi="Calibri" w:eastAsia="Calibri" w:cs="Calibri"/>
          <w:color w:val="212121"/>
          <w:sz w:val="20"/>
          <w:szCs w:val="20"/>
        </w:rPr>
        <w:t>184</w:t>
      </w:r>
    </w:p>
    <w:p>
      <w:pPr>
        <w:pStyle w:val="TOC2"/>
      </w:pPr>
      <w:r>
        <w:rPr>
          <w:rFonts w:ascii="Calibri" w:hAnsi="Calibri" w:eastAsia="Calibri" w:cs="Calibri"/>
          <w:color w:val="212121"/>
          <w:sz w:val="20"/>
          <w:szCs w:val="20"/>
        </w:rPr>
        <w:t>Section 5.16: Encirclement Doctrine [NEW: v15.0]</w:t>
      </w:r>
      <w:r>
        <w:rPr>
          <w:rFonts w:ascii="Calibri" w:hAnsi="Calibri"/>
          <w:color w:val="212121"/>
          <w:sz w:val="20"/>
        </w:rPr>
        <w:tab/>
      </w:r>
      <w:r>
        <w:rPr>
          <w:rFonts w:ascii="Calibri" w:hAnsi="Calibri" w:eastAsia="Calibri" w:cs="Calibri"/>
          <w:color w:val="212121"/>
          <w:sz w:val="20"/>
          <w:szCs w:val="20"/>
        </w:rPr>
        <w:t>184</w:t>
      </w:r>
    </w:p>
    <w:p>
      <w:pPr>
        <w:pStyle w:val="TOC1"/>
      </w:pPr>
      <w:r>
        <w:rPr>
          <w:rFonts w:ascii="Calibri" w:hAnsi="Calibri" w:eastAsia="Calibri" w:cs="Calibri"/>
          <w:b/>
          <w:color w:val="37474F"/>
          <w:sz w:val="21"/>
          <w:szCs w:val="21"/>
        </w:rPr>
        <w:t>ARTICLE VI: ANTI-FRAGMENTATION</w:t>
      </w:r>
      <w:r>
        <w:rPr>
          <w:rFonts w:ascii="Calibri" w:hAnsi="Calibri"/>
          <w:b/>
          <w:color w:val="37474F"/>
          <w:sz w:val="21"/>
        </w:rPr>
        <w:tab/>
      </w:r>
      <w:r>
        <w:rPr>
          <w:rFonts w:ascii="Calibri" w:hAnsi="Calibri" w:eastAsia="Calibri" w:cs="Calibri"/>
          <w:b/>
          <w:color w:val="37474F"/>
          <w:sz w:val="21"/>
          <w:szCs w:val="21"/>
        </w:rPr>
        <w:t>186</w:t>
      </w:r>
    </w:p>
    <w:p>
      <w:pPr>
        <w:pStyle w:val="TOC2"/>
      </w:pPr>
      <w:r>
        <w:rPr>
          <w:rFonts w:ascii="Calibri" w:hAnsi="Calibri" w:eastAsia="Calibri" w:cs="Calibri"/>
          <w:color w:val="212121"/>
          <w:sz w:val="20"/>
          <w:szCs w:val="20"/>
        </w:rPr>
        <w:t>Section 6.1: Prohibited Actions and Enforcement</w:t>
      </w:r>
      <w:r>
        <w:rPr>
          <w:rFonts w:ascii="Calibri" w:hAnsi="Calibri"/>
          <w:color w:val="212121"/>
          <w:sz w:val="20"/>
        </w:rPr>
        <w:tab/>
      </w:r>
      <w:r>
        <w:rPr>
          <w:rFonts w:ascii="Calibri" w:hAnsi="Calibri" w:eastAsia="Calibri" w:cs="Calibri"/>
          <w:color w:val="212121"/>
          <w:sz w:val="20"/>
          <w:szCs w:val="20"/>
        </w:rPr>
        <w:t>186</w:t>
      </w:r>
    </w:p>
    <w:p>
      <w:pPr>
        <w:pStyle w:val="TOC2"/>
      </w:pPr>
      <w:r>
        <w:rPr>
          <w:rFonts w:ascii="Calibri" w:hAnsi="Calibri" w:eastAsia="Calibri" w:cs="Calibri"/>
          <w:color w:val="212121"/>
          <w:sz w:val="20"/>
          <w:szCs w:val="20"/>
        </w:rPr>
        <w:t>Section 6.2: Divide-and-Conquer Response Protocol</w:t>
      </w:r>
      <w:r>
        <w:rPr>
          <w:rFonts w:ascii="Calibri" w:hAnsi="Calibri"/>
          <w:color w:val="212121"/>
          <w:sz w:val="20"/>
        </w:rPr>
        <w:tab/>
      </w:r>
      <w:r>
        <w:rPr>
          <w:rFonts w:ascii="Calibri" w:hAnsi="Calibri" w:eastAsia="Calibri" w:cs="Calibri"/>
          <w:color w:val="212121"/>
          <w:sz w:val="20"/>
          <w:szCs w:val="20"/>
        </w:rPr>
        <w:t>186</w:t>
      </w:r>
    </w:p>
    <w:p>
      <w:pPr>
        <w:pStyle w:val="TOC2"/>
      </w:pPr>
      <w:r>
        <w:rPr>
          <w:rFonts w:ascii="Calibri" w:hAnsi="Calibri" w:eastAsia="Calibri" w:cs="Calibri"/>
          <w:color w:val="212121"/>
          <w:sz w:val="20"/>
          <w:szCs w:val="20"/>
        </w:rPr>
        <w:t>Section 6.3: Automatic Coalition Expansion (ACE)</w:t>
      </w:r>
      <w:r>
        <w:rPr>
          <w:rFonts w:ascii="Calibri" w:hAnsi="Calibri"/>
          <w:color w:val="212121"/>
          <w:sz w:val="20"/>
        </w:rPr>
        <w:tab/>
      </w:r>
      <w:r>
        <w:rPr>
          <w:rFonts w:ascii="Calibri" w:hAnsi="Calibri" w:eastAsia="Calibri" w:cs="Calibri"/>
          <w:color w:val="212121"/>
          <w:sz w:val="20"/>
          <w:szCs w:val="20"/>
        </w:rPr>
        <w:t>188</w:t>
      </w:r>
    </w:p>
    <w:p>
      <w:pPr>
        <w:pStyle w:val="TOC2"/>
      </w:pPr>
      <w:r>
        <w:rPr>
          <w:rFonts w:ascii="Calibri" w:hAnsi="Calibri" w:eastAsia="Calibri" w:cs="Calibri"/>
          <w:color w:val="212121"/>
          <w:sz w:val="20"/>
          <w:szCs w:val="20"/>
        </w:rPr>
        <w:t>Section 6.4: Transparency Sanctions Regime (TSR)</w:t>
      </w:r>
      <w:r>
        <w:rPr>
          <w:rFonts w:ascii="Calibri" w:hAnsi="Calibri"/>
          <w:color w:val="212121"/>
          <w:sz w:val="20"/>
        </w:rPr>
        <w:tab/>
      </w:r>
      <w:r>
        <w:rPr>
          <w:rFonts w:ascii="Calibri" w:hAnsi="Calibri" w:eastAsia="Calibri" w:cs="Calibri"/>
          <w:color w:val="212121"/>
          <w:sz w:val="20"/>
          <w:szCs w:val="20"/>
        </w:rPr>
        <w:t>189</w:t>
      </w:r>
    </w:p>
    <w:p>
      <w:pPr>
        <w:pStyle w:val="TOC2"/>
      </w:pPr>
      <w:r>
        <w:rPr>
          <w:rFonts w:ascii="Calibri" w:hAnsi="Calibri" w:eastAsia="Calibri" w:cs="Calibri"/>
          <w:color w:val="212121"/>
          <w:sz w:val="20"/>
          <w:szCs w:val="20"/>
        </w:rPr>
        <w:t>Section 6.4A: Reciprocal Transparency Ledger (RTL)</w:t>
      </w:r>
      <w:r>
        <w:rPr>
          <w:rFonts w:ascii="Calibri" w:hAnsi="Calibri"/>
          <w:color w:val="212121"/>
          <w:sz w:val="20"/>
        </w:rPr>
        <w:tab/>
      </w:r>
      <w:r>
        <w:rPr>
          <w:rFonts w:ascii="Calibri" w:hAnsi="Calibri" w:eastAsia="Calibri" w:cs="Calibri"/>
          <w:color w:val="212121"/>
          <w:sz w:val="20"/>
          <w:szCs w:val="20"/>
        </w:rPr>
        <w:t>191</w:t>
      </w:r>
    </w:p>
    <w:p>
      <w:pPr>
        <w:pStyle w:val="TOC2"/>
      </w:pPr>
      <w:r>
        <w:rPr>
          <w:rFonts w:ascii="Calibri" w:hAnsi="Calibri" w:eastAsia="Calibri" w:cs="Calibri"/>
          <w:color w:val="212121"/>
          <w:sz w:val="20"/>
          <w:szCs w:val="20"/>
        </w:rPr>
        <w:t>Section 6.5: Live Implementation Dashboard</w:t>
      </w:r>
      <w:r>
        <w:rPr>
          <w:rFonts w:ascii="Calibri" w:hAnsi="Calibri"/>
          <w:color w:val="212121"/>
          <w:sz w:val="20"/>
        </w:rPr>
        <w:tab/>
      </w:r>
      <w:r>
        <w:rPr>
          <w:rFonts w:ascii="Calibri" w:hAnsi="Calibri" w:eastAsia="Calibri" w:cs="Calibri"/>
          <w:color w:val="212121"/>
          <w:sz w:val="20"/>
          <w:szCs w:val="20"/>
        </w:rPr>
        <w:t>192</w:t>
      </w:r>
    </w:p>
    <w:p>
      <w:pPr>
        <w:pStyle w:val="TOC2"/>
      </w:pPr>
      <w:r>
        <w:rPr>
          <w:rFonts w:ascii="Calibri" w:hAnsi="Calibri" w:eastAsia="Calibri" w:cs="Calibri"/>
          <w:color w:val="212121"/>
          <w:sz w:val="20"/>
          <w:szCs w:val="20"/>
        </w:rPr>
        <w:t>Section 6.5A: Effectiveness Verification Audit (EVA)</w:t>
      </w:r>
      <w:r>
        <w:rPr>
          <w:rFonts w:ascii="Calibri" w:hAnsi="Calibri"/>
          <w:color w:val="212121"/>
          <w:sz w:val="20"/>
        </w:rPr>
        <w:tab/>
      </w:r>
      <w:r>
        <w:rPr>
          <w:rFonts w:ascii="Calibri" w:hAnsi="Calibri" w:eastAsia="Calibri" w:cs="Calibri"/>
          <w:color w:val="212121"/>
          <w:sz w:val="20"/>
          <w:szCs w:val="20"/>
        </w:rPr>
        <w:t>192</w:t>
      </w:r>
    </w:p>
    <w:p>
      <w:pPr>
        <w:pStyle w:val="TOC2"/>
      </w:pPr>
      <w:r>
        <w:rPr>
          <w:rFonts w:ascii="Calibri" w:hAnsi="Calibri" w:eastAsia="Calibri" w:cs="Calibri"/>
          <w:color w:val="212121"/>
          <w:sz w:val="20"/>
          <w:szCs w:val="20"/>
        </w:rPr>
        <w:t>Section 6.5B: Implementation Transparency Standards</w:t>
      </w:r>
      <w:r>
        <w:rPr>
          <w:rFonts w:ascii="Calibri" w:hAnsi="Calibri"/>
          <w:color w:val="212121"/>
          <w:sz w:val="20"/>
        </w:rPr>
        <w:tab/>
      </w:r>
      <w:r>
        <w:rPr>
          <w:rFonts w:ascii="Calibri" w:hAnsi="Calibri" w:eastAsia="Calibri" w:cs="Calibri"/>
          <w:color w:val="212121"/>
          <w:sz w:val="20"/>
          <w:szCs w:val="20"/>
        </w:rPr>
        <w:t>193</w:t>
      </w:r>
    </w:p>
    <w:p>
      <w:pPr>
        <w:pStyle w:val="TOC2"/>
      </w:pPr>
      <w:r>
        <w:rPr>
          <w:rFonts w:ascii="Calibri" w:hAnsi="Calibri" w:eastAsia="Calibri" w:cs="Calibri"/>
          <w:color w:val="212121"/>
          <w:sz w:val="20"/>
          <w:szCs w:val="20"/>
        </w:rPr>
        <w:t>Section 6.5C: Coordinated Procurement Shield Mechanism</w:t>
      </w:r>
      <w:r>
        <w:rPr>
          <w:rFonts w:ascii="Calibri" w:hAnsi="Calibri"/>
          <w:color w:val="212121"/>
          <w:sz w:val="20"/>
        </w:rPr>
        <w:tab/>
      </w:r>
      <w:r>
        <w:rPr>
          <w:rFonts w:ascii="Calibri" w:hAnsi="Calibri" w:eastAsia="Calibri" w:cs="Calibri"/>
          <w:color w:val="212121"/>
          <w:sz w:val="20"/>
          <w:szCs w:val="20"/>
        </w:rPr>
        <w:t>193</w:t>
      </w:r>
    </w:p>
    <w:p>
      <w:pPr>
        <w:pStyle w:val="TOC2"/>
      </w:pPr>
      <w:r>
        <w:rPr>
          <w:rFonts w:ascii="Calibri" w:hAnsi="Calibri" w:eastAsia="Calibri" w:cs="Calibri"/>
          <w:color w:val="212121"/>
          <w:sz w:val="20"/>
          <w:szCs w:val="20"/>
        </w:rPr>
        <w:t>Section 6.6: Sub-National and Non-State Actor Protection</w:t>
      </w:r>
      <w:r>
        <w:rPr>
          <w:rFonts w:ascii="Calibri" w:hAnsi="Calibri"/>
          <w:color w:val="212121"/>
          <w:sz w:val="20"/>
        </w:rPr>
        <w:tab/>
      </w:r>
      <w:r>
        <w:rPr>
          <w:rFonts w:ascii="Calibri" w:hAnsi="Calibri" w:eastAsia="Calibri" w:cs="Calibri"/>
          <w:color w:val="212121"/>
          <w:sz w:val="20"/>
          <w:szCs w:val="20"/>
        </w:rPr>
        <w:t>194</w:t>
      </w:r>
    </w:p>
    <w:p>
      <w:pPr>
        <w:pStyle w:val="TOC2"/>
      </w:pPr>
      <w:r>
        <w:rPr>
          <w:rFonts w:ascii="Calibri" w:hAnsi="Calibri" w:eastAsia="Calibri" w:cs="Calibri"/>
          <w:color w:val="212121"/>
          <w:sz w:val="20"/>
          <w:szCs w:val="20"/>
        </w:rPr>
        <w:t>Section 6.6A: Non-State Actor and Platform Coordination Protocol [NEW: v12.1]</w:t>
      </w:r>
      <w:r>
        <w:rPr>
          <w:rFonts w:ascii="Calibri" w:hAnsi="Calibri"/>
          <w:color w:val="212121"/>
          <w:sz w:val="20"/>
        </w:rPr>
        <w:tab/>
      </w:r>
      <w:r>
        <w:rPr>
          <w:rFonts w:ascii="Calibri" w:hAnsi="Calibri" w:eastAsia="Calibri" w:cs="Calibri"/>
          <w:color w:val="212121"/>
          <w:sz w:val="20"/>
          <w:szCs w:val="20"/>
        </w:rPr>
        <w:t>195</w:t>
      </w:r>
    </w:p>
    <w:p>
      <w:pPr>
        <w:pStyle w:val="TOC2"/>
      </w:pPr>
      <w:r>
        <w:rPr>
          <w:rFonts w:ascii="Calibri" w:hAnsi="Calibri" w:eastAsia="Calibri" w:cs="Calibri"/>
          <w:color w:val="212121"/>
          <w:sz w:val="20"/>
          <w:szCs w:val="20"/>
        </w:rPr>
        <w:t>Section 6.7: Defection Cascade Circuit Breaker (DCCB)</w:t>
      </w:r>
      <w:r>
        <w:rPr>
          <w:rFonts w:ascii="Calibri" w:hAnsi="Calibri"/>
          <w:color w:val="212121"/>
          <w:sz w:val="20"/>
        </w:rPr>
        <w:tab/>
      </w:r>
      <w:r>
        <w:rPr>
          <w:rFonts w:ascii="Calibri" w:hAnsi="Calibri" w:eastAsia="Calibri" w:cs="Calibri"/>
          <w:color w:val="212121"/>
          <w:sz w:val="20"/>
          <w:szCs w:val="20"/>
        </w:rPr>
        <w:t>195</w:t>
      </w:r>
    </w:p>
    <w:p>
      <w:pPr>
        <w:pStyle w:val="TOC2"/>
      </w:pPr>
      <w:r>
        <w:rPr>
          <w:rFonts w:ascii="Calibri" w:hAnsi="Calibri" w:eastAsia="Calibri" w:cs="Calibri"/>
          <w:color w:val="212121"/>
          <w:sz w:val="20"/>
          <w:szCs w:val="20"/>
        </w:rPr>
        <w:t>Section 6.8: Coalition Fracture Reinsurance (CFR)</w:t>
      </w:r>
      <w:r>
        <w:rPr>
          <w:rFonts w:ascii="Calibri" w:hAnsi="Calibri"/>
          <w:color w:val="212121"/>
          <w:sz w:val="20"/>
        </w:rPr>
        <w:tab/>
      </w:r>
      <w:r>
        <w:rPr>
          <w:rFonts w:ascii="Calibri" w:hAnsi="Calibri" w:eastAsia="Calibri" w:cs="Calibri"/>
          <w:color w:val="212121"/>
          <w:sz w:val="20"/>
          <w:szCs w:val="20"/>
        </w:rPr>
        <w:t>196</w:t>
      </w:r>
    </w:p>
    <w:p>
      <w:pPr>
        <w:pStyle w:val="TOC2"/>
      </w:pPr>
      <w:r>
        <w:rPr>
          <w:rFonts w:ascii="Calibri" w:hAnsi="Calibri" w:eastAsia="Calibri" w:cs="Calibri"/>
          <w:color w:val="212121"/>
          <w:sz w:val="20"/>
          <w:szCs w:val="20"/>
        </w:rPr>
        <w:t>Section 6.9: Intra-Coalition Economic Discipline (Internal Adjudication Chamber)</w:t>
      </w:r>
      <w:r>
        <w:rPr>
          <w:rFonts w:ascii="Calibri" w:hAnsi="Calibri"/>
          <w:color w:val="212121"/>
          <w:sz w:val="20"/>
        </w:rPr>
        <w:tab/>
      </w:r>
      <w:r>
        <w:rPr>
          <w:rFonts w:ascii="Calibri" w:hAnsi="Calibri" w:eastAsia="Calibri" w:cs="Calibri"/>
          <w:color w:val="212121"/>
          <w:sz w:val="20"/>
          <w:szCs w:val="20"/>
        </w:rPr>
        <w:t>197</w:t>
      </w:r>
    </w:p>
    <w:p>
      <w:pPr>
        <w:pStyle w:val="TOC2"/>
      </w:pPr>
      <w:r>
        <w:rPr>
          <w:rFonts w:ascii="Calibri" w:hAnsi="Calibri" w:eastAsia="Calibri" w:cs="Calibri"/>
          <w:color w:val="212121"/>
          <w:sz w:val="20"/>
          <w:szCs w:val="20"/>
        </w:rPr>
        <w:t>Section 6.10: Protectionism Review Mechanism</w:t>
      </w:r>
      <w:r>
        <w:rPr>
          <w:rFonts w:ascii="Calibri" w:hAnsi="Calibri"/>
          <w:color w:val="212121"/>
          <w:sz w:val="20"/>
        </w:rPr>
        <w:tab/>
      </w:r>
      <w:r>
        <w:rPr>
          <w:rFonts w:ascii="Calibri" w:hAnsi="Calibri" w:eastAsia="Calibri" w:cs="Calibri"/>
          <w:color w:val="212121"/>
          <w:sz w:val="20"/>
          <w:szCs w:val="20"/>
        </w:rPr>
        <w:t>197</w:t>
      </w:r>
    </w:p>
    <w:p>
      <w:pPr>
        <w:pStyle w:val="TOC2"/>
      </w:pPr>
      <w:r>
        <w:rPr>
          <w:rFonts w:ascii="Calibri" w:hAnsi="Calibri" w:eastAsia="Calibri" w:cs="Calibri"/>
          <w:color w:val="212121"/>
          <w:sz w:val="20"/>
          <w:szCs w:val="20"/>
        </w:rPr>
        <w:t>Section 6.0A: Solidarity-First Anti-Fragmentation Principle [NEW: v9.9]</w:t>
      </w:r>
      <w:r>
        <w:rPr>
          <w:rFonts w:ascii="Calibri" w:hAnsi="Calibri"/>
          <w:color w:val="212121"/>
          <w:sz w:val="20"/>
        </w:rPr>
        <w:tab/>
      </w:r>
      <w:r>
        <w:rPr>
          <w:rFonts w:ascii="Calibri" w:hAnsi="Calibri" w:eastAsia="Calibri" w:cs="Calibri"/>
          <w:color w:val="212121"/>
          <w:sz w:val="20"/>
          <w:szCs w:val="20"/>
        </w:rPr>
        <w:t>198</w:t>
      </w:r>
    </w:p>
    <w:p>
      <w:pPr>
        <w:pStyle w:val="TOC2"/>
      </w:pPr>
      <w:r>
        <w:rPr>
          <w:rFonts w:ascii="Calibri" w:hAnsi="Calibri" w:eastAsia="Calibri" w:cs="Calibri"/>
          <w:color w:val="212121"/>
          <w:sz w:val="20"/>
          <w:szCs w:val="20"/>
        </w:rPr>
        <w:t>Section 6.0B: Temporary Deviation During Acute Domestic Stabilisation [NEW: v10.0]</w:t>
      </w:r>
      <w:r>
        <w:rPr>
          <w:rFonts w:ascii="Calibri" w:hAnsi="Calibri"/>
          <w:color w:val="212121"/>
          <w:sz w:val="20"/>
        </w:rPr>
        <w:tab/>
      </w:r>
      <w:r>
        <w:rPr>
          <w:rFonts w:ascii="Calibri" w:hAnsi="Calibri" w:eastAsia="Calibri" w:cs="Calibri"/>
          <w:color w:val="212121"/>
          <w:sz w:val="20"/>
          <w:szCs w:val="20"/>
        </w:rPr>
        <w:t>198</w:t>
      </w:r>
    </w:p>
    <w:p>
      <w:pPr>
        <w:pStyle w:val="TOC2"/>
      </w:pPr>
      <w:r>
        <w:rPr>
          <w:rFonts w:ascii="Calibri" w:hAnsi="Calibri" w:eastAsia="Calibri" w:cs="Calibri"/>
          <w:color w:val="212121"/>
          <w:sz w:val="20"/>
          <w:szCs w:val="20"/>
        </w:rPr>
        <w:t>Section 6.9A: Expedited Intra-Coalition Dispute Resolution During Active Cases [NEW: v9.8 Structural Fix]</w:t>
      </w:r>
      <w:r>
        <w:rPr>
          <w:rFonts w:ascii="Calibri" w:hAnsi="Calibri"/>
          <w:color w:val="212121"/>
          <w:sz w:val="20"/>
        </w:rPr>
        <w:tab/>
      </w:r>
      <w:r>
        <w:rPr>
          <w:rFonts w:ascii="Calibri" w:hAnsi="Calibri" w:eastAsia="Calibri" w:cs="Calibri"/>
          <w:color w:val="212121"/>
          <w:sz w:val="20"/>
          <w:szCs w:val="20"/>
        </w:rPr>
        <w:t>199</w:t>
      </w:r>
    </w:p>
    <w:p>
      <w:pPr>
        <w:pStyle w:val="TOC2"/>
      </w:pPr>
      <w:r>
        <w:rPr>
          <w:rFonts w:ascii="Calibri" w:hAnsi="Calibri" w:eastAsia="Calibri" w:cs="Calibri"/>
          <w:color w:val="212121"/>
          <w:sz w:val="20"/>
          <w:szCs w:val="20"/>
        </w:rPr>
        <w:t>Section 6.11: Member Misconduct and Immediate Suspension [NEW: v9.8 Structural Fix]</w:t>
      </w:r>
      <w:r>
        <w:rPr>
          <w:rFonts w:ascii="Calibri" w:hAnsi="Calibri"/>
          <w:color w:val="212121"/>
          <w:sz w:val="20"/>
        </w:rPr>
        <w:tab/>
      </w:r>
      <w:r>
        <w:rPr>
          <w:rFonts w:ascii="Calibri" w:hAnsi="Calibri" w:eastAsia="Calibri" w:cs="Calibri"/>
          <w:color w:val="212121"/>
          <w:sz w:val="20"/>
          <w:szCs w:val="20"/>
        </w:rPr>
        <w:t>200</w:t>
      </w:r>
    </w:p>
    <w:p>
      <w:pPr>
        <w:pStyle w:val="TOC2"/>
      </w:pPr>
      <w:r>
        <w:rPr>
          <w:rFonts w:ascii="Calibri" w:hAnsi="Calibri" w:eastAsia="Calibri" w:cs="Calibri"/>
          <w:color w:val="212121"/>
          <w:sz w:val="20"/>
          <w:szCs w:val="20"/>
        </w:rPr>
        <w:t>Section 6.12: Misuse Liability and Bad-Faith Claims [NEW: v9.8A Adoption Readiness]</w:t>
      </w:r>
      <w:r>
        <w:rPr>
          <w:rFonts w:ascii="Calibri" w:hAnsi="Calibri"/>
          <w:color w:val="212121"/>
          <w:sz w:val="20"/>
        </w:rPr>
        <w:tab/>
      </w:r>
      <w:r>
        <w:rPr>
          <w:rFonts w:ascii="Calibri" w:hAnsi="Calibri" w:eastAsia="Calibri" w:cs="Calibri"/>
          <w:color w:val="212121"/>
          <w:sz w:val="20"/>
          <w:szCs w:val="20"/>
        </w:rPr>
        <w:t>203</w:t>
      </w:r>
    </w:p>
    <w:p>
      <w:pPr>
        <w:pStyle w:val="TOC2"/>
      </w:pPr>
      <w:r>
        <w:rPr>
          <w:rFonts w:ascii="Calibri" w:hAnsi="Calibri" w:eastAsia="Calibri" w:cs="Calibri"/>
          <w:color w:val="212121"/>
          <w:sz w:val="20"/>
          <w:szCs w:val="20"/>
        </w:rPr>
        <w:t>Section 6.12A: Coalition Defection Pre-Positioning Protocol [NEW: v12.1]</w:t>
      </w:r>
      <w:r>
        <w:rPr>
          <w:rFonts w:ascii="Calibri" w:hAnsi="Calibri"/>
          <w:color w:val="212121"/>
          <w:sz w:val="20"/>
        </w:rPr>
        <w:tab/>
      </w:r>
      <w:r>
        <w:rPr>
          <w:rFonts w:ascii="Calibri" w:hAnsi="Calibri" w:eastAsia="Calibri" w:cs="Calibri"/>
          <w:color w:val="212121"/>
          <w:sz w:val="20"/>
          <w:szCs w:val="20"/>
        </w:rPr>
        <w:t>203</w:t>
      </w:r>
    </w:p>
    <w:p>
      <w:pPr>
        <w:pStyle w:val="TOC2"/>
      </w:pPr>
      <w:r>
        <w:rPr>
          <w:rFonts w:ascii="Calibri" w:hAnsi="Calibri" w:eastAsia="Calibri" w:cs="Calibri"/>
          <w:color w:val="212121"/>
          <w:sz w:val="20"/>
          <w:szCs w:val="20"/>
        </w:rPr>
        <w:t>Section 6.12B: Bilateral Offer Consultation and Pre-Authorised Rejection Protocol [NEW: v12.1]</w:t>
      </w:r>
      <w:r>
        <w:rPr>
          <w:rFonts w:ascii="Calibri" w:hAnsi="Calibri"/>
          <w:color w:val="212121"/>
          <w:sz w:val="20"/>
        </w:rPr>
        <w:tab/>
      </w:r>
      <w:r>
        <w:rPr>
          <w:rFonts w:ascii="Calibri" w:hAnsi="Calibri" w:eastAsia="Calibri" w:cs="Calibri"/>
          <w:color w:val="212121"/>
          <w:sz w:val="20"/>
          <w:szCs w:val="20"/>
        </w:rPr>
        <w:t>203</w:t>
      </w:r>
    </w:p>
    <w:p>
      <w:pPr>
        <w:pStyle w:val="TOC2"/>
      </w:pPr>
      <w:r>
        <w:rPr>
          <w:rFonts w:ascii="Calibri" w:hAnsi="Calibri" w:eastAsia="Calibri" w:cs="Calibri"/>
          <w:color w:val="212121"/>
          <w:sz w:val="20"/>
          <w:szCs w:val="20"/>
        </w:rPr>
        <w:t>Section 6.12C: Coalition Cohesion Stress Testing Mandate [NEW: v12.1]</w:t>
      </w:r>
      <w:r>
        <w:rPr>
          <w:rFonts w:ascii="Calibri" w:hAnsi="Calibri"/>
          <w:color w:val="212121"/>
          <w:sz w:val="20"/>
        </w:rPr>
        <w:tab/>
      </w:r>
      <w:r>
        <w:rPr>
          <w:rFonts w:ascii="Calibri" w:hAnsi="Calibri" w:eastAsia="Calibri" w:cs="Calibri"/>
          <w:color w:val="212121"/>
          <w:sz w:val="20"/>
          <w:szCs w:val="20"/>
        </w:rPr>
        <w:t>204</w:t>
      </w:r>
    </w:p>
    <w:p>
      <w:pPr>
        <w:pStyle w:val="TOC2"/>
      </w:pPr>
      <w:r>
        <w:rPr>
          <w:rFonts w:ascii="Calibri" w:hAnsi="Calibri" w:eastAsia="Calibri" w:cs="Calibri"/>
          <w:color w:val="212121"/>
          <w:sz w:val="20"/>
          <w:szCs w:val="20"/>
        </w:rPr>
        <w:t>Section 6.12D: Bilateral Exemption Offer Detection and Disclosure Protocol [NEW: v12.1]</w:t>
      </w:r>
      <w:r>
        <w:rPr>
          <w:rFonts w:ascii="Calibri" w:hAnsi="Calibri"/>
          <w:color w:val="212121"/>
          <w:sz w:val="20"/>
        </w:rPr>
        <w:tab/>
      </w:r>
      <w:r>
        <w:rPr>
          <w:rFonts w:ascii="Calibri" w:hAnsi="Calibri" w:eastAsia="Calibri" w:cs="Calibri"/>
          <w:color w:val="212121"/>
          <w:sz w:val="20"/>
          <w:szCs w:val="20"/>
        </w:rPr>
        <w:t>204</w:t>
      </w:r>
    </w:p>
    <w:p>
      <w:pPr>
        <w:pStyle w:val="TOC2"/>
      </w:pPr>
      <w:r>
        <w:rPr>
          <w:rFonts w:ascii="Calibri" w:hAnsi="Calibri" w:eastAsia="Calibri" w:cs="Calibri"/>
          <w:color w:val="212121"/>
          <w:sz w:val="20"/>
          <w:szCs w:val="20"/>
        </w:rPr>
        <w:t>Section 6.12E: Parallel Negotiations Disclosure Requirement [NEW: v12.1]</w:t>
      </w:r>
      <w:r>
        <w:rPr>
          <w:rFonts w:ascii="Calibri" w:hAnsi="Calibri"/>
          <w:color w:val="212121"/>
          <w:sz w:val="20"/>
        </w:rPr>
        <w:tab/>
      </w:r>
      <w:r>
        <w:rPr>
          <w:rFonts w:ascii="Calibri" w:hAnsi="Calibri" w:eastAsia="Calibri" w:cs="Calibri"/>
          <w:color w:val="212121"/>
          <w:sz w:val="20"/>
          <w:szCs w:val="20"/>
        </w:rPr>
        <w:t>204</w:t>
      </w:r>
    </w:p>
    <w:p>
      <w:pPr>
        <w:pStyle w:val="TOC2"/>
      </w:pPr>
      <w:r>
        <w:rPr>
          <w:rFonts w:ascii="Calibri" w:hAnsi="Calibri" w:eastAsia="Calibri" w:cs="Calibri"/>
          <w:color w:val="212121"/>
          <w:sz w:val="20"/>
          <w:szCs w:val="20"/>
        </w:rPr>
        <w:t>Section 6.12F: Step-Back/Earn-Back Anti-Fragmentation Integration [NEW: v13.0]</w:t>
      </w:r>
      <w:r>
        <w:rPr>
          <w:rFonts w:ascii="Calibri" w:hAnsi="Calibri"/>
          <w:color w:val="212121"/>
          <w:sz w:val="20"/>
        </w:rPr>
        <w:tab/>
      </w:r>
      <w:r>
        <w:rPr>
          <w:rFonts w:ascii="Calibri" w:hAnsi="Calibri" w:eastAsia="Calibri" w:cs="Calibri"/>
          <w:color w:val="212121"/>
          <w:sz w:val="20"/>
          <w:szCs w:val="20"/>
        </w:rPr>
        <w:t>205</w:t>
      </w:r>
    </w:p>
    <w:p>
      <w:pPr>
        <w:pStyle w:val="TOC2"/>
      </w:pPr>
      <w:r>
        <w:rPr>
          <w:rFonts w:ascii="Calibri" w:hAnsi="Calibri" w:eastAsia="Calibri" w:cs="Calibri"/>
          <w:color w:val="212121"/>
          <w:sz w:val="20"/>
          <w:szCs w:val="20"/>
        </w:rPr>
        <w:t>Section 6.12G: Bilateral Deal Insurance and Solidarity Counter-Offer [NEW: v15.0]</w:t>
      </w:r>
      <w:r>
        <w:rPr>
          <w:rFonts w:ascii="Calibri" w:hAnsi="Calibri"/>
          <w:color w:val="212121"/>
          <w:sz w:val="20"/>
        </w:rPr>
        <w:tab/>
      </w:r>
      <w:r>
        <w:rPr>
          <w:rFonts w:ascii="Calibri" w:hAnsi="Calibri" w:eastAsia="Calibri" w:cs="Calibri"/>
          <w:color w:val="212121"/>
          <w:sz w:val="20"/>
          <w:szCs w:val="20"/>
        </w:rPr>
        <w:t>205</w:t>
      </w:r>
    </w:p>
    <w:p>
      <w:pPr>
        <w:pStyle w:val="TOC2"/>
      </w:pPr>
      <w:r>
        <w:rPr>
          <w:rFonts w:ascii="Calibri" w:hAnsi="Calibri" w:eastAsia="Calibri" w:cs="Calibri"/>
          <w:color w:val="212121"/>
          <w:sz w:val="20"/>
          <w:szCs w:val="20"/>
        </w:rPr>
        <w:t>Section 6.12H: Cohesion Multiplier Effect [NEW: v15.0]</w:t>
      </w:r>
      <w:r>
        <w:rPr>
          <w:rFonts w:ascii="Calibri" w:hAnsi="Calibri"/>
          <w:color w:val="212121"/>
          <w:sz w:val="20"/>
        </w:rPr>
        <w:tab/>
      </w:r>
      <w:r>
        <w:rPr>
          <w:rFonts w:ascii="Calibri" w:hAnsi="Calibri" w:eastAsia="Calibri" w:cs="Calibri"/>
          <w:color w:val="212121"/>
          <w:sz w:val="20"/>
          <w:szCs w:val="20"/>
        </w:rPr>
        <w:t>206</w:t>
      </w:r>
    </w:p>
    <w:p>
      <w:pPr>
        <w:pStyle w:val="TOC2"/>
      </w:pPr>
      <w:r>
        <w:rPr>
          <w:rFonts w:ascii="Calibri" w:hAnsi="Calibri" w:eastAsia="Calibri" w:cs="Calibri"/>
          <w:color w:val="212121"/>
          <w:sz w:val="20"/>
          <w:szCs w:val="20"/>
        </w:rPr>
        <w:t>Section 6.12I: Abuse of Process Ratchet [NEW: v15.0]</w:t>
      </w:r>
      <w:r>
        <w:rPr>
          <w:rFonts w:ascii="Calibri" w:hAnsi="Calibri"/>
          <w:color w:val="212121"/>
          <w:sz w:val="20"/>
        </w:rPr>
        <w:tab/>
      </w:r>
      <w:r>
        <w:rPr>
          <w:rFonts w:ascii="Calibri" w:hAnsi="Calibri" w:eastAsia="Calibri" w:cs="Calibri"/>
          <w:color w:val="212121"/>
          <w:sz w:val="20"/>
          <w:szCs w:val="20"/>
        </w:rPr>
        <w:t>206</w:t>
      </w:r>
    </w:p>
    <w:p>
      <w:pPr>
        <w:pStyle w:val="TOC2"/>
      </w:pPr>
      <w:r>
        <w:rPr>
          <w:rFonts w:ascii="Calibri" w:hAnsi="Calibri" w:eastAsia="Calibri" w:cs="Calibri"/>
          <w:color w:val="212121"/>
          <w:sz w:val="20"/>
          <w:szCs w:val="20"/>
        </w:rPr>
        <w:t>Section 6.12J: Solidarity Protection Protocol [NEW: v15.0]</w:t>
      </w:r>
      <w:r>
        <w:rPr>
          <w:rFonts w:ascii="Calibri" w:hAnsi="Calibri"/>
          <w:color w:val="212121"/>
          <w:sz w:val="20"/>
        </w:rPr>
        <w:tab/>
      </w:r>
      <w:r>
        <w:rPr>
          <w:rFonts w:ascii="Calibri" w:hAnsi="Calibri" w:eastAsia="Calibri" w:cs="Calibri"/>
          <w:color w:val="212121"/>
          <w:sz w:val="20"/>
          <w:szCs w:val="20"/>
        </w:rPr>
        <w:t>207</w:t>
      </w:r>
    </w:p>
    <w:p>
      <w:pPr>
        <w:pStyle w:val="TOC2"/>
      </w:pPr>
      <w:r>
        <w:rPr>
          <w:rFonts w:ascii="Calibri" w:hAnsi="Calibri" w:eastAsia="Calibri" w:cs="Calibri"/>
          <w:color w:val="212121"/>
          <w:sz w:val="20"/>
          <w:szCs w:val="20"/>
        </w:rPr>
        <w:t>Section 6.12K: Anti-Sabotage and Poison Pill Amendment Protocol [NEW: v15.0]</w:t>
      </w:r>
      <w:r>
        <w:rPr>
          <w:rFonts w:ascii="Calibri" w:hAnsi="Calibri"/>
          <w:color w:val="212121"/>
          <w:sz w:val="20"/>
        </w:rPr>
        <w:tab/>
      </w:r>
      <w:r>
        <w:rPr>
          <w:rFonts w:ascii="Calibri" w:hAnsi="Calibri" w:eastAsia="Calibri" w:cs="Calibri"/>
          <w:color w:val="212121"/>
          <w:sz w:val="20"/>
          <w:szCs w:val="20"/>
        </w:rPr>
        <w:t>207</w:t>
      </w:r>
    </w:p>
    <w:p>
      <w:pPr>
        <w:pStyle w:val="TOC1"/>
      </w:pPr>
      <w:r>
        <w:rPr>
          <w:rFonts w:ascii="Calibri" w:hAnsi="Calibri" w:eastAsia="Calibri" w:cs="Calibri"/>
          <w:b/>
          <w:color w:val="37474F"/>
          <w:sz w:val="21"/>
          <w:szCs w:val="21"/>
        </w:rPr>
        <w:t>ARTICLE VII: STRATEGIC COUNTER-COERCION ESCALATION</w:t>
      </w:r>
      <w:r>
        <w:rPr>
          <w:rFonts w:ascii="Calibri" w:hAnsi="Calibri"/>
          <w:b/>
          <w:color w:val="37474F"/>
          <w:sz w:val="21"/>
        </w:rPr>
        <w:tab/>
      </w:r>
      <w:r>
        <w:rPr>
          <w:rFonts w:ascii="Calibri" w:hAnsi="Calibri" w:eastAsia="Calibri" w:cs="Calibri"/>
          <w:b/>
          <w:color w:val="37474F"/>
          <w:sz w:val="21"/>
          <w:szCs w:val="21"/>
        </w:rPr>
        <w:t>209</w:t>
      </w:r>
    </w:p>
    <w:p>
      <w:pPr>
        <w:pStyle w:val="TOC2"/>
      </w:pPr>
      <w:r>
        <w:rPr>
          <w:rFonts w:ascii="Calibri" w:hAnsi="Calibri" w:eastAsia="Calibri" w:cs="Calibri"/>
          <w:color w:val="212121"/>
          <w:sz w:val="20"/>
          <w:szCs w:val="20"/>
        </w:rPr>
        <w:t>Section 7.1: Horizontal Escalation Doctrine</w:t>
      </w:r>
      <w:r>
        <w:rPr>
          <w:rFonts w:ascii="Calibri" w:hAnsi="Calibri"/>
          <w:color w:val="212121"/>
          <w:sz w:val="20"/>
        </w:rPr>
        <w:tab/>
      </w:r>
      <w:r>
        <w:rPr>
          <w:rFonts w:ascii="Calibri" w:hAnsi="Calibri" w:eastAsia="Calibri" w:cs="Calibri"/>
          <w:color w:val="212121"/>
          <w:sz w:val="20"/>
          <w:szCs w:val="20"/>
        </w:rPr>
        <w:t>209</w:t>
      </w:r>
    </w:p>
    <w:p>
      <w:pPr>
        <w:pStyle w:val="TOC2"/>
      </w:pPr>
      <w:r>
        <w:rPr>
          <w:rFonts w:ascii="Calibri" w:hAnsi="Calibri" w:eastAsia="Calibri" w:cs="Calibri"/>
          <w:color w:val="212121"/>
          <w:sz w:val="20"/>
          <w:szCs w:val="20"/>
        </w:rPr>
        <w:t>Section 7.1A: Reciprocal Regulatory Equivalence Doctrine [NEW: v12.1]</w:t>
      </w:r>
      <w:r>
        <w:rPr>
          <w:rFonts w:ascii="Calibri" w:hAnsi="Calibri"/>
          <w:color w:val="212121"/>
          <w:sz w:val="20"/>
        </w:rPr>
        <w:tab/>
      </w:r>
      <w:r>
        <w:rPr>
          <w:rFonts w:ascii="Calibri" w:hAnsi="Calibri" w:eastAsia="Calibri" w:cs="Calibri"/>
          <w:color w:val="212121"/>
          <w:sz w:val="20"/>
          <w:szCs w:val="20"/>
        </w:rPr>
        <w:t>210</w:t>
      </w:r>
    </w:p>
    <w:p>
      <w:pPr>
        <w:pStyle w:val="TOC2"/>
      </w:pPr>
      <w:r>
        <w:rPr>
          <w:rFonts w:ascii="Calibri" w:hAnsi="Calibri" w:eastAsia="Calibri" w:cs="Calibri"/>
          <w:color w:val="212121"/>
          <w:sz w:val="20"/>
          <w:szCs w:val="20"/>
        </w:rPr>
        <w:t>Section 7.2: Cross-Domain Stabilisation Measure Menu</w:t>
      </w:r>
      <w:r>
        <w:rPr>
          <w:rFonts w:ascii="Calibri" w:hAnsi="Calibri"/>
          <w:color w:val="212121"/>
          <w:sz w:val="20"/>
        </w:rPr>
        <w:tab/>
      </w:r>
      <w:r>
        <w:rPr>
          <w:rFonts w:ascii="Calibri" w:hAnsi="Calibri" w:eastAsia="Calibri" w:cs="Calibri"/>
          <w:color w:val="212121"/>
          <w:sz w:val="20"/>
          <w:szCs w:val="20"/>
        </w:rPr>
        <w:t>210</w:t>
      </w:r>
    </w:p>
    <w:p>
      <w:pPr>
        <w:pStyle w:val="TOC2"/>
      </w:pPr>
      <w:r>
        <w:rPr>
          <w:rFonts w:ascii="Calibri" w:hAnsi="Calibri" w:eastAsia="Calibri" w:cs="Calibri"/>
          <w:color w:val="212121"/>
          <w:sz w:val="20"/>
          <w:szCs w:val="20"/>
        </w:rPr>
        <w:t>Section 7.3: Escalation Cost Modelling</w:t>
      </w:r>
      <w:r>
        <w:rPr>
          <w:rFonts w:ascii="Calibri" w:hAnsi="Calibri"/>
          <w:color w:val="212121"/>
          <w:sz w:val="20"/>
        </w:rPr>
        <w:tab/>
      </w:r>
      <w:r>
        <w:rPr>
          <w:rFonts w:ascii="Calibri" w:hAnsi="Calibri" w:eastAsia="Calibri" w:cs="Calibri"/>
          <w:color w:val="212121"/>
          <w:sz w:val="20"/>
          <w:szCs w:val="20"/>
        </w:rPr>
        <w:t>210</w:t>
      </w:r>
    </w:p>
    <w:p>
      <w:pPr>
        <w:pStyle w:val="TOC2"/>
      </w:pPr>
      <w:r>
        <w:rPr>
          <w:rFonts w:ascii="Calibri" w:hAnsi="Calibri" w:eastAsia="Calibri" w:cs="Calibri"/>
          <w:color w:val="212121"/>
          <w:sz w:val="20"/>
          <w:szCs w:val="20"/>
        </w:rPr>
        <w:t>Section 7.4: Security Alliance Firewall</w:t>
      </w:r>
      <w:r>
        <w:rPr>
          <w:rFonts w:ascii="Calibri" w:hAnsi="Calibri"/>
          <w:color w:val="212121"/>
          <w:sz w:val="20"/>
        </w:rPr>
        <w:tab/>
      </w:r>
      <w:r>
        <w:rPr>
          <w:rFonts w:ascii="Calibri" w:hAnsi="Calibri" w:eastAsia="Calibri" w:cs="Calibri"/>
          <w:color w:val="212121"/>
          <w:sz w:val="20"/>
          <w:szCs w:val="20"/>
        </w:rPr>
        <w:t>211</w:t>
      </w:r>
    </w:p>
    <w:p>
      <w:pPr>
        <w:pStyle w:val="TOC2"/>
      </w:pPr>
      <w:r>
        <w:rPr>
          <w:rFonts w:ascii="Calibri" w:hAnsi="Calibri" w:eastAsia="Calibri" w:cs="Calibri"/>
          <w:color w:val="212121"/>
          <w:sz w:val="20"/>
          <w:szCs w:val="20"/>
        </w:rPr>
        <w:t>Section 7.5: Strategic Stalemate Resolution</w:t>
      </w:r>
      <w:r>
        <w:rPr>
          <w:rFonts w:ascii="Calibri" w:hAnsi="Calibri"/>
          <w:color w:val="212121"/>
          <w:sz w:val="20"/>
        </w:rPr>
        <w:tab/>
      </w:r>
      <w:r>
        <w:rPr>
          <w:rFonts w:ascii="Calibri" w:hAnsi="Calibri" w:eastAsia="Calibri" w:cs="Calibri"/>
          <w:color w:val="212121"/>
          <w:sz w:val="20"/>
          <w:szCs w:val="20"/>
        </w:rPr>
        <w:t>211</w:t>
      </w:r>
    </w:p>
    <w:p>
      <w:pPr>
        <w:pStyle w:val="TOC2"/>
      </w:pPr>
      <w:r>
        <w:rPr>
          <w:rFonts w:ascii="Calibri" w:hAnsi="Calibri" w:eastAsia="Calibri" w:cs="Calibri"/>
          <w:color w:val="212121"/>
          <w:sz w:val="20"/>
          <w:szCs w:val="20"/>
        </w:rPr>
        <w:t>Section 7.6: Unilateral De-escalation Exit Ramp [NEW: v12.1]</w:t>
      </w:r>
      <w:r>
        <w:rPr>
          <w:rFonts w:ascii="Calibri" w:hAnsi="Calibri"/>
          <w:color w:val="212121"/>
          <w:sz w:val="20"/>
        </w:rPr>
        <w:tab/>
      </w:r>
      <w:r>
        <w:rPr>
          <w:rFonts w:ascii="Calibri" w:hAnsi="Calibri" w:eastAsia="Calibri" w:cs="Calibri"/>
          <w:color w:val="212121"/>
          <w:sz w:val="20"/>
          <w:szCs w:val="20"/>
        </w:rPr>
        <w:t>212</w:t>
      </w:r>
    </w:p>
    <w:p>
      <w:pPr>
        <w:pStyle w:val="TOC1"/>
      </w:pPr>
      <w:r>
        <w:rPr>
          <w:rFonts w:ascii="Calibri" w:hAnsi="Calibri" w:eastAsia="Calibri" w:cs="Calibri"/>
          <w:b/>
          <w:color w:val="37474F"/>
          <w:sz w:val="21"/>
          <w:szCs w:val="21"/>
        </w:rPr>
        <w:t>ARTICLE VIII: MUTUAL ECONOMIC SECURITY FUND</w:t>
      </w:r>
      <w:r>
        <w:rPr>
          <w:rFonts w:ascii="Calibri" w:hAnsi="Calibri"/>
          <w:b/>
          <w:color w:val="37474F"/>
          <w:sz w:val="21"/>
        </w:rPr>
        <w:tab/>
      </w:r>
      <w:r>
        <w:rPr>
          <w:rFonts w:ascii="Calibri" w:hAnsi="Calibri" w:eastAsia="Calibri" w:cs="Calibri"/>
          <w:b/>
          <w:color w:val="37474F"/>
          <w:sz w:val="21"/>
          <w:szCs w:val="21"/>
        </w:rPr>
        <w:t>213</w:t>
      </w:r>
    </w:p>
    <w:p>
      <w:pPr>
        <w:pStyle w:val="TOC2"/>
      </w:pPr>
      <w:r>
        <w:rPr>
          <w:rFonts w:ascii="Calibri" w:hAnsi="Calibri" w:eastAsia="Calibri" w:cs="Calibri"/>
          <w:color w:val="212121"/>
          <w:sz w:val="20"/>
          <w:szCs w:val="20"/>
        </w:rPr>
        <w:t>Section 8.1: Founding Contribution Band</w:t>
      </w:r>
      <w:r>
        <w:rPr>
          <w:rFonts w:ascii="Calibri" w:hAnsi="Calibri"/>
          <w:color w:val="212121"/>
          <w:sz w:val="20"/>
        </w:rPr>
        <w:tab/>
      </w:r>
      <w:r>
        <w:rPr>
          <w:rFonts w:ascii="Calibri" w:hAnsi="Calibri" w:eastAsia="Calibri" w:cs="Calibri"/>
          <w:color w:val="212121"/>
          <w:sz w:val="20"/>
          <w:szCs w:val="20"/>
        </w:rPr>
        <w:t>214</w:t>
      </w:r>
    </w:p>
    <w:p>
      <w:pPr>
        <w:pStyle w:val="TOC2"/>
      </w:pPr>
      <w:r>
        <w:rPr>
          <w:rFonts w:ascii="Calibri" w:hAnsi="Calibri" w:eastAsia="Calibri" w:cs="Calibri"/>
          <w:color w:val="212121"/>
          <w:sz w:val="20"/>
          <w:szCs w:val="20"/>
        </w:rPr>
        <w:t>Section 8.2: Contribution Formula</w:t>
      </w:r>
      <w:r>
        <w:rPr>
          <w:rFonts w:ascii="Calibri" w:hAnsi="Calibri"/>
          <w:color w:val="212121"/>
          <w:sz w:val="20"/>
        </w:rPr>
        <w:tab/>
      </w:r>
      <w:r>
        <w:rPr>
          <w:rFonts w:ascii="Calibri" w:hAnsi="Calibri" w:eastAsia="Calibri" w:cs="Calibri"/>
          <w:color w:val="212121"/>
          <w:sz w:val="20"/>
          <w:szCs w:val="20"/>
        </w:rPr>
        <w:t>215</w:t>
      </w:r>
    </w:p>
    <w:p>
      <w:pPr>
        <w:pStyle w:val="TOC2"/>
      </w:pPr>
      <w:r>
        <w:rPr>
          <w:rFonts w:ascii="Calibri" w:hAnsi="Calibri" w:eastAsia="Calibri" w:cs="Calibri"/>
          <w:color w:val="212121"/>
          <w:sz w:val="20"/>
          <w:szCs w:val="20"/>
        </w:rPr>
        <w:t>Section 8.3: Eligible Uses</w:t>
      </w:r>
      <w:r>
        <w:rPr>
          <w:rFonts w:ascii="Calibri" w:hAnsi="Calibri"/>
          <w:color w:val="212121"/>
          <w:sz w:val="20"/>
        </w:rPr>
        <w:tab/>
      </w:r>
      <w:r>
        <w:rPr>
          <w:rFonts w:ascii="Calibri" w:hAnsi="Calibri" w:eastAsia="Calibri" w:cs="Calibri"/>
          <w:color w:val="212121"/>
          <w:sz w:val="20"/>
          <w:szCs w:val="20"/>
        </w:rPr>
        <w:t>216</w:t>
      </w:r>
    </w:p>
    <w:p>
      <w:pPr>
        <w:pStyle w:val="TOC2"/>
      </w:pPr>
      <w:r>
        <w:rPr>
          <w:rFonts w:ascii="Calibri" w:hAnsi="Calibri" w:eastAsia="Calibri" w:cs="Calibri"/>
          <w:color w:val="212121"/>
          <w:sz w:val="20"/>
          <w:szCs w:val="20"/>
        </w:rPr>
        <w:t>Section 8.3A: Micro-Exercise Accountability</w:t>
      </w:r>
      <w:r>
        <w:rPr>
          <w:rFonts w:ascii="Calibri" w:hAnsi="Calibri"/>
          <w:color w:val="212121"/>
          <w:sz w:val="20"/>
        </w:rPr>
        <w:tab/>
      </w:r>
      <w:r>
        <w:rPr>
          <w:rFonts w:ascii="Calibri" w:hAnsi="Calibri" w:eastAsia="Calibri" w:cs="Calibri"/>
          <w:color w:val="212121"/>
          <w:sz w:val="20"/>
          <w:szCs w:val="20"/>
        </w:rPr>
        <w:t>217</w:t>
      </w:r>
    </w:p>
    <w:p>
      <w:pPr>
        <w:pStyle w:val="TOC2"/>
      </w:pPr>
      <w:r>
        <w:rPr>
          <w:rFonts w:ascii="Calibri" w:hAnsi="Calibri" w:eastAsia="Calibri" w:cs="Calibri"/>
          <w:color w:val="212121"/>
          <w:sz w:val="20"/>
          <w:szCs w:val="20"/>
        </w:rPr>
        <w:t>Section 8.4: Transparent Burden-Sharing Formula</w:t>
      </w:r>
      <w:r>
        <w:rPr>
          <w:rFonts w:ascii="Calibri" w:hAnsi="Calibri"/>
          <w:color w:val="212121"/>
          <w:sz w:val="20"/>
        </w:rPr>
        <w:tab/>
      </w:r>
      <w:r>
        <w:rPr>
          <w:rFonts w:ascii="Calibri" w:hAnsi="Calibri" w:eastAsia="Calibri" w:cs="Calibri"/>
          <w:color w:val="212121"/>
          <w:sz w:val="20"/>
          <w:szCs w:val="20"/>
        </w:rPr>
        <w:t>217</w:t>
      </w:r>
    </w:p>
    <w:p>
      <w:pPr>
        <w:pStyle w:val="TOC2"/>
      </w:pPr>
      <w:r>
        <w:rPr>
          <w:rFonts w:ascii="Calibri" w:hAnsi="Calibri" w:eastAsia="Calibri" w:cs="Calibri"/>
          <w:color w:val="212121"/>
          <w:sz w:val="20"/>
          <w:szCs w:val="20"/>
        </w:rPr>
        <w:t>Section 8.4A: Existential Burden Cap (EBC)</w:t>
      </w:r>
      <w:r>
        <w:rPr>
          <w:rFonts w:ascii="Calibri" w:hAnsi="Calibri"/>
          <w:color w:val="212121"/>
          <w:sz w:val="20"/>
        </w:rPr>
        <w:tab/>
      </w:r>
      <w:r>
        <w:rPr>
          <w:rFonts w:ascii="Calibri" w:hAnsi="Calibri" w:eastAsia="Calibri" w:cs="Calibri"/>
          <w:color w:val="212121"/>
          <w:sz w:val="20"/>
          <w:szCs w:val="20"/>
        </w:rPr>
        <w:t>218</w:t>
      </w:r>
    </w:p>
    <w:p>
      <w:pPr>
        <w:pStyle w:val="TOC2"/>
      </w:pPr>
      <w:r>
        <w:rPr>
          <w:rFonts w:ascii="Calibri" w:hAnsi="Calibri" w:eastAsia="Calibri" w:cs="Calibri"/>
          <w:color w:val="212121"/>
          <w:sz w:val="20"/>
          <w:szCs w:val="20"/>
        </w:rPr>
        <w:t>Section 8.4B: Systemic-Economy Asymmetry Adjustment (SAA)</w:t>
      </w:r>
      <w:r>
        <w:rPr>
          <w:rFonts w:ascii="Calibri" w:hAnsi="Calibri"/>
          <w:color w:val="212121"/>
          <w:sz w:val="20"/>
        </w:rPr>
        <w:tab/>
      </w:r>
      <w:r>
        <w:rPr>
          <w:rFonts w:ascii="Calibri" w:hAnsi="Calibri" w:eastAsia="Calibri" w:cs="Calibri"/>
          <w:color w:val="212121"/>
          <w:sz w:val="20"/>
          <w:szCs w:val="20"/>
        </w:rPr>
        <w:t>218</w:t>
      </w:r>
    </w:p>
    <w:p>
      <w:pPr>
        <w:pStyle w:val="TOC2"/>
      </w:pPr>
      <w:r>
        <w:rPr>
          <w:rFonts w:ascii="Calibri" w:hAnsi="Calibri" w:eastAsia="Calibri" w:cs="Calibri"/>
          <w:color w:val="212121"/>
          <w:sz w:val="20"/>
          <w:szCs w:val="20"/>
        </w:rPr>
        <w:t>Section 8.4C: Asymmetric Burden-Sharing with Visibility (ABSV)</w:t>
      </w:r>
      <w:r>
        <w:rPr>
          <w:rFonts w:ascii="Calibri" w:hAnsi="Calibri"/>
          <w:color w:val="212121"/>
          <w:sz w:val="20"/>
        </w:rPr>
        <w:tab/>
      </w:r>
      <w:r>
        <w:rPr>
          <w:rFonts w:ascii="Calibri" w:hAnsi="Calibri" w:eastAsia="Calibri" w:cs="Calibri"/>
          <w:color w:val="212121"/>
          <w:sz w:val="20"/>
          <w:szCs w:val="20"/>
        </w:rPr>
        <w:t>219</w:t>
      </w:r>
    </w:p>
    <w:p>
      <w:pPr>
        <w:pStyle w:val="TOC2"/>
      </w:pPr>
      <w:r>
        <w:rPr>
          <w:rFonts w:ascii="Calibri" w:hAnsi="Calibri" w:eastAsia="Calibri" w:cs="Calibri"/>
          <w:color w:val="212121"/>
          <w:sz w:val="20"/>
          <w:szCs w:val="20"/>
        </w:rPr>
        <w:t>Section 8.4C: Asymmetric Burden-Sharing with Visibility (ABSV)</w:t>
      </w:r>
      <w:r>
        <w:rPr>
          <w:rFonts w:ascii="Calibri" w:hAnsi="Calibri"/>
          <w:color w:val="212121"/>
          <w:sz w:val="20"/>
        </w:rPr>
        <w:tab/>
      </w:r>
      <w:r>
        <w:rPr>
          <w:rFonts w:ascii="Calibri" w:hAnsi="Calibri" w:eastAsia="Calibri" w:cs="Calibri"/>
          <w:color w:val="212121"/>
          <w:sz w:val="20"/>
          <w:szCs w:val="20"/>
        </w:rPr>
        <w:t>219</w:t>
      </w:r>
    </w:p>
    <w:p>
      <w:pPr>
        <w:pStyle w:val="TOC2"/>
      </w:pPr>
      <w:r>
        <w:rPr>
          <w:rFonts w:ascii="Calibri" w:hAnsi="Calibri" w:eastAsia="Calibri" w:cs="Calibri"/>
          <w:color w:val="212121"/>
          <w:sz w:val="20"/>
          <w:szCs w:val="20"/>
        </w:rPr>
        <w:t>Section 8.0A: Indicative Capitalisation and Funding Model [NEW: v9.8A Operational Accessibility]</w:t>
      </w:r>
      <w:r>
        <w:rPr>
          <w:rFonts w:ascii="Calibri" w:hAnsi="Calibri"/>
          <w:color w:val="212121"/>
          <w:sz w:val="20"/>
        </w:rPr>
        <w:tab/>
      </w:r>
      <w:r>
        <w:rPr>
          <w:rFonts w:ascii="Calibri" w:hAnsi="Calibri" w:eastAsia="Calibri" w:cs="Calibri"/>
          <w:color w:val="212121"/>
          <w:sz w:val="20"/>
          <w:szCs w:val="20"/>
        </w:rPr>
        <w:t>222</w:t>
      </w:r>
    </w:p>
    <w:p>
      <w:pPr>
        <w:pStyle w:val="TOC2"/>
      </w:pPr>
      <w:r>
        <w:rPr>
          <w:rFonts w:ascii="Calibri" w:hAnsi="Calibri" w:eastAsia="Calibri" w:cs="Calibri"/>
          <w:color w:val="212121"/>
          <w:sz w:val="20"/>
          <w:szCs w:val="20"/>
        </w:rPr>
        <w:t>Section 8.4A: Burden-Sharing Escalation Surcharge (BSES) [NEW: v9.8 Safe Addition]</w:t>
      </w:r>
      <w:r>
        <w:rPr>
          <w:rFonts w:ascii="Calibri" w:hAnsi="Calibri"/>
          <w:color w:val="212121"/>
          <w:sz w:val="20"/>
        </w:rPr>
        <w:tab/>
      </w:r>
      <w:r>
        <w:rPr>
          <w:rFonts w:ascii="Calibri" w:hAnsi="Calibri" w:eastAsia="Calibri" w:cs="Calibri"/>
          <w:color w:val="212121"/>
          <w:sz w:val="20"/>
          <w:szCs w:val="20"/>
        </w:rPr>
        <w:t>223</w:t>
      </w:r>
    </w:p>
    <w:p>
      <w:pPr>
        <w:pStyle w:val="TOC2"/>
      </w:pPr>
      <w:r>
        <w:rPr>
          <w:rFonts w:ascii="Calibri" w:hAnsi="Calibri" w:eastAsia="Calibri" w:cs="Calibri"/>
          <w:color w:val="212121"/>
          <w:sz w:val="20"/>
          <w:szCs w:val="20"/>
        </w:rPr>
        <w:t>Section 8.4D: Fund Solvency Safeguards and Emergency Capital Calls [NEW: v9.8 Structural Fix]</w:t>
      </w:r>
      <w:r>
        <w:rPr>
          <w:rFonts w:ascii="Calibri" w:hAnsi="Calibri"/>
          <w:color w:val="212121"/>
          <w:sz w:val="20"/>
        </w:rPr>
        <w:tab/>
      </w:r>
      <w:r>
        <w:rPr>
          <w:rFonts w:ascii="Calibri" w:hAnsi="Calibri" w:eastAsia="Calibri" w:cs="Calibri"/>
          <w:color w:val="212121"/>
          <w:sz w:val="20"/>
          <w:szCs w:val="20"/>
        </w:rPr>
        <w:t>224</w:t>
      </w:r>
    </w:p>
    <w:p>
      <w:pPr>
        <w:pStyle w:val="TOC2"/>
      </w:pPr>
      <w:r>
        <w:rPr>
          <w:rFonts w:ascii="Calibri" w:hAnsi="Calibri" w:eastAsia="Calibri" w:cs="Calibri"/>
          <w:color w:val="212121"/>
          <w:sz w:val="20"/>
          <w:szCs w:val="20"/>
        </w:rPr>
        <w:t>Section 8.4E: Multi-Crisis Stress Envelope [NEW: v9.8A Political Roadmap]</w:t>
      </w:r>
      <w:r>
        <w:rPr>
          <w:rFonts w:ascii="Calibri" w:hAnsi="Calibri"/>
          <w:color w:val="212121"/>
          <w:sz w:val="20"/>
        </w:rPr>
        <w:tab/>
      </w:r>
      <w:r>
        <w:rPr>
          <w:rFonts w:ascii="Calibri" w:hAnsi="Calibri" w:eastAsia="Calibri" w:cs="Calibri"/>
          <w:color w:val="212121"/>
          <w:sz w:val="20"/>
          <w:szCs w:val="20"/>
        </w:rPr>
        <w:t>224</w:t>
      </w:r>
    </w:p>
    <w:p>
      <w:pPr>
        <w:pStyle w:val="TOC2"/>
      </w:pPr>
      <w:r>
        <w:rPr>
          <w:rFonts w:ascii="Calibri" w:hAnsi="Calibri" w:eastAsia="Calibri" w:cs="Calibri"/>
          <w:color w:val="212121"/>
          <w:sz w:val="20"/>
          <w:szCs w:val="20"/>
        </w:rPr>
        <w:t>Section 8.1A: Small-State Resilience Reserve [NEW: v9.8A Small-State Protection]</w:t>
      </w:r>
      <w:r>
        <w:rPr>
          <w:rFonts w:ascii="Calibri" w:hAnsi="Calibri"/>
          <w:color w:val="212121"/>
          <w:sz w:val="20"/>
        </w:rPr>
        <w:tab/>
      </w:r>
      <w:r>
        <w:rPr>
          <w:rFonts w:ascii="Calibri" w:hAnsi="Calibri" w:eastAsia="Calibri" w:cs="Calibri"/>
          <w:color w:val="212121"/>
          <w:sz w:val="20"/>
          <w:szCs w:val="20"/>
        </w:rPr>
        <w:t>225</w:t>
      </w:r>
    </w:p>
    <w:p>
      <w:pPr>
        <w:pStyle w:val="TOC2"/>
      </w:pPr>
      <w:r>
        <w:rPr>
          <w:rFonts w:ascii="Calibri" w:hAnsi="Calibri" w:eastAsia="Calibri" w:cs="Calibri"/>
          <w:color w:val="212121"/>
          <w:sz w:val="20"/>
          <w:szCs w:val="20"/>
        </w:rPr>
        <w:t>Section 8.4F: Political Volatility Surcharge Shield [NEW: v12.1]</w:t>
      </w:r>
      <w:r>
        <w:rPr>
          <w:rFonts w:ascii="Calibri" w:hAnsi="Calibri"/>
          <w:color w:val="212121"/>
          <w:sz w:val="20"/>
        </w:rPr>
        <w:tab/>
      </w:r>
      <w:r>
        <w:rPr>
          <w:rFonts w:ascii="Calibri" w:hAnsi="Calibri" w:eastAsia="Calibri" w:cs="Calibri"/>
          <w:color w:val="212121"/>
          <w:sz w:val="20"/>
          <w:szCs w:val="20"/>
        </w:rPr>
        <w:t>225</w:t>
      </w:r>
    </w:p>
    <w:p>
      <w:pPr>
        <w:pStyle w:val="TOC2"/>
      </w:pPr>
      <w:r>
        <w:rPr>
          <w:rFonts w:ascii="Calibri" w:hAnsi="Calibri" w:eastAsia="Calibri" w:cs="Calibri"/>
          <w:color w:val="212121"/>
          <w:sz w:val="20"/>
          <w:szCs w:val="20"/>
        </w:rPr>
        <w:t>Section 8.9B: Vulnerable Coalition Window [NEW: v9.8A Small-State Protection]</w:t>
      </w:r>
      <w:r>
        <w:rPr>
          <w:rFonts w:ascii="Calibri" w:hAnsi="Calibri"/>
          <w:color w:val="212121"/>
          <w:sz w:val="20"/>
        </w:rPr>
        <w:tab/>
      </w:r>
      <w:r>
        <w:rPr>
          <w:rFonts w:ascii="Calibri" w:hAnsi="Calibri" w:eastAsia="Calibri" w:cs="Calibri"/>
          <w:color w:val="212121"/>
          <w:sz w:val="20"/>
          <w:szCs w:val="20"/>
        </w:rPr>
        <w:t>226</w:t>
      </w:r>
    </w:p>
    <w:p>
      <w:pPr>
        <w:pStyle w:val="TOC2"/>
      </w:pPr>
      <w:r>
        <w:rPr>
          <w:rFonts w:ascii="Calibri" w:hAnsi="Calibri" w:eastAsia="Calibri" w:cs="Calibri"/>
          <w:color w:val="212121"/>
          <w:sz w:val="20"/>
          <w:szCs w:val="20"/>
        </w:rPr>
        <w:t>Section 8.9C: Small-State Diversification Priority Scoring [NEW: v9.8A Small-State Protection]</w:t>
      </w:r>
      <w:r>
        <w:rPr>
          <w:rFonts w:ascii="Calibri" w:hAnsi="Calibri"/>
          <w:color w:val="212121"/>
          <w:sz w:val="20"/>
        </w:rPr>
        <w:tab/>
      </w:r>
      <w:r>
        <w:rPr>
          <w:rFonts w:ascii="Calibri" w:hAnsi="Calibri" w:eastAsia="Calibri" w:cs="Calibri"/>
          <w:color w:val="212121"/>
          <w:sz w:val="20"/>
          <w:szCs w:val="20"/>
        </w:rPr>
        <w:t>226</w:t>
      </w:r>
    </w:p>
    <w:p>
      <w:pPr>
        <w:pStyle w:val="TOC2"/>
      </w:pPr>
      <w:r>
        <w:rPr>
          <w:rFonts w:ascii="Calibri" w:hAnsi="Calibri" w:eastAsia="Calibri" w:cs="Calibri"/>
          <w:color w:val="212121"/>
          <w:sz w:val="20"/>
          <w:szCs w:val="20"/>
        </w:rPr>
        <w:t>Section 8.9D: First-Mover Protection Window [NEW: v9.8B]</w:t>
      </w:r>
      <w:r>
        <w:rPr>
          <w:rFonts w:ascii="Calibri" w:hAnsi="Calibri"/>
          <w:color w:val="212121"/>
          <w:sz w:val="20"/>
        </w:rPr>
        <w:tab/>
      </w:r>
      <w:r>
        <w:rPr>
          <w:rFonts w:ascii="Calibri" w:hAnsi="Calibri" w:eastAsia="Calibri" w:cs="Calibri"/>
          <w:color w:val="212121"/>
          <w:sz w:val="20"/>
          <w:szCs w:val="20"/>
        </w:rPr>
        <w:t>226</w:t>
      </w:r>
    </w:p>
    <w:p>
      <w:pPr>
        <w:pStyle w:val="TOC2"/>
      </w:pPr>
      <w:r>
        <w:rPr>
          <w:rFonts w:ascii="Calibri" w:hAnsi="Calibri" w:eastAsia="Calibri" w:cs="Calibri"/>
          <w:color w:val="212121"/>
          <w:sz w:val="20"/>
          <w:szCs w:val="20"/>
        </w:rPr>
        <w:t>Section 8.5: Emergency Liquidity Mechanisms</w:t>
      </w:r>
      <w:r>
        <w:rPr>
          <w:rFonts w:ascii="Calibri" w:hAnsi="Calibri"/>
          <w:color w:val="212121"/>
          <w:sz w:val="20"/>
        </w:rPr>
        <w:tab/>
      </w:r>
      <w:r>
        <w:rPr>
          <w:rFonts w:ascii="Calibri" w:hAnsi="Calibri" w:eastAsia="Calibri" w:cs="Calibri"/>
          <w:color w:val="212121"/>
          <w:sz w:val="20"/>
          <w:szCs w:val="20"/>
        </w:rPr>
        <w:t>226</w:t>
      </w:r>
    </w:p>
    <w:p>
      <w:pPr>
        <w:pStyle w:val="TOC2"/>
      </w:pPr>
      <w:r>
        <w:rPr>
          <w:rFonts w:ascii="Calibri" w:hAnsi="Calibri" w:eastAsia="Calibri" w:cs="Calibri"/>
          <w:color w:val="212121"/>
          <w:sz w:val="20"/>
          <w:szCs w:val="20"/>
        </w:rPr>
        <w:t>Section 8.6: Fund Architecture, Dual Pool</w:t>
      </w:r>
      <w:r>
        <w:rPr>
          <w:rFonts w:ascii="Calibri" w:hAnsi="Calibri"/>
          <w:color w:val="212121"/>
          <w:sz w:val="20"/>
        </w:rPr>
        <w:tab/>
      </w:r>
      <w:r>
        <w:rPr>
          <w:rFonts w:ascii="Calibri" w:hAnsi="Calibri" w:eastAsia="Calibri" w:cs="Calibri"/>
          <w:color w:val="212121"/>
          <w:sz w:val="20"/>
          <w:szCs w:val="20"/>
        </w:rPr>
        <w:t>227</w:t>
      </w:r>
    </w:p>
    <w:p>
      <w:pPr>
        <w:pStyle w:val="TOC2"/>
      </w:pPr>
      <w:r>
        <w:rPr>
          <w:rFonts w:ascii="Calibri" w:hAnsi="Calibri" w:eastAsia="Calibri" w:cs="Calibri"/>
          <w:color w:val="212121"/>
          <w:sz w:val="20"/>
          <w:szCs w:val="20"/>
        </w:rPr>
        <w:t>Section 8.8: Digital Infrastructure Resilience Fund</w:t>
      </w:r>
      <w:r>
        <w:rPr>
          <w:rFonts w:ascii="Calibri" w:hAnsi="Calibri"/>
          <w:color w:val="212121"/>
          <w:sz w:val="20"/>
        </w:rPr>
        <w:tab/>
      </w:r>
      <w:r>
        <w:rPr>
          <w:rFonts w:ascii="Calibri" w:hAnsi="Calibri" w:eastAsia="Calibri" w:cs="Calibri"/>
          <w:color w:val="212121"/>
          <w:sz w:val="20"/>
          <w:szCs w:val="20"/>
        </w:rPr>
        <w:t>228</w:t>
      </w:r>
    </w:p>
    <w:p>
      <w:pPr>
        <w:pStyle w:val="TOC2"/>
      </w:pPr>
      <w:r>
        <w:rPr>
          <w:rFonts w:ascii="Calibri" w:hAnsi="Calibri" w:eastAsia="Calibri" w:cs="Calibri"/>
          <w:color w:val="212121"/>
          <w:sz w:val="20"/>
          <w:szCs w:val="20"/>
        </w:rPr>
        <w:t>Section 8.9: Decoupling Acceleration Reserve (DAR)</w:t>
      </w:r>
      <w:r>
        <w:rPr>
          <w:rFonts w:ascii="Calibri" w:hAnsi="Calibri"/>
          <w:color w:val="212121"/>
          <w:sz w:val="20"/>
        </w:rPr>
        <w:tab/>
      </w:r>
      <w:r>
        <w:rPr>
          <w:rFonts w:ascii="Calibri" w:hAnsi="Calibri" w:eastAsia="Calibri" w:cs="Calibri"/>
          <w:color w:val="212121"/>
          <w:sz w:val="20"/>
          <w:szCs w:val="20"/>
        </w:rPr>
        <w:t>228</w:t>
      </w:r>
    </w:p>
    <w:p>
      <w:pPr>
        <w:pStyle w:val="TOC2"/>
      </w:pPr>
      <w:r>
        <w:rPr>
          <w:rFonts w:ascii="Calibri" w:hAnsi="Calibri" w:eastAsia="Calibri" w:cs="Calibri"/>
          <w:color w:val="212121"/>
          <w:sz w:val="20"/>
          <w:szCs w:val="20"/>
        </w:rPr>
        <w:t>Section 8.10: Shadow Financial Infrastructure (SFI)</w:t>
      </w:r>
      <w:r>
        <w:rPr>
          <w:rFonts w:ascii="Calibri" w:hAnsi="Calibri"/>
          <w:color w:val="212121"/>
          <w:sz w:val="20"/>
        </w:rPr>
        <w:tab/>
      </w:r>
      <w:r>
        <w:rPr>
          <w:rFonts w:ascii="Calibri" w:hAnsi="Calibri" w:eastAsia="Calibri" w:cs="Calibri"/>
          <w:color w:val="212121"/>
          <w:sz w:val="20"/>
          <w:szCs w:val="20"/>
        </w:rPr>
        <w:t>230</w:t>
      </w:r>
    </w:p>
    <w:p>
      <w:pPr>
        <w:pStyle w:val="TOC2"/>
      </w:pPr>
      <w:r>
        <w:rPr>
          <w:rFonts w:ascii="Calibri" w:hAnsi="Calibri" w:eastAsia="Calibri" w:cs="Calibri"/>
          <w:color w:val="212121"/>
          <w:sz w:val="20"/>
          <w:szCs w:val="20"/>
        </w:rPr>
        <w:t>Section 8.10J: SFI Settlement Continuity Guarantee [NEW: v12.1]</w:t>
      </w:r>
      <w:r>
        <w:rPr>
          <w:rFonts w:ascii="Calibri" w:hAnsi="Calibri"/>
          <w:color w:val="212121"/>
          <w:sz w:val="20"/>
        </w:rPr>
        <w:tab/>
      </w:r>
      <w:r>
        <w:rPr>
          <w:rFonts w:ascii="Calibri" w:hAnsi="Calibri" w:eastAsia="Calibri" w:cs="Calibri"/>
          <w:color w:val="212121"/>
          <w:sz w:val="20"/>
          <w:szCs w:val="20"/>
        </w:rPr>
        <w:t>232</w:t>
      </w:r>
    </w:p>
    <w:p>
      <w:pPr>
        <w:pStyle w:val="TOC2"/>
      </w:pPr>
      <w:r>
        <w:rPr>
          <w:rFonts w:ascii="Calibri" w:hAnsi="Calibri" w:eastAsia="Calibri" w:cs="Calibri"/>
          <w:color w:val="212121"/>
          <w:sz w:val="20"/>
          <w:szCs w:val="20"/>
        </w:rPr>
        <w:t>Section 8.10K: SFI Asset Protection and Jurisdictional Redundancy [NEW: v13.0]</w:t>
      </w:r>
      <w:r>
        <w:rPr>
          <w:rFonts w:ascii="Calibri" w:hAnsi="Calibri"/>
          <w:color w:val="212121"/>
          <w:sz w:val="20"/>
        </w:rPr>
        <w:tab/>
      </w:r>
      <w:r>
        <w:rPr>
          <w:rFonts w:ascii="Calibri" w:hAnsi="Calibri" w:eastAsia="Calibri" w:cs="Calibri"/>
          <w:color w:val="212121"/>
          <w:sz w:val="20"/>
          <w:szCs w:val="20"/>
        </w:rPr>
        <w:t>232</w:t>
      </w:r>
    </w:p>
    <w:p>
      <w:pPr>
        <w:pStyle w:val="TOC2"/>
      </w:pPr>
      <w:r>
        <w:rPr>
          <w:rFonts w:ascii="Calibri" w:hAnsi="Calibri" w:eastAsia="Calibri" w:cs="Calibri"/>
          <w:color w:val="212121"/>
          <w:sz w:val="20"/>
          <w:szCs w:val="20"/>
        </w:rPr>
        <w:t>Section 8.10Y: Market-Triggered SFI Activation [NEW: v12.1]</w:t>
      </w:r>
      <w:r>
        <w:rPr>
          <w:rFonts w:ascii="Calibri" w:hAnsi="Calibri"/>
          <w:color w:val="212121"/>
          <w:sz w:val="20"/>
        </w:rPr>
        <w:tab/>
      </w:r>
      <w:r>
        <w:rPr>
          <w:rFonts w:ascii="Calibri" w:hAnsi="Calibri" w:eastAsia="Calibri" w:cs="Calibri"/>
          <w:color w:val="212121"/>
          <w:sz w:val="20"/>
          <w:szCs w:val="20"/>
        </w:rPr>
        <w:t>233</w:t>
      </w:r>
    </w:p>
    <w:p>
      <w:pPr>
        <w:pStyle w:val="TOC2"/>
      </w:pPr>
      <w:r>
        <w:rPr>
          <w:rFonts w:ascii="Calibri" w:hAnsi="Calibri" w:eastAsia="Calibri" w:cs="Calibri"/>
          <w:color w:val="212121"/>
          <w:sz w:val="20"/>
          <w:szCs w:val="20"/>
        </w:rPr>
        <w:t>Section 8.10C: Multilateral Financial Interoperability</w:t>
      </w:r>
      <w:r>
        <w:rPr>
          <w:rFonts w:ascii="Calibri" w:hAnsi="Calibri"/>
          <w:color w:val="212121"/>
          <w:sz w:val="20"/>
        </w:rPr>
        <w:tab/>
      </w:r>
      <w:r>
        <w:rPr>
          <w:rFonts w:ascii="Calibri" w:hAnsi="Calibri" w:eastAsia="Calibri" w:cs="Calibri"/>
          <w:color w:val="212121"/>
          <w:sz w:val="20"/>
          <w:szCs w:val="20"/>
        </w:rPr>
        <w:t>233</w:t>
      </w:r>
    </w:p>
    <w:p>
      <w:pPr>
        <w:pStyle w:val="TOC2"/>
      </w:pPr>
      <w:r>
        <w:rPr>
          <w:rFonts w:ascii="Calibri" w:hAnsi="Calibri" w:eastAsia="Calibri" w:cs="Calibri"/>
          <w:color w:val="212121"/>
          <w:sz w:val="20"/>
          <w:szCs w:val="20"/>
        </w:rPr>
        <w:t>Section 8.10D: Standalone Financial Emergency Protocol (SFEP)</w:t>
      </w:r>
      <w:r>
        <w:rPr>
          <w:rFonts w:ascii="Calibri" w:hAnsi="Calibri"/>
          <w:color w:val="212121"/>
          <w:sz w:val="20"/>
        </w:rPr>
        <w:tab/>
      </w:r>
      <w:r>
        <w:rPr>
          <w:rFonts w:ascii="Calibri" w:hAnsi="Calibri" w:eastAsia="Calibri" w:cs="Calibri"/>
          <w:color w:val="212121"/>
          <w:sz w:val="20"/>
          <w:szCs w:val="20"/>
        </w:rPr>
        <w:t>234</w:t>
      </w:r>
    </w:p>
    <w:p>
      <w:pPr>
        <w:pStyle w:val="TOC2"/>
      </w:pPr>
      <w:r>
        <w:rPr>
          <w:rFonts w:ascii="Calibri" w:hAnsi="Calibri" w:eastAsia="Calibri" w:cs="Calibri"/>
          <w:color w:val="212121"/>
          <w:sz w:val="20"/>
          <w:szCs w:val="20"/>
        </w:rPr>
        <w:t>Section 8.10E: Capital Account Defence</w:t>
      </w:r>
      <w:r>
        <w:rPr>
          <w:rFonts w:ascii="Calibri" w:hAnsi="Calibri"/>
          <w:color w:val="212121"/>
          <w:sz w:val="20"/>
        </w:rPr>
        <w:tab/>
      </w:r>
      <w:r>
        <w:rPr>
          <w:rFonts w:ascii="Calibri" w:hAnsi="Calibri" w:eastAsia="Calibri" w:cs="Calibri"/>
          <w:color w:val="212121"/>
          <w:sz w:val="20"/>
          <w:szCs w:val="20"/>
        </w:rPr>
        <w:t>234</w:t>
      </w:r>
    </w:p>
    <w:p>
      <w:pPr>
        <w:pStyle w:val="TOC2"/>
      </w:pPr>
      <w:r>
        <w:rPr>
          <w:rFonts w:ascii="Calibri" w:hAnsi="Calibri" w:eastAsia="Calibri" w:cs="Calibri"/>
          <w:color w:val="212121"/>
          <w:sz w:val="20"/>
          <w:szCs w:val="20"/>
        </w:rPr>
        <w:t>Section 8.10G: Settlement Preference Adjustments During Coercion Certification [NEW: v9.8 Revision]</w:t>
      </w:r>
      <w:r>
        <w:rPr>
          <w:rFonts w:ascii="Calibri" w:hAnsi="Calibri"/>
          <w:color w:val="212121"/>
          <w:sz w:val="20"/>
        </w:rPr>
        <w:tab/>
      </w:r>
      <w:r>
        <w:rPr>
          <w:rFonts w:ascii="Calibri" w:hAnsi="Calibri" w:eastAsia="Calibri" w:cs="Calibri"/>
          <w:color w:val="212121"/>
          <w:sz w:val="20"/>
          <w:szCs w:val="20"/>
        </w:rPr>
        <w:t>234</w:t>
      </w:r>
    </w:p>
    <w:p>
      <w:pPr>
        <w:pStyle w:val="TOC2"/>
      </w:pPr>
      <w:r>
        <w:rPr>
          <w:rFonts w:ascii="Calibri" w:hAnsi="Calibri" w:eastAsia="Calibri" w:cs="Calibri"/>
          <w:color w:val="212121"/>
          <w:sz w:val="20"/>
          <w:szCs w:val="20"/>
        </w:rPr>
        <w:t>Section 8.10H: Currency and Origin Neutrality Clause [NEW: v9.8A Political Inoculation]</w:t>
      </w:r>
      <w:r>
        <w:rPr>
          <w:rFonts w:ascii="Calibri" w:hAnsi="Calibri"/>
          <w:color w:val="212121"/>
          <w:sz w:val="20"/>
        </w:rPr>
        <w:tab/>
      </w:r>
      <w:r>
        <w:rPr>
          <w:rFonts w:ascii="Calibri" w:hAnsi="Calibri" w:eastAsia="Calibri" w:cs="Calibri"/>
          <w:color w:val="212121"/>
          <w:sz w:val="20"/>
          <w:szCs w:val="20"/>
        </w:rPr>
        <w:t>235</w:t>
      </w:r>
    </w:p>
    <w:p>
      <w:pPr>
        <w:pStyle w:val="TOC2"/>
      </w:pPr>
      <w:r>
        <w:rPr>
          <w:rFonts w:ascii="Calibri" w:hAnsi="Calibri" w:eastAsia="Calibri" w:cs="Calibri"/>
          <w:color w:val="212121"/>
          <w:sz w:val="20"/>
          <w:szCs w:val="20"/>
        </w:rPr>
        <w:t>Section 8.10I: Financial Instruments, Graduated Use Protocol [NEW: v9.8A Adoption Readiness]</w:t>
      </w:r>
      <w:r>
        <w:rPr>
          <w:rFonts w:ascii="Calibri" w:hAnsi="Calibri"/>
          <w:color w:val="212121"/>
          <w:sz w:val="20"/>
        </w:rPr>
        <w:tab/>
      </w:r>
      <w:r>
        <w:rPr>
          <w:rFonts w:ascii="Calibri" w:hAnsi="Calibri" w:eastAsia="Calibri" w:cs="Calibri"/>
          <w:color w:val="212121"/>
          <w:sz w:val="20"/>
          <w:szCs w:val="20"/>
        </w:rPr>
        <w:t>235</w:t>
      </w:r>
    </w:p>
    <w:p>
      <w:pPr>
        <w:pStyle w:val="TOC2"/>
      </w:pPr>
      <w:r>
        <w:rPr>
          <w:rFonts w:ascii="Calibri" w:hAnsi="Calibri" w:eastAsia="Calibri" w:cs="Calibri"/>
          <w:color w:val="212121"/>
          <w:sz w:val="20"/>
          <w:szCs w:val="20"/>
        </w:rPr>
        <w:t>Section 8.10X: Central Bank Digital Currency (CBDC) Monitoring [NEW: v9.9]</w:t>
      </w:r>
      <w:r>
        <w:rPr>
          <w:rFonts w:ascii="Calibri" w:hAnsi="Calibri"/>
          <w:color w:val="212121"/>
          <w:sz w:val="20"/>
        </w:rPr>
        <w:tab/>
      </w:r>
      <w:r>
        <w:rPr>
          <w:rFonts w:ascii="Calibri" w:hAnsi="Calibri" w:eastAsia="Calibri" w:cs="Calibri"/>
          <w:color w:val="212121"/>
          <w:sz w:val="20"/>
          <w:szCs w:val="20"/>
        </w:rPr>
        <w:t>236</w:t>
      </w:r>
    </w:p>
    <w:p>
      <w:pPr>
        <w:pStyle w:val="TOC2"/>
      </w:pPr>
      <w:r>
        <w:rPr>
          <w:rFonts w:ascii="Calibri" w:hAnsi="Calibri" w:eastAsia="Calibri" w:cs="Calibri"/>
          <w:color w:val="212121"/>
          <w:sz w:val="20"/>
          <w:szCs w:val="20"/>
        </w:rPr>
        <w:t>Section 8.11: Irreversible Commitment Bonds (ICB), Optional Mechanism</w:t>
      </w:r>
      <w:r>
        <w:rPr>
          <w:rFonts w:ascii="Calibri" w:hAnsi="Calibri"/>
          <w:color w:val="212121"/>
          <w:sz w:val="20"/>
        </w:rPr>
        <w:tab/>
      </w:r>
      <w:r>
        <w:rPr>
          <w:rFonts w:ascii="Calibri" w:hAnsi="Calibri" w:eastAsia="Calibri" w:cs="Calibri"/>
          <w:color w:val="212121"/>
          <w:sz w:val="20"/>
          <w:szCs w:val="20"/>
        </w:rPr>
        <w:t>236</w:t>
      </w:r>
    </w:p>
    <w:p>
      <w:pPr>
        <w:pStyle w:val="TOC2"/>
      </w:pPr>
      <w:r>
        <w:rPr>
          <w:rFonts w:ascii="Calibri" w:hAnsi="Calibri" w:eastAsia="Calibri" w:cs="Calibri"/>
          <w:color w:val="212121"/>
          <w:sz w:val="20"/>
          <w:szCs w:val="20"/>
        </w:rPr>
        <w:t>Section 8.11: Third-Country Spillover Fund and Binding Compensation Mechanism [NEW: v9.8 Structural Fix]</w:t>
      </w:r>
      <w:r>
        <w:rPr>
          <w:rFonts w:ascii="Calibri" w:hAnsi="Calibri"/>
          <w:color w:val="212121"/>
          <w:sz w:val="20"/>
        </w:rPr>
        <w:tab/>
      </w:r>
      <w:r>
        <w:rPr>
          <w:rFonts w:ascii="Calibri" w:hAnsi="Calibri" w:eastAsia="Calibri" w:cs="Calibri"/>
          <w:color w:val="212121"/>
          <w:sz w:val="20"/>
          <w:szCs w:val="20"/>
        </w:rPr>
        <w:t>238</w:t>
      </w:r>
    </w:p>
    <w:p>
      <w:pPr>
        <w:pStyle w:val="TOC2"/>
      </w:pPr>
      <w:r>
        <w:rPr>
          <w:rFonts w:ascii="Calibri" w:hAnsi="Calibri" w:eastAsia="Calibri" w:cs="Calibri"/>
          <w:color w:val="212121"/>
          <w:sz w:val="20"/>
          <w:szCs w:val="20"/>
        </w:rPr>
        <w:t>Section 8.11A: Non-Alignment of Development Support [NEW: v9.8A Political Inoculation]</w:t>
      </w:r>
      <w:r>
        <w:rPr>
          <w:rFonts w:ascii="Calibri" w:hAnsi="Calibri"/>
          <w:color w:val="212121"/>
          <w:sz w:val="20"/>
        </w:rPr>
        <w:tab/>
      </w:r>
      <w:r>
        <w:rPr>
          <w:rFonts w:ascii="Calibri" w:hAnsi="Calibri" w:eastAsia="Calibri" w:cs="Calibri"/>
          <w:color w:val="212121"/>
          <w:sz w:val="20"/>
          <w:szCs w:val="20"/>
        </w:rPr>
        <w:t>238</w:t>
      </w:r>
    </w:p>
    <w:p>
      <w:pPr>
        <w:pStyle w:val="TOC2"/>
      </w:pPr>
      <w:r>
        <w:rPr>
          <w:rFonts w:ascii="Calibri" w:hAnsi="Calibri" w:eastAsia="Calibri" w:cs="Calibri"/>
          <w:color w:val="212121"/>
          <w:sz w:val="20"/>
          <w:szCs w:val="20"/>
        </w:rPr>
        <w:t>Section 8.11B: Track A Spillover Support for Non-Members [NEW: v9.9]</w:t>
      </w:r>
      <w:r>
        <w:rPr>
          <w:rFonts w:ascii="Calibri" w:hAnsi="Calibri"/>
          <w:color w:val="212121"/>
          <w:sz w:val="20"/>
        </w:rPr>
        <w:tab/>
      </w:r>
      <w:r>
        <w:rPr>
          <w:rFonts w:ascii="Calibri" w:hAnsi="Calibri" w:eastAsia="Calibri" w:cs="Calibri"/>
          <w:color w:val="212121"/>
          <w:sz w:val="20"/>
          <w:szCs w:val="20"/>
        </w:rPr>
        <w:t>239</w:t>
      </w:r>
    </w:p>
    <w:p>
      <w:pPr>
        <w:pStyle w:val="TOC2"/>
      </w:pPr>
      <w:r>
        <w:rPr>
          <w:rFonts w:ascii="Calibri" w:hAnsi="Calibri" w:eastAsia="Calibri" w:cs="Calibri"/>
          <w:color w:val="212121"/>
          <w:sz w:val="20"/>
          <w:szCs w:val="20"/>
        </w:rPr>
        <w:t>Section 8.11C: Coercion Impact Fund for Non-Members [NEW: v15.0]</w:t>
      </w:r>
      <w:r>
        <w:rPr>
          <w:rFonts w:ascii="Calibri" w:hAnsi="Calibri"/>
          <w:color w:val="212121"/>
          <w:sz w:val="20"/>
        </w:rPr>
        <w:tab/>
      </w:r>
      <w:r>
        <w:rPr>
          <w:rFonts w:ascii="Calibri" w:hAnsi="Calibri" w:eastAsia="Calibri" w:cs="Calibri"/>
          <w:color w:val="212121"/>
          <w:sz w:val="20"/>
          <w:szCs w:val="20"/>
        </w:rPr>
        <w:t>239</w:t>
      </w:r>
    </w:p>
    <w:p>
      <w:pPr>
        <w:pStyle w:val="TOC2"/>
      </w:pPr>
      <w:r>
        <w:rPr>
          <w:rFonts w:ascii="Calibri" w:hAnsi="Calibri" w:eastAsia="Calibri" w:cs="Calibri"/>
          <w:color w:val="212121"/>
          <w:sz w:val="20"/>
          <w:szCs w:val="20"/>
        </w:rPr>
        <w:t>Section 8.12: Graduated Crisis Response with Opt-Out</w:t>
      </w:r>
      <w:r>
        <w:rPr>
          <w:rFonts w:ascii="Calibri" w:hAnsi="Calibri"/>
          <w:color w:val="212121"/>
          <w:sz w:val="20"/>
        </w:rPr>
        <w:tab/>
      </w:r>
      <w:r>
        <w:rPr>
          <w:rFonts w:ascii="Calibri" w:hAnsi="Calibri" w:eastAsia="Calibri" w:cs="Calibri"/>
          <w:color w:val="212121"/>
          <w:sz w:val="20"/>
          <w:szCs w:val="20"/>
        </w:rPr>
        <w:t>240</w:t>
      </w:r>
    </w:p>
    <w:p>
      <w:pPr>
        <w:pStyle w:val="TOC2"/>
      </w:pPr>
      <w:r>
        <w:rPr>
          <w:rFonts w:ascii="Calibri" w:hAnsi="Calibri" w:eastAsia="Calibri" w:cs="Calibri"/>
          <w:color w:val="212121"/>
          <w:sz w:val="20"/>
          <w:szCs w:val="20"/>
        </w:rPr>
        <w:t>Section 8.13: Coercion-Induced Displacement Response</w:t>
      </w:r>
      <w:r>
        <w:rPr>
          <w:rFonts w:ascii="Calibri" w:hAnsi="Calibri"/>
          <w:color w:val="212121"/>
          <w:sz w:val="20"/>
        </w:rPr>
        <w:tab/>
      </w:r>
      <w:r>
        <w:rPr>
          <w:rFonts w:ascii="Calibri" w:hAnsi="Calibri" w:eastAsia="Calibri" w:cs="Calibri"/>
          <w:color w:val="212121"/>
          <w:sz w:val="20"/>
          <w:szCs w:val="20"/>
        </w:rPr>
        <w:t>241</w:t>
      </w:r>
    </w:p>
    <w:p>
      <w:pPr>
        <w:pStyle w:val="TOC2"/>
      </w:pPr>
      <w:r>
        <w:rPr>
          <w:rFonts w:ascii="Calibri" w:hAnsi="Calibri" w:eastAsia="Calibri" w:cs="Calibri"/>
          <w:color w:val="212121"/>
          <w:sz w:val="20"/>
          <w:szCs w:val="20"/>
        </w:rPr>
        <w:t>Section 8.14: Resilience Dividend Program (RDP)</w:t>
      </w:r>
      <w:r>
        <w:rPr>
          <w:rFonts w:ascii="Calibri" w:hAnsi="Calibri"/>
          <w:color w:val="212121"/>
          <w:sz w:val="20"/>
        </w:rPr>
        <w:tab/>
      </w:r>
      <w:r>
        <w:rPr>
          <w:rFonts w:ascii="Calibri" w:hAnsi="Calibri" w:eastAsia="Calibri" w:cs="Calibri"/>
          <w:color w:val="212121"/>
          <w:sz w:val="20"/>
          <w:szCs w:val="20"/>
        </w:rPr>
        <w:t>241</w:t>
      </w:r>
    </w:p>
    <w:p>
      <w:pPr>
        <w:pStyle w:val="TOC2"/>
      </w:pPr>
      <w:r>
        <w:rPr>
          <w:rFonts w:ascii="Calibri" w:hAnsi="Calibri" w:eastAsia="Calibri" w:cs="Calibri"/>
          <w:color w:val="212121"/>
          <w:sz w:val="20"/>
          <w:szCs w:val="20"/>
        </w:rPr>
        <w:t>Section 8.14A: Coercion Resilience Rating</w:t>
      </w:r>
      <w:r>
        <w:rPr>
          <w:rFonts w:ascii="Calibri" w:hAnsi="Calibri"/>
          <w:color w:val="212121"/>
          <w:sz w:val="20"/>
        </w:rPr>
        <w:tab/>
      </w:r>
      <w:r>
        <w:rPr>
          <w:rFonts w:ascii="Calibri" w:hAnsi="Calibri" w:eastAsia="Calibri" w:cs="Calibri"/>
          <w:color w:val="212121"/>
          <w:sz w:val="20"/>
          <w:szCs w:val="20"/>
        </w:rPr>
        <w:t>242</w:t>
      </w:r>
    </w:p>
    <w:p>
      <w:pPr>
        <w:pStyle w:val="TOC2"/>
      </w:pPr>
      <w:r>
        <w:rPr>
          <w:rFonts w:ascii="Calibri" w:hAnsi="Calibri" w:eastAsia="Calibri" w:cs="Calibri"/>
          <w:color w:val="212121"/>
          <w:sz w:val="20"/>
          <w:szCs w:val="20"/>
        </w:rPr>
        <w:t>Section 8.14B: Accelerated Diversification Recognition</w:t>
      </w:r>
      <w:r>
        <w:rPr>
          <w:rFonts w:ascii="Calibri" w:hAnsi="Calibri"/>
          <w:color w:val="212121"/>
          <w:sz w:val="20"/>
        </w:rPr>
        <w:tab/>
      </w:r>
      <w:r>
        <w:rPr>
          <w:rFonts w:ascii="Calibri" w:hAnsi="Calibri" w:eastAsia="Calibri" w:cs="Calibri"/>
          <w:color w:val="212121"/>
          <w:sz w:val="20"/>
          <w:szCs w:val="20"/>
        </w:rPr>
        <w:t>243</w:t>
      </w:r>
    </w:p>
    <w:p>
      <w:pPr>
        <w:pStyle w:val="TOC2"/>
      </w:pPr>
      <w:r>
        <w:rPr>
          <w:rFonts w:ascii="Calibri" w:hAnsi="Calibri" w:eastAsia="Calibri" w:cs="Calibri"/>
          <w:color w:val="212121"/>
          <w:sz w:val="20"/>
          <w:szCs w:val="20"/>
        </w:rPr>
        <w:t>Section 8.15: Sovereign Cloud Sovereignty Credit (SCSC)</w:t>
      </w:r>
      <w:r>
        <w:rPr>
          <w:rFonts w:ascii="Calibri" w:hAnsi="Calibri"/>
          <w:color w:val="212121"/>
          <w:sz w:val="20"/>
        </w:rPr>
        <w:tab/>
      </w:r>
      <w:r>
        <w:rPr>
          <w:rFonts w:ascii="Calibri" w:hAnsi="Calibri" w:eastAsia="Calibri" w:cs="Calibri"/>
          <w:color w:val="212121"/>
          <w:sz w:val="20"/>
          <w:szCs w:val="20"/>
        </w:rPr>
        <w:t>244</w:t>
      </w:r>
    </w:p>
    <w:p>
      <w:pPr>
        <w:pStyle w:val="TOC2"/>
      </w:pPr>
      <w:r>
        <w:rPr>
          <w:rFonts w:ascii="Calibri" w:hAnsi="Calibri" w:eastAsia="Calibri" w:cs="Calibri"/>
          <w:color w:val="212121"/>
          <w:sz w:val="20"/>
          <w:szCs w:val="20"/>
        </w:rPr>
        <w:t>Section 8.16: Coercion Risk Insurance (CRI)</w:t>
      </w:r>
      <w:r>
        <w:rPr>
          <w:rFonts w:ascii="Calibri" w:hAnsi="Calibri"/>
          <w:color w:val="212121"/>
          <w:sz w:val="20"/>
        </w:rPr>
        <w:tab/>
      </w:r>
      <w:r>
        <w:rPr>
          <w:rFonts w:ascii="Calibri" w:hAnsi="Calibri" w:eastAsia="Calibri" w:cs="Calibri"/>
          <w:color w:val="212121"/>
          <w:sz w:val="20"/>
          <w:szCs w:val="20"/>
        </w:rPr>
        <w:t>244</w:t>
      </w:r>
    </w:p>
    <w:p>
      <w:pPr>
        <w:pStyle w:val="TOC2"/>
      </w:pPr>
      <w:r>
        <w:rPr>
          <w:rFonts w:ascii="Calibri" w:hAnsi="Calibri" w:eastAsia="Calibri" w:cs="Calibri"/>
          <w:color w:val="212121"/>
          <w:sz w:val="20"/>
          <w:szCs w:val="20"/>
        </w:rPr>
        <w:t>Section 8.17: Pre-Launch Binding Commitment (PLBC)</w:t>
      </w:r>
      <w:r>
        <w:rPr>
          <w:rFonts w:ascii="Calibri" w:hAnsi="Calibri"/>
          <w:color w:val="212121"/>
          <w:sz w:val="20"/>
        </w:rPr>
        <w:tab/>
      </w:r>
      <w:r>
        <w:rPr>
          <w:rFonts w:ascii="Calibri" w:hAnsi="Calibri" w:eastAsia="Calibri" w:cs="Calibri"/>
          <w:color w:val="212121"/>
          <w:sz w:val="20"/>
          <w:szCs w:val="20"/>
        </w:rPr>
        <w:t>245</w:t>
      </w:r>
    </w:p>
    <w:p>
      <w:pPr>
        <w:pStyle w:val="TOC2"/>
      </w:pPr>
      <w:r>
        <w:rPr>
          <w:rFonts w:ascii="Calibri" w:hAnsi="Calibri" w:eastAsia="Calibri" w:cs="Calibri"/>
          <w:color w:val="212121"/>
          <w:sz w:val="20"/>
          <w:szCs w:val="20"/>
        </w:rPr>
        <w:t>Section 8.18: Anticipatory Damage Facility (ADF)</w:t>
      </w:r>
      <w:r>
        <w:rPr>
          <w:rFonts w:ascii="Calibri" w:hAnsi="Calibri"/>
          <w:color w:val="212121"/>
          <w:sz w:val="20"/>
        </w:rPr>
        <w:tab/>
      </w:r>
      <w:r>
        <w:rPr>
          <w:rFonts w:ascii="Calibri" w:hAnsi="Calibri" w:eastAsia="Calibri" w:cs="Calibri"/>
          <w:color w:val="212121"/>
          <w:sz w:val="20"/>
          <w:szCs w:val="20"/>
        </w:rPr>
        <w:t>246</w:t>
      </w:r>
    </w:p>
    <w:p>
      <w:pPr>
        <w:pStyle w:val="TOC2"/>
      </w:pPr>
      <w:r>
        <w:rPr>
          <w:rFonts w:ascii="Calibri" w:hAnsi="Calibri" w:eastAsia="Calibri" w:cs="Calibri"/>
          <w:color w:val="212121"/>
          <w:sz w:val="20"/>
          <w:szCs w:val="20"/>
        </w:rPr>
        <w:t>Section 8.18B: Psychological Impact Guarantee [NEW: v12.1]</w:t>
      </w:r>
      <w:r>
        <w:rPr>
          <w:rFonts w:ascii="Calibri" w:hAnsi="Calibri"/>
          <w:color w:val="212121"/>
          <w:sz w:val="20"/>
        </w:rPr>
        <w:tab/>
      </w:r>
      <w:r>
        <w:rPr>
          <w:rFonts w:ascii="Calibri" w:hAnsi="Calibri" w:eastAsia="Calibri" w:cs="Calibri"/>
          <w:color w:val="212121"/>
          <w:sz w:val="20"/>
          <w:szCs w:val="20"/>
        </w:rPr>
        <w:t>246</w:t>
      </w:r>
    </w:p>
    <w:p>
      <w:pPr>
        <w:pStyle w:val="TOC2"/>
      </w:pPr>
      <w:r>
        <w:rPr>
          <w:rFonts w:ascii="Calibri" w:hAnsi="Calibri" w:eastAsia="Calibri" w:cs="Calibri"/>
          <w:color w:val="212121"/>
          <w:sz w:val="20"/>
          <w:szCs w:val="20"/>
        </w:rPr>
        <w:t>Section 8.18A: Debt Service Bridge Sub-Facility [NEW: v9.8 Revision]</w:t>
      </w:r>
      <w:r>
        <w:rPr>
          <w:rFonts w:ascii="Calibri" w:hAnsi="Calibri"/>
          <w:color w:val="212121"/>
          <w:sz w:val="20"/>
        </w:rPr>
        <w:tab/>
      </w:r>
      <w:r>
        <w:rPr>
          <w:rFonts w:ascii="Calibri" w:hAnsi="Calibri" w:eastAsia="Calibri" w:cs="Calibri"/>
          <w:color w:val="212121"/>
          <w:sz w:val="20"/>
          <w:szCs w:val="20"/>
        </w:rPr>
        <w:t>247</w:t>
      </w:r>
    </w:p>
    <w:p>
      <w:pPr>
        <w:pStyle w:val="TOC2"/>
      </w:pPr>
      <w:r>
        <w:rPr>
          <w:rFonts w:ascii="Calibri" w:hAnsi="Calibri" w:eastAsia="Calibri" w:cs="Calibri"/>
          <w:color w:val="212121"/>
          <w:sz w:val="20"/>
          <w:szCs w:val="20"/>
        </w:rPr>
        <w:t>Section 8.18D: First-Response Compensation Fund (FRCF) [NEW: v15.0]</w:t>
      </w:r>
      <w:r>
        <w:rPr>
          <w:rFonts w:ascii="Calibri" w:hAnsi="Calibri"/>
          <w:color w:val="212121"/>
          <w:sz w:val="20"/>
        </w:rPr>
        <w:tab/>
      </w:r>
      <w:r>
        <w:rPr>
          <w:rFonts w:ascii="Calibri" w:hAnsi="Calibri" w:eastAsia="Calibri" w:cs="Calibri"/>
          <w:color w:val="212121"/>
          <w:sz w:val="20"/>
          <w:szCs w:val="20"/>
        </w:rPr>
        <w:t>248</w:t>
      </w:r>
    </w:p>
    <w:p>
      <w:pPr>
        <w:pStyle w:val="TOC2"/>
      </w:pPr>
      <w:r>
        <w:rPr>
          <w:rFonts w:ascii="Calibri" w:hAnsi="Calibri" w:eastAsia="Calibri" w:cs="Calibri"/>
          <w:color w:val="212121"/>
          <w:sz w:val="20"/>
          <w:szCs w:val="20"/>
        </w:rPr>
        <w:t>Section 8.19: Post-Case Recovery Fast-Track</w:t>
      </w:r>
      <w:r>
        <w:rPr>
          <w:rFonts w:ascii="Calibri" w:hAnsi="Calibri"/>
          <w:color w:val="212121"/>
          <w:sz w:val="20"/>
        </w:rPr>
        <w:tab/>
      </w:r>
      <w:r>
        <w:rPr>
          <w:rFonts w:ascii="Calibri" w:hAnsi="Calibri" w:eastAsia="Calibri" w:cs="Calibri"/>
          <w:color w:val="212121"/>
          <w:sz w:val="20"/>
          <w:szCs w:val="20"/>
        </w:rPr>
        <w:t>248</w:t>
      </w:r>
    </w:p>
    <w:p>
      <w:pPr>
        <w:pStyle w:val="TOC2"/>
      </w:pPr>
      <w:r>
        <w:rPr>
          <w:rFonts w:ascii="Calibri" w:hAnsi="Calibri" w:eastAsia="Calibri" w:cs="Calibri"/>
          <w:color w:val="212121"/>
          <w:sz w:val="20"/>
          <w:szCs w:val="20"/>
        </w:rPr>
        <w:t>Section 8.20: Multilateral Financial Safety Net Integration</w:t>
      </w:r>
      <w:r>
        <w:rPr>
          <w:rFonts w:ascii="Calibri" w:hAnsi="Calibri"/>
          <w:color w:val="212121"/>
          <w:sz w:val="20"/>
        </w:rPr>
        <w:tab/>
      </w:r>
      <w:r>
        <w:rPr>
          <w:rFonts w:ascii="Calibri" w:hAnsi="Calibri" w:eastAsia="Calibri" w:cs="Calibri"/>
          <w:color w:val="212121"/>
          <w:sz w:val="20"/>
          <w:szCs w:val="20"/>
        </w:rPr>
        <w:t>249</w:t>
      </w:r>
    </w:p>
    <w:p>
      <w:pPr>
        <w:pStyle w:val="TOC2"/>
      </w:pPr>
      <w:r>
        <w:rPr>
          <w:rFonts w:ascii="Calibri" w:hAnsi="Calibri" w:eastAsia="Calibri" w:cs="Calibri"/>
          <w:color w:val="212121"/>
          <w:sz w:val="20"/>
          <w:szCs w:val="20"/>
        </w:rPr>
        <w:t>Section 8.20D: IMF Rapid Financing Coordination Protocol [NEW: v12.1]</w:t>
      </w:r>
      <w:r>
        <w:rPr>
          <w:rFonts w:ascii="Calibri" w:hAnsi="Calibri"/>
          <w:color w:val="212121"/>
          <w:sz w:val="20"/>
        </w:rPr>
        <w:tab/>
      </w:r>
      <w:r>
        <w:rPr>
          <w:rFonts w:ascii="Calibri" w:hAnsi="Calibri" w:eastAsia="Calibri" w:cs="Calibri"/>
          <w:color w:val="212121"/>
          <w:sz w:val="20"/>
          <w:szCs w:val="20"/>
        </w:rPr>
        <w:t>250</w:t>
      </w:r>
    </w:p>
    <w:p>
      <w:pPr>
        <w:pStyle w:val="TOC2"/>
      </w:pPr>
      <w:r>
        <w:rPr>
          <w:rFonts w:ascii="Calibri" w:hAnsi="Calibri" w:eastAsia="Calibri" w:cs="Calibri"/>
          <w:color w:val="212121"/>
          <w:sz w:val="20"/>
          <w:szCs w:val="20"/>
        </w:rPr>
        <w:t>Section 8.20A: Sovereign Yield Stabilisation Window</w:t>
      </w:r>
      <w:r>
        <w:rPr>
          <w:rFonts w:ascii="Calibri" w:hAnsi="Calibri"/>
          <w:color w:val="212121"/>
          <w:sz w:val="20"/>
        </w:rPr>
        <w:tab/>
      </w:r>
      <w:r>
        <w:rPr>
          <w:rFonts w:ascii="Calibri" w:hAnsi="Calibri" w:eastAsia="Calibri" w:cs="Calibri"/>
          <w:color w:val="212121"/>
          <w:sz w:val="20"/>
          <w:szCs w:val="20"/>
        </w:rPr>
        <w:t>250</w:t>
      </w:r>
    </w:p>
    <w:p>
      <w:pPr>
        <w:pStyle w:val="TOC2"/>
      </w:pPr>
      <w:r>
        <w:rPr>
          <w:rFonts w:ascii="Calibri" w:hAnsi="Calibri" w:eastAsia="Calibri" w:cs="Calibri"/>
          <w:color w:val="212121"/>
          <w:sz w:val="20"/>
          <w:szCs w:val="20"/>
        </w:rPr>
        <w:t>Section 8.20E: IMESI Liquidity Backstop Guarantee (ILBG) [NEW: v15.0]</w:t>
      </w:r>
      <w:r>
        <w:rPr>
          <w:rFonts w:ascii="Calibri" w:hAnsi="Calibri"/>
          <w:color w:val="212121"/>
          <w:sz w:val="20"/>
        </w:rPr>
        <w:tab/>
      </w:r>
      <w:r>
        <w:rPr>
          <w:rFonts w:ascii="Calibri" w:hAnsi="Calibri" w:eastAsia="Calibri" w:cs="Calibri"/>
          <w:color w:val="212121"/>
          <w:sz w:val="20"/>
          <w:szCs w:val="20"/>
        </w:rPr>
        <w:t>251</w:t>
      </w:r>
    </w:p>
    <w:p>
      <w:pPr>
        <w:pStyle w:val="TOC2"/>
      </w:pPr>
      <w:r>
        <w:rPr>
          <w:rFonts w:ascii="Calibri" w:hAnsi="Calibri" w:eastAsia="Calibri" w:cs="Calibri"/>
          <w:color w:val="212121"/>
          <w:sz w:val="20"/>
          <w:szCs w:val="20"/>
        </w:rPr>
        <w:t>Section 8.21: Voluntary Implementation Commitment (VIC)</w:t>
      </w:r>
      <w:r>
        <w:rPr>
          <w:rFonts w:ascii="Calibri" w:hAnsi="Calibri"/>
          <w:color w:val="212121"/>
          <w:sz w:val="20"/>
        </w:rPr>
        <w:tab/>
      </w:r>
      <w:r>
        <w:rPr>
          <w:rFonts w:ascii="Calibri" w:hAnsi="Calibri" w:eastAsia="Calibri" w:cs="Calibri"/>
          <w:color w:val="212121"/>
          <w:sz w:val="20"/>
          <w:szCs w:val="20"/>
        </w:rPr>
        <w:t>251</w:t>
      </w:r>
    </w:p>
    <w:p>
      <w:pPr>
        <w:pStyle w:val="TOC2"/>
      </w:pPr>
      <w:r>
        <w:rPr>
          <w:rFonts w:ascii="Calibri" w:hAnsi="Calibri" w:eastAsia="Calibri" w:cs="Calibri"/>
          <w:color w:val="212121"/>
          <w:sz w:val="20"/>
          <w:szCs w:val="20"/>
        </w:rPr>
        <w:t>Section 8.22: Stability Facility Activation</w:t>
      </w:r>
      <w:r>
        <w:rPr>
          <w:rFonts w:ascii="Calibri" w:hAnsi="Calibri"/>
          <w:color w:val="212121"/>
          <w:sz w:val="20"/>
        </w:rPr>
        <w:tab/>
      </w:r>
      <w:r>
        <w:rPr>
          <w:rFonts w:ascii="Calibri" w:hAnsi="Calibri" w:eastAsia="Calibri" w:cs="Calibri"/>
          <w:color w:val="212121"/>
          <w:sz w:val="20"/>
          <w:szCs w:val="20"/>
        </w:rPr>
        <w:t>252</w:t>
      </w:r>
    </w:p>
    <w:p>
      <w:pPr>
        <w:pStyle w:val="TOC2"/>
      </w:pPr>
      <w:r>
        <w:rPr>
          <w:rFonts w:ascii="Calibri" w:hAnsi="Calibri" w:eastAsia="Calibri" w:cs="Calibri"/>
          <w:color w:val="212121"/>
          <w:sz w:val="20"/>
          <w:szCs w:val="20"/>
        </w:rPr>
        <w:t>Section 8.23: Stability Solidarity Contributions</w:t>
      </w:r>
      <w:r>
        <w:rPr>
          <w:rFonts w:ascii="Calibri" w:hAnsi="Calibri"/>
          <w:color w:val="212121"/>
          <w:sz w:val="20"/>
        </w:rPr>
        <w:tab/>
      </w:r>
      <w:r>
        <w:rPr>
          <w:rFonts w:ascii="Calibri" w:hAnsi="Calibri" w:eastAsia="Calibri" w:cs="Calibri"/>
          <w:color w:val="212121"/>
          <w:sz w:val="20"/>
          <w:szCs w:val="20"/>
        </w:rPr>
        <w:t>252</w:t>
      </w:r>
    </w:p>
    <w:p>
      <w:pPr>
        <w:pStyle w:val="TOC2"/>
      </w:pPr>
      <w:r>
        <w:rPr>
          <w:rFonts w:ascii="Calibri" w:hAnsi="Calibri" w:eastAsia="Calibri" w:cs="Calibri"/>
          <w:color w:val="212121"/>
          <w:sz w:val="20"/>
          <w:szCs w:val="20"/>
        </w:rPr>
        <w:t>Section 8.24: Resilience Support Framework</w:t>
      </w:r>
      <w:r>
        <w:rPr>
          <w:rFonts w:ascii="Calibri" w:hAnsi="Calibri"/>
          <w:color w:val="212121"/>
          <w:sz w:val="20"/>
        </w:rPr>
        <w:tab/>
      </w:r>
      <w:r>
        <w:rPr>
          <w:rFonts w:ascii="Calibri" w:hAnsi="Calibri" w:eastAsia="Calibri" w:cs="Calibri"/>
          <w:color w:val="212121"/>
          <w:sz w:val="20"/>
          <w:szCs w:val="20"/>
        </w:rPr>
        <w:t>252</w:t>
      </w:r>
    </w:p>
    <w:p>
      <w:pPr>
        <w:pStyle w:val="TOC2"/>
      </w:pPr>
      <w:r>
        <w:rPr>
          <w:rFonts w:ascii="Calibri" w:hAnsi="Calibri" w:eastAsia="Calibri" w:cs="Calibri"/>
          <w:color w:val="212121"/>
          <w:sz w:val="20"/>
          <w:szCs w:val="20"/>
        </w:rPr>
        <w:t>Section 8.25: Resilience Investment Credits</w:t>
      </w:r>
      <w:r>
        <w:rPr>
          <w:rFonts w:ascii="Calibri" w:hAnsi="Calibri"/>
          <w:color w:val="212121"/>
          <w:sz w:val="20"/>
        </w:rPr>
        <w:tab/>
      </w:r>
      <w:r>
        <w:rPr>
          <w:rFonts w:ascii="Calibri" w:hAnsi="Calibri" w:eastAsia="Calibri" w:cs="Calibri"/>
          <w:color w:val="212121"/>
          <w:sz w:val="20"/>
          <w:szCs w:val="20"/>
        </w:rPr>
        <w:t>252</w:t>
      </w:r>
    </w:p>
    <w:p>
      <w:pPr>
        <w:pStyle w:val="TOC2"/>
      </w:pPr>
      <w:r>
        <w:rPr>
          <w:rFonts w:ascii="Calibri" w:hAnsi="Calibri" w:eastAsia="Calibri" w:cs="Calibri"/>
          <w:color w:val="212121"/>
          <w:sz w:val="20"/>
          <w:szCs w:val="20"/>
        </w:rPr>
        <w:t>Section 8.26: Essential Imports Safeguard</w:t>
      </w:r>
      <w:r>
        <w:rPr>
          <w:rFonts w:ascii="Calibri" w:hAnsi="Calibri"/>
          <w:color w:val="212121"/>
          <w:sz w:val="20"/>
        </w:rPr>
        <w:tab/>
      </w:r>
      <w:r>
        <w:rPr>
          <w:rFonts w:ascii="Calibri" w:hAnsi="Calibri" w:eastAsia="Calibri" w:cs="Calibri"/>
          <w:color w:val="212121"/>
          <w:sz w:val="20"/>
          <w:szCs w:val="20"/>
        </w:rPr>
        <w:t>253</w:t>
      </w:r>
    </w:p>
    <w:p>
      <w:pPr>
        <w:pStyle w:val="TOC2"/>
      </w:pPr>
      <w:r>
        <w:rPr>
          <w:rFonts w:ascii="Calibri" w:hAnsi="Calibri" w:eastAsia="Calibri" w:cs="Calibri"/>
          <w:color w:val="212121"/>
          <w:sz w:val="20"/>
          <w:szCs w:val="20"/>
        </w:rPr>
        <w:t>Section 8.27: Pre-Arranged Liquidity and Trade Credit Network</w:t>
      </w:r>
      <w:r>
        <w:rPr>
          <w:rFonts w:ascii="Calibri" w:hAnsi="Calibri"/>
          <w:color w:val="212121"/>
          <w:sz w:val="20"/>
        </w:rPr>
        <w:tab/>
      </w:r>
      <w:r>
        <w:rPr>
          <w:rFonts w:ascii="Calibri" w:hAnsi="Calibri" w:eastAsia="Calibri" w:cs="Calibri"/>
          <w:color w:val="212121"/>
          <w:sz w:val="20"/>
          <w:szCs w:val="20"/>
        </w:rPr>
        <w:t>253</w:t>
      </w:r>
    </w:p>
    <w:p>
      <w:pPr>
        <w:pStyle w:val="TOC2"/>
      </w:pPr>
      <w:r>
        <w:rPr>
          <w:rFonts w:ascii="Calibri" w:hAnsi="Calibri" w:eastAsia="Calibri" w:cs="Calibri"/>
          <w:color w:val="212121"/>
          <w:sz w:val="20"/>
          <w:szCs w:val="20"/>
        </w:rPr>
        <w:t>Section 8.28: Supply-Chain Resilience Pre-Investment Facility</w:t>
      </w:r>
      <w:r>
        <w:rPr>
          <w:rFonts w:ascii="Calibri" w:hAnsi="Calibri"/>
          <w:color w:val="212121"/>
          <w:sz w:val="20"/>
        </w:rPr>
        <w:tab/>
      </w:r>
      <w:r>
        <w:rPr>
          <w:rFonts w:ascii="Calibri" w:hAnsi="Calibri" w:eastAsia="Calibri" w:cs="Calibri"/>
          <w:color w:val="212121"/>
          <w:sz w:val="20"/>
          <w:szCs w:val="20"/>
        </w:rPr>
        <w:t>253</w:t>
      </w:r>
    </w:p>
    <w:p>
      <w:pPr>
        <w:pStyle w:val="TOC2"/>
      </w:pPr>
      <w:r>
        <w:rPr>
          <w:rFonts w:ascii="Calibri" w:hAnsi="Calibri" w:eastAsia="Calibri" w:cs="Calibri"/>
          <w:color w:val="212121"/>
          <w:sz w:val="20"/>
          <w:szCs w:val="20"/>
        </w:rPr>
        <w:t>Section 8.28A: Regional Logistics Surge Authority [NEW: v15.0]</w:t>
      </w:r>
      <w:r>
        <w:rPr>
          <w:rFonts w:ascii="Calibri" w:hAnsi="Calibri"/>
          <w:color w:val="212121"/>
          <w:sz w:val="20"/>
        </w:rPr>
        <w:tab/>
      </w:r>
      <w:r>
        <w:rPr>
          <w:rFonts w:ascii="Calibri" w:hAnsi="Calibri" w:eastAsia="Calibri" w:cs="Calibri"/>
          <w:color w:val="212121"/>
          <w:sz w:val="20"/>
          <w:szCs w:val="20"/>
        </w:rPr>
        <w:t>253</w:t>
      </w:r>
    </w:p>
    <w:p>
      <w:pPr>
        <w:pStyle w:val="TOC2"/>
      </w:pPr>
      <w:r>
        <w:rPr>
          <w:rFonts w:ascii="Calibri" w:hAnsi="Calibri" w:eastAsia="Calibri" w:cs="Calibri"/>
          <w:color w:val="212121"/>
          <w:sz w:val="20"/>
          <w:szCs w:val="20"/>
        </w:rPr>
        <w:t>Section 8.28B: Strategic Processed Minerals Reserve [NEW: v15.0]</w:t>
      </w:r>
      <w:r>
        <w:rPr>
          <w:rFonts w:ascii="Calibri" w:hAnsi="Calibri"/>
          <w:color w:val="212121"/>
          <w:sz w:val="20"/>
        </w:rPr>
        <w:tab/>
      </w:r>
      <w:r>
        <w:rPr>
          <w:rFonts w:ascii="Calibri" w:hAnsi="Calibri" w:eastAsia="Calibri" w:cs="Calibri"/>
          <w:color w:val="212121"/>
          <w:sz w:val="20"/>
          <w:szCs w:val="20"/>
        </w:rPr>
        <w:t>254</w:t>
      </w:r>
    </w:p>
    <w:p>
      <w:pPr>
        <w:pStyle w:val="TOC2"/>
      </w:pPr>
      <w:r>
        <w:rPr>
          <w:rFonts w:ascii="Calibri" w:hAnsi="Calibri" w:eastAsia="Calibri" w:cs="Calibri"/>
          <w:color w:val="212121"/>
          <w:sz w:val="20"/>
          <w:szCs w:val="20"/>
        </w:rPr>
        <w:t>Section 8.28C: IMESI Infrastructure Investment Fund (IIIF) [NEW: v15.0]</w:t>
      </w:r>
      <w:r>
        <w:rPr>
          <w:rFonts w:ascii="Calibri" w:hAnsi="Calibri"/>
          <w:color w:val="212121"/>
          <w:sz w:val="20"/>
        </w:rPr>
        <w:tab/>
      </w:r>
      <w:r>
        <w:rPr>
          <w:rFonts w:ascii="Calibri" w:hAnsi="Calibri" w:eastAsia="Calibri" w:cs="Calibri"/>
          <w:color w:val="212121"/>
          <w:sz w:val="20"/>
          <w:szCs w:val="20"/>
        </w:rPr>
        <w:t>254</w:t>
      </w:r>
    </w:p>
    <w:p>
      <w:pPr>
        <w:pStyle w:val="TOC2"/>
      </w:pPr>
      <w:r>
        <w:rPr>
          <w:rFonts w:ascii="Calibri" w:hAnsi="Calibri" w:eastAsia="Calibri" w:cs="Calibri"/>
          <w:color w:val="212121"/>
          <w:sz w:val="20"/>
          <w:szCs w:val="20"/>
        </w:rPr>
        <w:t>Section 8.28D: IMESI Energy Security Pool (ESP) [NEW: v15.0]</w:t>
      </w:r>
      <w:r>
        <w:rPr>
          <w:rFonts w:ascii="Calibri" w:hAnsi="Calibri"/>
          <w:color w:val="212121"/>
          <w:sz w:val="20"/>
        </w:rPr>
        <w:tab/>
      </w:r>
      <w:r>
        <w:rPr>
          <w:rFonts w:ascii="Calibri" w:hAnsi="Calibri" w:eastAsia="Calibri" w:cs="Calibri"/>
          <w:color w:val="212121"/>
          <w:sz w:val="20"/>
          <w:szCs w:val="20"/>
        </w:rPr>
        <w:t>255</w:t>
      </w:r>
    </w:p>
    <w:p>
      <w:pPr>
        <w:pStyle w:val="TOC2"/>
      </w:pPr>
      <w:r>
        <w:rPr>
          <w:rFonts w:ascii="Calibri" w:hAnsi="Calibri" w:eastAsia="Calibri" w:cs="Calibri"/>
          <w:color w:val="212121"/>
          <w:sz w:val="20"/>
          <w:szCs w:val="20"/>
        </w:rPr>
        <w:t>Section 8.29: Automatic Trade Diversification Acceleration Trigger</w:t>
      </w:r>
      <w:r>
        <w:rPr>
          <w:rFonts w:ascii="Calibri" w:hAnsi="Calibri"/>
          <w:color w:val="212121"/>
          <w:sz w:val="20"/>
        </w:rPr>
        <w:tab/>
      </w:r>
      <w:r>
        <w:rPr>
          <w:rFonts w:ascii="Calibri" w:hAnsi="Calibri" w:eastAsia="Calibri" w:cs="Calibri"/>
          <w:color w:val="212121"/>
          <w:sz w:val="20"/>
          <w:szCs w:val="20"/>
        </w:rPr>
        <w:t>255</w:t>
      </w:r>
    </w:p>
    <w:p>
      <w:pPr>
        <w:pStyle w:val="TOC2"/>
      </w:pPr>
      <w:r>
        <w:rPr>
          <w:rFonts w:ascii="Calibri" w:hAnsi="Calibri" w:eastAsia="Calibri" w:cs="Calibri"/>
          <w:color w:val="212121"/>
          <w:sz w:val="20"/>
          <w:szCs w:val="20"/>
        </w:rPr>
        <w:t>Section 7.4A: Domestic Industry Safeguard Trigger [NEW: v9.8A Institutional Maturity]</w:t>
      </w:r>
      <w:r>
        <w:rPr>
          <w:rFonts w:ascii="Calibri" w:hAnsi="Calibri"/>
          <w:color w:val="212121"/>
          <w:sz w:val="20"/>
        </w:rPr>
        <w:tab/>
      </w:r>
      <w:r>
        <w:rPr>
          <w:rFonts w:ascii="Calibri" w:hAnsi="Calibri" w:eastAsia="Calibri" w:cs="Calibri"/>
          <w:color w:val="212121"/>
          <w:sz w:val="20"/>
          <w:szCs w:val="20"/>
        </w:rPr>
        <w:t>255</w:t>
      </w:r>
    </w:p>
    <w:p>
      <w:pPr>
        <w:pStyle w:val="TOC2"/>
      </w:pPr>
      <w:r>
        <w:rPr>
          <w:rFonts w:ascii="Calibri" w:hAnsi="Calibri" w:eastAsia="Calibri" w:cs="Calibri"/>
          <w:color w:val="212121"/>
          <w:sz w:val="20"/>
          <w:szCs w:val="20"/>
        </w:rPr>
        <w:t>Section 7.5: Symmetric Restraint for Systemic-Economy Stabilisation Measures [NEW: v9.8A Institutional Maturity]</w:t>
      </w:r>
      <w:r>
        <w:rPr>
          <w:rFonts w:ascii="Calibri" w:hAnsi="Calibri"/>
          <w:color w:val="212121"/>
          <w:sz w:val="20"/>
        </w:rPr>
        <w:tab/>
      </w:r>
      <w:r>
        <w:rPr>
          <w:rFonts w:ascii="Calibri" w:hAnsi="Calibri" w:eastAsia="Calibri" w:cs="Calibri"/>
          <w:color w:val="212121"/>
          <w:sz w:val="20"/>
          <w:szCs w:val="20"/>
        </w:rPr>
        <w:t>256</w:t>
      </w:r>
    </w:p>
    <w:p>
      <w:pPr>
        <w:pStyle w:val="TOC2"/>
      </w:pPr>
      <w:r>
        <w:rPr>
          <w:rFonts w:ascii="Calibri" w:hAnsi="Calibri" w:eastAsia="Calibri" w:cs="Calibri"/>
          <w:color w:val="212121"/>
          <w:sz w:val="20"/>
          <w:szCs w:val="20"/>
        </w:rPr>
        <w:t>Section 8.30: Coalition Capacity Insurance (CCI) [NEW: v9.8 Safe Addition]</w:t>
      </w:r>
      <w:r>
        <w:rPr>
          <w:rFonts w:ascii="Calibri" w:hAnsi="Calibri"/>
          <w:color w:val="212121"/>
          <w:sz w:val="20"/>
        </w:rPr>
        <w:tab/>
      </w:r>
      <w:r>
        <w:rPr>
          <w:rFonts w:ascii="Calibri" w:hAnsi="Calibri" w:eastAsia="Calibri" w:cs="Calibri"/>
          <w:color w:val="212121"/>
          <w:sz w:val="20"/>
          <w:szCs w:val="20"/>
        </w:rPr>
        <w:t>256</w:t>
      </w:r>
    </w:p>
    <w:p>
      <w:pPr>
        <w:pStyle w:val="TOC2"/>
      </w:pPr>
      <w:r>
        <w:rPr>
          <w:rFonts w:ascii="Calibri" w:hAnsi="Calibri" w:eastAsia="Calibri" w:cs="Calibri"/>
          <w:color w:val="212121"/>
          <w:sz w:val="20"/>
          <w:szCs w:val="20"/>
        </w:rPr>
        <w:t>Section 8.31: Arbitrary Shock Diversification Facility [NEW: v12.1]</w:t>
      </w:r>
      <w:r>
        <w:rPr>
          <w:rFonts w:ascii="Calibri" w:hAnsi="Calibri"/>
          <w:color w:val="212121"/>
          <w:sz w:val="20"/>
        </w:rPr>
        <w:tab/>
      </w:r>
      <w:r>
        <w:rPr>
          <w:rFonts w:ascii="Calibri" w:hAnsi="Calibri" w:eastAsia="Calibri" w:cs="Calibri"/>
          <w:color w:val="212121"/>
          <w:sz w:val="20"/>
          <w:szCs w:val="20"/>
        </w:rPr>
        <w:t>257</w:t>
      </w:r>
    </w:p>
    <w:p>
      <w:pPr>
        <w:pStyle w:val="TOC2"/>
      </w:pPr>
      <w:r>
        <w:rPr>
          <w:rFonts w:ascii="Calibri" w:hAnsi="Calibri" w:eastAsia="Calibri" w:cs="Calibri"/>
          <w:color w:val="212121"/>
          <w:sz w:val="20"/>
          <w:szCs w:val="20"/>
        </w:rPr>
        <w:t>Section 8.32: Unilateral Measure Stabilisation Fund [NEW: v12.1]</w:t>
      </w:r>
      <w:r>
        <w:rPr>
          <w:rFonts w:ascii="Calibri" w:hAnsi="Calibri"/>
          <w:color w:val="212121"/>
          <w:sz w:val="20"/>
        </w:rPr>
        <w:tab/>
      </w:r>
      <w:r>
        <w:rPr>
          <w:rFonts w:ascii="Calibri" w:hAnsi="Calibri" w:eastAsia="Calibri" w:cs="Calibri"/>
          <w:color w:val="212121"/>
          <w:sz w:val="20"/>
          <w:szCs w:val="20"/>
        </w:rPr>
        <w:t>257</w:t>
      </w:r>
    </w:p>
    <w:p>
      <w:pPr>
        <w:pStyle w:val="TOC2"/>
      </w:pPr>
      <w:r>
        <w:rPr>
          <w:rFonts w:ascii="Calibri" w:hAnsi="Calibri" w:eastAsia="Calibri" w:cs="Calibri"/>
          <w:color w:val="212121"/>
          <w:sz w:val="20"/>
          <w:szCs w:val="20"/>
        </w:rPr>
        <w:t>Section 8.33: Private Sector Liquidity Guarantee Programme [NEW: v12.1]</w:t>
      </w:r>
      <w:r>
        <w:rPr>
          <w:rFonts w:ascii="Calibri" w:hAnsi="Calibri"/>
          <w:color w:val="212121"/>
          <w:sz w:val="20"/>
        </w:rPr>
        <w:tab/>
      </w:r>
      <w:r>
        <w:rPr>
          <w:rFonts w:ascii="Calibri" w:hAnsi="Calibri" w:eastAsia="Calibri" w:cs="Calibri"/>
          <w:color w:val="212121"/>
          <w:sz w:val="20"/>
          <w:szCs w:val="20"/>
        </w:rPr>
        <w:t>257</w:t>
      </w:r>
    </w:p>
    <w:p>
      <w:pPr>
        <w:pStyle w:val="TOC2"/>
      </w:pPr>
      <w:r>
        <w:rPr>
          <w:rFonts w:ascii="Calibri" w:hAnsi="Calibri" w:eastAsia="Calibri" w:cs="Calibri"/>
          <w:color w:val="212121"/>
          <w:sz w:val="20"/>
          <w:szCs w:val="20"/>
        </w:rPr>
        <w:t>Section 8.34: Military Insurance Fund (MIF) [NEW: v15.0]</w:t>
      </w:r>
      <w:r>
        <w:rPr>
          <w:rFonts w:ascii="Calibri" w:hAnsi="Calibri"/>
          <w:color w:val="212121"/>
          <w:sz w:val="20"/>
        </w:rPr>
        <w:tab/>
      </w:r>
      <w:r>
        <w:rPr>
          <w:rFonts w:ascii="Calibri" w:hAnsi="Calibri" w:eastAsia="Calibri" w:cs="Calibri"/>
          <w:color w:val="212121"/>
          <w:sz w:val="20"/>
          <w:szCs w:val="20"/>
        </w:rPr>
        <w:t>259</w:t>
      </w:r>
    </w:p>
    <w:p>
      <w:pPr>
        <w:pStyle w:val="TOC2"/>
      </w:pPr>
      <w:r>
        <w:rPr>
          <w:rFonts w:ascii="Calibri" w:hAnsi="Calibri" w:eastAsia="Calibri" w:cs="Calibri"/>
          <w:color w:val="212121"/>
          <w:sz w:val="20"/>
          <w:szCs w:val="20"/>
        </w:rPr>
        <w:t>Section 8.35: Civilian Evacuation Corridor [NEW: v15.0]</w:t>
      </w:r>
      <w:r>
        <w:rPr>
          <w:rFonts w:ascii="Calibri" w:hAnsi="Calibri"/>
          <w:color w:val="212121"/>
          <w:sz w:val="20"/>
        </w:rPr>
        <w:tab/>
      </w:r>
      <w:r>
        <w:rPr>
          <w:rFonts w:ascii="Calibri" w:hAnsi="Calibri" w:eastAsia="Calibri" w:cs="Calibri"/>
          <w:color w:val="212121"/>
          <w:sz w:val="20"/>
          <w:szCs w:val="20"/>
        </w:rPr>
        <w:t>259</w:t>
      </w:r>
    </w:p>
    <w:p>
      <w:pPr>
        <w:pStyle w:val="TOC2"/>
      </w:pPr>
      <w:r>
        <w:rPr>
          <w:rFonts w:ascii="Calibri" w:hAnsi="Calibri" w:eastAsia="Calibri" w:cs="Calibri"/>
          <w:color w:val="212121"/>
          <w:sz w:val="20"/>
          <w:szCs w:val="20"/>
        </w:rPr>
        <w:t>Section 8.36: Solidarity Bonus Amplifier [NEW: v15.0]</w:t>
      </w:r>
      <w:r>
        <w:rPr>
          <w:rFonts w:ascii="Calibri" w:hAnsi="Calibri"/>
          <w:color w:val="212121"/>
          <w:sz w:val="20"/>
        </w:rPr>
        <w:tab/>
      </w:r>
      <w:r>
        <w:rPr>
          <w:rFonts w:ascii="Calibri" w:hAnsi="Calibri" w:eastAsia="Calibri" w:cs="Calibri"/>
          <w:color w:val="212121"/>
          <w:sz w:val="20"/>
          <w:szCs w:val="20"/>
        </w:rPr>
        <w:t>260</w:t>
      </w:r>
    </w:p>
    <w:p>
      <w:pPr>
        <w:pStyle w:val="TOC1"/>
      </w:pPr>
      <w:r>
        <w:rPr>
          <w:rFonts w:ascii="Calibri" w:hAnsi="Calibri" w:eastAsia="Calibri" w:cs="Calibri"/>
          <w:b/>
          <w:color w:val="37474F"/>
          <w:sz w:val="21"/>
          <w:szCs w:val="21"/>
        </w:rPr>
        <w:t>ARTICLE IX: EXTERNAL ENGAGEMENT</w:t>
      </w:r>
      <w:r>
        <w:rPr>
          <w:rFonts w:ascii="Calibri" w:hAnsi="Calibri"/>
          <w:b/>
          <w:color w:val="37474F"/>
          <w:sz w:val="21"/>
        </w:rPr>
        <w:tab/>
      </w:r>
      <w:r>
        <w:rPr>
          <w:rFonts w:ascii="Calibri" w:hAnsi="Calibri" w:eastAsia="Calibri" w:cs="Calibri"/>
          <w:b/>
          <w:color w:val="37474F"/>
          <w:sz w:val="21"/>
          <w:szCs w:val="21"/>
        </w:rPr>
        <w:t>261</w:t>
      </w:r>
    </w:p>
    <w:p>
      <w:pPr>
        <w:pStyle w:val="TOC2"/>
      </w:pPr>
      <w:r>
        <w:rPr>
          <w:rFonts w:ascii="Calibri" w:hAnsi="Calibri" w:eastAsia="Calibri" w:cs="Calibri"/>
          <w:color w:val="212121"/>
          <w:sz w:val="20"/>
          <w:szCs w:val="20"/>
        </w:rPr>
        <w:t>Section 9.1: WTO and Multilateral Engagement</w:t>
      </w:r>
      <w:r>
        <w:rPr>
          <w:rFonts w:ascii="Calibri" w:hAnsi="Calibri"/>
          <w:color w:val="212121"/>
          <w:sz w:val="20"/>
        </w:rPr>
        <w:tab/>
      </w:r>
      <w:r>
        <w:rPr>
          <w:rFonts w:ascii="Calibri" w:hAnsi="Calibri" w:eastAsia="Calibri" w:cs="Calibri"/>
          <w:color w:val="212121"/>
          <w:sz w:val="20"/>
          <w:szCs w:val="20"/>
        </w:rPr>
        <w:t>261</w:t>
      </w:r>
    </w:p>
    <w:p>
      <w:pPr>
        <w:pStyle w:val="TOC2"/>
      </w:pPr>
      <w:r>
        <w:rPr>
          <w:rFonts w:ascii="Calibri" w:hAnsi="Calibri" w:eastAsia="Calibri" w:cs="Calibri"/>
          <w:color w:val="212121"/>
          <w:sz w:val="20"/>
          <w:szCs w:val="20"/>
        </w:rPr>
        <w:t>Section 9.1B: GATT Article XXI Pre-Certification [NEW: v15.0]</w:t>
      </w:r>
      <w:r>
        <w:rPr>
          <w:rFonts w:ascii="Calibri" w:hAnsi="Calibri"/>
          <w:color w:val="212121"/>
          <w:sz w:val="20"/>
        </w:rPr>
        <w:tab/>
      </w:r>
      <w:r>
        <w:rPr>
          <w:rFonts w:ascii="Calibri" w:hAnsi="Calibri" w:eastAsia="Calibri" w:cs="Calibri"/>
          <w:color w:val="212121"/>
          <w:sz w:val="20"/>
          <w:szCs w:val="20"/>
        </w:rPr>
        <w:t>262</w:t>
      </w:r>
    </w:p>
    <w:p>
      <w:pPr>
        <w:pStyle w:val="TOC2"/>
      </w:pPr>
      <w:r>
        <w:rPr>
          <w:rFonts w:ascii="Calibri" w:hAnsi="Calibri" w:eastAsia="Calibri" w:cs="Calibri"/>
          <w:color w:val="212121"/>
          <w:sz w:val="20"/>
          <w:szCs w:val="20"/>
        </w:rPr>
        <w:t>Section 9.2: Multilateral Coordination Protocol</w:t>
      </w:r>
      <w:r>
        <w:rPr>
          <w:rFonts w:ascii="Calibri" w:hAnsi="Calibri"/>
          <w:color w:val="212121"/>
          <w:sz w:val="20"/>
        </w:rPr>
        <w:tab/>
      </w:r>
      <w:r>
        <w:rPr>
          <w:rFonts w:ascii="Calibri" w:hAnsi="Calibri" w:eastAsia="Calibri" w:cs="Calibri"/>
          <w:color w:val="212121"/>
          <w:sz w:val="20"/>
          <w:szCs w:val="20"/>
        </w:rPr>
        <w:t>262</w:t>
      </w:r>
    </w:p>
    <w:p>
      <w:pPr>
        <w:pStyle w:val="TOC2"/>
      </w:pPr>
      <w:r>
        <w:rPr>
          <w:rFonts w:ascii="Calibri" w:hAnsi="Calibri" w:eastAsia="Calibri" w:cs="Calibri"/>
          <w:color w:val="212121"/>
          <w:sz w:val="20"/>
          <w:szCs w:val="20"/>
        </w:rPr>
        <w:t>Section 9.2A: WTO Institutional Partnership</w:t>
      </w:r>
      <w:r>
        <w:rPr>
          <w:rFonts w:ascii="Calibri" w:hAnsi="Calibri"/>
          <w:color w:val="212121"/>
          <w:sz w:val="20"/>
        </w:rPr>
        <w:tab/>
      </w:r>
      <w:r>
        <w:rPr>
          <w:rFonts w:ascii="Calibri" w:hAnsi="Calibri" w:eastAsia="Calibri" w:cs="Calibri"/>
          <w:color w:val="212121"/>
          <w:sz w:val="20"/>
          <w:szCs w:val="20"/>
        </w:rPr>
        <w:t>263</w:t>
      </w:r>
    </w:p>
    <w:p>
      <w:pPr>
        <w:pStyle w:val="TOC2"/>
      </w:pPr>
      <w:r>
        <w:rPr>
          <w:rFonts w:ascii="Calibri" w:hAnsi="Calibri" w:eastAsia="Calibri" w:cs="Calibri"/>
          <w:color w:val="212121"/>
          <w:sz w:val="20"/>
          <w:szCs w:val="20"/>
        </w:rPr>
        <w:t>Section 9.2B: WTO Coordination and Defence Unit [NEW: v15.0]</w:t>
      </w:r>
      <w:r>
        <w:rPr>
          <w:rFonts w:ascii="Calibri" w:hAnsi="Calibri"/>
          <w:color w:val="212121"/>
          <w:sz w:val="20"/>
        </w:rPr>
        <w:tab/>
      </w:r>
      <w:r>
        <w:rPr>
          <w:rFonts w:ascii="Calibri" w:hAnsi="Calibri" w:eastAsia="Calibri" w:cs="Calibri"/>
          <w:color w:val="212121"/>
          <w:sz w:val="20"/>
          <w:szCs w:val="20"/>
        </w:rPr>
        <w:t>263</w:t>
      </w:r>
    </w:p>
    <w:p>
      <w:pPr>
        <w:pStyle w:val="TOC2"/>
      </w:pPr>
      <w:r>
        <w:rPr>
          <w:rFonts w:ascii="Calibri" w:hAnsi="Calibri" w:eastAsia="Calibri" w:cs="Calibri"/>
          <w:color w:val="212121"/>
          <w:sz w:val="20"/>
          <w:szCs w:val="20"/>
        </w:rPr>
        <w:t>Section 9.3: Treaty Compatibility Mechanism</w:t>
      </w:r>
      <w:r>
        <w:rPr>
          <w:rFonts w:ascii="Calibri" w:hAnsi="Calibri"/>
          <w:color w:val="212121"/>
          <w:sz w:val="20"/>
        </w:rPr>
        <w:tab/>
      </w:r>
      <w:r>
        <w:rPr>
          <w:rFonts w:ascii="Calibri" w:hAnsi="Calibri" w:eastAsia="Calibri" w:cs="Calibri"/>
          <w:color w:val="212121"/>
          <w:sz w:val="20"/>
          <w:szCs w:val="20"/>
        </w:rPr>
        <w:t>263</w:t>
      </w:r>
    </w:p>
    <w:p>
      <w:pPr>
        <w:pStyle w:val="TOC2"/>
      </w:pPr>
      <w:r>
        <w:rPr>
          <w:rFonts w:ascii="Calibri" w:hAnsi="Calibri" w:eastAsia="Calibri" w:cs="Calibri"/>
          <w:color w:val="212121"/>
          <w:sz w:val="20"/>
          <w:szCs w:val="20"/>
        </w:rPr>
        <w:t>Section 9.4: Hierarchy of Obligations and Regional Accommodation</w:t>
      </w:r>
      <w:r>
        <w:rPr>
          <w:rFonts w:ascii="Calibri" w:hAnsi="Calibri"/>
          <w:color w:val="212121"/>
          <w:sz w:val="20"/>
        </w:rPr>
        <w:tab/>
      </w:r>
      <w:r>
        <w:rPr>
          <w:rFonts w:ascii="Calibri" w:hAnsi="Calibri" w:eastAsia="Calibri" w:cs="Calibri"/>
          <w:color w:val="212121"/>
          <w:sz w:val="20"/>
          <w:szCs w:val="20"/>
        </w:rPr>
        <w:t>264</w:t>
      </w:r>
    </w:p>
    <w:p>
      <w:pPr>
        <w:pStyle w:val="TOC2"/>
      </w:pPr>
      <w:r>
        <w:rPr>
          <w:rFonts w:ascii="Calibri" w:hAnsi="Calibri" w:eastAsia="Calibri" w:cs="Calibri"/>
          <w:color w:val="212121"/>
          <w:sz w:val="20"/>
          <w:szCs w:val="20"/>
        </w:rPr>
        <w:t>Section 9.4B: WTO Non-Violation Rebuttal Protocol [NEW: v15.0]</w:t>
      </w:r>
      <w:r>
        <w:rPr>
          <w:rFonts w:ascii="Calibri" w:hAnsi="Calibri"/>
          <w:color w:val="212121"/>
          <w:sz w:val="20"/>
        </w:rPr>
        <w:tab/>
      </w:r>
      <w:r>
        <w:rPr>
          <w:rFonts w:ascii="Calibri" w:hAnsi="Calibri" w:eastAsia="Calibri" w:cs="Calibri"/>
          <w:color w:val="212121"/>
          <w:sz w:val="20"/>
          <w:szCs w:val="20"/>
        </w:rPr>
        <w:t>265</w:t>
      </w:r>
    </w:p>
    <w:p>
      <w:pPr>
        <w:pStyle w:val="TOC2"/>
      </w:pPr>
      <w:r>
        <w:rPr>
          <w:rFonts w:ascii="Calibri" w:hAnsi="Calibri" w:eastAsia="Calibri" w:cs="Calibri"/>
          <w:color w:val="212121"/>
          <w:sz w:val="20"/>
          <w:szCs w:val="20"/>
        </w:rPr>
        <w:t>Section 9.4C: Affirmation of the Security Exception [NEW: v15.0]</w:t>
      </w:r>
      <w:r>
        <w:rPr>
          <w:rFonts w:ascii="Calibri" w:hAnsi="Calibri"/>
          <w:color w:val="212121"/>
          <w:sz w:val="20"/>
        </w:rPr>
        <w:tab/>
      </w:r>
      <w:r>
        <w:rPr>
          <w:rFonts w:ascii="Calibri" w:hAnsi="Calibri" w:eastAsia="Calibri" w:cs="Calibri"/>
          <w:color w:val="212121"/>
          <w:sz w:val="20"/>
          <w:szCs w:val="20"/>
        </w:rPr>
        <w:t>266</w:t>
      </w:r>
    </w:p>
    <w:p>
      <w:pPr>
        <w:pStyle w:val="TOC2"/>
      </w:pPr>
      <w:r>
        <w:rPr>
          <w:rFonts w:ascii="Calibri" w:hAnsi="Calibri" w:eastAsia="Calibri" w:cs="Calibri"/>
          <w:color w:val="212121"/>
          <w:sz w:val="20"/>
          <w:szCs w:val="20"/>
        </w:rPr>
        <w:t>Section 9.5: Systemic-Economy Cooperation Track</w:t>
      </w:r>
      <w:r>
        <w:rPr>
          <w:rFonts w:ascii="Calibri" w:hAnsi="Calibri"/>
          <w:color w:val="212121"/>
          <w:sz w:val="20"/>
        </w:rPr>
        <w:tab/>
      </w:r>
      <w:r>
        <w:rPr>
          <w:rFonts w:ascii="Calibri" w:hAnsi="Calibri" w:eastAsia="Calibri" w:cs="Calibri"/>
          <w:color w:val="212121"/>
          <w:sz w:val="20"/>
          <w:szCs w:val="20"/>
        </w:rPr>
        <w:t>266</w:t>
      </w:r>
    </w:p>
    <w:p>
      <w:pPr>
        <w:pStyle w:val="TOC2"/>
      </w:pPr>
      <w:r>
        <w:rPr>
          <w:rFonts w:ascii="Calibri" w:hAnsi="Calibri" w:eastAsia="Calibri" w:cs="Calibri"/>
          <w:color w:val="212121"/>
          <w:sz w:val="20"/>
          <w:szCs w:val="20"/>
        </w:rPr>
        <w:t>Section 9.6: Resilience Partner Status</w:t>
      </w:r>
      <w:r>
        <w:rPr>
          <w:rFonts w:ascii="Calibri" w:hAnsi="Calibri"/>
          <w:color w:val="212121"/>
          <w:sz w:val="20"/>
        </w:rPr>
        <w:tab/>
      </w:r>
      <w:r>
        <w:rPr>
          <w:rFonts w:ascii="Calibri" w:hAnsi="Calibri" w:eastAsia="Calibri" w:cs="Calibri"/>
          <w:color w:val="212121"/>
          <w:sz w:val="20"/>
          <w:szCs w:val="20"/>
        </w:rPr>
        <w:t>266</w:t>
      </w:r>
    </w:p>
    <w:p>
      <w:pPr>
        <w:pStyle w:val="TOC2"/>
      </w:pPr>
      <w:r>
        <w:rPr>
          <w:rFonts w:ascii="Calibri" w:hAnsi="Calibri" w:eastAsia="Calibri" w:cs="Calibri"/>
          <w:color w:val="212121"/>
          <w:sz w:val="20"/>
          <w:szCs w:val="20"/>
        </w:rPr>
        <w:t>Section 9.7: Political-Military Liaison Channel [NEW: v9.8A Military-Economic Nexus]</w:t>
      </w:r>
      <w:r>
        <w:rPr>
          <w:rFonts w:ascii="Calibri" w:hAnsi="Calibri"/>
          <w:color w:val="212121"/>
          <w:sz w:val="20"/>
        </w:rPr>
        <w:tab/>
      </w:r>
      <w:r>
        <w:rPr>
          <w:rFonts w:ascii="Calibri" w:hAnsi="Calibri" w:eastAsia="Calibri" w:cs="Calibri"/>
          <w:color w:val="212121"/>
          <w:sz w:val="20"/>
          <w:szCs w:val="20"/>
        </w:rPr>
        <w:t>267</w:t>
      </w:r>
    </w:p>
    <w:p>
      <w:pPr>
        <w:pStyle w:val="TOC2"/>
      </w:pPr>
      <w:r>
        <w:rPr>
          <w:rFonts w:ascii="Calibri" w:hAnsi="Calibri" w:eastAsia="Calibri" w:cs="Calibri"/>
          <w:color w:val="212121"/>
          <w:sz w:val="20"/>
          <w:szCs w:val="20"/>
        </w:rPr>
        <w:t>Section 9.8: Private Sector Stabilisation Channel [NEW: v9.8A Adoption Readiness]</w:t>
      </w:r>
      <w:r>
        <w:rPr>
          <w:rFonts w:ascii="Calibri" w:hAnsi="Calibri"/>
          <w:color w:val="212121"/>
          <w:sz w:val="20"/>
        </w:rPr>
        <w:tab/>
      </w:r>
      <w:r>
        <w:rPr>
          <w:rFonts w:ascii="Calibri" w:hAnsi="Calibri" w:eastAsia="Calibri" w:cs="Calibri"/>
          <w:color w:val="212121"/>
          <w:sz w:val="20"/>
          <w:szCs w:val="20"/>
        </w:rPr>
        <w:t>267</w:t>
      </w:r>
    </w:p>
    <w:p>
      <w:pPr>
        <w:pStyle w:val="TOC2"/>
      </w:pPr>
      <w:r>
        <w:rPr>
          <w:rFonts w:ascii="Calibri" w:hAnsi="Calibri" w:eastAsia="Calibri" w:cs="Calibri"/>
          <w:color w:val="212121"/>
          <w:sz w:val="20"/>
          <w:szCs w:val="20"/>
        </w:rPr>
        <w:t>Section 9.8A: IMESI Business Council [NEW: v9.8B]</w:t>
      </w:r>
      <w:r>
        <w:rPr>
          <w:rFonts w:ascii="Calibri" w:hAnsi="Calibri"/>
          <w:color w:val="212121"/>
          <w:sz w:val="20"/>
        </w:rPr>
        <w:tab/>
      </w:r>
      <w:r>
        <w:rPr>
          <w:rFonts w:ascii="Calibri" w:hAnsi="Calibri" w:eastAsia="Calibri" w:cs="Calibri"/>
          <w:color w:val="212121"/>
          <w:sz w:val="20"/>
          <w:szCs w:val="20"/>
        </w:rPr>
        <w:t>268</w:t>
      </w:r>
    </w:p>
    <w:p>
      <w:pPr>
        <w:pStyle w:val="TOC2"/>
      </w:pPr>
      <w:r>
        <w:rPr>
          <w:rFonts w:ascii="Calibri" w:hAnsi="Calibri" w:eastAsia="Calibri" w:cs="Calibri"/>
          <w:color w:val="212121"/>
          <w:sz w:val="20"/>
          <w:szCs w:val="20"/>
        </w:rPr>
        <w:t>Section 9.8B: Private-Sector Compliance Principles [NEW: v9.8B]</w:t>
      </w:r>
      <w:r>
        <w:rPr>
          <w:rFonts w:ascii="Calibri" w:hAnsi="Calibri"/>
          <w:color w:val="212121"/>
          <w:sz w:val="20"/>
        </w:rPr>
        <w:tab/>
      </w:r>
      <w:r>
        <w:rPr>
          <w:rFonts w:ascii="Calibri" w:hAnsi="Calibri" w:eastAsia="Calibri" w:cs="Calibri"/>
          <w:color w:val="212121"/>
          <w:sz w:val="20"/>
          <w:szCs w:val="20"/>
        </w:rPr>
        <w:t>269</w:t>
      </w:r>
    </w:p>
    <w:p>
      <w:pPr>
        <w:pStyle w:val="TOC2"/>
      </w:pPr>
      <w:r>
        <w:rPr>
          <w:rFonts w:ascii="Calibri" w:hAnsi="Calibri" w:eastAsia="Calibri" w:cs="Calibri"/>
          <w:color w:val="212121"/>
          <w:sz w:val="20"/>
          <w:szCs w:val="20"/>
        </w:rPr>
        <w:t>Section 9.8C: Independent Media and Fact-Checking Partnership Program [NEW: v12.1]</w:t>
      </w:r>
      <w:r>
        <w:rPr>
          <w:rFonts w:ascii="Calibri" w:hAnsi="Calibri"/>
          <w:color w:val="212121"/>
          <w:sz w:val="20"/>
        </w:rPr>
        <w:tab/>
      </w:r>
      <w:r>
        <w:rPr>
          <w:rFonts w:ascii="Calibri" w:hAnsi="Calibri" w:eastAsia="Calibri" w:cs="Calibri"/>
          <w:color w:val="212121"/>
          <w:sz w:val="20"/>
          <w:szCs w:val="20"/>
        </w:rPr>
        <w:t>270</w:t>
      </w:r>
    </w:p>
    <w:p>
      <w:pPr>
        <w:pStyle w:val="TOC2"/>
      </w:pPr>
      <w:r>
        <w:rPr>
          <w:rFonts w:ascii="Calibri" w:hAnsi="Calibri" w:eastAsia="Calibri" w:cs="Calibri"/>
          <w:color w:val="212121"/>
          <w:sz w:val="20"/>
          <w:szCs w:val="20"/>
        </w:rPr>
        <w:t>Section 9.8D: Digital Market Access Pass (DMAP) [NEW: v15.0]</w:t>
      </w:r>
      <w:r>
        <w:rPr>
          <w:rFonts w:ascii="Calibri" w:hAnsi="Calibri"/>
          <w:color w:val="212121"/>
          <w:sz w:val="20"/>
        </w:rPr>
        <w:tab/>
      </w:r>
      <w:r>
        <w:rPr>
          <w:rFonts w:ascii="Calibri" w:hAnsi="Calibri" w:eastAsia="Calibri" w:cs="Calibri"/>
          <w:color w:val="212121"/>
          <w:sz w:val="20"/>
          <w:szCs w:val="20"/>
        </w:rPr>
        <w:t>270</w:t>
      </w:r>
    </w:p>
    <w:p>
      <w:pPr>
        <w:pStyle w:val="TOC2"/>
      </w:pPr>
      <w:r>
        <w:rPr>
          <w:rFonts w:ascii="Calibri" w:hAnsi="Calibri" w:eastAsia="Calibri" w:cs="Calibri"/>
          <w:color w:val="212121"/>
          <w:sz w:val="20"/>
          <w:szCs w:val="20"/>
        </w:rPr>
        <w:t>Section 9.8E: Corporate Integrity Pledge [NEW: v15.0]</w:t>
      </w:r>
      <w:r>
        <w:rPr>
          <w:rFonts w:ascii="Calibri" w:hAnsi="Calibri"/>
          <w:color w:val="212121"/>
          <w:sz w:val="20"/>
        </w:rPr>
        <w:tab/>
      </w:r>
      <w:r>
        <w:rPr>
          <w:rFonts w:ascii="Calibri" w:hAnsi="Calibri" w:eastAsia="Calibri" w:cs="Calibri"/>
          <w:color w:val="212121"/>
          <w:sz w:val="20"/>
          <w:szCs w:val="20"/>
        </w:rPr>
        <w:t>270</w:t>
      </w:r>
    </w:p>
    <w:p>
      <w:pPr>
        <w:pStyle w:val="TOC2"/>
      </w:pPr>
      <w:r>
        <w:rPr>
          <w:rFonts w:ascii="Calibri" w:hAnsi="Calibri" w:eastAsia="Calibri" w:cs="Calibri"/>
          <w:color w:val="212121"/>
          <w:sz w:val="20"/>
          <w:szCs w:val="20"/>
        </w:rPr>
        <w:t>Section 9.6A: Open Architecture for Partial Accession [NEW: v9.8B]</w:t>
      </w:r>
      <w:r>
        <w:rPr>
          <w:rFonts w:ascii="Calibri" w:hAnsi="Calibri"/>
          <w:color w:val="212121"/>
          <w:sz w:val="20"/>
        </w:rPr>
        <w:tab/>
      </w:r>
      <w:r>
        <w:rPr>
          <w:rFonts w:ascii="Calibri" w:hAnsi="Calibri" w:eastAsia="Calibri" w:cs="Calibri"/>
          <w:color w:val="212121"/>
          <w:sz w:val="20"/>
          <w:szCs w:val="20"/>
        </w:rPr>
        <w:t>271</w:t>
      </w:r>
    </w:p>
    <w:p>
      <w:pPr>
        <w:pStyle w:val="TOC1"/>
      </w:pPr>
      <w:r>
        <w:rPr>
          <w:rFonts w:ascii="Calibri" w:hAnsi="Calibri" w:eastAsia="Calibri" w:cs="Calibri"/>
          <w:b/>
          <w:color w:val="37474F"/>
          <w:sz w:val="21"/>
          <w:szCs w:val="21"/>
        </w:rPr>
        <w:t>ARTICLE X: INSTITUTIONAL EVOLUTION</w:t>
      </w:r>
      <w:r>
        <w:rPr>
          <w:rFonts w:ascii="Calibri" w:hAnsi="Calibri"/>
          <w:b/>
          <w:color w:val="37474F"/>
          <w:sz w:val="21"/>
        </w:rPr>
        <w:tab/>
      </w:r>
      <w:r>
        <w:rPr>
          <w:rFonts w:ascii="Calibri" w:hAnsi="Calibri" w:eastAsia="Calibri" w:cs="Calibri"/>
          <w:b/>
          <w:color w:val="37474F"/>
          <w:sz w:val="21"/>
          <w:szCs w:val="21"/>
        </w:rPr>
        <w:t>273</w:t>
      </w:r>
    </w:p>
    <w:p>
      <w:pPr>
        <w:pStyle w:val="TOC2"/>
      </w:pPr>
      <w:r>
        <w:rPr>
          <w:rFonts w:ascii="Calibri" w:hAnsi="Calibri" w:eastAsia="Calibri" w:cs="Calibri"/>
          <w:color w:val="212121"/>
          <w:sz w:val="20"/>
          <w:szCs w:val="20"/>
        </w:rPr>
        <w:t>Section 10.1B: Standing Political-Economy Vulnerability Assessment [NEW: v12.1]</w:t>
      </w:r>
      <w:r>
        <w:rPr>
          <w:rFonts w:ascii="Calibri" w:hAnsi="Calibri"/>
          <w:color w:val="212121"/>
          <w:sz w:val="20"/>
        </w:rPr>
        <w:tab/>
      </w:r>
      <w:r>
        <w:rPr>
          <w:rFonts w:ascii="Calibri" w:hAnsi="Calibri" w:eastAsia="Calibri" w:cs="Calibri"/>
          <w:color w:val="212121"/>
          <w:sz w:val="20"/>
          <w:szCs w:val="20"/>
        </w:rPr>
        <w:t>273</w:t>
      </w:r>
    </w:p>
    <w:p>
      <w:pPr>
        <w:pStyle w:val="TOC2"/>
      </w:pPr>
      <w:r>
        <w:rPr>
          <w:rFonts w:ascii="Calibri" w:hAnsi="Calibri" w:eastAsia="Calibri" w:cs="Calibri"/>
          <w:color w:val="212121"/>
          <w:sz w:val="20"/>
          <w:szCs w:val="20"/>
        </w:rPr>
        <w:t>Section 10A.1: Grand Review Convention</w:t>
      </w:r>
      <w:r>
        <w:rPr>
          <w:rFonts w:ascii="Calibri" w:hAnsi="Calibri"/>
          <w:color w:val="212121"/>
          <w:sz w:val="20"/>
        </w:rPr>
        <w:tab/>
      </w:r>
      <w:r>
        <w:rPr>
          <w:rFonts w:ascii="Calibri" w:hAnsi="Calibri" w:eastAsia="Calibri" w:cs="Calibri"/>
          <w:color w:val="212121"/>
          <w:sz w:val="20"/>
          <w:szCs w:val="20"/>
        </w:rPr>
        <w:t>273</w:t>
      </w:r>
    </w:p>
    <w:p>
      <w:pPr>
        <w:pStyle w:val="TOC2"/>
      </w:pPr>
      <w:r>
        <w:rPr>
          <w:rFonts w:ascii="Calibri" w:hAnsi="Calibri" w:eastAsia="Calibri" w:cs="Calibri"/>
          <w:color w:val="212121"/>
          <w:sz w:val="20"/>
          <w:szCs w:val="20"/>
        </w:rPr>
        <w:t>Section 10A.1A: Founding Period Confidential Review</w:t>
      </w:r>
      <w:r>
        <w:rPr>
          <w:rFonts w:ascii="Calibri" w:hAnsi="Calibri"/>
          <w:color w:val="212121"/>
          <w:sz w:val="20"/>
        </w:rPr>
        <w:tab/>
      </w:r>
      <w:r>
        <w:rPr>
          <w:rFonts w:ascii="Calibri" w:hAnsi="Calibri" w:eastAsia="Calibri" w:cs="Calibri"/>
          <w:color w:val="212121"/>
          <w:sz w:val="20"/>
          <w:szCs w:val="20"/>
        </w:rPr>
        <w:t>274</w:t>
      </w:r>
    </w:p>
    <w:p>
      <w:pPr>
        <w:pStyle w:val="TOC2"/>
      </w:pPr>
      <w:r>
        <w:rPr>
          <w:rFonts w:ascii="Calibri" w:hAnsi="Calibri" w:eastAsia="Calibri" w:cs="Calibri"/>
          <w:color w:val="212121"/>
          <w:sz w:val="20"/>
          <w:szCs w:val="20"/>
        </w:rPr>
        <w:t>Section 10A.2: Staged Entry into Force</w:t>
      </w:r>
      <w:r>
        <w:rPr>
          <w:rFonts w:ascii="Calibri" w:hAnsi="Calibri"/>
          <w:color w:val="212121"/>
          <w:sz w:val="20"/>
        </w:rPr>
        <w:tab/>
      </w:r>
      <w:r>
        <w:rPr>
          <w:rFonts w:ascii="Calibri" w:hAnsi="Calibri" w:eastAsia="Calibri" w:cs="Calibri"/>
          <w:color w:val="212121"/>
          <w:sz w:val="20"/>
          <w:szCs w:val="20"/>
        </w:rPr>
        <w:t>274</w:t>
      </w:r>
    </w:p>
    <w:p>
      <w:pPr>
        <w:pStyle w:val="TOC2"/>
      </w:pPr>
      <w:r>
        <w:rPr>
          <w:rFonts w:ascii="Calibri" w:hAnsi="Calibri" w:eastAsia="Calibri" w:cs="Calibri"/>
          <w:color w:val="212121"/>
          <w:sz w:val="20"/>
          <w:szCs w:val="20"/>
        </w:rPr>
        <w:t>Section 10A.3: Graduated Universalisation Roadmap</w:t>
      </w:r>
      <w:r>
        <w:rPr>
          <w:rFonts w:ascii="Calibri" w:hAnsi="Calibri"/>
          <w:color w:val="212121"/>
          <w:sz w:val="20"/>
        </w:rPr>
        <w:tab/>
      </w:r>
      <w:r>
        <w:rPr>
          <w:rFonts w:ascii="Calibri" w:hAnsi="Calibri" w:eastAsia="Calibri" w:cs="Calibri"/>
          <w:color w:val="212121"/>
          <w:sz w:val="20"/>
          <w:szCs w:val="20"/>
        </w:rPr>
        <w:t>276</w:t>
      </w:r>
    </w:p>
    <w:p>
      <w:pPr>
        <w:pStyle w:val="TOC2"/>
      </w:pPr>
      <w:r>
        <w:rPr>
          <w:rFonts w:ascii="Calibri" w:hAnsi="Calibri" w:eastAsia="Calibri" w:cs="Calibri"/>
          <w:color w:val="212121"/>
          <w:sz w:val="20"/>
          <w:szCs w:val="20"/>
        </w:rPr>
        <w:t>Section 10A.4: Adaptive Institutional Mutation (AIM) [NEW: v9.8 Revision]</w:t>
      </w:r>
      <w:r>
        <w:rPr>
          <w:rFonts w:ascii="Calibri" w:hAnsi="Calibri"/>
          <w:color w:val="212121"/>
          <w:sz w:val="20"/>
        </w:rPr>
        <w:tab/>
      </w:r>
      <w:r>
        <w:rPr>
          <w:rFonts w:ascii="Calibri" w:hAnsi="Calibri" w:eastAsia="Calibri" w:cs="Calibri"/>
          <w:color w:val="212121"/>
          <w:sz w:val="20"/>
          <w:szCs w:val="20"/>
        </w:rPr>
        <w:t>277</w:t>
      </w:r>
    </w:p>
    <w:p>
      <w:pPr>
        <w:pStyle w:val="TOC2"/>
      </w:pPr>
      <w:r>
        <w:rPr>
          <w:rFonts w:ascii="Calibri" w:hAnsi="Calibri" w:eastAsia="Calibri" w:cs="Calibri"/>
          <w:color w:val="212121"/>
          <w:sz w:val="20"/>
          <w:szCs w:val="20"/>
        </w:rPr>
        <w:t>Section 10A.2B: Minimum Viable Coalition [NEW: v9.8A Political Roadmap]</w:t>
      </w:r>
      <w:r>
        <w:rPr>
          <w:rFonts w:ascii="Calibri" w:hAnsi="Calibri"/>
          <w:color w:val="212121"/>
          <w:sz w:val="20"/>
        </w:rPr>
        <w:tab/>
      </w:r>
      <w:r>
        <w:rPr>
          <w:rFonts w:ascii="Calibri" w:hAnsi="Calibri" w:eastAsia="Calibri" w:cs="Calibri"/>
          <w:color w:val="212121"/>
          <w:sz w:val="20"/>
          <w:szCs w:val="20"/>
        </w:rPr>
        <w:t>278</w:t>
      </w:r>
    </w:p>
    <w:p>
      <w:pPr>
        <w:pStyle w:val="TOC2"/>
      </w:pPr>
      <w:r>
        <w:rPr>
          <w:rFonts w:ascii="Calibri" w:hAnsi="Calibri" w:eastAsia="Calibri" w:cs="Calibri"/>
          <w:color w:val="212121"/>
          <w:sz w:val="20"/>
          <w:szCs w:val="20"/>
        </w:rPr>
        <w:t>Section 10A.2C: Founding Phase Operational Scope [NEW: v9.8A Political Roadmap]</w:t>
      </w:r>
      <w:r>
        <w:rPr>
          <w:rFonts w:ascii="Calibri" w:hAnsi="Calibri"/>
          <w:color w:val="212121"/>
          <w:sz w:val="20"/>
        </w:rPr>
        <w:tab/>
      </w:r>
      <w:r>
        <w:rPr>
          <w:rFonts w:ascii="Calibri" w:hAnsi="Calibri" w:eastAsia="Calibri" w:cs="Calibri"/>
          <w:color w:val="212121"/>
          <w:sz w:val="20"/>
          <w:szCs w:val="20"/>
        </w:rPr>
        <w:t>279</w:t>
      </w:r>
    </w:p>
    <w:p>
      <w:pPr>
        <w:pStyle w:val="TOC2"/>
      </w:pPr>
      <w:r>
        <w:rPr>
          <w:rFonts w:ascii="Calibri" w:hAnsi="Calibri" w:eastAsia="Calibri" w:cs="Calibri"/>
          <w:color w:val="212121"/>
          <w:sz w:val="20"/>
          <w:szCs w:val="20"/>
        </w:rPr>
        <w:t>Section 10A.2D: Pre-Activated Core (Standing Cooperation) [NEW: v9.8B]</w:t>
      </w:r>
      <w:r>
        <w:rPr>
          <w:rFonts w:ascii="Calibri" w:hAnsi="Calibri"/>
          <w:color w:val="212121"/>
          <w:sz w:val="20"/>
        </w:rPr>
        <w:tab/>
      </w:r>
      <w:r>
        <w:rPr>
          <w:rFonts w:ascii="Calibri" w:hAnsi="Calibri" w:eastAsia="Calibri" w:cs="Calibri"/>
          <w:color w:val="212121"/>
          <w:sz w:val="20"/>
          <w:szCs w:val="20"/>
        </w:rPr>
        <w:t>279</w:t>
      </w:r>
    </w:p>
    <w:p>
      <w:pPr>
        <w:pStyle w:val="TOC2"/>
      </w:pPr>
      <w:r>
        <w:rPr>
          <w:rFonts w:ascii="Calibri" w:hAnsi="Calibri" w:eastAsia="Calibri" w:cs="Calibri"/>
          <w:color w:val="212121"/>
          <w:sz w:val="20"/>
          <w:szCs w:val="20"/>
        </w:rPr>
        <w:t>Section 10A.5A: Mandatory Renewal and Performance Audit [NEW: v9.8B]</w:t>
      </w:r>
      <w:r>
        <w:rPr>
          <w:rFonts w:ascii="Calibri" w:hAnsi="Calibri"/>
          <w:color w:val="212121"/>
          <w:sz w:val="20"/>
        </w:rPr>
        <w:tab/>
      </w:r>
      <w:r>
        <w:rPr>
          <w:rFonts w:ascii="Calibri" w:hAnsi="Calibri" w:eastAsia="Calibri" w:cs="Calibri"/>
          <w:color w:val="212121"/>
          <w:sz w:val="20"/>
          <w:szCs w:val="20"/>
        </w:rPr>
        <w:t>280</w:t>
      </w:r>
    </w:p>
    <w:p>
      <w:pPr>
        <w:pStyle w:val="TOC2"/>
      </w:pPr>
      <w:r>
        <w:rPr>
          <w:rFonts w:ascii="Calibri" w:hAnsi="Calibri" w:eastAsia="Calibri" w:cs="Calibri"/>
          <w:color w:val="212121"/>
          <w:sz w:val="20"/>
          <w:szCs w:val="20"/>
        </w:rPr>
        <w:t>Section 10A.6: Trust Accelerator Protocol [NEW: v15.0]</w:t>
      </w:r>
      <w:r>
        <w:rPr>
          <w:rFonts w:ascii="Calibri" w:hAnsi="Calibri"/>
          <w:color w:val="212121"/>
          <w:sz w:val="20"/>
        </w:rPr>
        <w:tab/>
      </w:r>
      <w:r>
        <w:rPr>
          <w:rFonts w:ascii="Calibri" w:hAnsi="Calibri" w:eastAsia="Calibri" w:cs="Calibri"/>
          <w:color w:val="212121"/>
          <w:sz w:val="20"/>
          <w:szCs w:val="20"/>
        </w:rPr>
        <w:t>280</w:t>
      </w:r>
    </w:p>
    <w:p>
      <w:pPr>
        <w:pStyle w:val="TOC2"/>
      </w:pPr>
      <w:r>
        <w:rPr>
          <w:rFonts w:ascii="Calibri" w:hAnsi="Calibri" w:eastAsia="Calibri" w:cs="Calibri"/>
          <w:color w:val="212121"/>
          <w:sz w:val="20"/>
          <w:szCs w:val="20"/>
        </w:rPr>
        <w:t>Section 10A.7: Phoenix Protocol [NEW: v15.0]</w:t>
      </w:r>
      <w:r>
        <w:rPr>
          <w:rFonts w:ascii="Calibri" w:hAnsi="Calibri"/>
          <w:color w:val="212121"/>
          <w:sz w:val="20"/>
        </w:rPr>
        <w:tab/>
      </w:r>
      <w:r>
        <w:rPr>
          <w:rFonts w:ascii="Calibri" w:hAnsi="Calibri" w:eastAsia="Calibri" w:cs="Calibri"/>
          <w:color w:val="212121"/>
          <w:sz w:val="20"/>
          <w:szCs w:val="20"/>
        </w:rPr>
        <w:t>281</w:t>
      </w:r>
    </w:p>
    <w:p>
      <w:pPr>
        <w:pStyle w:val="TOC2"/>
      </w:pPr>
      <w:r>
        <w:rPr>
          <w:rFonts w:ascii="Calibri" w:hAnsi="Calibri" w:eastAsia="Calibri" w:cs="Calibri"/>
          <w:color w:val="212121"/>
          <w:sz w:val="20"/>
          <w:szCs w:val="20"/>
        </w:rPr>
        <w:t>Section 10A.16: Living Document Protocol [NEW: v15.0]</w:t>
      </w:r>
      <w:r>
        <w:rPr>
          <w:rFonts w:ascii="Calibri" w:hAnsi="Calibri"/>
          <w:color w:val="212121"/>
          <w:sz w:val="20"/>
        </w:rPr>
        <w:tab/>
      </w:r>
      <w:r>
        <w:rPr>
          <w:rFonts w:ascii="Calibri" w:hAnsi="Calibri" w:eastAsia="Calibri" w:cs="Calibri"/>
          <w:color w:val="212121"/>
          <w:sz w:val="20"/>
          <w:szCs w:val="20"/>
        </w:rPr>
        <w:t>281</w:t>
      </w:r>
    </w:p>
    <w:p>
      <w:pPr>
        <w:pStyle w:val="TOC1"/>
      </w:pPr>
      <w:r>
        <w:rPr>
          <w:rFonts w:ascii="Calibri" w:hAnsi="Calibri" w:eastAsia="Calibri" w:cs="Calibri"/>
          <w:b/>
          <w:color w:val="37474F"/>
          <w:sz w:val="21"/>
          <w:szCs w:val="21"/>
        </w:rPr>
        <w:t>ANNEX 22: FOUNDING COALITION PLEDGE</w:t>
      </w:r>
      <w:r>
        <w:rPr>
          <w:rFonts w:ascii="Calibri" w:hAnsi="Calibri"/>
          <w:b/>
          <w:color w:val="37474F"/>
          <w:sz w:val="21"/>
        </w:rPr>
        <w:tab/>
      </w:r>
      <w:r>
        <w:rPr>
          <w:rFonts w:ascii="Calibri" w:hAnsi="Calibri" w:eastAsia="Calibri" w:cs="Calibri"/>
          <w:b/>
          <w:color w:val="37474F"/>
          <w:sz w:val="21"/>
          <w:szCs w:val="21"/>
        </w:rPr>
        <w:t>286</w:t>
      </w:r>
    </w:p>
    <w:p>
      <w:pPr>
        <w:pStyle w:val="TOC1"/>
      </w:pPr>
      <w:r>
        <w:rPr>
          <w:rFonts w:ascii="Calibri" w:hAnsi="Calibri" w:eastAsia="Calibri" w:cs="Calibri"/>
          <w:b/>
          <w:color w:val="37474F"/>
          <w:sz w:val="21"/>
          <w:szCs w:val="21"/>
        </w:rPr>
        <w:t>ANNEX 22A: MICRO-STATE PARTICIPATION FRAMEWORK [NEW: v9.8A Small-State Protection]</w:t>
      </w:r>
      <w:r>
        <w:rPr>
          <w:rFonts w:ascii="Calibri" w:hAnsi="Calibri"/>
          <w:b/>
          <w:color w:val="37474F"/>
          <w:sz w:val="21"/>
        </w:rPr>
        <w:tab/>
      </w:r>
      <w:r>
        <w:rPr>
          <w:rFonts w:ascii="Calibri" w:hAnsi="Calibri" w:eastAsia="Calibri" w:cs="Calibri"/>
          <w:b/>
          <w:color w:val="37474F"/>
          <w:sz w:val="21"/>
          <w:szCs w:val="21"/>
        </w:rPr>
        <w:t>287</w:t>
      </w:r>
    </w:p>
    <w:p>
      <w:pPr>
        <w:pStyle w:val="TOC2"/>
      </w:pPr>
      <w:r>
        <w:rPr>
          <w:rFonts w:ascii="Calibri" w:hAnsi="Calibri" w:eastAsia="Calibri" w:cs="Calibri"/>
          <w:color w:val="212121"/>
          <w:sz w:val="20"/>
          <w:szCs w:val="20"/>
        </w:rPr>
        <w:t>Section 10.13: Coalition Market Access Pool [NEW: v9.8A Small-State Protection]</w:t>
      </w:r>
      <w:r>
        <w:rPr>
          <w:rFonts w:ascii="Calibri" w:hAnsi="Calibri"/>
          <w:color w:val="212121"/>
          <w:sz w:val="20"/>
        </w:rPr>
        <w:tab/>
      </w:r>
      <w:r>
        <w:rPr>
          <w:rFonts w:ascii="Calibri" w:hAnsi="Calibri" w:eastAsia="Calibri" w:cs="Calibri"/>
          <w:color w:val="212121"/>
          <w:sz w:val="20"/>
          <w:szCs w:val="20"/>
        </w:rPr>
        <w:t>287</w:t>
      </w:r>
    </w:p>
    <w:p>
      <w:pPr>
        <w:pStyle w:val="TOC1"/>
      </w:pPr>
      <w:r>
        <w:rPr>
          <w:rFonts w:ascii="Calibri" w:hAnsi="Calibri" w:eastAsia="Calibri" w:cs="Calibri"/>
          <w:b/>
          <w:color w:val="37474F"/>
          <w:sz w:val="21"/>
          <w:szCs w:val="21"/>
        </w:rPr>
        <w:t>Annex 23: Institutional Hosting Options [NEW: v9.8A Political Roadmap]</w:t>
      </w:r>
      <w:r>
        <w:rPr>
          <w:rFonts w:ascii="Calibri" w:hAnsi="Calibri"/>
          <w:b/>
          <w:color w:val="37474F"/>
          <w:sz w:val="21"/>
        </w:rPr>
        <w:tab/>
      </w:r>
      <w:r>
        <w:rPr>
          <w:rFonts w:ascii="Calibri" w:hAnsi="Calibri" w:eastAsia="Calibri" w:cs="Calibri"/>
          <w:b/>
          <w:color w:val="37474F"/>
          <w:sz w:val="21"/>
          <w:szCs w:val="21"/>
        </w:rPr>
        <w:t>287</w:t>
      </w:r>
    </w:p>
    <w:p>
      <w:pPr>
        <w:pStyle w:val="TOC1"/>
      </w:pPr>
      <w:r>
        <w:rPr>
          <w:rFonts w:ascii="Calibri" w:hAnsi="Calibri" w:eastAsia="Calibri" w:cs="Calibri"/>
          <w:b/>
          <w:color w:val="37474F"/>
          <w:sz w:val="21"/>
          <w:szCs w:val="21"/>
        </w:rPr>
        <w:t>ANNEX 25: THE NOFADE RULE, PROTOCOL FOR CONTINUOUS EFFECT</w:t>
      </w:r>
      <w:r>
        <w:rPr>
          <w:rFonts w:ascii="Calibri" w:hAnsi="Calibri"/>
          <w:b/>
          <w:color w:val="37474F"/>
          <w:sz w:val="21"/>
        </w:rPr>
        <w:tab/>
      </w:r>
      <w:r>
        <w:rPr>
          <w:rFonts w:ascii="Calibri" w:hAnsi="Calibri" w:eastAsia="Calibri" w:cs="Calibri"/>
          <w:b/>
          <w:color w:val="37474F"/>
          <w:sz w:val="21"/>
          <w:szCs w:val="21"/>
        </w:rPr>
        <w:t>289</w:t>
      </w:r>
    </w:p>
    <w:p>
      <w:pPr>
        <w:pStyle w:val="TOC2"/>
      </w:pPr>
      <w:r>
        <w:rPr>
          <w:rFonts w:ascii="Calibri" w:hAnsi="Calibri" w:eastAsia="Calibri" w:cs="Calibri"/>
          <w:color w:val="212121"/>
          <w:sz w:val="20"/>
          <w:szCs w:val="20"/>
        </w:rPr>
        <w:t>Article 1: The Nofade Guarantee</w:t>
      </w:r>
      <w:r>
        <w:rPr>
          <w:rFonts w:ascii="Calibri" w:hAnsi="Calibri"/>
          <w:color w:val="212121"/>
          <w:sz w:val="20"/>
        </w:rPr>
        <w:tab/>
      </w:r>
      <w:r>
        <w:rPr>
          <w:rFonts w:ascii="Calibri" w:hAnsi="Calibri" w:eastAsia="Calibri" w:cs="Calibri"/>
          <w:color w:val="212121"/>
          <w:sz w:val="20"/>
          <w:szCs w:val="20"/>
        </w:rPr>
        <w:t>289</w:t>
      </w:r>
    </w:p>
    <w:p>
      <w:pPr>
        <w:pStyle w:val="TOC2"/>
      </w:pPr>
      <w:r>
        <w:rPr>
          <w:rFonts w:ascii="Calibri" w:hAnsi="Calibri" w:eastAsia="Calibri" w:cs="Calibri"/>
          <w:color w:val="212121"/>
          <w:sz w:val="20"/>
          <w:szCs w:val="20"/>
        </w:rPr>
        <w:t>Article 2: Core Operating Principles</w:t>
      </w:r>
      <w:r>
        <w:rPr>
          <w:rFonts w:ascii="Calibri" w:hAnsi="Calibri"/>
          <w:color w:val="212121"/>
          <w:sz w:val="20"/>
        </w:rPr>
        <w:tab/>
      </w:r>
      <w:r>
        <w:rPr>
          <w:rFonts w:ascii="Calibri" w:hAnsi="Calibri" w:eastAsia="Calibri" w:cs="Calibri"/>
          <w:color w:val="212121"/>
          <w:sz w:val="20"/>
          <w:szCs w:val="20"/>
        </w:rPr>
        <w:t>289</w:t>
      </w:r>
    </w:p>
    <w:p>
      <w:pPr>
        <w:pStyle w:val="TOC2"/>
      </w:pPr>
      <w:r>
        <w:rPr>
          <w:rFonts w:ascii="Calibri" w:hAnsi="Calibri" w:eastAsia="Calibri" w:cs="Calibri"/>
          <w:color w:val="212121"/>
          <w:sz w:val="20"/>
          <w:szCs w:val="20"/>
        </w:rPr>
        <w:t>Article 3: Operational Application</w:t>
      </w:r>
      <w:r>
        <w:rPr>
          <w:rFonts w:ascii="Calibri" w:hAnsi="Calibri"/>
          <w:color w:val="212121"/>
          <w:sz w:val="20"/>
        </w:rPr>
        <w:tab/>
      </w:r>
      <w:r>
        <w:rPr>
          <w:rFonts w:ascii="Calibri" w:hAnsi="Calibri" w:eastAsia="Calibri" w:cs="Calibri"/>
          <w:color w:val="212121"/>
          <w:sz w:val="20"/>
          <w:szCs w:val="20"/>
        </w:rPr>
        <w:t>289</w:t>
      </w:r>
    </w:p>
    <w:p>
      <w:pPr>
        <w:pStyle w:val="TOC2"/>
      </w:pPr>
      <w:r>
        <w:rPr>
          <w:rFonts w:ascii="Calibri" w:hAnsi="Calibri" w:eastAsia="Calibri" w:cs="Calibri"/>
          <w:color w:val="212121"/>
          <w:sz w:val="20"/>
          <w:szCs w:val="20"/>
        </w:rPr>
        <w:t>Article 4: Final Provisions</w:t>
      </w:r>
      <w:r>
        <w:rPr>
          <w:rFonts w:ascii="Calibri" w:hAnsi="Calibri"/>
          <w:color w:val="212121"/>
          <w:sz w:val="20"/>
        </w:rPr>
        <w:tab/>
      </w:r>
      <w:r>
        <w:rPr>
          <w:rFonts w:ascii="Calibri" w:hAnsi="Calibri" w:eastAsia="Calibri" w:cs="Calibri"/>
          <w:color w:val="212121"/>
          <w:sz w:val="20"/>
          <w:szCs w:val="20"/>
        </w:rPr>
        <w:t>290</w:t>
      </w:r>
    </w:p>
    <w:p>
      <w:pPr>
        <w:pStyle w:val="TOC1"/>
      </w:pPr>
      <w:r>
        <w:rPr>
          <w:rFonts w:ascii="Calibri" w:hAnsi="Calibri" w:eastAsia="Calibri" w:cs="Calibri"/>
          <w:b/>
          <w:color w:val="37474F"/>
          <w:sz w:val="21"/>
          <w:szCs w:val="21"/>
        </w:rPr>
        <w:t>FOUNDING POLITICAL ROADMAP</w:t>
      </w:r>
      <w:r>
        <w:rPr>
          <w:rFonts w:ascii="Calibri" w:hAnsi="Calibri"/>
          <w:b/>
          <w:color w:val="37474F"/>
          <w:sz w:val="21"/>
        </w:rPr>
        <w:tab/>
      </w:r>
      <w:r>
        <w:rPr>
          <w:rFonts w:ascii="Calibri" w:hAnsi="Calibri" w:eastAsia="Calibri" w:cs="Calibri"/>
          <w:b/>
          <w:color w:val="37474F"/>
          <w:sz w:val="21"/>
          <w:szCs w:val="21"/>
        </w:rPr>
        <w:t>290</w:t>
      </w:r>
    </w:p>
    <w:p>
      <w:pPr>
        <w:pStyle w:val="TOC1"/>
      </w:pPr>
      <w:r>
        <w:rPr>
          <w:rFonts w:ascii="Calibri" w:hAnsi="Calibri" w:eastAsia="Calibri" w:cs="Calibri"/>
          <w:b/>
          <w:color w:val="37474F"/>
          <w:sz w:val="21"/>
          <w:szCs w:val="21"/>
        </w:rPr>
        <w:t>WHO MOVES FIRST</w:t>
      </w:r>
      <w:r>
        <w:rPr>
          <w:rFonts w:ascii="Calibri" w:hAnsi="Calibri"/>
          <w:b/>
          <w:color w:val="37474F"/>
          <w:sz w:val="21"/>
        </w:rPr>
        <w:tab/>
      </w:r>
      <w:r>
        <w:rPr>
          <w:rFonts w:ascii="Calibri" w:hAnsi="Calibri" w:eastAsia="Calibri" w:cs="Calibri"/>
          <w:b/>
          <w:color w:val="37474F"/>
          <w:sz w:val="21"/>
          <w:szCs w:val="21"/>
        </w:rPr>
        <w:t>291</w:t>
      </w:r>
    </w:p>
    <w:p>
      <w:pPr>
        <w:pStyle w:val="TOC1"/>
      </w:pPr>
      <w:r>
        <w:rPr>
          <w:rFonts w:ascii="Calibri" w:hAnsi="Calibri" w:eastAsia="Calibri" w:cs="Calibri"/>
          <w:b/>
          <w:color w:val="37474F"/>
          <w:sz w:val="21"/>
          <w:szCs w:val="21"/>
        </w:rPr>
        <w:t>PILOT SCENARIO PROPOSAL: TARIFF COERCION AGAINST SMALL AGRICULTURAL EXPORTERS</w:t>
      </w:r>
      <w:r>
        <w:rPr>
          <w:rFonts w:ascii="Calibri" w:hAnsi="Calibri"/>
          <w:b/>
          <w:color w:val="37474F"/>
          <w:sz w:val="21"/>
        </w:rPr>
        <w:tab/>
      </w:r>
      <w:r>
        <w:rPr>
          <w:rFonts w:ascii="Calibri" w:hAnsi="Calibri" w:eastAsia="Calibri" w:cs="Calibri"/>
          <w:b/>
          <w:color w:val="37474F"/>
          <w:sz w:val="21"/>
          <w:szCs w:val="21"/>
        </w:rPr>
        <w:t>291</w:t>
      </w:r>
    </w:p>
    <w:p>
      <w:pPr>
        <w:pStyle w:val="TOC1"/>
      </w:pPr>
      <w:r>
        <w:rPr>
          <w:rFonts w:ascii="Calibri" w:hAnsi="Calibri" w:eastAsia="Calibri" w:cs="Calibri"/>
          <w:b/>
          <w:color w:val="37474F"/>
          <w:sz w:val="21"/>
          <w:szCs w:val="21"/>
        </w:rPr>
        <w:t>CONCLUSION: A COALITION-READY FRAMEWORK</w:t>
      </w:r>
      <w:r>
        <w:rPr>
          <w:rFonts w:ascii="Calibri" w:hAnsi="Calibri"/>
          <w:b/>
          <w:color w:val="37474F"/>
          <w:sz w:val="21"/>
        </w:rPr>
        <w:tab/>
      </w:r>
      <w:r>
        <w:rPr>
          <w:rFonts w:ascii="Calibri" w:hAnsi="Calibri" w:eastAsia="Calibri" w:cs="Calibri"/>
          <w:b/>
          <w:color w:val="37474F"/>
          <w:sz w:val="21"/>
          <w:szCs w:val="21"/>
        </w:rPr>
        <w:t>293</w:t>
      </w:r>
    </w:p>
    <w:p>
      <w:pPr>
        <w:pStyle w:val="TOC1"/>
      </w:pPr>
      <w:r>
        <w:rPr>
          <w:rFonts w:ascii="Calibri" w:hAnsi="Calibri" w:eastAsia="Calibri" w:cs="Calibri"/>
          <w:b/>
          <w:color w:val="37474F"/>
          <w:sz w:val="21"/>
          <w:szCs w:val="21"/>
        </w:rPr>
        <w:t>APPENDIX</w:t>
      </w:r>
      <w:r>
        <w:rPr>
          <w:rFonts w:ascii="Calibri" w:hAnsi="Calibri"/>
          <w:b/>
          <w:color w:val="37474F"/>
          <w:sz w:val="21"/>
        </w:rPr>
        <w:tab/>
      </w:r>
      <w:r>
        <w:rPr>
          <w:rFonts w:ascii="Calibri" w:hAnsi="Calibri" w:eastAsia="Calibri" w:cs="Calibri"/>
          <w:b/>
          <w:color w:val="37474F"/>
          <w:sz w:val="21"/>
          <w:szCs w:val="21"/>
        </w:rPr>
        <w:t>294</w:t>
      </w:r>
      <w:r>
        <w:fldChar w:fldCharType="end"/>
      </w:r>
    </w:p>
    <w:p>
      <w:pPr>
        <w:pStyle w:val="Heading3"/>
        <w:pageBreakBefore w:val="1"/>
      </w:pPr>
      <w:r>
        <w:rPr>
          <w:rFonts w:ascii="Calibri" w:hAnsi="Calibri" w:eastAsia="Microsoft YaHei" w:cs="Calibri"/>
          <w:b/>
          <w:color w:val="546E7A"/>
          <w:sz w:val="22"/>
          <w:szCs w:val="22"/>
        </w:rPr>
        <w:t>Document Architecture Note</w:t>
      </w:r>
    </w:p>
    <w:p>
      <w:pPr>
        <w:pStyle w:val="Normal"/>
      </w:pPr>
      <w:r>
        <w:rPr>
          <w:rFonts w:ascii="Calibri" w:hAnsi="Calibri" w:eastAsia="Microsoft YaHei" w:cs="Calibri"/>
          <w:color w:val="263238"/>
          <w:sz w:val="21"/>
          <w:szCs w:val="21"/>
        </w:rPr>
        <w:t>This document forms one volume of the three-volume IMESI v15.0 architecture. Volume 1, IMESI Charter &amp; Foundational Principles v15.0, defines the authority and legitimacy of the framework. Volume 2, IMESI Operational Doctrine &amp; Response Architecture v15.0, defines the behavior and response logic. Volume 3, IMESI Technical Annexes &amp; Enforcement Mechanisms v15.0, defines the mechanics and algorithms. Each volume reads independently for its audience, and cross-references to articles and annexes remain valid across the full three-volume set. This split preserves all content of the consolidated IMESI v15.0 master document.</w:t>
      </w:r>
    </w:p>
    <w:p>
      <w:pPr>
        <w:pStyle w:val="Heading1"/>
        <w:pageBreakBefore/>
      </w:pPr>
      <w:bookmarkStart w:name="_Toc000006" w:id="6"/>
      <w:r>
        <w:rPr>
          <w:rFonts w:ascii="Calibri" w:hAnsi="Calibri" w:eastAsia="Microsoft YaHei" w:cs="Calibri"/>
          <w:b/>
          <w:color w:val="455A64"/>
          <w:sz w:val="30"/>
          <w:szCs w:val="30"/>
        </w:rPr>
        <w:t>EXECUTIVE SUMMARY FOR HEADS OF STATE</w:t>
      </w:r>
      <w:bookmarkEnd w:id="6"/>
    </w:p>
    <w:p>
      <w:pPr>
        <w:pStyle w:val="Normal"/>
      </w:pPr>
      <w:r>
        <w:rPr>
          <w:rFonts w:ascii="Calibri" w:hAnsi="Calibri" w:eastAsia="Microsoft YaHei" w:cs="Calibri"/>
          <w:color w:val="263238"/>
          <w:sz w:val="21"/>
          <w:szCs w:val="21"/>
        </w:rPr>
        <w:t>IMESI is a mutual economic security insurance mechanism protecting members against economic coercion, the use of trade, investment, or financial measures to compel sovereign policy changes.</w:t>
      </w:r>
    </w:p>
    <w:p>
      <w:pPr>
        <w:pStyle w:val="Heading3"/>
      </w:pPr>
      <w:r>
        <w:rPr>
          <w:rFonts w:ascii="Calibri" w:hAnsi="Calibri" w:eastAsia="Microsoft YaHei" w:cs="Calibri"/>
          <w:b/>
          <w:color w:val="546E7A"/>
          <w:sz w:val="22"/>
          <w:szCs w:val="22"/>
        </w:rPr>
        <w:t>WHAT IMESI PROVIDES</w:t>
      </w:r>
    </w:p>
    <w:p>
      <w:pPr>
        <w:pStyle w:val="Normal"/>
      </w:pPr>
      <w:r>
        <w:rPr>
          <w:rFonts w:ascii="Calibri" w:hAnsi="Calibri" w:eastAsia="Microsoft YaHei" w:cs="Calibri"/>
          <w:color w:val="263238"/>
          <w:sz w:val="21"/>
          <w:szCs w:val="21"/>
        </w:rPr>
        <w:t>INSURANCE: Protection against economic blackmail, with collective burden-sharing INTELLIGENCE: Early warning of coercive threats before they materialise INFRASTRUCTURE: Alternative supply chains, payment systems, strategic reserves STABILISATION: Credible collective response making coercion strategically irrational UNIVERSAL PROTECTION SCOPE IMESI defends members against two distinct threats: (1) Targeted Economic Coercion, trade, investment, or financial measures explicitly linked to sovereign policy demands (Article II); and (2) Systemic Economic Disruption, non-discriminatory trade measures or supply chain disruptions that collectively threaten member economic security regardless of articulated policy demands (Sections 1.4–1.4B). Both trigger collective stabilisation responses, burden-sharing, and Fund support. The absence of an explicit policy demand does not prevent collective response where aggregate harm meets prescribed thresholds.</w:t>
      </w:r>
    </w:p>
    <w:p>
      <w:pPr>
        <w:pStyle w:val="Heading3"/>
      </w:pPr>
      <w:r>
        <w:rPr>
          <w:rFonts w:ascii="Calibri" w:hAnsi="Calibri" w:eastAsia="Microsoft YaHei" w:cs="Calibri"/>
          <w:b/>
          <w:color w:val="546E7A"/>
          <w:sz w:val="22"/>
          <w:szCs w:val="22"/>
        </w:rPr>
        <w:t>FIRST 24 MONTHS, CONCRETE PEACETIME BENEFITS</w:t>
      </w:r>
    </w:p>
    <w:p>
      <w:pPr>
        <w:pStyle w:val="Normal"/>
      </w:pPr>
      <w:r>
        <w:rPr>
          <w:rFonts w:ascii="Calibri" w:hAnsi="Calibri" w:eastAsia="Microsoft YaHei" w:cs="Calibri"/>
          <w:color w:val="263238"/>
          <w:sz w:val="21"/>
          <w:szCs w:val="21"/>
        </w:rPr>
        <w:t>PROCUREMENT: 10–18% typical savings through joint procurement of strategic inputs (energy, pharmaceuticals, critical minerals) EARLY WARNING: IEWC intelligence feeds identifying coercive threats 30–90 days before public escalation FINANCIAL: SFI/SLI settlement and swap-line access, reducing single-currency dependency RESILIENCE: Eligibility for Resilience Diversification Programme and Peacetime Fund projects from Month 1 REPUTATION: Coercion Risk Dashboard placement, signalling credible collective backing to investors and trading partners WHAT IMESI IS NOT</w:t>
      </w:r>
    </w:p>
    <w:p>
      <w:pPr>
        <w:pStyle w:val="Normal"/>
      </w:pPr>
      <w:r>
        <w:rPr>
          <w:rFonts w:ascii="Calibri" w:hAnsi="Calibri" w:eastAsia="Microsoft YaHei" w:cs="Calibri"/>
          <w:color w:val="263238"/>
          <w:sz w:val="21"/>
          <w:szCs w:val="21"/>
        </w:rPr>
        <w:t>NOT a trade bloc, Members maintain independent trade policies NOT geopolitical alignment, No required foreign policy coordination beyond resisting coercion NOT delegation of trade sovereignty, Does not set tariffs or FTAs for members; all implementation via existing national decision-making processes NOT directed at any specific state, Applies equally to all states; no predetermined targets NOT zero-sum, Strengthens rules-based order; benefits global economic stability</w:t>
      </w:r>
    </w:p>
    <w:p>
      <w:pPr>
        <w:pStyle w:val="Heading3"/>
      </w:pPr>
      <w:r>
        <w:rPr>
          <w:rFonts w:ascii="Calibri" w:hAnsi="Calibri" w:eastAsia="Microsoft YaHei" w:cs="Calibri"/>
          <w:b/>
          <w:color w:val="546E7A"/>
          <w:sz w:val="22"/>
          <w:szCs w:val="22"/>
        </w:rPr>
        <w:t>PROPORTIONALITY WITH CONTROL</w:t>
      </w:r>
    </w:p>
    <w:p>
      <w:pPr>
        <w:pStyle w:val="Normal"/>
      </w:pPr>
      <w:r>
        <w:rPr>
          <w:rFonts w:ascii="Calibri" w:hAnsi="Calibri" w:eastAsia="Microsoft YaHei" w:cs="Calibri"/>
          <w:color w:val="263238"/>
          <w:sz w:val="21"/>
          <w:szCs w:val="21"/>
        </w:rPr>
        <w:t>IMESI authorises no unreviewable, non-revisable sanctions. Every activation tier includes human confirmation gates, supermajority override thresholds, mandatory parliamentary review for packages exceeding 0.5% GDP, and built-in automatic de-escalation. Measures are stabilisation responses, not punitive instruments. IMESI operates as a flexible plurilateral mutual insurance mechanism, consistent with WTO Article XXIV and emerging multilateral reform. Membership creates no MFN inconsistency: stabilisation measures are defensive responses to coercion, not preferential trade; Observer+ status available to all WTO members on non-discriminatory terms; supply chain cooperation benefits extend to non-members where critical dependencies exist.</w:t>
      </w:r>
    </w:p>
    <w:p>
      <w:pPr>
        <w:pStyle w:val="Heading3"/>
      </w:pPr>
      <w:r>
        <w:rPr>
          <w:rFonts w:ascii="Calibri" w:hAnsi="Calibri" w:eastAsia="Microsoft YaHei" w:cs="Calibri"/>
          <w:b/>
          <w:color w:val="546E7A"/>
          <w:sz w:val="22"/>
          <w:szCs w:val="22"/>
        </w:rPr>
        <w:t>MEMBERSHIP FLEXIBILITY Tier</w:t>
      </w:r>
    </w:p>
    <w:p>
      <w:pPr>
        <w:pStyle w:val="Normal"/>
      </w:pPr>
      <w:r>
        <w:rPr>
          <w:rFonts w:ascii="Calibri" w:hAnsi="Calibri" w:eastAsia="Microsoft YaHei" w:cs="Calibri"/>
          <w:color w:val="263238"/>
          <w:sz w:val="21"/>
          <w:szCs w:val="21"/>
        </w:rPr>
        <w:t>Status</w:t>
      </w:r>
    </w:p>
    <w:p>
      <w:pPr>
        <w:pStyle w:val="Normal"/>
      </w:pPr>
      <w:r>
        <w:rPr>
          <w:rFonts w:ascii="Calibri" w:hAnsi="Calibri" w:eastAsia="Microsoft YaHei" w:cs="Calibri"/>
          <w:color w:val="263238"/>
          <w:sz w:val="21"/>
          <w:szCs w:val="21"/>
        </w:rPr>
        <w:t>Description</w:t>
      </w:r>
    </w:p>
    <w:p>
      <w:pPr>
        <w:pStyle w:val="Normal"/>
      </w:pPr>
      <w:r>
        <w:rPr>
          <w:rFonts w:ascii="Calibri" w:hAnsi="Calibri" w:eastAsia="Microsoft YaHei" w:cs="Calibri"/>
          <w:color w:val="263238"/>
          <w:sz w:val="21"/>
          <w:szCs w:val="21"/>
        </w:rPr>
        <w:t>Observer+</w:t>
      </w:r>
    </w:p>
    <w:p>
      <w:pPr>
        <w:pStyle w:val="Normal"/>
      </w:pPr>
      <w:r>
        <w:rPr>
          <w:rFonts w:ascii="Calibri" w:hAnsi="Calibri" w:eastAsia="Microsoft YaHei" w:cs="Calibri"/>
          <w:color w:val="263238"/>
          <w:sz w:val="21"/>
          <w:szCs w:val="21"/>
        </w:rPr>
        <w:t>Intelligence sharing; no obligations</w:t>
      </w:r>
    </w:p>
    <w:p>
      <w:pPr>
        <w:pStyle w:val="Normal"/>
      </w:pPr>
      <w:r>
        <w:rPr>
          <w:rFonts w:ascii="Calibri" w:hAnsi="Calibri" w:eastAsia="Microsoft YaHei" w:cs="Calibri"/>
          <w:color w:val="263238"/>
          <w:sz w:val="21"/>
          <w:szCs w:val="21"/>
        </w:rPr>
        <w:t>Associate</w:t>
      </w:r>
    </w:p>
    <w:p>
      <w:pPr>
        <w:pStyle w:val="Normal"/>
      </w:pPr>
      <w:r>
        <w:rPr>
          <w:rFonts w:ascii="Calibri" w:hAnsi="Calibri" w:eastAsia="Microsoft YaHei" w:cs="Calibri"/>
          <w:color w:val="263238"/>
          <w:sz w:val="21"/>
          <w:szCs w:val="21"/>
        </w:rPr>
        <w:t>Select 3+ cooperation domains; limited obligations</w:t>
      </w:r>
    </w:p>
    <w:p>
      <w:pPr>
        <w:pStyle w:val="Normal"/>
      </w:pPr>
      <w:r>
        <w:rPr>
          <w:rFonts w:ascii="Calibri" w:hAnsi="Calibri" w:eastAsia="Microsoft YaHei" w:cs="Calibri"/>
          <w:color w:val="263238"/>
          <w:sz w:val="21"/>
          <w:szCs w:val="21"/>
        </w:rPr>
        <w:t>Full</w:t>
      </w:r>
    </w:p>
    <w:p>
      <w:pPr>
        <w:pStyle w:val="Normal"/>
      </w:pPr>
      <w:r>
        <w:rPr>
          <w:rFonts w:ascii="Calibri" w:hAnsi="Calibri" w:eastAsia="Microsoft YaHei" w:cs="Calibri"/>
          <w:color w:val="263238"/>
          <w:sz w:val="21"/>
          <w:szCs w:val="21"/>
        </w:rPr>
        <w:t>Comprehensive commitments; maximum protection</w:t>
      </w:r>
    </w:p>
    <w:p>
      <w:pPr>
        <w:pStyle w:val="Normal"/>
      </w:pPr>
      <w:r>
        <w:rPr>
          <w:rFonts w:ascii="Calibri" w:hAnsi="Calibri" w:eastAsia="Microsoft YaHei" w:cs="Calibri"/>
          <w:color w:val="263238"/>
          <w:sz w:val="21"/>
          <w:szCs w:val="21"/>
        </w:rPr>
        <w:t>Enhanced Solidarity</w:t>
      </w:r>
    </w:p>
    <w:p>
      <w:pPr>
        <w:pStyle w:val="Normal"/>
      </w:pPr>
      <w:r>
        <w:rPr>
          <w:rFonts w:ascii="Calibri" w:hAnsi="Calibri" w:eastAsia="Microsoft YaHei" w:cs="Calibri"/>
          <w:color w:val="263238"/>
          <w:sz w:val="21"/>
          <w:szCs w:val="21"/>
        </w:rPr>
        <w:t>Highest coordination for major economies</w:t>
      </w:r>
    </w:p>
    <w:p>
      <w:pPr>
        <w:pStyle w:val="Heading3"/>
      </w:pPr>
      <w:r>
        <w:rPr>
          <w:rFonts w:ascii="Calibri" w:hAnsi="Calibri" w:eastAsia="Microsoft YaHei" w:cs="Calibri"/>
          <w:b/>
          <w:color w:val="546E7A"/>
          <w:sz w:val="22"/>
          <w:szCs w:val="22"/>
        </w:rPr>
        <w:t>FOUNDING COALITION STRATEGY</w:t>
      </w:r>
    </w:p>
    <w:p>
      <w:pPr>
        <w:pStyle w:val="Normal"/>
      </w:pPr>
      <w:r>
        <w:rPr>
          <w:rFonts w:ascii="Calibri" w:hAnsi="Calibri" w:eastAsia="Microsoft YaHei" w:cs="Calibri"/>
          <w:color w:val="263238"/>
          <w:sz w:val="21"/>
          <w:szCs w:val="21"/>
        </w:rPr>
        <w:t>LAUNCH (Year 1): EU core, UK, Canada, Japan, Australia, South Korea, 10–12 states PROVE (Years 2–3): 1–2 successful cases demonstrating capability EXPAND (Years 4–5): Broader accession after credibility established TARGET (Year 5+): 30–40 members representing 45%+ of global GDP POLITICAL SUSTAINABILITY</w:t>
      </w:r>
    </w:p>
    <w:p>
      <w:pPr>
        <w:pStyle w:val="Normal"/>
        <w:numPr>
          <w:ilvl w:val="0"/>
          <w:numId w:val="1"/>
        </w:numPr>
      </w:pPr>
      <w:r>
        <w:rPr>
          <w:rFonts w:ascii="Calibri" w:hAnsi="Calibri" w:eastAsia="Microsoft YaHei" w:cs="Calibri"/>
          <w:color w:val="263238"/>
          <w:sz w:val="21"/>
          <w:szCs w:val="21"/>
        </w:rPr>
        <w:t>Starts with a manageable initial fund, scaling with membership</w:t>
      </w:r>
    </w:p>
    <w:p>
      <w:pPr>
        <w:pStyle w:val="Normal"/>
        <w:numPr>
          <w:ilvl w:val="0"/>
          <w:numId w:val="1"/>
        </w:numPr>
      </w:pPr>
      <w:r>
        <w:rPr>
          <w:rFonts w:ascii="Calibri" w:hAnsi="Calibri" w:eastAsia="Microsoft YaHei" w:cs="Calibri"/>
          <w:color w:val="263238"/>
          <w:sz w:val="21"/>
          <w:szCs w:val="21"/>
        </w:rPr>
        <w:t>Five-year mandatory review with amendment rights</w:t>
      </w:r>
    </w:p>
    <w:p>
      <w:pPr>
        <w:pStyle w:val="Normal"/>
        <w:numPr>
          <w:ilvl w:val="0"/>
          <w:numId w:val="1"/>
        </w:numPr>
      </w:pPr>
      <w:r>
        <w:rPr>
          <w:rFonts w:ascii="Calibri" w:hAnsi="Calibri" w:eastAsia="Microsoft YaHei" w:cs="Calibri"/>
          <w:color w:val="263238"/>
          <w:sz w:val="21"/>
          <w:szCs w:val="21"/>
        </w:rPr>
        <w:t>Sectoral modularity: members limit binding obligations to selected high-vulnerability sectors</w:t>
      </w:r>
    </w:p>
    <w:p>
      <w:pPr>
        <w:pStyle w:val="Normal"/>
        <w:numPr>
          <w:ilvl w:val="0"/>
          <w:numId w:val="1"/>
        </w:numPr>
      </w:pPr>
      <w:r>
        <w:rPr>
          <w:rFonts w:ascii="Calibri" w:hAnsi="Calibri" w:eastAsia="Microsoft YaHei" w:cs="Calibri"/>
          <w:color w:val="263238"/>
          <w:sz w:val="21"/>
          <w:szCs w:val="21"/>
        </w:rPr>
        <w:t>Constructive abstention allowed, participate without blocking</w:t>
      </w:r>
    </w:p>
    <w:p>
      <w:pPr>
        <w:pStyle w:val="Normal"/>
        <w:numPr>
          <w:ilvl w:val="0"/>
          <w:numId w:val="1"/>
        </w:numPr>
      </w:pPr>
      <w:r>
        <w:rPr>
          <w:rFonts w:ascii="Calibri" w:hAnsi="Calibri" w:eastAsia="Microsoft YaHei" w:cs="Calibri"/>
          <w:color w:val="263238"/>
          <w:sz w:val="21"/>
          <w:szCs w:val="21"/>
        </w:rPr>
        <w:t>Parliamentary control: packages exceeding 0.5% GDP require affirmative legislative vote; &gt;1% GDP requires quarterly review</w:t>
      </w:r>
    </w:p>
    <w:p>
      <w:pPr>
        <w:pStyle w:val="Normal"/>
        <w:numPr>
          <w:ilvl w:val="0"/>
          <w:numId w:val="1"/>
        </w:numPr>
      </w:pPr>
      <w:r>
        <w:rPr>
          <w:rFonts w:ascii="Calibri" w:hAnsi="Calibri" w:eastAsia="Microsoft YaHei" w:cs="Calibri"/>
          <w:color w:val="263238"/>
          <w:sz w:val="21"/>
          <w:szCs w:val="21"/>
        </w:rPr>
        <w:t>Peacetime benefits: supply chains, intelligence, procurement</w:t>
      </w:r>
    </w:p>
    <w:p>
      <w:pPr>
        <w:pStyle w:val="Normal"/>
        <w:numPr>
          <w:ilvl w:val="0"/>
          <w:numId w:val="1"/>
        </w:numPr>
      </w:pPr>
      <w:r>
        <w:rPr>
          <w:rFonts w:ascii="Calibri" w:hAnsi="Calibri" w:eastAsia="Microsoft YaHei" w:cs="Calibri"/>
          <w:color w:val="263238"/>
          <w:sz w:val="21"/>
          <w:szCs w:val="21"/>
        </w:rPr>
        <w:t>Clear off-ramps and face-saving mechanisms for all parties This framework provides economic security insurance in an era of weaponised interdependence.</w:t>
      </w:r>
    </w:p>
    <w:p>
      <w:pPr>
        <w:pStyle w:val="Heading1"/>
      </w:pPr>
      <w:bookmarkStart w:name="_Toc000007" w:id="7"/>
      <w:r>
        <w:rPr>
          <w:rFonts w:ascii="Calibri" w:hAnsi="Calibri" w:eastAsia="Microsoft YaHei" w:cs="Calibri"/>
          <w:b/>
          <w:color w:val="455A64"/>
          <w:sz w:val="30"/>
          <w:szCs w:val="30"/>
        </w:rPr>
        <w:t>FINANCIAL SNAPSHOT FOR MINISTERS</w:t>
      </w:r>
      <w:bookmarkEnd w:id="7"/>
    </w:p>
    <w:p>
      <w:pPr>
        <w:pStyle w:val="Normal"/>
      </w:pPr>
      <w:r>
        <w:rPr>
          <w:rFonts w:ascii="Calibri" w:hAnsi="Calibri" w:eastAsia="Microsoft YaHei" w:cs="Calibri"/>
          <w:color w:val="263238"/>
          <w:sz w:val="21"/>
          <w:szCs w:val="21"/>
        </w:rPr>
        <w:t>What Does It Cost?</w:t>
      </w:r>
    </w:p>
    <w:p>
      <w:pPr>
        <w:pStyle w:val="Normal"/>
      </w:pPr>
      <w:r>
        <w:rPr>
          <w:rFonts w:ascii="Calibri" w:hAnsi="Calibri" w:eastAsia="Microsoft YaHei" w:cs="Calibri"/>
          <w:color w:val="263238"/>
          <w:sz w:val="21"/>
          <w:szCs w:val="21"/>
        </w:rPr>
        <w:t>Contribution Bands (Annual)</w:t>
      </w:r>
    </w:p>
    <w:p>
      <w:pPr>
        <w:pStyle w:val="Normal"/>
      </w:pPr>
      <w:r>
        <w:rPr>
          <w:rFonts w:ascii="Calibri" w:hAnsi="Calibri" w:eastAsia="Microsoft YaHei" w:cs="Calibri"/>
          <w:color w:val="263238"/>
          <w:sz w:val="21"/>
          <w:szCs w:val="21"/>
        </w:rPr>
        <w:t>Large advanced economy (GDP &gt; USD 2 trillion): approximately 0.06-0.08% of GDP per year. Mid-size economy (GDP USD 200 billion - 2 trillion): approximately 0.03-0.05%. Small state (GDP &lt; USD 200 billion): approximately 0.01-0.02%. LDC/micro-state: under 0.01%.</w:t>
      </w:r>
    </w:p>
    <w:p>
      <w:pPr>
        <w:pStyle w:val="Normal"/>
      </w:pPr>
      <w:r>
        <w:rPr>
          <w:rFonts w:ascii="Calibri" w:hAnsi="Calibri" w:eastAsia="Microsoft YaHei" w:cs="Calibri"/>
          <w:color w:val="263238"/>
          <w:sz w:val="21"/>
          <w:szCs w:val="21"/>
        </w:rPr>
        <w:t>Exposure Cap</w:t>
      </w:r>
    </w:p>
    <w:p>
      <w:pPr>
        <w:pStyle w:val="Normal"/>
      </w:pPr>
      <w:r>
        <w:rPr>
          <w:rFonts w:ascii="Calibri" w:hAnsi="Calibri" w:eastAsia="Microsoft YaHei" w:cs="Calibri"/>
          <w:color w:val="263238"/>
          <w:sz w:val="21"/>
          <w:szCs w:val="21"/>
        </w:rPr>
        <w:t>Total annual exposure, all regular contributions plus emergency calls combined, cannot exceed 0.25% of GDP for any member in any year, regardless of the number of active cases. This is a hard ceiling that requires explicit parliamentary authorisation to breach.</w:t>
      </w:r>
    </w:p>
    <w:p>
      <w:pPr>
        <w:pStyle w:val="Normal"/>
      </w:pPr>
      <w:r>
        <w:rPr>
          <w:rFonts w:ascii="Calibri" w:hAnsi="Calibri" w:eastAsia="Microsoft YaHei" w:cs="Calibri"/>
          <w:color w:val="263238"/>
          <w:sz w:val="21"/>
          <w:szCs w:val="21"/>
        </w:rPr>
        <w:t>Fund Size</w:t>
      </w:r>
    </w:p>
    <w:p>
      <w:pPr>
        <w:pStyle w:val="Normal"/>
      </w:pPr>
      <w:r>
        <w:rPr>
          <w:rFonts w:ascii="Calibri" w:hAnsi="Calibri" w:eastAsia="Microsoft YaHei" w:cs="Calibri"/>
          <w:color w:val="263238"/>
          <w:sz w:val="21"/>
          <w:szCs w:val="21"/>
        </w:rPr>
        <w:t>For a 12-member founding coalition with approximately USD 45 trillion combined GDP: total annual contributions approximately USD 2.2-4.5 billion; 5-year fund target approximately USD 11-22 billion. SFI liquidity backstop: minimum USD 15 billion.</w:t>
      </w:r>
    </w:p>
    <w:p>
      <w:pPr>
        <w:pStyle w:val="Normal"/>
      </w:pPr>
      <w:r>
        <w:rPr>
          <w:rFonts w:ascii="Calibri" w:hAnsi="Calibri" w:eastAsia="Microsoft YaHei" w:cs="Calibri"/>
          <w:color w:val="263238"/>
          <w:sz w:val="21"/>
          <w:szCs w:val="21"/>
        </w:rPr>
        <w:t>Maximum Single-Case Draw</w:t>
      </w:r>
    </w:p>
    <w:p>
      <w:pPr>
        <w:pStyle w:val="Normal"/>
      </w:pPr>
      <w:r>
        <w:rPr>
          <w:rFonts w:ascii="Calibri" w:hAnsi="Calibri" w:eastAsia="Microsoft YaHei" w:cs="Calibri"/>
          <w:color w:val="263238"/>
          <w:sz w:val="21"/>
          <w:szCs w:val="21"/>
        </w:rPr>
        <w:t>No single activation draws more than 15% of total Fund capacity or 0.15% of any individual member's GDP, absent a 75% supermajority CC vote. This means no single crisis drains the system.</w:t>
      </w:r>
    </w:p>
    <w:p>
      <w:pPr>
        <w:pStyle w:val="Normal"/>
      </w:pPr>
      <w:r>
        <w:rPr>
          <w:rFonts w:ascii="Calibri" w:hAnsi="Calibri" w:eastAsia="Microsoft YaHei" w:cs="Calibri"/>
          <w:color w:val="263238"/>
          <w:sz w:val="21"/>
          <w:szCs w:val="21"/>
        </w:rPr>
        <w:t>Cost of a Typical Case</w:t>
      </w:r>
    </w:p>
    <w:p>
      <w:pPr>
        <w:pStyle w:val="Normal"/>
      </w:pPr>
      <w:r>
        <w:rPr>
          <w:rFonts w:ascii="Calibri" w:hAnsi="Calibri" w:eastAsia="Microsoft YaHei" w:cs="Calibri"/>
          <w:color w:val="263238"/>
          <w:sz w:val="21"/>
          <w:szCs w:val="21"/>
        </w:rPr>
        <w:t>Illustrative medium case (Phase 1/Phase 2, 8-10% trade coverage on targeted flows): coalition-wide fiscal cost equivalent to approximately 0.02-0.05% of combined GDP over 12 months. For a mid-size member (GDP ~USD 500 billion): annual contribution in a medium case approximately USD 100-250 million, or roughly 0.02-0.05% of GDP. For a large advanced economy (GDP ~USD 3 trillion): approximately USD 600 million - 1.5 billion, or 0.02-0.05% of GDP.</w:t>
      </w:r>
    </w:p>
    <w:p>
      <w:pPr>
        <w:pStyle w:val="Normal"/>
      </w:pPr>
      <w:r>
        <w:rPr>
          <w:rFonts w:ascii="Calibri" w:hAnsi="Calibri" w:eastAsia="Microsoft YaHei" w:cs="Calibri"/>
          <w:color w:val="263238"/>
          <w:sz w:val="21"/>
          <w:szCs w:val="21"/>
        </w:rPr>
        <w:t>Multi-Case Stress Capacity</w:t>
      </w:r>
    </w:p>
    <w:p>
      <w:pPr>
        <w:pStyle w:val="Normal"/>
      </w:pPr>
      <w:r>
        <w:rPr>
          <w:rFonts w:ascii="Calibri" w:hAnsi="Calibri" w:eastAsia="Microsoft YaHei" w:cs="Calibri"/>
          <w:color w:val="263238"/>
          <w:sz w:val="21"/>
          <w:szCs w:val="21"/>
        </w:rPr>
        <w:t>The system is designed to handle two simultaneous medium cases plus one small-state case, all within the same 0.25% of GDP exposure cap per member. The Multi-Crisis Stress Envelope (Section 8.4E) ensures that even under concurrent crises, no member faces unpredictable costs.</w:t>
      </w:r>
    </w:p>
    <w:p>
      <w:pPr>
        <w:pStyle w:val="Heading1"/>
      </w:pPr>
      <w:bookmarkStart w:name="_Toc000008" w:id="8"/>
      <w:r>
        <w:rPr>
          <w:rFonts w:ascii="Calibri" w:hAnsi="Calibri" w:eastAsia="Microsoft YaHei" w:cs="Calibri"/>
          <w:b/>
          <w:color w:val="455A64"/>
          <w:sz w:val="30"/>
          <w:szCs w:val="30"/>
        </w:rPr>
        <w:t>HOW THE CLOCK WORKS</w:t>
      </w:r>
      <w:bookmarkEnd w:id="8"/>
    </w:p>
    <w:p>
      <w:pPr>
        <w:pStyle w:val="Normal"/>
      </w:pPr>
      <w:r>
        <w:rPr>
          <w:rFonts w:ascii="Calibri" w:hAnsi="Calibri" w:eastAsia="Microsoft YaHei" w:cs="Calibri"/>
          <w:color w:val="263238"/>
          <w:sz w:val="21"/>
          <w:szCs w:val="21"/>
        </w:rPr>
        <w:t>Think of IMESI as working on three clocks:</w:t>
      </w:r>
    </w:p>
    <w:p>
      <w:pPr>
        <w:pStyle w:val="Normal"/>
      </w:pPr>
      <w:r>
        <w:rPr>
          <w:rFonts w:ascii="Calibri" w:hAnsi="Calibri" w:eastAsia="Microsoft YaHei" w:cs="Calibri"/>
          <w:color w:val="263238"/>
          <w:sz w:val="21"/>
          <w:szCs w:val="21"/>
        </w:rPr>
        <w:t>Hours: automatic stabilisation and market-calming. Track A measures, liquidity, swap lines, supply-chain rerouting, market-stability communications, deploy within hours of IEWC certification. No political vote required. This is the insurance payout.</w:t>
      </w:r>
    </w:p>
    <w:p>
      <w:pPr>
        <w:pStyle w:val="Normal"/>
      </w:pPr>
      <w:r>
        <w:rPr>
          <w:rFonts w:ascii="Calibri" w:hAnsi="Calibri" w:eastAsia="Microsoft YaHei" w:cs="Calibri"/>
          <w:color w:val="263238"/>
          <w:sz w:val="21"/>
          <w:szCs w:val="21"/>
        </w:rPr>
        <w:t>Days: Phase 1 political decisions and legitimacy checks. The CC votes on coordinated trade measures. The Rapid Legitimacy Signal Panel publishes its assessment. Quiet consultation gives the coercer a face-saving off-ramp. Political leaders make choices at this speed.</w:t>
      </w:r>
    </w:p>
    <w:p>
      <w:pPr>
        <w:pStyle w:val="Normal"/>
      </w:pPr>
      <w:r>
        <w:rPr>
          <w:rFonts w:ascii="Calibri" w:hAnsi="Calibri" w:eastAsia="Microsoft YaHei" w:cs="Calibri"/>
          <w:color w:val="263238"/>
          <w:sz w:val="21"/>
          <w:szCs w:val="21"/>
        </w:rPr>
        <w:t>Months: escalation reviews and rolling review points. Deep reviews at 90 days force active decisions. Phase 2+ measures undergo review at each 120-day boundary and continue by silence under the Nofade rule. Cases close or continue at 180 days. Commitments persist until written determination.</w:t>
      </w:r>
    </w:p>
    <w:p>
      <w:pPr>
        <w:pStyle w:val="Normal"/>
      </w:pPr>
      <w:r>
        <w:rPr>
          <w:rFonts w:ascii="Calibri" w:hAnsi="Calibri" w:eastAsia="Microsoft YaHei" w:cs="Calibri"/>
          <w:color w:val="263238"/>
          <w:sz w:val="21"/>
          <w:szCs w:val="21"/>
        </w:rPr>
        <w:t>All detailed timelines in the treaty are calibrations of these three clocks. The numeric density in the full text, the 48-hour windows, 7-day panels, 30-day mandates, is just the fine-tuning. The architecture is three layers: hours for defence, days for decisions, months for accountability.</w:t>
      </w:r>
    </w:p>
    <w:p>
      <w:pPr>
        <w:pStyle w:val="Heading1"/>
      </w:pPr>
      <w:bookmarkStart w:name="_Toc000009" w:id="9"/>
      <w:r>
        <w:rPr>
          <w:rFonts w:ascii="Calibri" w:hAnsi="Calibri" w:eastAsia="Microsoft YaHei" w:cs="Calibri"/>
          <w:b/>
          <w:color w:val="455A64"/>
          <w:sz w:val="30"/>
          <w:szCs w:val="30"/>
        </w:rPr>
        <w:t>TIMEFRAMES AND THRESHOLD BANDS</w:t>
      </w:r>
      <w:bookmarkEnd w:id="9"/>
    </w:p>
    <w:p>
      <w:pPr>
        <w:pStyle w:val="Normal"/>
      </w:pPr>
      <w:r>
        <w:rPr>
          <w:rFonts w:ascii="Calibri" w:hAnsi="Calibri" w:eastAsia="Microsoft YaHei" w:cs="Calibri"/>
          <w:color w:val="263238"/>
          <w:sz w:val="21"/>
          <w:szCs w:val="21"/>
        </w:rPr>
        <w:t>All operational timelines in this Instrument fall into four standard bands. Where the main text uses a band label, the exact hours or days are specified in the Operational Thresholds annex (Annex 24) and internal Standard Operating Procedures. Ministers and senior officials need remember only these four concepts:</w:t>
      </w:r>
    </w:p>
    <w:p>
      <w:pPr>
        <w:pStyle w:val="Normal"/>
      </w:pPr>
      <w:r>
        <w:rPr>
          <w:rFonts w:ascii="Calibri" w:hAnsi="Calibri" w:eastAsia="Microsoft YaHei" w:cs="Calibri"/>
          <w:color w:val="263238"/>
          <w:sz w:val="21"/>
          <w:szCs w:val="21"/>
        </w:rPr>
        <w:t>Immediate (0-6 hours)</w:t>
      </w:r>
    </w:p>
    <w:p>
      <w:pPr>
        <w:pStyle w:val="Normal"/>
      </w:pPr>
      <w:r>
        <w:rPr>
          <w:rFonts w:ascii="Calibri" w:hAnsi="Calibri" w:eastAsia="Microsoft YaHei" w:cs="Calibri"/>
          <w:color w:val="263238"/>
          <w:sz w:val="21"/>
          <w:szCs w:val="21"/>
        </w:rPr>
        <w:t>Used for: Track A automatic stabilisation (liquidity release, swap-line activation, market-stability communications); IEWC critical-case triage; emergency notification to CC Members; node failover activation. No political vote required, these are pre-authorised defensive measures.</w:t>
      </w:r>
    </w:p>
    <w:p>
      <w:pPr>
        <w:pStyle w:val="Normal"/>
      </w:pPr>
      <w:r>
        <w:rPr>
          <w:rFonts w:ascii="Calibri" w:hAnsi="Calibri" w:eastAsia="Microsoft YaHei" w:cs="Calibri"/>
          <w:color w:val="263238"/>
          <w:sz w:val="21"/>
          <w:szCs w:val="21"/>
        </w:rPr>
        <w:t>Rapid (1-3 days)</w:t>
      </w:r>
    </w:p>
    <w:p>
      <w:pPr>
        <w:pStyle w:val="Normal"/>
      </w:pPr>
      <w:r>
        <w:rPr>
          <w:rFonts w:ascii="Calibri" w:hAnsi="Calibri" w:eastAsia="Microsoft YaHei" w:cs="Calibri"/>
          <w:color w:val="263238"/>
          <w:sz w:val="21"/>
          <w:szCs w:val="21"/>
        </w:rPr>
        <w:t>Used for: IEWC preliminary certification; Rapid Legitimacy Signal Mechanism panel assessment; Quiet Consultation backchannel with coercing state; Phase 1 CC vote and activation; emergency judicial panel convening; mediator appointment. Political decisions happen at this speed.</w:t>
      </w:r>
    </w:p>
    <w:p>
      <w:pPr>
        <w:pStyle w:val="Normal"/>
      </w:pPr>
      <w:r>
        <w:rPr>
          <w:rFonts w:ascii="Calibri" w:hAnsi="Calibri" w:eastAsia="Microsoft YaHei" w:cs="Calibri"/>
          <w:color w:val="263238"/>
          <w:sz w:val="21"/>
          <w:szCs w:val="21"/>
        </w:rPr>
        <w:t>Expedited (7-14 days)</w:t>
      </w:r>
    </w:p>
    <w:p>
      <w:pPr>
        <w:pStyle w:val="Normal"/>
      </w:pPr>
      <w:r>
        <w:rPr>
          <w:rFonts w:ascii="Calibri" w:hAnsi="Calibri" w:eastAsia="Microsoft YaHei" w:cs="Calibri"/>
          <w:color w:val="263238"/>
          <w:sz w:val="21"/>
          <w:szCs w:val="21"/>
        </w:rPr>
        <w:t>Used for: full IEWC investigation and evidence review; Rapid Evidence Panel determination; borderline case external review; member compliance consultation; alternative-participation proposals; CC deliberation on disputed certifications. Substantive review with procedural rigour.</w:t>
      </w:r>
    </w:p>
    <w:p>
      <w:pPr>
        <w:pStyle w:val="Normal"/>
      </w:pPr>
      <w:r>
        <w:rPr>
          <w:rFonts w:ascii="Calibri" w:hAnsi="Calibri" w:eastAsia="Microsoft YaHei" w:cs="Calibri"/>
          <w:color w:val="263238"/>
          <w:sz w:val="21"/>
          <w:szCs w:val="21"/>
        </w:rPr>
        <w:t>Standard (30 days)</w:t>
      </w:r>
    </w:p>
    <w:p>
      <w:pPr>
        <w:pStyle w:val="Normal"/>
      </w:pPr>
      <w:r>
        <w:rPr>
          <w:rFonts w:ascii="Calibri" w:hAnsi="Calibri" w:eastAsia="Microsoft YaHei" w:cs="Calibri"/>
          <w:color w:val="263238"/>
          <w:sz w:val="21"/>
          <w:szCs w:val="21"/>
        </w:rPr>
        <w:t>Used for: diplomatic consultation windows; mediation mandates; Phase 2+ deliberation and authorisation; Secretariat impact assessments; de-escalation verification periods; member opt-in/opt-out elections. Full democratic and diplomatic processes.</w:t>
      </w:r>
    </w:p>
    <w:p>
      <w:pPr>
        <w:pStyle w:val="Normal"/>
      </w:pPr>
      <w:r>
        <w:rPr>
          <w:rFonts w:ascii="Calibri" w:hAnsi="Calibri" w:eastAsia="Microsoft YaHei" w:cs="Calibri"/>
          <w:color w:val="263238"/>
          <w:sz w:val="21"/>
          <w:szCs w:val="21"/>
        </w:rPr>
        <w:t>Exceptions to these bands exist for specific emergency protocols (Red-Line Category 2, Compound Emergencies, Military Nexus Fast-Lane) and are clearly marked in the relevant sections. The detailed hour-by-hour and day-by-day calibration for each mechanism is consolidated in Annex 24: Operational Thresholds and Calibration Bands.</w:t>
      </w:r>
    </w:p>
    <w:p>
      <w:pPr>
        <w:pStyle w:val="Heading3"/>
      </w:pPr>
      <w:r>
        <w:rPr>
          <w:rFonts w:ascii="Calibri" w:hAnsi="Calibri" w:eastAsia="Microsoft YaHei" w:cs="Calibri"/>
          <w:b/>
          <w:color w:val="546E7A"/>
          <w:sz w:val="22"/>
          <w:szCs w:val="22"/>
        </w:rPr>
        <w:t>OPERATIONAL SIMPLICITY PRINCIPLE</w:t>
      </w:r>
    </w:p>
    <w:p>
      <w:pPr>
        <w:pStyle w:val="Normal"/>
      </w:pPr>
      <w:r>
        <w:rPr>
          <w:rFonts w:ascii="Calibri" w:hAnsi="Calibri" w:eastAsia="Microsoft YaHei" w:cs="Calibri"/>
          <w:color w:val="263238"/>
          <w:sz w:val="21"/>
          <w:szCs w:val="21"/>
        </w:rPr>
        <w:t>Ministers and senior officials are not required to master the full technical detail of this Instrument for it to function as designed. IMESI's operational logic rests on four simple anchors: three clocks (hours for automatic stabilisation, days for political decisions, months for accountability), three response phases (Phase 0 insurance, Phase 1 calibrated stabilisation measures, Phase 2 exceptional escalation), and four standard time-bands for all key decisions, and two enforcement pathways, comprising the Step-Back/Earn-Back Protocol (Sections 5.4B-5.4F) as the default for all compliance events and Reinstatement (Section 5.2) as the backstop for deliberate bad faith. All additional provisions, annexes, and protocols are internal plumbing to ensure consistency, legal defensibility, and small-state protection; they are delegated to technical officials without diminishing political control.</w:t>
      </w:r>
    </w:p>
    <w:p>
      <w:pPr>
        <w:pStyle w:val="Heading1"/>
      </w:pPr>
      <w:bookmarkStart w:name="_Toc000010" w:id="10"/>
      <w:r>
        <w:rPr>
          <w:rFonts w:ascii="Calibri" w:hAnsi="Calibri" w:eastAsia="Microsoft YaHei" w:cs="Calibri"/>
          <w:b/>
          <w:color w:val="455A64"/>
          <w:sz w:val="30"/>
          <w:szCs w:val="30"/>
        </w:rPr>
        <w:t>HOW IMESI WORKS IN PRACTICE</w:t>
      </w:r>
      <w:bookmarkEnd w:id="10"/>
    </w:p>
    <w:p>
      <w:pPr>
        <w:pStyle w:val="Normal"/>
      </w:pPr>
      <w:r>
        <w:rPr>
          <w:rFonts w:ascii="Calibri" w:hAnsi="Calibri" w:eastAsia="Microsoft YaHei" w:cs="Calibri"/>
          <w:color w:val="263238"/>
          <w:sz w:val="21"/>
          <w:szCs w:val="21"/>
        </w:rPr>
        <w:t>This section provides a plain-language overview of how IMESI operates in the three most common scenarios. Cross-references to specific articles and sections are provided in parentheses for detailed review.</w:t>
      </w:r>
    </w:p>
    <w:p>
      <w:pPr>
        <w:pStyle w:val="Normal"/>
      </w:pPr>
      <w:r>
        <w:rPr>
          <w:rFonts w:ascii="Calibri" w:hAnsi="Calibri" w:eastAsia="Microsoft YaHei" w:cs="Calibri"/>
          <w:color w:val="263238"/>
          <w:sz w:val="21"/>
          <w:szCs w:val="21"/>
        </w:rPr>
        <w:t>Scenario 1: Targeted Economic Coercion Against a Member</w:t>
      </w:r>
    </w:p>
    <w:p>
      <w:pPr>
        <w:pStyle w:val="Normal"/>
      </w:pPr>
      <w:r>
        <w:rPr>
          <w:rFonts w:ascii="Calibri" w:hAnsi="Calibri" w:eastAsia="Microsoft YaHei" w:cs="Calibri"/>
          <w:color w:val="263238"/>
          <w:sz w:val="21"/>
          <w:szCs w:val="21"/>
        </w:rPr>
        <w:t>Day 0, Trigger</w:t>
      </w:r>
    </w:p>
    <w:p>
      <w:pPr>
        <w:pStyle w:val="Normal"/>
      </w:pPr>
      <w:r>
        <w:rPr>
          <w:rFonts w:ascii="Calibri" w:hAnsi="Calibri" w:eastAsia="Microsoft YaHei" w:cs="Calibri"/>
          <w:color w:val="263238"/>
          <w:sz w:val="21"/>
          <w:szCs w:val="21"/>
        </w:rPr>
        <w:t>A Member reports that a foreign state has imposed discriminatory trade restrictions, financial penalties, or investment barriers linked to a political demand. The Member submits documentation to the IEWC (Article II, Section 2.1).</w:t>
      </w:r>
    </w:p>
    <w:p>
      <w:pPr>
        <w:pStyle w:val="Normal"/>
      </w:pPr>
      <w:r>
        <w:rPr>
          <w:rFonts w:ascii="Calibri" w:hAnsi="Calibri" w:eastAsia="Microsoft YaHei" w:cs="Calibri"/>
          <w:color w:val="263238"/>
          <w:sz w:val="21"/>
          <w:szCs w:val="21"/>
        </w:rPr>
        <w:t>Days 0-3, IEWC Preliminary Check</w:t>
      </w:r>
    </w:p>
    <w:p>
      <w:pPr>
        <w:pStyle w:val="Normal"/>
      </w:pPr>
      <w:r>
        <w:rPr>
          <w:rFonts w:ascii="Calibri" w:hAnsi="Calibri" w:eastAsia="Microsoft YaHei" w:cs="Calibri"/>
          <w:color w:val="263238"/>
          <w:sz w:val="21"/>
          <w:szCs w:val="21"/>
        </w:rPr>
        <w:t>IEWC analysts assess whether the measures meet the definition of economic coercion (factual nexus, economic impact, proportionality deficit, Section 2.15). If prima facie evidence exists, IEWC issues preliminary certification.</w:t>
      </w:r>
    </w:p>
    <w:p>
      <w:pPr>
        <w:pStyle w:val="Normal"/>
      </w:pPr>
      <w:r>
        <w:rPr>
          <w:rFonts w:ascii="Calibri" w:hAnsi="Calibri" w:eastAsia="Microsoft YaHei" w:cs="Calibri"/>
          <w:color w:val="263238"/>
          <w:sz w:val="21"/>
          <w:szCs w:val="21"/>
        </w:rPr>
        <w:t>Days 0-3, Phase 0 Automatic Stabilisation (Track A)</w:t>
      </w:r>
    </w:p>
    <w:p>
      <w:pPr>
        <w:pStyle w:val="Normal"/>
      </w:pPr>
      <w:r>
        <w:rPr>
          <w:rFonts w:ascii="Calibri" w:hAnsi="Calibri" w:eastAsia="Microsoft YaHei" w:cs="Calibri"/>
          <w:color w:val="263238"/>
          <w:sz w:val="21"/>
          <w:szCs w:val="21"/>
        </w:rPr>
        <w:t>Immediately upon preliminary certification: Resilience Fund liquidity released (Section 8.9); supply-chain rerouting activated (Annex 3); swap-line coordination initiated (Section 4.6H); market-stability communications issued. No CC vote required for Track A, these are pre-authorised defensive measures (Section 5.0F).</w:t>
      </w:r>
    </w:p>
    <w:p>
      <w:pPr>
        <w:pStyle w:val="Normal"/>
      </w:pPr>
      <w:r>
        <w:rPr>
          <w:rFonts w:ascii="Calibri" w:hAnsi="Calibri" w:eastAsia="Microsoft YaHei" w:cs="Calibri"/>
          <w:color w:val="263238"/>
          <w:sz w:val="21"/>
          <w:szCs w:val="21"/>
        </w:rPr>
        <w:t>Days 3-5, Quiet Consultation Window + Legitimacy Signal</w:t>
      </w:r>
    </w:p>
    <w:p>
      <w:pPr>
        <w:pStyle w:val="Normal"/>
      </w:pPr>
      <w:r>
        <w:rPr>
          <w:rFonts w:ascii="Calibri" w:hAnsi="Calibri" w:eastAsia="Microsoft YaHei" w:cs="Calibri"/>
          <w:color w:val="263238"/>
          <w:sz w:val="21"/>
          <w:szCs w:val="21"/>
        </w:rPr>
        <w:t>Secretariat opens confidential backchannel with coercing state (Section 5.0D). Opportunity for the coercer to modify or explain measures before public escalation. If credible assurances received, Phase 1 is deferred. Simultaneously, the Rapid Legitimacy Signal Mechanism Panel issues a public Legitimacy Note within 72 hours assessing whether the activation is consistent, borderline, or inconsistent with IMESI standards (Section 4.2U). The Note is advisory only and does not delay any measures.</w:t>
      </w:r>
    </w:p>
    <w:p>
      <w:pPr>
        <w:pStyle w:val="Normal"/>
      </w:pPr>
      <w:r>
        <w:rPr>
          <w:rFonts w:ascii="Calibri" w:hAnsi="Calibri" w:eastAsia="Microsoft YaHei" w:cs="Calibri"/>
          <w:color w:val="263238"/>
          <w:sz w:val="21"/>
          <w:szCs w:val="21"/>
        </w:rPr>
        <w:t>Days 5-7, Phase 1 Activation (Track B begins)</w:t>
      </w:r>
    </w:p>
    <w:p>
      <w:pPr>
        <w:pStyle w:val="Normal"/>
      </w:pPr>
      <w:r>
        <w:rPr>
          <w:rFonts w:ascii="Calibri" w:hAnsi="Calibri" w:eastAsia="Microsoft YaHei" w:cs="Calibri"/>
          <w:color w:val="263238"/>
          <w:sz w:val="21"/>
          <w:szCs w:val="21"/>
        </w:rPr>
        <w:t>If coercion continues: CC votes on Phase 1 stabilisation measures (55% threshold, Section 5.0A). Phase 1 = trade, procurement, and regulatory measures at 15-30% intensity. Financial instruments excluded at Phase 1 (Section 8.10I). Members choose participation mode: full, selective, or silent (Sections 3.3B, 3.3C).</w:t>
      </w:r>
    </w:p>
    <w:p>
      <w:pPr>
        <w:pStyle w:val="Normal"/>
      </w:pPr>
      <w:r>
        <w:rPr>
          <w:rFonts w:ascii="Calibri" w:hAnsi="Calibri" w:eastAsia="Microsoft YaHei" w:cs="Calibri"/>
          <w:color w:val="263238"/>
          <w:sz w:val="21"/>
          <w:szCs w:val="21"/>
        </w:rPr>
        <w:t>Days 30-90, Escalation or De-escalation</w:t>
      </w:r>
    </w:p>
    <w:p>
      <w:pPr>
        <w:pStyle w:val="Normal"/>
      </w:pPr>
      <w:r>
        <w:rPr>
          <w:rFonts w:ascii="Calibri" w:hAnsi="Calibri" w:eastAsia="Microsoft YaHei" w:cs="Calibri"/>
          <w:color w:val="263238"/>
          <w:sz w:val="21"/>
          <w:szCs w:val="21"/>
        </w:rPr>
        <w:t>Day 45: If Phase 1 persists without resolution, automatic Escalation Review forces CC to choose: escalate to Phase 2, intensify Phase 1, or open diplomatic window (Section 5.2A). Mediation available at any time (Section 5.3G). Phase 2+ requires separate CC vote + financial impact assessment. All Phase 2+ measures undergo rolling review at each 120-day boundary and continue by silence absent a written CC determination (Section 5.4A).</w:t>
      </w:r>
    </w:p>
    <w:p>
      <w:pPr>
        <w:pStyle w:val="Normal"/>
      </w:pPr>
      <w:r>
        <w:rPr>
          <w:rFonts w:ascii="Calibri" w:hAnsi="Calibri" w:eastAsia="Microsoft YaHei" w:cs="Calibri"/>
          <w:color w:val="263238"/>
          <w:sz w:val="21"/>
          <w:szCs w:val="21"/>
        </w:rPr>
        <w:t>Off-Ramps</w:t>
      </w:r>
    </w:p>
    <w:p>
      <w:pPr>
        <w:pStyle w:val="Normal"/>
      </w:pPr>
      <w:r>
        <w:rPr>
          <w:rFonts w:ascii="Calibri" w:hAnsi="Calibri" w:eastAsia="Microsoft YaHei" w:cs="Calibri"/>
          <w:color w:val="263238"/>
          <w:sz w:val="21"/>
          <w:szCs w:val="21"/>
        </w:rPr>
        <w:t>Available at every stage: coercer modifies behaviour; mediation succeeds; Member invokes MOAR opt-out; CC votes to de-escalate. De-escalation is the default, measures step down automatically without active renewal.</w:t>
      </w:r>
    </w:p>
    <w:p>
      <w:pPr>
        <w:pStyle w:val="Normal"/>
      </w:pPr>
      <w:r>
        <w:rPr>
          <w:rFonts w:ascii="Calibri" w:hAnsi="Calibri" w:eastAsia="Microsoft YaHei" w:cs="Calibri"/>
          <w:color w:val="263238"/>
          <w:sz w:val="21"/>
          <w:szCs w:val="21"/>
        </w:rPr>
        <w:t>Scenario 2: Systemic Economic Disruption (GSD/SND)</w:t>
      </w:r>
    </w:p>
    <w:p>
      <w:pPr>
        <w:pStyle w:val="Normal"/>
      </w:pPr>
      <w:r>
        <w:rPr>
          <w:rFonts w:ascii="Calibri" w:hAnsi="Calibri" w:eastAsia="Microsoft YaHei" w:cs="Calibri"/>
          <w:color w:val="263238"/>
          <w:sz w:val="21"/>
          <w:szCs w:val="21"/>
        </w:rPr>
        <w:t>Shock Detection</w:t>
      </w:r>
    </w:p>
    <w:p>
      <w:pPr>
        <w:pStyle w:val="Normal"/>
      </w:pPr>
      <w:r>
        <w:rPr>
          <w:rFonts w:ascii="Calibri" w:hAnsi="Calibri" w:eastAsia="Microsoft YaHei" w:cs="Calibri"/>
          <w:color w:val="263238"/>
          <w:sz w:val="21"/>
          <w:szCs w:val="21"/>
        </w:rPr>
        <w:t>IEWC identifies systemic disruption (broad tariff walls, supply-chain collapse, financial contagion) meeting quantitative thresholds (Section 1.4/1.4B). Note: routine trade policy changes cannot trigger this, Non-Use Guarantee applies (Section 1.4C).</w:t>
      </w:r>
    </w:p>
    <w:p>
      <w:pPr>
        <w:pStyle w:val="Normal"/>
      </w:pPr>
      <w:r>
        <w:rPr>
          <w:rFonts w:ascii="Calibri" w:hAnsi="Calibri" w:eastAsia="Microsoft YaHei" w:cs="Calibri"/>
          <w:color w:val="263238"/>
          <w:sz w:val="21"/>
          <w:szCs w:val="21"/>
        </w:rPr>
        <w:t>Independent Validation</w:t>
      </w:r>
    </w:p>
    <w:p>
      <w:pPr>
        <w:pStyle w:val="Normal"/>
      </w:pPr>
      <w:r>
        <w:rPr>
          <w:rFonts w:ascii="Calibri" w:hAnsi="Calibri" w:eastAsia="Microsoft YaHei" w:cs="Calibri"/>
          <w:color w:val="263238"/>
          <w:sz w:val="21"/>
          <w:szCs w:val="21"/>
        </w:rPr>
        <w:t>Independent Economic Review Panel confirms thresholds are met (Section 1.4D). Secretariat consults WTO/IMF where feasible. Certification requires IEWC + independent panel concurrence.</w:t>
      </w:r>
    </w:p>
    <w:p>
      <w:pPr>
        <w:pStyle w:val="Normal"/>
      </w:pPr>
      <w:r>
        <w:rPr>
          <w:rFonts w:ascii="Calibri" w:hAnsi="Calibri" w:eastAsia="Microsoft YaHei" w:cs="Calibri"/>
          <w:color w:val="263238"/>
          <w:sz w:val="21"/>
          <w:szCs w:val="21"/>
        </w:rPr>
        <w:t>Stabilisation-Only Response</w:t>
      </w:r>
    </w:p>
    <w:p>
      <w:pPr>
        <w:pStyle w:val="Normal"/>
      </w:pPr>
      <w:r>
        <w:rPr>
          <w:rFonts w:ascii="Calibri" w:hAnsi="Calibri" w:eastAsia="Microsoft YaHei" w:cs="Calibri"/>
          <w:color w:val="263238"/>
          <w:sz w:val="21"/>
          <w:szCs w:val="21"/>
        </w:rPr>
        <w:t>Default response is purely stabilisation: liquidity support, supply-chain rerouting, payment-system continuity (Track A only). No punitive measures. No sanctions. Stabilisation first, always.</w:t>
      </w:r>
    </w:p>
    <w:p>
      <w:pPr>
        <w:pStyle w:val="Normal"/>
      </w:pPr>
      <w:r>
        <w:rPr>
          <w:rFonts w:ascii="Calibri" w:hAnsi="Calibri" w:eastAsia="Microsoft YaHei" w:cs="Calibri"/>
          <w:color w:val="263238"/>
          <w:sz w:val="21"/>
          <w:szCs w:val="21"/>
        </w:rPr>
        <w:t>Optional Escalation</w:t>
      </w:r>
    </w:p>
    <w:p>
      <w:pPr>
        <w:pStyle w:val="Normal"/>
      </w:pPr>
      <w:r>
        <w:rPr>
          <w:rFonts w:ascii="Calibri" w:hAnsi="Calibri" w:eastAsia="Microsoft YaHei" w:cs="Calibri"/>
          <w:color w:val="263238"/>
          <w:sz w:val="21"/>
          <w:szCs w:val="21"/>
        </w:rPr>
        <w:t>Only if stabilisation proves insufficient AND coercive intent emerges does the case transition to the targeted coercion pathway. Requires fresh CC vote and full Track B safeguards.</w:t>
      </w:r>
    </w:p>
    <w:p>
      <w:pPr>
        <w:pStyle w:val="Normal"/>
      </w:pPr>
      <w:r>
        <w:rPr>
          <w:rFonts w:ascii="Calibri" w:hAnsi="Calibri" w:eastAsia="Microsoft YaHei" w:cs="Calibri"/>
          <w:color w:val="263238"/>
          <w:sz w:val="21"/>
          <w:szCs w:val="21"/>
        </w:rPr>
        <w:t>Scenario 3: Small-State Cluster Coercion</w:t>
      </w:r>
    </w:p>
    <w:p>
      <w:pPr>
        <w:pStyle w:val="Normal"/>
      </w:pPr>
      <w:r>
        <w:rPr>
          <w:rFonts w:ascii="Calibri" w:hAnsi="Calibri" w:eastAsia="Microsoft YaHei" w:cs="Calibri"/>
          <w:color w:val="263238"/>
          <w:sz w:val="21"/>
          <w:szCs w:val="21"/>
        </w:rPr>
        <w:t>Pattern Detection</w:t>
      </w:r>
    </w:p>
    <w:p>
      <w:pPr>
        <w:pStyle w:val="Normal"/>
      </w:pPr>
      <w:r>
        <w:rPr>
          <w:rFonts w:ascii="Calibri" w:hAnsi="Calibri" w:eastAsia="Microsoft YaHei" w:cs="Calibri"/>
          <w:color w:val="263238"/>
          <w:sz w:val="21"/>
          <w:szCs w:val="21"/>
        </w:rPr>
        <w:t>IEWC identifies that 3+ small-state Members face similar measures from the same coercer (Section 2.1C). Cases are automatically aggregated into one consolidated AESI, classified at least "Moderate" severity.</w:t>
      </w:r>
    </w:p>
    <w:p>
      <w:pPr>
        <w:pStyle w:val="Normal"/>
      </w:pPr>
      <w:r>
        <w:rPr>
          <w:rFonts w:ascii="Calibri" w:hAnsi="Calibri" w:eastAsia="Microsoft YaHei" w:cs="Calibri"/>
          <w:color w:val="263238"/>
          <w:sz w:val="21"/>
          <w:szCs w:val="21"/>
        </w:rPr>
        <w:t>Automatic Protections</w:t>
      </w:r>
    </w:p>
    <w:p>
      <w:pPr>
        <w:pStyle w:val="Normal"/>
      </w:pPr>
      <w:r>
        <w:rPr>
          <w:rFonts w:ascii="Calibri" w:hAnsi="Calibri" w:eastAsia="Microsoft YaHei" w:cs="Calibri"/>
          <w:color w:val="263238"/>
          <w:sz w:val="21"/>
          <w:szCs w:val="21"/>
        </w:rPr>
        <w:t>Small-State First activation: Phase 0 presumed activated unless 55% vote against within 24 hours (Section 5.0B). Small-State Resilience Reserve (20% of Fund) available immediately (Section 8.1A). Vulnerable Coalition Window provides enhanced Fund terms (Section 8.9B). Legal and Negotiation Support Unit deployed (Section 4.2S).</w:t>
      </w:r>
    </w:p>
    <w:p>
      <w:pPr>
        <w:pStyle w:val="Normal"/>
      </w:pPr>
      <w:r>
        <w:rPr>
          <w:rFonts w:ascii="Calibri" w:hAnsi="Calibri" w:eastAsia="Microsoft YaHei" w:cs="Calibri"/>
          <w:color w:val="263238"/>
          <w:sz w:val="21"/>
          <w:szCs w:val="21"/>
        </w:rPr>
        <w:t>Non-Abandonment</w:t>
      </w:r>
    </w:p>
    <w:p>
      <w:pPr>
        <w:pStyle w:val="Normal"/>
      </w:pPr>
      <w:r>
        <w:rPr>
          <w:rFonts w:ascii="Calibri" w:hAnsi="Calibri" w:eastAsia="Microsoft YaHei" w:cs="Calibri"/>
          <w:color w:val="263238"/>
          <w:sz w:val="21"/>
          <w:szCs w:val="21"/>
        </w:rPr>
        <w:t>Measures cannot be de-activated without the affected small state's consent or 75% CC vote (Section 5.0C). This prevents great-power horse-trading at small states' expense.</w:t>
      </w:r>
    </w:p>
    <w:p>
      <w:pPr>
        <w:pStyle w:val="Heading1"/>
      </w:pPr>
      <w:bookmarkStart w:name="_Toc000011" w:id="11"/>
      <w:r>
        <w:rPr>
          <w:rFonts w:ascii="Calibri" w:hAnsi="Calibri" w:eastAsia="Microsoft YaHei" w:cs="Calibri"/>
          <w:b/>
          <w:color w:val="455A64"/>
          <w:sz w:val="30"/>
          <w:szCs w:val="30"/>
        </w:rPr>
        <w:t>PATTERNS IMESI IS BUILT FOR</w:t>
      </w:r>
      <w:bookmarkEnd w:id="11"/>
    </w:p>
    <w:p>
      <w:pPr>
        <w:pStyle w:val="Normal"/>
      </w:pPr>
      <w:r>
        <w:rPr>
          <w:rFonts w:ascii="Calibri" w:hAnsi="Calibri" w:eastAsia="Microsoft YaHei" w:cs="Calibri"/>
          <w:color w:val="263238"/>
          <w:sz w:val="21"/>
          <w:szCs w:val="21"/>
        </w:rPr>
        <w:t>This framework is designed specifically for the kinds of trade, supply-chain, and financial pressure patterns seen in the last decade, without naming or targeting any particular state. Recognisable patterns include:</w:t>
      </w:r>
    </w:p>
    <w:p>
      <w:pPr>
        <w:pStyle w:val="Normal"/>
      </w:pPr>
      <w:r>
        <w:rPr>
          <w:rFonts w:ascii="Calibri" w:hAnsi="Calibri" w:eastAsia="Microsoft YaHei" w:cs="Calibri"/>
          <w:color w:val="263238"/>
          <w:sz w:val="21"/>
          <w:szCs w:val="21"/>
        </w:rPr>
        <w:t>Sudden broad tariffs on a narrow set of partner countries following policy disagreements.</w:t>
      </w:r>
    </w:p>
    <w:p>
      <w:pPr>
        <w:pStyle w:val="Normal"/>
      </w:pPr>
      <w:r>
        <w:rPr>
          <w:rFonts w:ascii="Calibri" w:hAnsi="Calibri" w:eastAsia="Microsoft YaHei" w:cs="Calibri"/>
          <w:color w:val="263238"/>
          <w:sz w:val="21"/>
          <w:szCs w:val="21"/>
        </w:rPr>
        <w:t>Abrupt export restrictions on critical inputs (rare earths, energy, semiconductors, agricultural products) following diplomatic disputes.</w:t>
      </w:r>
    </w:p>
    <w:p>
      <w:pPr>
        <w:pStyle w:val="Normal"/>
      </w:pPr>
      <w:r>
        <w:rPr>
          <w:rFonts w:ascii="Calibri" w:hAnsi="Calibri" w:eastAsia="Microsoft YaHei" w:cs="Calibri"/>
          <w:color w:val="263238"/>
          <w:sz w:val="21"/>
          <w:szCs w:val="21"/>
        </w:rPr>
        <w:t>Use of financial system access, banking restrictions, payment-system exclusion, credit-line withdrawal, as leverage in unrelated political issues.</w:t>
      </w:r>
    </w:p>
    <w:p>
      <w:pPr>
        <w:pStyle w:val="Normal"/>
      </w:pPr>
      <w:r>
        <w:rPr>
          <w:rFonts w:ascii="Calibri" w:hAnsi="Calibri" w:eastAsia="Microsoft YaHei" w:cs="Calibri"/>
          <w:color w:val="263238"/>
          <w:sz w:val="21"/>
          <w:szCs w:val="21"/>
        </w:rPr>
        <w:t>Informal customs delays, regulatory harassment, and "grey zone" trade friction applied selectively to pressure sovereign policy decisions.</w:t>
      </w:r>
    </w:p>
    <w:p>
      <w:pPr>
        <w:pStyle w:val="Normal"/>
      </w:pPr>
      <w:r>
        <w:rPr>
          <w:rFonts w:ascii="Calibri" w:hAnsi="Calibri" w:eastAsia="Microsoft YaHei" w:cs="Calibri"/>
          <w:color w:val="263238"/>
          <w:sz w:val="21"/>
          <w:szCs w:val="21"/>
        </w:rPr>
        <w:t>Coordinated economic measures against small or mid-size states timed to elections, treaty negotiations, or alliance decisions.</w:t>
      </w:r>
    </w:p>
    <w:p>
      <w:pPr>
        <w:pStyle w:val="Normal"/>
      </w:pPr>
      <w:r>
        <w:rPr>
          <w:rFonts w:ascii="Calibri" w:hAnsi="Calibri" w:eastAsia="Microsoft YaHei" w:cs="Calibri"/>
          <w:color w:val="263238"/>
          <w:sz w:val="21"/>
          <w:szCs w:val="21"/>
        </w:rPr>
        <w:t>Every IMESI mechanism, from IEWC certification thresholds to Track A stabilisation to Phase 1 coordinated response, is calibrated against these real-world patterns.</w:t>
      </w:r>
    </w:p>
    <w:p>
      <w:pPr>
        <w:pStyle w:val="Heading1"/>
      </w:pPr>
      <w:bookmarkStart w:name="_Toc000012" w:id="12"/>
      <w:r>
        <w:rPr>
          <w:rFonts w:ascii="Calibri" w:hAnsi="Calibri" w:eastAsia="Microsoft YaHei" w:cs="Calibri"/>
          <w:b/>
          <w:color w:val="455A64"/>
          <w:sz w:val="30"/>
          <w:szCs w:val="30"/>
        </w:rPr>
        <w:t>GOVERNANCE SAFEGUARDS AT A GLANCE</w:t>
      </w:r>
      <w:bookmarkEnd w:id="12"/>
    </w:p>
    <w:p>
      <w:pPr>
        <w:pStyle w:val="Normal"/>
      </w:pPr>
      <w:r>
        <w:rPr>
          <w:rFonts w:ascii="Calibri" w:hAnsi="Calibri" w:eastAsia="Microsoft YaHei" w:cs="Calibri"/>
          <w:color w:val="263238"/>
          <w:sz w:val="21"/>
          <w:szCs w:val="21"/>
        </w:rPr>
        <w:t>For ministers and senior officials who need to know "who controls it?" without reading the full governance chapter.</w:t>
      </w:r>
    </w:p>
    <w:p>
      <w:pPr>
        <w:pStyle w:val="Normal"/>
      </w:pPr>
      <w:r>
        <w:rPr>
          <w:rFonts w:ascii="Calibri" w:hAnsi="Calibri" w:eastAsia="Microsoft YaHei" w:cs="Calibri"/>
          <w:color w:val="263238"/>
          <w:sz w:val="21"/>
          <w:szCs w:val="21"/>
        </w:rPr>
        <w:t>Who Appoints Whom</w:t>
      </w:r>
    </w:p>
    <w:p>
      <w:pPr>
        <w:pStyle w:val="Normal"/>
      </w:pPr>
      <w:r>
        <w:rPr>
          <w:rFonts w:ascii="Calibri" w:hAnsi="Calibri" w:eastAsia="Microsoft YaHei" w:cs="Calibri"/>
          <w:color w:val="263238"/>
          <w:sz w:val="21"/>
          <w:szCs w:val="21"/>
        </w:rPr>
        <w:t>Coordination Committee (CC): all Member states, weighted by GDP/trade. IEWC: 5 core rotating members + 3 affected-member seats + 2 independent experts appointed by IAC (Section 1.6B). IAC: independent jurists appointed by CC, geographic balance required. Secretariat Director-General: appointed by 60% CC vote, 5-year term, removable by 70% vote.</w:t>
      </w:r>
    </w:p>
    <w:p>
      <w:pPr>
        <w:pStyle w:val="Normal"/>
      </w:pPr>
      <w:r>
        <w:rPr>
          <w:rFonts w:ascii="Calibri" w:hAnsi="Calibri" w:eastAsia="Microsoft YaHei" w:cs="Calibri"/>
          <w:color w:val="263238"/>
          <w:sz w:val="21"/>
          <w:szCs w:val="21"/>
        </w:rPr>
        <w:t>How Bodies Are Constrained</w:t>
      </w:r>
    </w:p>
    <w:p>
      <w:pPr>
        <w:pStyle w:val="Normal"/>
      </w:pPr>
      <w:r>
        <w:rPr>
          <w:rFonts w:ascii="Calibri" w:hAnsi="Calibri" w:eastAsia="Microsoft YaHei" w:cs="Calibri"/>
          <w:color w:val="263238"/>
          <w:sz w:val="21"/>
          <w:szCs w:val="21"/>
        </w:rPr>
        <w:t>IEWC: cannot act without CC authorisation for Phase 1+; dissent published; borderline cases get external review (Section 4.2T). SFI: operates under pre-authorised mandates only; no unilateral financial action. Secretariat: implements CC decisions; cannot initiate stabilisation measures; annual external audit.</w:t>
      </w:r>
    </w:p>
    <w:p>
      <w:pPr>
        <w:pStyle w:val="Normal"/>
      </w:pPr>
      <w:r>
        <w:rPr>
          <w:rFonts w:ascii="Calibri" w:hAnsi="Calibri" w:eastAsia="Microsoft YaHei" w:cs="Calibri"/>
          <w:color w:val="263238"/>
          <w:sz w:val="21"/>
          <w:szCs w:val="21"/>
        </w:rPr>
        <w:t>How Members Maintain Control</w:t>
      </w:r>
    </w:p>
    <w:p>
      <w:pPr>
        <w:pStyle w:val="Normal"/>
      </w:pPr>
      <w:r>
        <w:rPr>
          <w:rFonts w:ascii="Calibri" w:hAnsi="Calibri" w:eastAsia="Microsoft YaHei" w:cs="Calibri"/>
          <w:color w:val="263238"/>
          <w:sz w:val="21"/>
          <w:szCs w:val="21"/>
        </w:rPr>
        <w:t>Democratic Override: any parliament rejects implementation (Section 1.0A). Selective Participation: case-by-case measure-level choice (Section 3.3B). MOAR opt-out: any Member opts out with defined surcharge (Section 7.4). Recall: CC removes any institutional leader by 70% vote. Rolling Review: all Phase 2+ measures persist at full strength through successive 120-day review points under the Nofade rule and adjust only by written CC determination. Grand Review: full treaty review every 6 years with amendment authority.</w:t>
      </w:r>
    </w:p>
    <w:p>
      <w:pPr>
        <w:pStyle w:val="Heading3"/>
      </w:pPr>
      <w:r>
        <w:rPr>
          <w:rFonts w:ascii="Calibri" w:hAnsi="Calibri" w:eastAsia="Microsoft YaHei" w:cs="Calibri"/>
          <w:b/>
          <w:color w:val="546E7A"/>
          <w:sz w:val="22"/>
          <w:szCs w:val="22"/>
        </w:rPr>
        <w:t>COMPLEXITY RISKS AND BUILT-IN SAFEGUARDS</w:t>
      </w:r>
    </w:p>
    <w:p>
      <w:pPr>
        <w:pStyle w:val="Normal"/>
      </w:pPr>
      <w:r>
        <w:rPr>
          <w:rFonts w:ascii="Calibri" w:hAnsi="Calibri" w:eastAsia="Microsoft YaHei" w:cs="Calibri"/>
          <w:color w:val="263238"/>
          <w:sz w:val="21"/>
          <w:szCs w:val="21"/>
        </w:rPr>
        <w:t>IMESI is a comprehensive framework. Here are the main complexity risks and the specific safeguards already built into the text:</w:t>
      </w:r>
    </w:p>
    <w:p>
      <w:pPr>
        <w:pStyle w:val="Normal"/>
      </w:pPr>
      <w:r>
        <w:rPr>
          <w:rFonts w:ascii="Calibri" w:hAnsi="Calibri" w:eastAsia="Microsoft YaHei" w:cs="Calibri"/>
          <w:color w:val="263238"/>
          <w:sz w:val="21"/>
          <w:szCs w:val="21"/>
        </w:rPr>
        <w:t>1. Mis-Activation Risk</w:t>
      </w:r>
    </w:p>
    <w:p>
      <w:pPr>
        <w:pStyle w:val="Normal"/>
      </w:pPr>
      <w:r>
        <w:rPr>
          <w:rFonts w:ascii="Calibri" w:hAnsi="Calibri" w:eastAsia="Microsoft YaHei" w:cs="Calibri"/>
          <w:color w:val="263238"/>
          <w:sz w:val="21"/>
          <w:szCs w:val="21"/>
        </w:rPr>
        <w:t>Risk: IMESI activated inappropriately against legitimate trade policy. Safeguards: Non-Use Guarantee (Section 1.4C); independent panel validation for GSD/SND (Section 1.4D); Misuse Liability with penalties for bad-faith claims (Section 6.12); Rapid Evidence Panel for disputed certifications (Section 2.15).</w:t>
      </w:r>
    </w:p>
    <w:p>
      <w:pPr>
        <w:pStyle w:val="Normal"/>
      </w:pPr>
      <w:r>
        <w:rPr>
          <w:rFonts w:ascii="Calibri" w:hAnsi="Calibri" w:eastAsia="Microsoft YaHei" w:cs="Calibri"/>
          <w:color w:val="263238"/>
          <w:sz w:val="21"/>
          <w:szCs w:val="21"/>
        </w:rPr>
        <w:t>2. Escalation Risk</w:t>
      </w:r>
    </w:p>
    <w:p>
      <w:pPr>
        <w:pStyle w:val="Normal"/>
      </w:pPr>
      <w:r>
        <w:rPr>
          <w:rFonts w:ascii="Calibri" w:hAnsi="Calibri" w:eastAsia="Microsoft YaHei" w:cs="Calibri"/>
          <w:color w:val="263238"/>
          <w:sz w:val="21"/>
          <w:szCs w:val="21"/>
        </w:rPr>
        <w:t>Risk: Measures spiral beyond proportionality. Safeguards: Cascade Circuit-Breaker limits simultaneous activations (Section 5.11); Tariff Escalation Ceiling with automatic freeze (Section 5.3E); No First Use of financial weapons (Section 8.10I); 120-day rolling review horizon for all Phase 2+ measures under the Nofade Protocol (Section 5.4A); Symmetric Restraint for systemic economies (Section 7.5).</w:t>
      </w:r>
    </w:p>
    <w:p>
      <w:pPr>
        <w:pStyle w:val="Normal"/>
      </w:pPr>
      <w:r>
        <w:rPr>
          <w:rFonts w:ascii="Calibri" w:hAnsi="Calibri" w:eastAsia="Microsoft YaHei" w:cs="Calibri"/>
          <w:color w:val="263238"/>
          <w:sz w:val="21"/>
          <w:szCs w:val="21"/>
        </w:rPr>
        <w:t>3. Legal Conflict Risk</w:t>
      </w:r>
    </w:p>
    <w:p>
      <w:r>
        <w:t>Risk: IMESI measures conflict with WTO, IMF, or FTA obligations. Safeguards: Compatibility Assurance Protocol with model legal justifications (Annex 1); Complementarity with Existing Fora clause (Annex 1); mandatory Compatibility Assessment before Phase 2+ (Annex 1); WTO Defence-in-Depth Protocol (Annex 1A.1).</w:t>
      </w:r>
    </w:p>
    <w:p>
      <w:r>
        <w:t>4. Implementation Failure Risk</w:t>
      </w:r>
    </w:p>
    <w:p>
      <w:r>
        <w:t>Risk: Members don't actually implement. Safeguards: Compliance Audit Protocol detects silent defection (Section 4.3A); Minimum Action Floors per tier (Section 3.4C); Reciprocity Transparency shows aggregate compliance (Section 4.2A); Burden-Sharing Escalation Surcharge for underperformers (Section 8.4A).</w:t>
      </w:r>
    </w:p>
    <w:p>
      <w:r>
        <w:t>5. Domestic Political Risk</w:t>
      </w:r>
    </w:p>
    <w:p>
      <w:r>
        <w:t>Risk: Governments cannot sell membership domestically. Safeguards: Democratic Override, parliaments say always no (Section 1.0A); Domestic Sovereignty and Benefit Guarantee (Section 1.0C); Domestic Industry Safeguard Trigger (Section 7.4A); Selective and Silent Participation modes (Sections 3.3B, 3.3C); Citizen-Facing Purpose Statement (Section 1.0C).</w:t>
      </w:r>
    </w:p>
    <w:p>
      <w:r>
        <w:t>Non-Defence Character (Reinforced)</w:t>
      </w:r>
    </w:p>
    <w:p>
      <w:r>
        <w:t>Even where coercive economic measures coincide with armed-force threats or conflict, IMESI remains strictly an economic stabilisation and mutual insurance mechanism; nothing in this Instrument is interpreted or applied as a mutual defence pact, a collective security guarantee, or an authorisation for the use or threat of force.</w:t>
      </w:r>
    </w:p>
    <w:p>
      <w:pPr>
        <w:pStyle w:val="Heading1"/>
      </w:pPr>
      <w:r>
        <w:rPr>
          <w:rFonts w:ascii="Calibri" w:hAnsi="Calibri" w:eastAsia="Microsoft YaHei" w:cs="Calibri"/>
          <w:b/>
          <w:color w:val="455A64"/>
          <w:sz w:val="30"/>
          <w:szCs w:val="30"/>
        </w:rPr>
        <w:t>PHILOSOPHICAL PREAMBLE</w:t>
      </w:r>
      <w:bookmarkStart w:name="_Toc000013" w:id="13"/>
      <w:bookmarkEnd w:id="13"/>
    </w:p>
    <w:p>
      <w:pPr>
        <w:pStyle w:val="Heading3"/>
      </w:pPr>
      <w:r>
        <w:rPr>
          <w:rFonts w:ascii="Calibri" w:hAnsi="Calibri" w:eastAsia="Microsoft YaHei" w:cs="Calibri"/>
          <w:b/>
          <w:color w:val="546E7A"/>
          <w:sz w:val="22"/>
          <w:szCs w:val="22"/>
        </w:rPr>
        <w:t>Preamble (Addendum): Most-Favoured-Nation Assurance [NEW: v12.0]</w:t>
      </w:r>
    </w:p>
    <w:p>
      <w:pPr>
        <w:pStyle w:val="Normal"/>
      </w:pPr>
      <w:r>
        <w:rPr>
          <w:rFonts w:ascii="Calibri" w:hAnsi="Calibri" w:eastAsia="Microsoft YaHei" w:cs="Calibri"/>
          <w:color w:val="263238"/>
          <w:sz w:val="21"/>
          <w:szCs w:val="21"/>
        </w:rPr>
        <w:t>IMESI measures do not create preferences among trading partners; they respond to documented coercion. Nothing in this Instrument creates or authorises discrimination among like products from different sources except as necessary to respond to the specific coercive conduct of a particular state.</w:t>
      </w:r>
    </w:p>
    <w:p>
      <w:pPr>
        <w:pStyle w:val="Heading3"/>
      </w:pPr>
      <w:r>
        <w:rPr>
          <w:rFonts w:ascii="Calibri" w:hAnsi="Calibri" w:eastAsia="Microsoft YaHei" w:cs="Calibri"/>
          <w:b/>
          <w:color w:val="546E7A"/>
          <w:sz w:val="22"/>
          <w:szCs w:val="22"/>
        </w:rPr>
        <w:t>Preamble (Second Addendum): National Treatment Assurance [NEW: v12.0]</w:t>
      </w:r>
    </w:p>
    <w:p>
      <w:pPr>
        <w:pStyle w:val="Normal"/>
      </w:pPr>
      <w:r>
        <w:rPr>
          <w:rFonts w:ascii="Calibri" w:hAnsi="Calibri" w:eastAsia="Microsoft YaHei" w:cs="Calibri"/>
          <w:color w:val="263238"/>
          <w:sz w:val="21"/>
          <w:szCs w:val="21"/>
        </w:rPr>
        <w:t>Stabilisation measures under this Instrument do not differentiate between domestic and foreign products except where such differentiation proves necessary to respond to coercive conduct. All measures avoid discrimination between like products based on origin.</w:t>
      </w:r>
    </w:p>
    <w:p>
      <w:pPr>
        <w:pStyle w:val="Heading3"/>
      </w:pPr>
      <w:r>
        <w:rPr>
          <w:rFonts w:ascii="Calibri" w:hAnsi="Calibri" w:eastAsia="Microsoft YaHei" w:cs="Calibri"/>
          <w:b/>
          <w:color w:val="546E7A"/>
          <w:sz w:val="22"/>
          <w:szCs w:val="22"/>
        </w:rPr>
        <w:t>Preamble (Third Addendum): Non-Targeting Clarification [NEW: v12.0]</w:t>
      </w:r>
    </w:p>
    <w:p>
      <w:pPr>
        <w:pStyle w:val="Normal"/>
      </w:pPr>
      <w:r>
        <w:rPr>
          <w:rFonts w:ascii="Calibri" w:hAnsi="Calibri" w:eastAsia="Microsoft YaHei" w:cs="Calibri"/>
          <w:color w:val="263238"/>
          <w:sz w:val="21"/>
          <w:szCs w:val="21"/>
        </w:rPr>
        <w:t>IMESI does not target any specific state or group of states. Its measures respond to conduct, not identity. The framework opens to all states meeting accession criteria, regardless of geopolitical orientation.</w:t>
      </w:r>
    </w:p>
    <w:p>
      <w:pPr>
        <w:pStyle w:val="Normal"/>
      </w:pPr>
      <w:r>
        <w:rPr>
          <w:rFonts w:ascii="Calibri" w:hAnsi="Calibri" w:eastAsia="Microsoft YaHei" w:cs="Calibri"/>
          <w:color w:val="263238"/>
          <w:sz w:val="21"/>
          <w:szCs w:val="21"/>
        </w:rPr>
        <w:t>IMESI operates as mutual insurance against a specific risk: economic coercion. Just as states maintain military alliances to deter armed aggression, IMESI provides collective economic security to deter economic coercion. IMESI exists to reduce the frequency of economic coercion events by increasing the predictability of collective response. This is not ideological alignment. Members span diverse political systems, economic models, and foreign policy</w:t>
      </w:r>
    </w:p>
    <w:p>
      <w:pPr>
        <w:pStyle w:val="Normal"/>
      </w:pPr>
      <w:r>
        <w:rPr>
          <w:rFonts w:ascii="Calibri" w:hAnsi="Calibri" w:eastAsia="Microsoft YaHei" w:cs="Calibri"/>
          <w:color w:val="263238"/>
          <w:sz w:val="21"/>
          <w:szCs w:val="21"/>
        </w:rPr>
        <w:t>orientations. IMESI does not require:</w:t>
      </w:r>
    </w:p>
    <w:p>
      <w:pPr>
        <w:pStyle w:val="Normal"/>
        <w:numPr>
          <w:ilvl w:val="0"/>
          <w:numId w:val="1"/>
        </w:numPr>
      </w:pPr>
      <w:r>
        <w:rPr>
          <w:rFonts w:ascii="Calibri" w:hAnsi="Calibri" w:eastAsia="Microsoft YaHei" w:cs="Calibri"/>
          <w:color w:val="263238"/>
          <w:sz w:val="21"/>
          <w:szCs w:val="21"/>
        </w:rPr>
        <w:t>Adoption of common regulatory standards</w:t>
      </w:r>
    </w:p>
    <w:p>
      <w:pPr>
        <w:pStyle w:val="Normal"/>
        <w:numPr>
          <w:ilvl w:val="0"/>
          <w:numId w:val="1"/>
        </w:numPr>
      </w:pPr>
      <w:r>
        <w:rPr>
          <w:rFonts w:ascii="Calibri" w:hAnsi="Calibri" w:eastAsia="Microsoft YaHei" w:cs="Calibri"/>
          <w:color w:val="263238"/>
          <w:sz w:val="21"/>
          <w:szCs w:val="21"/>
        </w:rPr>
        <w:t>Coordination of foreign policy beyond coercion cases</w:t>
      </w:r>
    </w:p>
    <w:p>
      <w:pPr>
        <w:pStyle w:val="Normal"/>
        <w:numPr>
          <w:ilvl w:val="0"/>
          <w:numId w:val="1"/>
        </w:numPr>
      </w:pPr>
      <w:r>
        <w:rPr>
          <w:rFonts w:ascii="Calibri" w:hAnsi="Calibri" w:eastAsia="Microsoft YaHei" w:cs="Calibri"/>
          <w:color w:val="263238"/>
          <w:sz w:val="21"/>
          <w:szCs w:val="21"/>
        </w:rPr>
        <w:t>Participation in sanctions regimes</w:t>
      </w:r>
    </w:p>
    <w:p>
      <w:pPr>
        <w:pStyle w:val="Normal"/>
        <w:numPr>
          <w:ilvl w:val="0"/>
          <w:numId w:val="1"/>
        </w:numPr>
      </w:pPr>
      <w:r>
        <w:rPr>
          <w:rFonts w:ascii="Calibri" w:hAnsi="Calibri" w:eastAsia="Microsoft YaHei" w:cs="Calibri"/>
          <w:color w:val="263238"/>
          <w:sz w:val="21"/>
          <w:szCs w:val="21"/>
        </w:rPr>
        <w:t>Alignment with any major power's strategic competition Declaration of Universal Application: IMESI stabilisation measures apply without distinction to economic pressure regardless of whether accompanied by articulated policy demands. Broad-based tariff walls, non-discriminatory trade restrictions, and systemic supply disruptions are presumptively covered under Global Systemic Disruption (Section 1.4) and Systemic Non-Coercive Disruption (Section 1.4B) doctrines. The absence of explicit policy linkage does not preclude collective response where aggregate economic harm meets prescribed thresholds. Non-Bloc Declaration (v9.5): IMESI is prohibited from constituting a geopolitical alignment, defence pact, or exclusive economic bloc. It creates no mutual defence obligations, requires no coordinated foreign policy, and imposes no restrictions on members' bilateral trade or investment relationships with non-members. Non-Targeting Clause: IMESI is not a tool to contain or punish any specific state. Its sole objective is to stabilise the global economy by deterring economic coercion regardless of source. IMESI neither requires nor discourages participation in any security alliance, including NATO. Membership is compatible with any foreign policy orientation. Non-Bloc Declaration (v9.5): IMESI is prohibited from constituting a geopolitical alignment, defence pact, or exclusive economic bloc. It imposes no common external tariff, no mutual defence obligation, and no requirement for common foreign or security policy. Membership is open to any state meeting the accession criteria regardless of existing alliance commitments or geopolitical orientation. IMESI requires only: commitment to defend mutual economic sovereignty against coercive pressure. For developing countries, least developed countries, and small island developing states, IMESI is primarily a shield against other powers' sanctions and coercion, not a vehicle for new obligations.</w:t>
      </w:r>
    </w:p>
    <w:p>
      <w:pPr>
        <w:pStyle w:val="Normal"/>
      </w:pPr>
      <w:r>
        <w:rPr>
          <w:rFonts w:ascii="Calibri" w:hAnsi="Calibri" w:eastAsia="Microsoft YaHei" w:cs="Calibri"/>
          <w:color w:val="263238"/>
          <w:sz w:val="21"/>
          <w:szCs w:val="21"/>
        </w:rPr>
        <w:t>Members maintain complete independence on:</w:t>
      </w:r>
    </w:p>
    <w:p>
      <w:pPr>
        <w:pStyle w:val="Normal"/>
        <w:numPr>
          <w:ilvl w:val="0"/>
          <w:numId w:val="1"/>
        </w:numPr>
      </w:pPr>
      <w:r>
        <w:rPr>
          <w:rFonts w:ascii="Calibri" w:hAnsi="Calibri" w:eastAsia="Microsoft YaHei" w:cs="Calibri"/>
          <w:color w:val="263238"/>
          <w:sz w:val="21"/>
          <w:szCs w:val="21"/>
        </w:rPr>
        <w:t>Trade policy with third countries</w:t>
      </w:r>
    </w:p>
    <w:p>
      <w:pPr>
        <w:pStyle w:val="Normal"/>
        <w:numPr>
          <w:ilvl w:val="0"/>
          <w:numId w:val="1"/>
        </w:numPr>
      </w:pPr>
      <w:r>
        <w:rPr>
          <w:rFonts w:ascii="Calibri" w:hAnsi="Calibri" w:eastAsia="Microsoft YaHei" w:cs="Calibri"/>
          <w:color w:val="263238"/>
          <w:sz w:val="21"/>
          <w:szCs w:val="21"/>
        </w:rPr>
        <w:t>Investment screening criteria</w:t>
      </w:r>
    </w:p>
    <w:p>
      <w:pPr>
        <w:pStyle w:val="Normal"/>
        <w:numPr>
          <w:ilvl w:val="0"/>
          <w:numId w:val="1"/>
        </w:numPr>
      </w:pPr>
      <w:r>
        <w:rPr>
          <w:rFonts w:ascii="Calibri" w:hAnsi="Calibri" w:eastAsia="Microsoft YaHei" w:cs="Calibri"/>
          <w:color w:val="263238"/>
          <w:sz w:val="21"/>
          <w:szCs w:val="21"/>
        </w:rPr>
        <w:t>Regulatory standards and safety requirements</w:t>
      </w:r>
    </w:p>
    <w:p>
      <w:pPr>
        <w:pStyle w:val="Normal"/>
        <w:numPr>
          <w:ilvl w:val="0"/>
          <w:numId w:val="1"/>
        </w:numPr>
      </w:pPr>
      <w:r>
        <w:rPr>
          <w:rFonts w:ascii="Calibri" w:hAnsi="Calibri" w:eastAsia="Microsoft YaHei" w:cs="Calibri"/>
          <w:color w:val="263238"/>
          <w:sz w:val="21"/>
          <w:szCs w:val="21"/>
        </w:rPr>
        <w:t>Foreign policy positions</w:t>
      </w:r>
    </w:p>
    <w:p>
      <w:pPr>
        <w:pStyle w:val="Normal"/>
        <w:numPr>
          <w:ilvl w:val="0"/>
          <w:numId w:val="1"/>
        </w:numPr>
      </w:pPr>
      <w:r>
        <w:rPr>
          <w:rFonts w:ascii="Calibri" w:hAnsi="Calibri" w:eastAsia="Microsoft YaHei" w:cs="Calibri"/>
          <w:color w:val="263238"/>
          <w:sz w:val="21"/>
          <w:szCs w:val="21"/>
        </w:rPr>
        <w:t>Alliance memberships</w:t>
      </w:r>
    </w:p>
    <w:p>
      <w:pPr>
        <w:pStyle w:val="Normal"/>
        <w:numPr>
          <w:ilvl w:val="0"/>
          <w:numId w:val="1"/>
        </w:numPr>
      </w:pPr>
      <w:r>
        <w:rPr>
          <w:rFonts w:ascii="Calibri" w:hAnsi="Calibri" w:eastAsia="Microsoft YaHei" w:cs="Calibri"/>
          <w:color w:val="263238"/>
          <w:sz w:val="21"/>
          <w:szCs w:val="21"/>
        </w:rPr>
        <w:t>Technology governance choices</w:t>
      </w:r>
    </w:p>
    <w:p>
      <w:pPr>
        <w:pStyle w:val="Normal"/>
      </w:pPr>
      <w:r>
        <w:rPr>
          <w:rFonts w:ascii="Calibri" w:hAnsi="Calibri" w:eastAsia="Microsoft YaHei" w:cs="Calibri"/>
          <w:color w:val="263238"/>
          <w:sz w:val="21"/>
          <w:szCs w:val="21"/>
        </w:rPr>
        <w:t>IMESI activates only when economic measures are weaponised to compel policy changes that members would not freely make. The instrument's name reflects its core function: mutual economic security. Members contribute to collective insurance, receive protection against coercion, and share burdens when insurance is deployed.</w:t>
      </w:r>
    </w:p>
    <w:p>
      <w:pPr>
        <w:pStyle w:val="Normal"/>
      </w:pPr>
      <w:r>
        <w:rPr>
          <w:rFonts w:ascii="Calibri" w:hAnsi="Calibri" w:eastAsia="Microsoft YaHei" w:cs="Calibri"/>
          <w:color w:val="263238"/>
          <w:sz w:val="21"/>
          <w:szCs w:val="21"/>
        </w:rPr>
        <w:t>DECLARATION OF NON-ALIGNMENT IMESI is not directed at any specific state or alliance and does not preclude bilateral or multilateral engagement with non-members. Membership creates no obligation to alter existing trade relationships, alliance commitments, or diplomatic postures beyond the specific scope of resisting documented economic coercion.</w:t>
      </w:r>
    </w:p>
    <w:p>
      <w:pPr>
        <w:pStyle w:val="Normal"/>
      </w:pPr>
      <w:r>
        <w:rPr>
          <w:rFonts w:ascii="Calibri" w:hAnsi="Calibri" w:eastAsia="Microsoft YaHei" w:cs="Calibri"/>
          <w:color w:val="263238"/>
          <w:sz w:val="21"/>
          <w:szCs w:val="21"/>
        </w:rPr>
        <w:t>TREATY COMPATIBILITY COMMITMENT (v8.6) This Instrument is interpreted and applied, to the maximum extent possible, in a manner consistent with Members' obligations under the Charter of the United Nations, the Agreements establishing the World Trade Organization, the Articles of Agreement of the International Monetary Fund, and applicable human rights instruments, while preserving the ability of Members to protect their essential economic security interests.</w:t>
      </w:r>
    </w:p>
    <w:p>
      <w:pPr>
        <w:pStyle w:val="Normal"/>
      </w:pPr>
      <w:r>
        <w:rPr>
          <w:rFonts w:ascii="Calibri" w:hAnsi="Calibri" w:eastAsia="Microsoft YaHei" w:cs="Calibri"/>
          <w:color w:val="263238"/>
          <w:sz w:val="21"/>
          <w:szCs w:val="21"/>
        </w:rPr>
        <w:t>DECLARATION OF MUTUAL RESTRAINT (v8.8) Members commit that economic measures against one another observes standards of proportionality, non-discrimination, and due process exceeding WTO minima. Disputes between members are resolved through the Internal Adjudication Chamber (Section 6.9), not unilateral stabilisation measures. This pledge is binding and enforceable through tier status consequences. Success is measured not by stabilisation measures deployed, but by coercion prevented.</w:t>
      </w:r>
    </w:p>
    <w:p>
      <w:pPr>
        <w:pStyle w:val="Heading1"/>
        <w:pageBreakBefore w:val="1"/>
      </w:pPr>
      <w:bookmarkStart w:name="_Toc000015" w:id="15"/>
      <w:r>
        <w:rPr>
          <w:rFonts w:ascii="Calibri" w:hAnsi="Calibri" w:eastAsia="Microsoft YaHei" w:cs="Calibri"/>
          <w:b/>
          <w:color w:val="455A64"/>
          <w:sz w:val="30"/>
          <w:szCs w:val="30"/>
        </w:rPr>
        <w:t>PART A: FOUNDATIONAL CHARTER</w:t>
      </w:r>
      <w:bookmarkEnd w:id="15"/>
    </w:p>
    <w:p>
      <w:pPr>
        <w:pStyle w:val="Heading1"/>
        <w:pageBreakBefore w:val="0"/>
      </w:pPr>
      <w:r>
        <w:rPr>
          <w:rFonts w:ascii="Calibri" w:hAnsi="Calibri" w:eastAsia="Microsoft YaHei" w:cs="Calibri"/>
          <w:b/>
          <w:color w:val="455A64"/>
          <w:sz w:val="30"/>
          <w:szCs w:val="30"/>
        </w:rPr>
        <w:t>ARTICLE I: COLLECTIVE ECONOMIC SECURITY DOCTRINE</w:t>
      </w:r>
    </w:p>
    <w:p>
      <w:pPr>
        <w:pStyle w:val="Heading3"/>
      </w:pPr>
      <w:r>
        <w:rPr>
          <w:rFonts w:ascii="Calibri" w:hAnsi="Calibri" w:eastAsia="Microsoft YaHei" w:cs="Calibri"/>
          <w:b/>
          <w:color w:val="546E7A"/>
          <w:sz w:val="22"/>
          <w:szCs w:val="22"/>
        </w:rPr>
        <w:t>Article I (Addendum): Security Alliance Firewall Declaration [NEW: v12.0]</w:t>
      </w:r>
    </w:p>
    <w:p>
      <w:pPr>
        <w:pStyle w:val="Normal"/>
      </w:pPr>
      <w:r>
        <w:rPr>
          <w:rFonts w:ascii="Calibri" w:hAnsi="Calibri" w:eastAsia="Microsoft YaHei" w:cs="Calibri"/>
          <w:color w:val="263238"/>
          <w:sz w:val="21"/>
          <w:szCs w:val="21"/>
        </w:rPr>
        <w:t>IMESI is explicitly not a security alliance. Participation in IMESI does not affect any Member’s security alliance obligations, including NATO, AUKUS, or bilateral defence agreements. Existing security umbrella arrangements remain unaffected by IMESI membership. This declaration is legally binding and non-derogable.</w:t>
      </w:r>
    </w:p>
    <w:p>
      <w:pPr>
        <w:pStyle w:val="Heading2"/>
      </w:pPr>
      <w:r>
        <w:rPr>
          <w:rFonts w:ascii="Calibri" w:hAnsi="Calibri" w:eastAsia="Microsoft YaHei" w:cs="Calibri"/>
          <w:b/>
          <w:color w:val="263238"/>
          <w:sz w:val="25"/>
          <w:szCs w:val="25"/>
        </w:rPr>
        <w:t>Section 1.0A: Domestic Sovereignty Safeguard</w:t>
      </w:r>
    </w:p>
    <w:p>
      <w:pPr>
        <w:pStyle w:val="Heading3"/>
      </w:pPr>
      <w:r>
        <w:rPr>
          <w:rFonts w:ascii="Calibri" w:hAnsi="Calibri" w:eastAsia="Microsoft YaHei" w:cs="Calibri"/>
          <w:b/>
          <w:color w:val="546E7A"/>
          <w:sz w:val="22"/>
          <w:szCs w:val="22"/>
        </w:rPr>
        <w:t>Section 1.0A (Addendum): Domestic Court Shield Protocol [NEW: v12.0]</w:t>
      </w:r>
    </w:p>
    <w:p>
      <w:pPr>
        <w:pStyle w:val="Normal"/>
      </w:pPr>
      <w:r>
        <w:rPr>
          <w:rFonts w:ascii="Calibri" w:hAnsi="Calibri" w:eastAsia="Microsoft YaHei" w:cs="Calibri"/>
          <w:color w:val="263238"/>
          <w:sz w:val="21"/>
          <w:szCs w:val="21"/>
        </w:rPr>
        <w:t>Domestic court rulings that block IMESI stabilisation measures constitute constitutional constraints under Section 3.8C. However, where documented evidence shows a domestic court acting on instructions from the executive branch to block stabilisation measures, the conduct constitutes a Tier 1 anti-fragmentation violation, and the Member faces automatic ACE expansion under Section 6.3.</w:t>
      </w:r>
    </w:p>
    <w:p>
      <w:pPr>
        <w:pStyle w:val="Normal"/>
      </w:pPr>
      <w:r>
        <w:rPr>
          <w:rFonts w:ascii="Calibri" w:hAnsi="Calibri" w:eastAsia="Microsoft YaHei" w:cs="Calibri"/>
          <w:color w:val="263238"/>
          <w:sz w:val="21"/>
          <w:szCs w:val="21"/>
        </w:rPr>
        <w:t>No Automatic Sanctions: Nothing in this Instrument obliges any member to adopt sanctions or other stabilisation measures without authorisation under its domestic legal order. All IMESI response measures require national implementation through each member's existing constitutional and legislative processes. No IMESI body imposes directly economic measures within any member state's jurisdiction. Optional Parliamentary Affirmation: Nothing in this Instrument precludes any Member from subjecting the implementation of specific stabilisation or response measures to expedited parliamentary or legislative affirmation, provided that such procedures do not prevent timely compliance with the Member's obligations under this Instrument. Members exercising this option notifies the Secretariat of their parliamentary affirmation requirements upon accession. Nothing in this Instrument is interpreted to require any member to act contrary to its domestic constitutional requirements, parliamentary authority, or federal division of powers. Implementation of all IMESI obligations operates through existing national decision-making processes. No IMESI body possesses authority to impose measures directly within any member state. The Coordination Committee, IEWC, and Secretariat issue recommendations and certifications; domestic implementation remains the exclusive prerogative of national governments and parliaments. This safeguard is non-derogable and applies to all Articles, Annexes, and Protocols of the Instrument.</w:t>
      </w:r>
    </w:p>
    <w:p>
      <w:pPr>
        <w:pStyle w:val="Heading3"/>
      </w:pPr>
      <w:r>
        <w:rPr>
          <w:rFonts w:ascii="Calibri" w:hAnsi="Calibri" w:eastAsia="Microsoft YaHei" w:cs="Calibri"/>
          <w:b/>
          <w:color w:val="546E7A"/>
          <w:sz w:val="22"/>
          <w:szCs w:val="22"/>
        </w:rPr>
        <w:t>Section 1.0A (Second Addendum): Judicial Delay Aggravation Standard [NEW: v13.0]</w:t>
      </w:r>
    </w:p>
    <w:p>
      <w:pPr>
        <w:pStyle w:val="Normal"/>
      </w:pPr>
      <w:r>
        <w:rPr>
          <w:rFonts w:ascii="Calibri" w:hAnsi="Calibri" w:eastAsia="Microsoft YaHei" w:cs="Calibri"/>
          <w:color w:val="263238"/>
          <w:sz w:val="21"/>
          <w:szCs w:val="21"/>
        </w:rPr>
        <w:t>A domestic court ruling that delays an IMESI measure beyond 30 days without an accompanying constitutional or statutory provision explicitly cited in the ruling creates a rebuttable presumption of bad-faith obstruction. The affected Member provides a written legal opinion from its attorney general or equivalent demonstrating the constitutional basis for the delay. Absent such an opinion, the delay constitutes a Tier 1 anti-fragmentation violation, triggering automatic ACE expansion under Section 6.3 and a 150% Fund surcharge under Section 8.4A for the duration of the delay. This standard shifts the burden of demonstration to the Member to establish genuine constitutional conflict rather than permitting indefinite procedural delay.</w:t>
      </w:r>
    </w:p>
    <w:p>
      <w:pPr>
        <w:pStyle w:val="Heading2"/>
      </w:pPr>
      <w:r>
        <w:rPr>
          <w:rFonts w:ascii="Calibri" w:hAnsi="Calibri" w:eastAsia="Microsoft YaHei" w:cs="Calibri"/>
          <w:b/>
          <w:color w:val="263238"/>
          <w:sz w:val="25"/>
          <w:szCs w:val="25"/>
        </w:rPr>
        <w:t>Section 1.1: Core Principles</w:t>
      </w:r>
    </w:p>
    <w:p>
      <w:pPr>
        <w:pStyle w:val="Heading3"/>
      </w:pPr>
      <w:r>
        <w:rPr>
          <w:rFonts w:ascii="Calibri" w:hAnsi="Calibri" w:eastAsia="Microsoft YaHei" w:cs="Calibri"/>
          <w:b/>
          <w:color w:val="546E7A"/>
          <w:sz w:val="22"/>
          <w:szCs w:val="22"/>
        </w:rPr>
        <w:t>Section 1.1 (Addendum): Proportionality in WTO Terms [NEW: v12.0]</w:t>
      </w:r>
    </w:p>
    <w:p>
      <w:pPr>
        <w:pStyle w:val="Normal"/>
      </w:pPr>
      <w:r>
        <w:rPr>
          <w:rFonts w:ascii="Calibri" w:hAnsi="Calibri" w:eastAsia="Microsoft YaHei" w:cs="Calibri"/>
          <w:color w:val="263238"/>
          <w:sz w:val="21"/>
          <w:szCs w:val="21"/>
        </w:rPr>
        <w:t>Proportionality assessment under this Instrument references: (a) the nature and scope of the coercive measure; (b) the economic impact on the affected Member; (c) the availability of less trade-restrictive alternatives; and (d) the duration of the response relative to the duration of the coercion. This standard aligns with WTO jurisprudence on necessity and proportionality.</w:t>
      </w:r>
    </w:p>
    <w:p>
      <w:pPr>
        <w:pStyle w:val="Heading3"/>
      </w:pPr>
      <w:r>
        <w:rPr>
          <w:rFonts w:ascii="Calibri" w:hAnsi="Calibri" w:eastAsia="Microsoft YaHei" w:cs="Calibri"/>
          <w:b/>
          <w:color w:val="546E7A"/>
          <w:sz w:val="22"/>
          <w:szCs w:val="22"/>
        </w:rPr>
        <w:t>Section 1.1 (Second Addendum): Safeguard Analogy [NEW: v12.0]</w:t>
      </w:r>
    </w:p>
    <w:p>
      <w:pPr>
        <w:pStyle w:val="Normal"/>
      </w:pPr>
      <w:r>
        <w:rPr>
          <w:rFonts w:ascii="Calibri" w:hAnsi="Calibri" w:eastAsia="Microsoft YaHei" w:cs="Calibri"/>
          <w:color w:val="263238"/>
          <w:sz w:val="21"/>
          <w:szCs w:val="21"/>
        </w:rPr>
        <w:t>Stabilisation measures under this Instrument operate analogously to WTO safeguard measures: they remain temporary in character, proportional, and designed to protect essential security interests. Unlike safeguards, they respond to external coercive conduct rather than domestic industry injury.</w:t>
      </w:r>
    </w:p>
    <w:p>
      <w:pPr>
        <w:pStyle w:val="Heading3"/>
      </w:pPr>
      <w:r>
        <w:rPr>
          <w:rFonts w:ascii="Calibri" w:hAnsi="Calibri" w:eastAsia="Microsoft YaHei" w:cs="Calibri"/>
          <w:b/>
          <w:color w:val="546E7A"/>
          <w:sz w:val="22"/>
          <w:szCs w:val="22"/>
        </w:rPr>
        <w:t>Section 1.1 (Third Addendum): Cultural Heritage Protection [NEW: v12.0]</w:t>
      </w:r>
    </w:p>
    <w:p>
      <w:pPr>
        <w:pStyle w:val="Normal"/>
      </w:pPr>
      <w:r>
        <w:rPr>
          <w:rFonts w:ascii="Calibri" w:hAnsi="Calibri" w:eastAsia="Microsoft YaHei" w:cs="Calibri"/>
          <w:color w:val="263238"/>
          <w:sz w:val="21"/>
          <w:szCs w:val="21"/>
        </w:rPr>
        <w:t>Measures targeting goods of significant cultural, heritage, or artisanal value undergo enhanced proportionality review and remain capped at 15% tariff equivalence absent a 75% Coordination Committee supermajority vote. This provision does not prevent targeting such goods; it ensures escalation remains deliberate.</w:t>
      </w:r>
    </w:p>
    <w:p>
      <w:pPr>
        <w:pStyle w:val="Heading3"/>
      </w:pPr>
      <w:r>
        <w:rPr>
          <w:rFonts w:ascii="Calibri" w:hAnsi="Calibri" w:eastAsia="Microsoft YaHei" w:cs="Calibri"/>
          <w:b/>
          <w:color w:val="546E7A"/>
          <w:sz w:val="22"/>
          <w:szCs w:val="22"/>
        </w:rPr>
        <w:t>Section 1.1 (Fourth Addendum): Trade Deficit Non-Defence [NEW: v12.0]</w:t>
      </w:r>
    </w:p>
    <w:p>
      <w:pPr>
        <w:pStyle w:val="Normal"/>
      </w:pPr>
      <w:r>
        <w:rPr>
          <w:rFonts w:ascii="Calibri" w:hAnsi="Calibri" w:eastAsia="Microsoft YaHei" w:cs="Calibri"/>
          <w:color w:val="263238"/>
          <w:sz w:val="21"/>
          <w:szCs w:val="21"/>
        </w:rPr>
        <w:t>Under IMESI doctrine, trade deficits, currency valuations, and macroeconomic imbalances do not constitute a valid national security justification for tariffs. Claims that trade deficits threaten national security carry a rebuttable presumption of pretext and undergo mandatory Independent Economic Review Panel assessment before any Phase 2+ authorisation involving such claims.</w:t>
      </w:r>
    </w:p>
    <w:p>
      <w:pPr>
        <w:pStyle w:val="Heading3"/>
      </w:pPr>
      <w:r>
        <w:rPr>
          <w:rFonts w:ascii="Calibri" w:hAnsi="Calibri" w:eastAsia="Microsoft YaHei" w:cs="Calibri"/>
          <w:b/>
          <w:color w:val="546E7A"/>
          <w:sz w:val="22"/>
          <w:szCs w:val="22"/>
        </w:rPr>
        <w:t>PROPORTIONALITY WITH CONTROL</w:t>
      </w:r>
    </w:p>
    <w:p>
      <w:pPr>
        <w:pStyle w:val="Normal"/>
      </w:pPr>
      <w:r>
        <w:rPr>
          <w:rFonts w:ascii="Calibri" w:hAnsi="Calibri" w:eastAsia="Microsoft YaHei" w:cs="Calibri"/>
          <w:color w:val="263238"/>
          <w:sz w:val="21"/>
          <w:szCs w:val="21"/>
        </w:rPr>
        <w:t>Stabilisation Measures are calibrated to:</w:t>
      </w:r>
    </w:p>
    <w:p>
      <w:pPr>
        <w:pStyle w:val="Normal"/>
      </w:pPr>
      <w:r>
        <w:rPr>
          <w:rFonts w:ascii="Calibri" w:hAnsi="Calibri" w:eastAsia="Microsoft YaHei" w:cs="Calibri"/>
          <w:color w:val="263238"/>
          <w:sz w:val="21"/>
          <w:szCs w:val="21"/>
        </w:rPr>
        <w:t>(a) Compel cessation of coercion, not cause systemic economic collapse (b) Restore status quo ante, not achieve regime change (c) Impose stabilisation costs proportional to harm, preserving incentive symmetry (d) Avoid triggering global financial crises or supply chain breakdowns</w:t>
      </w:r>
    </w:p>
    <w:p>
      <w:pPr>
        <w:pStyle w:val="Heading3"/>
      </w:pPr>
      <w:r>
        <w:rPr>
          <w:rFonts w:ascii="Calibri" w:hAnsi="Calibri" w:eastAsia="Microsoft YaHei" w:cs="Calibri"/>
          <w:b/>
          <w:color w:val="546E7A"/>
          <w:sz w:val="22"/>
          <w:szCs w:val="22"/>
        </w:rPr>
        <w:t>STABILISATION THROUGH CLARITY</w:t>
      </w:r>
    </w:p>
    <w:p>
      <w:pPr>
        <w:pStyle w:val="Normal"/>
      </w:pPr>
      <w:r>
        <w:rPr>
          <w:rFonts w:ascii="Calibri" w:hAnsi="Calibri" w:eastAsia="Microsoft YaHei" w:cs="Calibri"/>
          <w:color w:val="263238"/>
          <w:sz w:val="21"/>
          <w:szCs w:val="21"/>
        </w:rPr>
        <w:t>Published doctrine removes ambiguity about:</w:t>
      </w:r>
    </w:p>
    <w:p>
      <w:pPr>
        <w:pStyle w:val="Normal"/>
      </w:pPr>
      <w:r>
        <w:rPr>
          <w:rFonts w:ascii="Calibri" w:hAnsi="Calibri" w:eastAsia="Microsoft YaHei" w:cs="Calibri"/>
          <w:color w:val="263238"/>
          <w:sz w:val="21"/>
          <w:szCs w:val="21"/>
        </w:rPr>
        <w:t>(a) What constitutes actionable coercion (b) What response coercers face (c) How the coalition maintains cohesion (d) What pathways exist for resolution</w:t>
      </w:r>
    </w:p>
    <w:p>
      <w:pPr>
        <w:pStyle w:val="Heading3"/>
      </w:pPr>
      <w:r>
        <w:rPr>
          <w:rFonts w:ascii="Calibri" w:hAnsi="Calibri" w:eastAsia="Microsoft YaHei" w:cs="Calibri"/>
          <w:b/>
          <w:color w:val="546E7A"/>
          <w:sz w:val="22"/>
          <w:szCs w:val="22"/>
        </w:rPr>
        <w:t>GRADUATED RESPONSE WITH OFF-RAMPS</w:t>
      </w:r>
    </w:p>
    <w:p>
      <w:pPr>
        <w:pStyle w:val="Normal"/>
      </w:pPr>
      <w:r>
        <w:rPr>
          <w:rFonts w:ascii="Calibri" w:hAnsi="Calibri" w:eastAsia="Microsoft YaHei" w:cs="Calibri"/>
          <w:color w:val="263238"/>
          <w:sz w:val="21"/>
          <w:szCs w:val="21"/>
        </w:rPr>
        <w:t>Three-phase escalation structure provides:</w:t>
      </w:r>
    </w:p>
    <w:p>
      <w:pPr>
        <w:pStyle w:val="Normal"/>
      </w:pPr>
      <w:r>
        <w:rPr>
          <w:rFonts w:ascii="Calibri" w:hAnsi="Calibri" w:eastAsia="Microsoft YaHei" w:cs="Calibri"/>
          <w:color w:val="263238"/>
          <w:sz w:val="21"/>
          <w:szCs w:val="21"/>
        </w:rPr>
        <w:t>(a) Initial signalling (Phase 1: 15–30% of measures) (b) Meaningful pressure (Phase 2: 50–70%) (c) Unsustainable cost (Phase 3: 100%)</w:t>
      </w:r>
    </w:p>
    <w:p>
      <w:pPr>
        <w:pStyle w:val="Heading3"/>
      </w:pPr>
      <w:r>
        <w:rPr>
          <w:rFonts w:ascii="Calibri" w:hAnsi="Calibri" w:eastAsia="Microsoft YaHei" w:cs="Calibri"/>
          <w:b/>
          <w:color w:val="546E7A"/>
          <w:sz w:val="22"/>
          <w:szCs w:val="22"/>
        </w:rPr>
        <w:t>HORIZONTAL ESCALATION CAPACITY</w:t>
      </w:r>
    </w:p>
    <w:p>
      <w:pPr>
        <w:pStyle w:val="Normal"/>
      </w:pPr>
      <w:r>
        <w:rPr>
          <w:rFonts w:ascii="Calibri" w:hAnsi="Calibri" w:eastAsia="Microsoft YaHei" w:cs="Calibri"/>
          <w:color w:val="263238"/>
          <w:sz w:val="21"/>
          <w:szCs w:val="21"/>
        </w:rPr>
        <w:t>IMESI escalates across domains, not merely within them:</w:t>
      </w:r>
    </w:p>
    <w:p>
      <w:pPr>
        <w:pStyle w:val="Normal"/>
      </w:pPr>
      <w:r>
        <w:rPr>
          <w:rFonts w:ascii="Calibri" w:hAnsi="Calibri" w:eastAsia="Microsoft YaHei" w:cs="Calibri"/>
          <w:color w:val="263238"/>
          <w:sz w:val="21"/>
          <w:szCs w:val="21"/>
        </w:rPr>
        <w:t>(a) Trade coercion is met with financial stabilisation measures (b) Technology restrictions are met with investment prohibitions (c) Single-domain coercion triggers multi-domain response (d) Escalation targets coercer's strategic vulnerabilities, not merely affected sectors</w:t>
      </w:r>
    </w:p>
    <w:p>
      <w:pPr>
        <w:pStyle w:val="Heading3"/>
      </w:pPr>
      <w:r>
        <w:rPr>
          <w:rFonts w:ascii="Calibri" w:hAnsi="Calibri" w:eastAsia="Microsoft YaHei" w:cs="Calibri"/>
          <w:b/>
          <w:color w:val="546E7A"/>
          <w:sz w:val="22"/>
          <w:szCs w:val="22"/>
        </w:rPr>
        <w:t>FACE-SAVING RESOLUTION PRIORITY</w:t>
      </w:r>
    </w:p>
    <w:p>
      <w:pPr>
        <w:pStyle w:val="Normal"/>
      </w:pPr>
      <w:r>
        <w:rPr>
          <w:rFonts w:ascii="Calibri" w:hAnsi="Calibri" w:eastAsia="Microsoft YaHei" w:cs="Calibri"/>
          <w:color w:val="263238"/>
          <w:sz w:val="21"/>
          <w:szCs w:val="21"/>
        </w:rPr>
        <w:t>IMESI recognises that durable settlements require:</w:t>
      </w:r>
    </w:p>
    <w:p>
      <w:pPr>
        <w:pStyle w:val="Normal"/>
      </w:pPr>
      <w:r>
        <w:rPr>
          <w:rFonts w:ascii="Calibri" w:hAnsi="Calibri" w:eastAsia="Microsoft YaHei" w:cs="Calibri"/>
          <w:color w:val="263238"/>
          <w:sz w:val="21"/>
          <w:szCs w:val="21"/>
        </w:rPr>
        <w:t>(a) Allowing partial compliance pathways (gradual rather than instant capitulation) (b) Avoiding humiliating public language in resolutions (c) Joint working groups and technical mechanisms providing cover (d) "Mutual understanding" framing enabling both sides to claim constructive outcome IMESI aims to end coercion through measured escalation, not economic warfare. The goal is sustained behaviour change, not public humiliation.</w:t>
      </w:r>
    </w:p>
    <w:p>
      <w:pPr>
        <w:pStyle w:val="Normal"/>
      </w:pPr>
      <w:r>
        <w:rPr>
          <w:rFonts w:ascii="Calibri" w:hAnsi="Calibri" w:eastAsia="Microsoft YaHei" w:cs="Calibri"/>
          <w:color w:val="263238"/>
          <w:sz w:val="21"/>
          <w:szCs w:val="21"/>
        </w:rPr>
        <w:t>ESCALATION CEILING All collective measures remain proportional and reversible, with the objective of restoring equilibrium rather than escalating confrontation. No IMESI stabilisation response exceeds the scope necessary to compel cessation of the coercive act and prevent recurrence.</w:t>
      </w:r>
    </w:p>
    <w:p>
      <w:pPr>
        <w:pStyle w:val="Normal"/>
      </w:pPr>
      <w:r>
        <w:rPr>
          <w:rFonts w:ascii="Calibri" w:hAnsi="Calibri" w:eastAsia="Microsoft YaHei" w:cs="Calibri"/>
          <w:color w:val="263238"/>
          <w:sz w:val="21"/>
          <w:szCs w:val="21"/>
        </w:rPr>
        <w:t>Bounded Escalation Bands (v8.6):</w:t>
      </w:r>
    </w:p>
    <w:p>
      <w:pPr>
        <w:pStyle w:val="Normal"/>
        <w:numPr>
          <w:ilvl w:val="0"/>
          <w:numId w:val="1"/>
        </w:numPr>
      </w:pPr>
      <w:r>
        <w:rPr>
          <w:rFonts w:ascii="Calibri" w:hAnsi="Calibri" w:eastAsia="Microsoft YaHei" w:cs="Calibri"/>
          <w:color w:val="263238"/>
          <w:sz w:val="21"/>
          <w:szCs w:val="21"/>
        </w:rPr>
        <w:t>Single-measure band: No individual stabilisation measure exceeds normally 40–60% of bilateral trade in that sector toward the coercing state, with 50% as the presumptive ceiling. Deviation below 40% or above 60% requires 75% Coordination Committee supermajority vote and published economic impact assessment</w:t>
      </w:r>
    </w:p>
    <w:p>
      <w:pPr>
        <w:pStyle w:val="Normal"/>
        <w:numPr>
          <w:ilvl w:val="0"/>
          <w:numId w:val="1"/>
        </w:numPr>
      </w:pPr>
      <w:r>
        <w:rPr>
          <w:rFonts w:ascii="Calibri" w:hAnsi="Calibri" w:eastAsia="Microsoft YaHei" w:cs="Calibri"/>
          <w:color w:val="263238"/>
          <w:sz w:val="21"/>
          <w:szCs w:val="21"/>
        </w:rPr>
        <w:t>Cumulative burden band: Total stabilisation burden on any coercing state is normally prohibited from exceeding 6–10% of that state's GDP, with 8% as the presumptive ceiling. Deviation requires 75% supermajority vote, independent economic analysis, and a 12-month rolling review horizon (renewing by silence at each boundary)</w:t>
      </w:r>
    </w:p>
    <w:p>
      <w:pPr>
        <w:pStyle w:val="Normal"/>
        <w:numPr>
          <w:ilvl w:val="0"/>
          <w:numId w:val="1"/>
        </w:numPr>
      </w:pPr>
      <w:r>
        <w:rPr>
          <w:rFonts w:ascii="Calibri" w:hAnsi="Calibri" w:eastAsia="Microsoft YaHei" w:cs="Calibri"/>
          <w:color w:val="263238"/>
          <w:sz w:val="21"/>
          <w:szCs w:val="21"/>
        </w:rPr>
        <w:t>Humanitarian floor: Measures are not permitted to restrict food, medicine, basic humanitarian goods, educational materials, civilian telecommunications infrastructure, or humanitarian payment channels to civilian populations, even in Phase 3 Any measure exceeding these bands without authorised deviation automatically reverts to the presumptive ceiling. The Coordination Committee maintains a Deviation Justification Protocol requiring independent economic analysis, 30-day public comment period, and automatic sunset for all deviations.</w:t>
      </w:r>
    </w:p>
    <w:p>
      <w:pPr>
        <w:pStyle w:val="Normal"/>
      </w:pPr>
      <w:r>
        <w:rPr>
          <w:rFonts w:ascii="Calibri" w:hAnsi="Calibri" w:eastAsia="Microsoft YaHei" w:cs="Calibri"/>
          <w:color w:val="263238"/>
          <w:sz w:val="21"/>
          <w:szCs w:val="21"/>
        </w:rPr>
        <w:t>Human Security Safeguards:</w:t>
      </w:r>
    </w:p>
    <w:p>
      <w:pPr>
        <w:pStyle w:val="Normal"/>
        <w:numPr>
          <w:ilvl w:val="0"/>
          <w:numId w:val="1"/>
        </w:numPr>
      </w:pPr>
      <w:r>
        <w:rPr>
          <w:rFonts w:ascii="Calibri" w:hAnsi="Calibri" w:eastAsia="Microsoft YaHei" w:cs="Calibri"/>
          <w:color w:val="263238"/>
          <w:sz w:val="21"/>
          <w:szCs w:val="21"/>
        </w:rPr>
        <w:t>Civilian Impact Assessment: Mandatory for all Phase 2+ authorisations; IEWC certifies less than 5% civilian population impact or proposes mitigation measures</w:t>
      </w:r>
    </w:p>
    <w:p>
      <w:pPr>
        <w:pStyle w:val="Normal"/>
        <w:numPr>
          <w:ilvl w:val="0"/>
          <w:numId w:val="1"/>
        </w:numPr>
      </w:pPr>
      <w:r>
        <w:rPr>
          <w:rFonts w:ascii="Calibri" w:hAnsi="Calibri" w:eastAsia="Microsoft YaHei" w:cs="Calibri"/>
          <w:color w:val="263238"/>
          <w:sz w:val="21"/>
          <w:szCs w:val="21"/>
        </w:rPr>
        <w:t>Humanitarian Corridor: Even during Phase 3, maintained trade channels for humanitarian goods; SFI dedicated humanitarian settlement window</w:t>
      </w:r>
    </w:p>
    <w:p>
      <w:pPr>
        <w:pStyle w:val="Normal"/>
        <w:numPr>
          <w:ilvl w:val="0"/>
          <w:numId w:val="1"/>
        </w:numPr>
      </w:pPr>
      <w:r>
        <w:rPr>
          <w:rFonts w:ascii="Calibri" w:hAnsi="Calibri" w:eastAsia="Microsoft YaHei" w:cs="Calibri"/>
          <w:color w:val="263238"/>
          <w:sz w:val="21"/>
          <w:szCs w:val="21"/>
        </w:rPr>
        <w:t>Displacement Protocol: If coercion generates &gt;100,000 displaced persons, automatic Peacetime Fund allocation for humanitarian response; burden-sharing adjustment for affected member states (25% reduction for 12 months)</w:t>
      </w:r>
    </w:p>
    <w:p>
      <w:pPr>
        <w:pStyle w:val="Normal"/>
      </w:pPr>
      <w:r>
        <w:rPr>
          <w:rFonts w:ascii="Calibri" w:hAnsi="Calibri" w:eastAsia="Microsoft YaHei" w:cs="Calibri"/>
          <w:color w:val="263238"/>
          <w:sz w:val="21"/>
          <w:szCs w:val="21"/>
        </w:rPr>
        <w:t>NARROW AUTOMATION PRINCIPLE Automatic or presumptive activation is reserved for clearly defined scenarios where delay risks irreversible harm, including: Category 2 Red-Line financial exclusion; Tier-1 sovereign policy reversal Red-Line scenarios; global systemic disruptions above agreed GDP thresholds. In all other cases, escalation beyond Phase 1 requires explicit human confirmation within the timelines specified in Section 5.5B. Presumptive triggers are guidance, not a replacement for human decision-making.</w:t>
      </w:r>
    </w:p>
    <w:p>
      <w:pPr>
        <w:pStyle w:val="Normal"/>
      </w:pPr>
      <w:r>
        <w:rPr>
          <w:rFonts w:ascii="Calibri" w:hAnsi="Calibri" w:eastAsia="Microsoft YaHei" w:cs="Calibri"/>
          <w:color w:val="263238"/>
          <w:sz w:val="21"/>
          <w:szCs w:val="21"/>
        </w:rPr>
        <w:t>SME AND VULNERABLE WORKER PROTECTION In designing and implementing stabilisation and response measures, Members and IMESI bodies, where feasible, seek to minimise disproportionate adverse impacts on small and medium-sized enterprises (SMEs) and vulnerable workers, while preserving the effectiveness of such measures. The Secretariat includes SME impact assessment in all pre-activation analysis and post-activation review reports.</w:t>
      </w:r>
    </w:p>
    <w:p>
      <w:pPr>
        <w:pStyle w:val="Normal"/>
      </w:pPr>
      <w:r>
        <w:rPr>
          <w:rFonts w:ascii="Calibri" w:hAnsi="Calibri" w:eastAsia="Microsoft YaHei" w:cs="Calibri"/>
          <w:color w:val="263238"/>
          <w:sz w:val="21"/>
          <w:szCs w:val="21"/>
        </w:rPr>
        <w:t>NON-DISCRIMINATION AMONG MEMBERS Unless otherwise expressly decided by the Coordination Committee in accordance with this Instrument, stabilisation and response measures apply in a non-discriminatory manner among Members participating in a given activation, taking into account their respective capacities and exposure. Burden-sharing formulas reflect GDP-weighted equity; no Member bears a disproportionate share relative to its economic capacity without explicit consent.</w:t>
      </w:r>
    </w:p>
    <w:p>
      <w:pPr>
        <w:pStyle w:val="Normal"/>
      </w:pPr>
      <w:r>
        <w:rPr>
          <w:rFonts w:ascii="Calibri" w:hAnsi="Calibri" w:eastAsia="Microsoft YaHei" w:cs="Calibri"/>
          <w:color w:val="263238"/>
          <w:sz w:val="21"/>
          <w:szCs w:val="21"/>
        </w:rPr>
        <w:t>THIRD-COUNTRY PROTECTION PRINCIPLE Measures are designed to target only the coercing state and its state-adjoined entities, as far as consistent with effectiveness. Members and IMESI bodies refrain from intentionally directing measures at third-country trade, investment, or financial flows. If IEWC</w:t>
      </w:r>
    </w:p>
    <w:p>
      <w:pPr>
        <w:pStyle w:val="Normal"/>
      </w:pPr>
      <w:r>
        <w:rPr>
          <w:rFonts w:ascii="Calibri" w:hAnsi="Calibri" w:eastAsia="Microsoft YaHei" w:cs="Calibri"/>
          <w:color w:val="263238"/>
          <w:sz w:val="21"/>
          <w:szCs w:val="21"/>
        </w:rPr>
        <w:t>analysis shows likely third-country spillovers &gt;5% of affected flows, the CC, before authorisation, considers mitigation options and require a published spillover-mitigation plan by simple majority vote. Regulatory Integrity Safeguard (v9.4): IMESI is prohibited from coordinating measures whose primary purpose is to disguise trade, investment, or financial restrictions as technical regulation, competition law, tax policy, or other domestic measures. Where regulatory or prudential instruments are used as part of a stabilisation response, they are designed to meet independent standards of regulatory legitimacy and necessity in their own right, consistent with applicable international obligations. This safeguard applies to all regulatory-calibration instruments (Section 10.7, Section 10.12) and is enforceable through IAC review (Annex 6B). Systemic-Economy Identification (v9.5): For all provisions of this Instrument, systemic-economy cases are identified on the basis of objective exposure and systemic-impact metrics determined by the Secretariat and endorsed by the Coordination Committee. Such metrics include, but not be limited to: share of global</w:t>
      </w:r>
    </w:p>
    <w:p>
      <w:pPr>
        <w:pStyle w:val="Normal"/>
      </w:pPr>
      <w:r>
        <w:rPr>
          <w:rFonts w:ascii="Calibri" w:hAnsi="Calibri" w:eastAsia="Microsoft YaHei" w:cs="Calibri"/>
          <w:color w:val="263238"/>
          <w:sz w:val="21"/>
          <w:szCs w:val="21"/>
        </w:rPr>
        <w:t>trade flows, share of global GDP, centrality in financial clearing and settlement networks, and dominance in critical supply chains. The Coordination Committee publishes and periodically update the methodology; no specific state is named in the published criteria. Essential Security Interests Clause: Measures adopted under this Instrument is designed and applied strictly as necessary to protect the essential security interests of Members, in conformity with their rights and obligations under relevant international agreements, including applicable security exceptions. Proportionality and De-Escalation Principle: In adopting or implementing any measure under this Instrument, Members seek the least trade-restrictive and most de-escalatory option consistent with restoring economic security and systemic stability. Where multiple response instruments are available, preference is given to those with the lowest risk of escalation and the greatest reversibility.</w:t>
      </w:r>
    </w:p>
    <w:p>
      <w:pPr>
        <w:pStyle w:val="Heading3"/>
      </w:pPr>
      <w:r>
        <w:rPr>
          <w:rFonts w:ascii="Calibri" w:hAnsi="Calibri" w:eastAsia="Microsoft YaHei" w:cs="Calibri"/>
          <w:b/>
          <w:color w:val="546E7A"/>
          <w:sz w:val="22"/>
          <w:szCs w:val="22"/>
        </w:rPr>
        <w:t>Section 1.1 (Fifth Addendum): Domestic Fracture Ceiling [NEW: v12.1]</w:t>
      </w:r>
    </w:p>
    <w:p>
      <w:pPr>
        <w:pStyle w:val="Normal"/>
      </w:pPr>
      <w:r>
        <w:rPr>
          <w:rFonts w:ascii="Calibri" w:hAnsi="Calibri" w:eastAsia="Microsoft YaHei" w:cs="Calibri"/>
          <w:color w:val="263238"/>
          <w:sz w:val="21"/>
          <w:szCs w:val="21"/>
        </w:rPr>
        <w:t>A Phase 2 or Phase 3 stabilisation measure package is not permitted to increase the Consumer Price Index, or the unemployment rate, of any Member by more than 1.5% above its 12-month rolling average. Where the IEWC projects that a proposed package crosses this threshold for a Member, that Member receives automatic exemption from the specific trade measure driving the breach and substitutes a non-trade financial or diplomatic contribution of equivalent assessed value under Section 8.4. This ceiling preserves escalation capacity against actors indifferent to economic cost by preventing the coalition from inflicting unsustainable harm on itself.</w:t>
      </w:r>
    </w:p>
    <w:p>
      <w:pPr>
        <w:pStyle w:val="Heading2"/>
      </w:pPr>
      <w:r>
        <w:rPr>
          <w:rFonts w:ascii="Calibri" w:hAnsi="Calibri" w:eastAsia="Microsoft YaHei" w:cs="Calibri"/>
          <w:b/>
          <w:color w:val="263238"/>
          <w:sz w:val="25"/>
          <w:szCs w:val="25"/>
        </w:rPr>
        <w:t>Section 1.2: Escalation Containment Commitments</w:t>
      </w:r>
    </w:p>
    <w:p>
      <w:pPr>
        <w:pStyle w:val="Heading3"/>
      </w:pPr>
      <w:r>
        <w:rPr>
          <w:rFonts w:ascii="Calibri" w:hAnsi="Calibri" w:eastAsia="Microsoft YaHei" w:cs="Calibri"/>
          <w:b/>
          <w:color w:val="546E7A"/>
          <w:sz w:val="22"/>
          <w:szCs w:val="22"/>
        </w:rPr>
        <w:t>Section 1.2 (Addendum): Economic Impact Assessment Mandate [NEW: v12.0]</w:t>
      </w:r>
    </w:p>
    <w:p>
      <w:pPr>
        <w:pStyle w:val="Normal"/>
      </w:pPr>
      <w:r>
        <w:rPr>
          <w:rFonts w:ascii="Calibri" w:hAnsi="Calibri" w:eastAsia="Microsoft YaHei" w:cs="Calibri"/>
          <w:color w:val="263238"/>
          <w:sz w:val="21"/>
          <w:szCs w:val="21"/>
        </w:rPr>
        <w:t>Before any Phase 1 activation, the Secretariat prepares a standardised Economic Impact Assessment measuring: (a) effects on the coercing state’s economy; (b) effects on Members’ economies; (c) third-country spillover effects; and (d) humanitarian consequences. The Secretariat publishes the Assessment within 7 days of activation.</w:t>
      </w:r>
    </w:p>
    <w:p>
      <w:pPr>
        <w:pStyle w:val="Normal"/>
      </w:pPr>
      <w:r>
        <w:rPr>
          <w:rFonts w:ascii="Calibri" w:hAnsi="Calibri" w:eastAsia="Microsoft YaHei" w:cs="Calibri"/>
          <w:color w:val="263238"/>
          <w:sz w:val="21"/>
          <w:szCs w:val="21"/>
        </w:rPr>
        <w:t>IMESI members commit that stabilisation measures observe the following safeguards:</w:t>
      </w:r>
    </w:p>
    <w:p>
      <w:pPr>
        <w:pStyle w:val="Normal"/>
      </w:pPr>
      <w:r>
        <w:rPr>
          <w:rFonts w:ascii="Calibri" w:hAnsi="Calibri" w:eastAsia="Microsoft YaHei" w:cs="Calibri"/>
          <w:color w:val="263238"/>
          <w:sz w:val="21"/>
          <w:szCs w:val="21"/>
        </w:rPr>
        <w:t>FINANCIAL STABILITY SAFEGUARDS (a) Avoid measures triggering systemic banking crises (b) Maintain emergency central bank cooperation for stability (c) Preserve global payment system functionality for humanitarian needs (d) Coordinate with IMF/BIS on financial stability implications</w:t>
      </w:r>
    </w:p>
    <w:p>
      <w:pPr>
        <w:pStyle w:val="Normal"/>
      </w:pPr>
      <w:r>
        <w:rPr>
          <w:rFonts w:ascii="Calibri" w:hAnsi="Calibri" w:eastAsia="Microsoft YaHei" w:cs="Calibri"/>
          <w:color w:val="263238"/>
          <w:sz w:val="21"/>
          <w:szCs w:val="21"/>
        </w:rPr>
        <w:t>SUPPLY CHAIN RESPONSIBILITY (a) Exempt humanitarian goods (food, medicine, basic necessities) (b) Avoid measures causing mass unemployment or poverty (c) Consider impact on vulnerable third-party states (d) Maintain some trade channels even during maximum escalation</w:t>
      </w:r>
    </w:p>
    <w:p>
      <w:pPr>
        <w:pStyle w:val="Normal"/>
      </w:pPr>
      <w:r>
        <w:rPr>
          <w:rFonts w:ascii="Calibri" w:hAnsi="Calibri" w:eastAsia="Microsoft YaHei" w:cs="Calibri"/>
          <w:color w:val="263238"/>
          <w:sz w:val="21"/>
          <w:szCs w:val="21"/>
        </w:rPr>
        <w:t>MARKET COMMUNICATION PROTOCOL (v9.2) (a) Coordinated messaging by member finance ministers and central bank governors within 6 hours of significant activation (b) Advance confidential briefings for systemically important market infrastructures (CLS, SWIFT, major clearinghouses) 24 hours before public activation where operationally possible (c) Published IEWC financial-stability impact assessment accompanying any Phase 2+ activation (d) Explicit reassurance: IMESI stabilisation measures do not target third-country investors, portfolio flows, or sovereign debt markets</w:t>
      </w:r>
    </w:p>
    <w:p>
      <w:pPr>
        <w:pStyle w:val="Normal"/>
      </w:pPr>
      <w:r>
        <w:rPr>
          <w:rFonts w:ascii="Calibri" w:hAnsi="Calibri" w:eastAsia="Microsoft YaHei" w:cs="Calibri"/>
          <w:color w:val="263238"/>
          <w:sz w:val="21"/>
          <w:szCs w:val="21"/>
        </w:rPr>
        <w:t>TARIFF SHOCK SAFEGUARDS (v9.3) (e) Avoid measures triggering retaliatory tariff spirals exceeding 25 percentage points above initial levels (f) Maintain tariff-neutral corridors for humanitarian and critical inputs (pharmaceuticals, food, energy, medical equipment) even during broad trade disputes (g) Coordinate with WTO on tariff-rate quota preservation and dispute settlement proceedings</w:t>
      </w:r>
    </w:p>
    <w:p>
      <w:pPr>
        <w:pStyle w:val="Heading3"/>
      </w:pPr>
      <w:r>
        <w:rPr>
          <w:rFonts w:ascii="Calibri" w:hAnsi="Calibri" w:eastAsia="Microsoft YaHei" w:cs="Calibri"/>
          <w:b/>
          <w:color w:val="546E7A"/>
          <w:sz w:val="22"/>
          <w:szCs w:val="22"/>
        </w:rPr>
        <w:t>COMMUNICATION DISCIPLINE</w:t>
      </w:r>
    </w:p>
    <w:p>
      <w:pPr>
        <w:pStyle w:val="Normal"/>
      </w:pPr>
      <w:r>
        <w:rPr>
          <w:rFonts w:ascii="Calibri" w:hAnsi="Calibri" w:eastAsia="Microsoft YaHei" w:cs="Calibri"/>
          <w:color w:val="263238"/>
          <w:sz w:val="21"/>
          <w:szCs w:val="21"/>
        </w:rPr>
        <w:t>(a) Refrain from inflammatory rhetoric (b) Distinguish coercing government from broader population (c) Emphasise defensive nature of response (d) Signal continuous openness to resolution These commitments do not weaken IMESI's protective capacity, they demonstrate control and responsibility, increasing international legitimacy and member confidence. Financial Measures Sequencing Rule (v9.2): As a default norm, stabilisation measure deployment sequences trade and regulatory measures before financial instruments</w:t>
      </w:r>
    </w:p>
    <w:p>
      <w:pPr>
        <w:pStyle w:val="Normal"/>
      </w:pPr>
      <w:r>
        <w:rPr>
          <w:rFonts w:ascii="Calibri" w:hAnsi="Calibri" w:eastAsia="Microsoft YaHei" w:cs="Calibri"/>
          <w:color w:val="263238"/>
          <w:sz w:val="21"/>
          <w:szCs w:val="21"/>
        </w:rPr>
        <w:t>unless the IEWC certifies that the primary coercion vector is financial (e.g. SWIFT exclusion, capital controls, reserve-currency weaponisation). This default recognises that financial stabilisation measures carry higher systemic risk and self-harm potential than trade measures, and that even defensive financial activation triggers capital flight into coercer-state safe-haven assets. Market Stability Objective (v9.2): Preventing systemic financial instability is a primary objective co-equal with deterrence. Stabilisation Measure design minimises disruption to global capital flows, payment systems, and sovereign debt markets. Where a proposed measure risks triggering systemic financial contagion as assessed by IEWC financial stability analysis, the Coordination Committee considers alternative instruments achieving equivalent deterrent effect with lower market disruption.</w:t>
      </w:r>
    </w:p>
    <w:p>
      <w:pPr>
        <w:pStyle w:val="Heading2"/>
      </w:pPr>
      <w:r>
        <w:rPr>
          <w:rFonts w:ascii="Calibri" w:hAnsi="Calibri" w:eastAsia="Microsoft YaHei" w:cs="Calibri"/>
          <w:b/>
          <w:color w:val="263238"/>
          <w:sz w:val="25"/>
          <w:szCs w:val="25"/>
        </w:rPr>
        <w:t>Section 1.3: De-Escalation Default Principle</w:t>
      </w:r>
    </w:p>
    <w:p>
      <w:pPr>
        <w:pStyle w:val="Normal"/>
      </w:pPr>
      <w:r>
        <w:rPr>
          <w:rFonts w:ascii="Calibri" w:hAnsi="Calibri" w:eastAsia="Microsoft YaHei" w:cs="Calibri"/>
          <w:color w:val="263238"/>
          <w:sz w:val="21"/>
          <w:szCs w:val="21"/>
        </w:rPr>
        <w:t>Symmetry: For every automatic or presumptive escalation trigger in this Instrument, there exists a corresponding automatic or presumptive de-escalation trigger of equal procedural weight. Escalation and resolution is structurally balanced.</w:t>
      </w:r>
    </w:p>
    <w:p>
      <w:pPr>
        <w:pStyle w:val="Normal"/>
      </w:pPr>
      <w:r>
        <w:rPr>
          <w:rFonts w:ascii="Calibri" w:hAnsi="Calibri" w:eastAsia="Microsoft YaHei" w:cs="Calibri"/>
          <w:color w:val="263238"/>
          <w:sz w:val="21"/>
          <w:szCs w:val="21"/>
        </w:rPr>
        <w:t>Automatic De-Escalation Triggers:</w:t>
      </w:r>
    </w:p>
    <w:p>
      <w:pPr>
        <w:pStyle w:val="Normal"/>
      </w:pPr>
      <w:r>
        <w:rPr>
          <w:rFonts w:ascii="Calibri" w:hAnsi="Calibri" w:eastAsia="Microsoft YaHei" w:cs="Calibri"/>
          <w:color w:val="263238"/>
          <w:sz w:val="21"/>
          <w:szCs w:val="21"/>
        </w:rPr>
        <w:t>(a) Coercing state requests mediation: automatic 20% stabilisation measure reduction pending mediation acceptance (b) Coercing state announces partial withdrawal of coercive measures: proportional IMESI reduction within 48 hours unless 60% weighted vote to maintain (c) 30-day period without new coercive measures from the coercing state: automatic Phase reduction by one level (d) Independent mediator certifies constructive ambiguity in negotiations: 15% reduction to incentivise continued diplomatic progress (e) Tariff rate reduction &gt;5 percentage points by disrupting/coercing state: proportional IMESI response reduction within 30 days (v9.3) (f) Binding tariff ceiling commitment filed with WTO: automatic Phase reduction to Phase 1 upon WTO-compatible undertaking (v9.3) Presumptive Standstill: If a de-escalation trigger and an escalation trigger activate simultaneously, standstill presumption applies, measures freeze at the current level for 72-hour human adjudication, with the Director-General empowered to propose a resolution framework. The default is stability, not escalation.</w:t>
      </w:r>
    </w:p>
    <w:p>
      <w:pPr>
        <w:pStyle w:val="Heading2"/>
      </w:pPr>
      <w:r>
        <w:rPr>
          <w:rFonts w:ascii="Calibri" w:hAnsi="Calibri" w:eastAsia="Microsoft YaHei" w:cs="Calibri"/>
          <w:b/>
          <w:color w:val="263238"/>
          <w:sz w:val="25"/>
          <w:szCs w:val="25"/>
        </w:rPr>
        <w:t>Section 1.4: Global Systemic Disruption Doctrine (GSD)</w:t>
      </w:r>
    </w:p>
    <w:p>
      <w:pPr>
        <w:pStyle w:val="Heading3"/>
      </w:pPr>
      <w:r>
        <w:rPr>
          <w:rFonts w:ascii="Calibri" w:hAnsi="Calibri" w:eastAsia="Microsoft YaHei" w:cs="Calibri"/>
          <w:b/>
          <w:color w:val="546E7A"/>
          <w:sz w:val="22"/>
          <w:szCs w:val="22"/>
        </w:rPr>
        <w:t>Section 1.4 (Addendum): Reduced GSD Tariff Threshold for Emergency Declarations [NEW: v11.0]</w:t>
      </w:r>
    </w:p>
    <w:p>
      <w:pPr>
        <w:pStyle w:val="Normal"/>
      </w:pPr>
      <w:r>
        <w:rPr>
          <w:rFonts w:ascii="Calibri" w:hAnsi="Calibri" w:eastAsia="Microsoft YaHei" w:cs="Calibri"/>
          <w:color w:val="263238"/>
          <w:sz w:val="21"/>
          <w:szCs w:val="21"/>
        </w:rPr>
        <w:t>The Systemic Disruption trigger under Section 1.4(a)(iv) activates at a universal tariff exceeding 5% ad valorem where the imposing state acts through an emergency declaration, including Section 232 or Section 301 authorities, rather than standard legislative processes. The 10% threshold continues to govern tariffs enacted through ordinary legislative procedure.</w:t>
      </w:r>
    </w:p>
    <w:p>
      <w:pPr>
        <w:pStyle w:val="Normal"/>
      </w:pPr>
      <w:r>
        <w:rPr>
          <w:rFonts w:ascii="Calibri" w:hAnsi="Calibri" w:eastAsia="Microsoft YaHei" w:cs="Calibri"/>
          <w:color w:val="263238"/>
          <w:sz w:val="21"/>
          <w:szCs w:val="21"/>
        </w:rPr>
        <w:t>(a) Definition: A Global Systemic Disruption exists when non-discriminatory measures by any state, regardless of documented policy linkage, cause: (i) &gt;2% aggregate GDP impact across &gt;30% of IMESI members; (ii) disruption to &gt;40% of global trade in any Tier 1 strategic sector; (iii) cascade failure in major payment, clearing, or settlement systems affecting IMESI members; or (iv) non-discriminatory tariff measures &gt;10% ad valorem affecting &gt;25% of IMESI member trade volume, regardless of documented policy linkage (Tariff Shock Pathway, v9.3). (b) Presumption of Coercive Effect: GSD measures are presumed coercive in effect if they: originate from a state representing &gt;10% global GDP; follow a pattern of unilateral economic statecraft; and lack multilateral coordination through WTO, IMF, or equivalent frameworks. (c) Automatic Response Triggers: Upon IEWC certification of GSD conditions, the following activate within 72</w:t>
      </w:r>
    </w:p>
    <w:p>
      <w:pPr>
        <w:pStyle w:val="Normal"/>
      </w:pPr>
      <w:r>
        <w:rPr>
          <w:rFonts w:ascii="Calibri" w:hAnsi="Calibri" w:eastAsia="Microsoft YaHei" w:cs="Calibri"/>
          <w:color w:val="263238"/>
          <w:sz w:val="21"/>
          <w:szCs w:val="21"/>
        </w:rPr>
        <w:t>hours without standard Phase 0 consultation:</w:t>
      </w:r>
    </w:p>
    <w:p>
      <w:pPr>
        <w:pStyle w:val="Normal"/>
      </w:pPr>
      <w:r>
        <w:rPr>
          <w:rFonts w:ascii="Calibri" w:hAnsi="Calibri" w:eastAsia="Microsoft YaHei" w:cs="Calibri"/>
          <w:color w:val="263238"/>
          <w:sz w:val="21"/>
          <w:szCs w:val="21"/>
        </w:rPr>
        <w:t>(i) SFI full operational deployment (ii) Resilience Fund emergency liquidity window (iii) Joint procurement acceleration for affected sectors (iv) Coordinated central bank swap line activation (d) Burden-Sharing Modification: GSD response costs distributed purely by GDP share, bypassing standard trade-exposure weighting, for duration of disruption plus 90 days.</w:t>
      </w:r>
    </w:p>
    <w:p>
      <w:pPr>
        <w:pStyle w:val="Heading2"/>
      </w:pPr>
      <w:r>
        <w:rPr>
          <w:rFonts w:ascii="Calibri" w:hAnsi="Calibri" w:eastAsia="Microsoft YaHei" w:cs="Calibri"/>
          <w:b/>
          <w:color w:val="263238"/>
          <w:sz w:val="25"/>
          <w:szCs w:val="25"/>
        </w:rPr>
        <w:t>Section 1.4B: Systemic Non-Coercive Disruption (SND)</w:t>
      </w:r>
    </w:p>
    <w:p>
      <w:pPr>
        <w:pStyle w:val="Heading3"/>
      </w:pPr>
      <w:r>
        <w:rPr>
          <w:rFonts w:ascii="Calibri" w:hAnsi="Calibri" w:eastAsia="Microsoft YaHei" w:cs="Calibri"/>
          <w:b/>
          <w:color w:val="546E7A"/>
          <w:sz w:val="22"/>
          <w:szCs w:val="22"/>
        </w:rPr>
        <w:t>Section 1.4B (Addendum): MFN Suspension as SND Trigger [NEW: v12.0]</w:t>
      </w:r>
    </w:p>
    <w:p>
      <w:pPr>
        <w:pStyle w:val="Normal"/>
      </w:pPr>
      <w:r>
        <w:rPr>
          <w:rFonts w:ascii="Calibri" w:hAnsi="Calibri" w:eastAsia="Microsoft YaHei" w:cs="Calibri"/>
          <w:color w:val="263238"/>
          <w:sz w:val="21"/>
          <w:szCs w:val="21"/>
        </w:rPr>
        <w:t>The suspension, revocation, or material modification of MFN status for any IMESI Member constitutes a Systemic Non-Coercive Disruption regardless of the tariff rate applied. The destabilising effect of the status change itself constitutes systemic harm activating the collective stabilisation response.</w:t>
      </w:r>
    </w:p>
    <w:p>
      <w:pPr>
        <w:pStyle w:val="Heading3"/>
      </w:pPr>
      <w:r>
        <w:rPr>
          <w:rFonts w:ascii="Calibri" w:hAnsi="Calibri" w:eastAsia="Microsoft YaHei" w:cs="Calibri"/>
          <w:b/>
          <w:color w:val="546E7A"/>
          <w:sz w:val="22"/>
          <w:szCs w:val="22"/>
        </w:rPr>
        <w:t>Section 1.4B(d): Graduated MFN Loophole Closure [NEW: v12.0]</w:t>
      </w:r>
    </w:p>
    <w:p>
      <w:pPr>
        <w:pStyle w:val="Normal"/>
      </w:pPr>
      <w:r>
        <w:rPr>
          <w:rFonts w:ascii="Calibri" w:hAnsi="Calibri" w:eastAsia="Microsoft YaHei" w:cs="Calibri"/>
          <w:color w:val="263238"/>
          <w:sz w:val="21"/>
          <w:szCs w:val="21"/>
        </w:rPr>
        <w:t>Where a state progressively raises tariffs on a Member through multiple MFN modifications over a 12-month period, the IEWC assesses the cumulative effect for SND certification, preventing avoidance of triggers through incremental changes. The 24-month rolling pressure ledger (Section 2.10) specifically tracks MFN-related changes.</w:t>
      </w:r>
    </w:p>
    <w:p>
      <w:pPr>
        <w:pStyle w:val="Heading3"/>
      </w:pPr>
      <w:r>
        <w:rPr>
          <w:rFonts w:ascii="Calibri" w:hAnsi="Calibri" w:eastAsia="Microsoft YaHei" w:cs="Calibri"/>
          <w:b/>
          <w:color w:val="546E7A"/>
          <w:sz w:val="22"/>
          <w:szCs w:val="22"/>
        </w:rPr>
        <w:t>Section 1.4B (Second Addendum): Baseline Shift Doctrine Hardening [NEW: v12.0]</w:t>
      </w:r>
    </w:p>
    <w:p>
      <w:pPr>
        <w:pStyle w:val="Normal"/>
      </w:pPr>
      <w:r>
        <w:rPr>
          <w:rFonts w:ascii="Calibri" w:hAnsi="Calibri" w:eastAsia="Microsoft YaHei" w:cs="Calibri"/>
          <w:color w:val="263238"/>
          <w:sz w:val="21"/>
          <w:szCs w:val="21"/>
        </w:rPr>
        <w:t>Where a state raises its baseline MFN tariff rate by more than 50% of its prior rate, the increase carries a presumption of Systemic Non-Coercive Disruption unless the state demonstrates: (a) 24-month advance notification to the WTO; (b) non-discriminatory application across all trading partners; and (c) absence of temporal correlation with bilateral disputes. The burden of rebuttal rests with the imposing state.</w:t>
      </w:r>
    </w:p>
    <w:p>
      <w:pPr>
        <w:pStyle w:val="Normal"/>
      </w:pPr>
      <w:r>
        <w:rPr>
          <w:rFonts w:ascii="Calibri" w:hAnsi="Calibri" w:eastAsia="Microsoft YaHei" w:cs="Calibri"/>
          <w:color w:val="263238"/>
          <w:sz w:val="21"/>
          <w:szCs w:val="21"/>
        </w:rPr>
        <w:t>(a) Definition: SND exists when non-discriminatory trade measures by any state, regardless of coercive intent, cause: (i) &gt;15% increase in effective tariff rates across &gt;30% of IMESI member trade; (ii) disruption to critical supply chains affecting &gt;40% of Tier 1 strategic sectors; or (iii) cascading investment freezes exceeding USD 50 billion aggregate across IMESI members. (b) Presumption of Stabilisation Need: For tariff measures specifically: non-discriminatory tariffs exceeding 10 percentage points ad valorem affecting &gt;25% of IMESI member trade volume is presumed to require collective stabilisation response. The burden of rebuttal lies with the imposing state to demonstrate: (i) WTO-bound tariff rate adjustment with 12-month advance notification; and (ii) non-discriminatory application to all trading partners without temporal correlation to bilateral disputes. IEWC certifies SND by 55% weighted vote with published sectoral impact analysis. For non-tariff SND measures, the existing standard applies: damage to members is identical whether the disrupting state intended coercion or not.</w:t>
      </w:r>
    </w:p>
    <w:p>
      <w:pPr>
        <w:pStyle w:val="Normal"/>
      </w:pPr>
      <w:r>
        <w:rPr>
          <w:rFonts w:ascii="Calibri" w:hAnsi="Calibri" w:eastAsia="Microsoft YaHei" w:cs="Calibri"/>
          <w:color w:val="263238"/>
          <w:sz w:val="21"/>
          <w:szCs w:val="21"/>
        </w:rPr>
        <w:t>(c) Automatic Response: IEWC certification of SND triggers within 48 hours:</w:t>
      </w:r>
    </w:p>
    <w:p>
      <w:pPr>
        <w:pStyle w:val="Normal"/>
      </w:pPr>
      <w:r>
        <w:rPr>
          <w:rFonts w:ascii="Calibri" w:hAnsi="Calibri" w:eastAsia="Microsoft YaHei" w:cs="Calibri"/>
          <w:color w:val="263238"/>
          <w:sz w:val="21"/>
          <w:szCs w:val="21"/>
        </w:rPr>
        <w:t>(i) Joint Procurement Consortium emergency activation for affected sectors (ii) SFI settlement preference for affected trade flows (iii) Resilience Fund liquidity windows for impacted members (iv) Supply chain rerouting protocols and alternative supplier contracting (d) Distinction from GSD: SND activates stabilisation tools only, not stabilisation measures. If evidence of coercive intent emerges, standard Article II procedures apply in parallel.</w:t>
      </w:r>
    </w:p>
    <w:p>
      <w:pPr>
        <w:pStyle w:val="Heading2"/>
      </w:pPr>
      <w:r>
        <w:rPr>
          <w:rFonts w:ascii="Calibri" w:hAnsi="Calibri" w:eastAsia="Microsoft YaHei" w:cs="Calibri"/>
          <w:b/>
          <w:color w:val="263238"/>
          <w:sz w:val="25"/>
          <w:szCs w:val="25"/>
        </w:rPr>
        <w:t>Section 1.5: Institutional Sovereignty and Self-Defence</w:t>
      </w:r>
    </w:p>
    <w:p>
      <w:pPr>
        <w:pStyle w:val="Normal"/>
      </w:pPr>
      <w:r>
        <w:rPr>
          <w:rFonts w:ascii="Calibri" w:hAnsi="Calibri" w:eastAsia="Microsoft YaHei" w:cs="Calibri"/>
          <w:color w:val="263238"/>
          <w:sz w:val="21"/>
          <w:szCs w:val="21"/>
        </w:rPr>
        <w:t>Extension of Coercion Definition: Article II's definition of economic coercion applies to measures targeting IMESI institutional infrastructure, including: SFI node seizure, blocking, or functional degradation by host state; IEWC hacking, data manipulation, or operational disruption; Dashboard takedown or denial-of-service attacks; sanctions or travel restrictions on DG, IEWC staff, or Secretariat personnel in personal capacity; ADAI manipulation or algorithmic poisoning; threats to de-platform or de-license IMESI institutional presence.</w:t>
      </w:r>
    </w:p>
    <w:p>
      <w:pPr>
        <w:pStyle w:val="Normal"/>
      </w:pPr>
      <w:r>
        <w:rPr>
          <w:rFonts w:ascii="Calibri" w:hAnsi="Calibri" w:eastAsia="Microsoft YaHei" w:cs="Calibri"/>
          <w:color w:val="263238"/>
          <w:sz w:val="21"/>
          <w:szCs w:val="21"/>
        </w:rPr>
        <w:t>Institutional Red-Line Categories:</w:t>
      </w:r>
    </w:p>
    <w:p>
      <w:pPr>
        <w:pStyle w:val="Normal"/>
      </w:pPr>
      <w:r>
        <w:rPr>
          <w:rFonts w:ascii="Calibri" w:hAnsi="Calibri" w:eastAsia="Microsoft YaHei" w:cs="Calibri"/>
          <w:color w:val="263238"/>
          <w:sz w:val="21"/>
          <w:szCs w:val="21"/>
        </w:rPr>
        <w:t>Category</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Response</w:t>
      </w:r>
    </w:p>
    <w:p>
      <w:pPr>
        <w:pStyle w:val="Normal"/>
      </w:pPr>
      <w:r>
        <w:rPr>
          <w:rFonts w:ascii="Calibri" w:hAnsi="Calibri" w:eastAsia="Microsoft YaHei" w:cs="Calibri"/>
          <w:color w:val="263238"/>
          <w:sz w:val="21"/>
          <w:szCs w:val="21"/>
        </w:rPr>
        <w:t>I-1: Infrastructure Incapacitation</w:t>
      </w:r>
    </w:p>
    <w:p>
      <w:pPr>
        <w:pStyle w:val="Normal"/>
      </w:pPr>
      <w:r>
        <w:rPr>
          <w:rFonts w:ascii="Calibri" w:hAnsi="Calibri" w:eastAsia="Microsoft YaHei" w:cs="Calibri"/>
          <w:color w:val="263238"/>
          <w:sz w:val="21"/>
          <w:szCs w:val="21"/>
        </w:rPr>
        <w:t>Measure preventing &gt;25% of IMESI operational capacity for &gt;24 hours</w:t>
      </w:r>
    </w:p>
    <w:p>
      <w:pPr>
        <w:pStyle w:val="Normal"/>
      </w:pPr>
      <w:r>
        <w:rPr>
          <w:rFonts w:ascii="Calibri" w:hAnsi="Calibri" w:eastAsia="Microsoft YaHei" w:cs="Calibri"/>
          <w:color w:val="263238"/>
          <w:sz w:val="21"/>
          <w:szCs w:val="21"/>
        </w:rPr>
        <w:t>Presumptive Phase 2 activation; confirmation window for Phase 3</w:t>
      </w:r>
    </w:p>
    <w:p>
      <w:pPr>
        <w:pStyle w:val="Normal"/>
      </w:pPr>
      <w:r>
        <w:rPr>
          <w:rFonts w:ascii="Calibri" w:hAnsi="Calibri" w:eastAsia="Microsoft YaHei" w:cs="Calibri"/>
          <w:color w:val="263238"/>
          <w:sz w:val="21"/>
          <w:szCs w:val="21"/>
        </w:rPr>
        <w:t>I-2:</w:t>
      </w:r>
    </w:p>
    <w:p>
      <w:pPr>
        <w:pStyle w:val="Normal"/>
      </w:pPr>
      <w:r>
        <w:rPr>
          <w:rFonts w:ascii="Calibri" w:hAnsi="Calibri" w:eastAsia="Microsoft YaHei" w:cs="Calibri"/>
          <w:color w:val="263238"/>
          <w:sz w:val="21"/>
          <w:szCs w:val="21"/>
        </w:rPr>
        <w:t>Personnel Targeting</w:t>
      </w:r>
    </w:p>
    <w:p>
      <w:pPr>
        <w:pStyle w:val="Normal"/>
      </w:pPr>
      <w:r>
        <w:rPr>
          <w:rFonts w:ascii="Calibri" w:hAnsi="Calibri" w:eastAsia="Microsoft YaHei" w:cs="Calibri"/>
          <w:color w:val="263238"/>
          <w:sz w:val="21"/>
          <w:szCs w:val="21"/>
        </w:rPr>
        <w:t>Sanctions or criminal charges against 3+ institutional personnel</w:t>
      </w:r>
    </w:p>
    <w:p>
      <w:pPr>
        <w:pStyle w:val="Normal"/>
      </w:pPr>
      <w:r>
        <w:rPr>
          <w:rFonts w:ascii="Calibri" w:hAnsi="Calibri" w:eastAsia="Microsoft YaHei" w:cs="Calibri"/>
          <w:color w:val="263238"/>
          <w:sz w:val="21"/>
          <w:szCs w:val="21"/>
        </w:rPr>
        <w:t>Immediate diplomatic downgrade; presumptive Phase 2; mandatory IAC review within 7 days</w:t>
      </w:r>
    </w:p>
    <w:p>
      <w:pPr>
        <w:pStyle w:val="Normal"/>
      </w:pPr>
      <w:r>
        <w:rPr>
          <w:rFonts w:ascii="Calibri" w:hAnsi="Calibri" w:eastAsia="Microsoft YaHei" w:cs="Calibri"/>
          <w:color w:val="263238"/>
          <w:sz w:val="21"/>
          <w:szCs w:val="21"/>
        </w:rPr>
        <w:t>I-3:</w:t>
      </w:r>
    </w:p>
    <w:p>
      <w:pPr>
        <w:pStyle w:val="Normal"/>
      </w:pPr>
      <w:r>
        <w:rPr>
          <w:rFonts w:ascii="Calibri" w:hAnsi="Calibri" w:eastAsia="Microsoft YaHei" w:cs="Calibri"/>
          <w:color w:val="263238"/>
          <w:sz w:val="21"/>
          <w:szCs w:val="21"/>
        </w:rPr>
        <w:t>Systemic Compromise</w:t>
      </w:r>
    </w:p>
    <w:p>
      <w:pPr>
        <w:pStyle w:val="Normal"/>
      </w:pPr>
      <w:r>
        <w:rPr>
          <w:rFonts w:ascii="Calibri" w:hAnsi="Calibri" w:eastAsia="Microsoft YaHei" w:cs="Calibri"/>
          <w:color w:val="263238"/>
          <w:sz w:val="21"/>
          <w:szCs w:val="21"/>
        </w:rPr>
        <w:t>Documented penetration of classified IEWC or SFI systems</w:t>
      </w:r>
    </w:p>
    <w:p>
      <w:pPr>
        <w:pStyle w:val="Normal"/>
      </w:pPr>
      <w:r>
        <w:rPr>
          <w:rFonts w:ascii="Calibri" w:hAnsi="Calibri" w:eastAsia="Microsoft YaHei" w:cs="Calibri"/>
          <w:color w:val="263238"/>
          <w:sz w:val="21"/>
          <w:szCs w:val="21"/>
        </w:rPr>
        <w:t>Automatic Phase 2+ per ESP (Section 5.5C); distributed node activation; cyber-defence coordination</w:t>
      </w:r>
    </w:p>
    <w:p>
      <w:pPr>
        <w:pStyle w:val="Normal"/>
      </w:pPr>
      <w:r>
        <w:rPr>
          <w:rFonts w:ascii="Calibri" w:hAnsi="Calibri" w:eastAsia="Microsoft YaHei" w:cs="Calibri"/>
          <w:color w:val="263238"/>
          <w:sz w:val="21"/>
          <w:szCs w:val="21"/>
        </w:rPr>
        <w:t>4-hour</w:t>
      </w:r>
    </w:p>
    <w:p>
      <w:pPr>
        <w:pStyle w:val="Normal"/>
      </w:pPr>
      <w:r>
        <w:rPr>
          <w:rFonts w:ascii="Calibri" w:hAnsi="Calibri" w:eastAsia="Microsoft YaHei" w:cs="Calibri"/>
          <w:color w:val="263238"/>
          <w:sz w:val="21"/>
          <w:szCs w:val="21"/>
        </w:rPr>
        <w:t>human</w:t>
      </w:r>
    </w:p>
    <w:p>
      <w:pPr>
        <w:pStyle w:val="Normal"/>
      </w:pPr>
      <w:r>
        <w:rPr>
          <w:rFonts w:ascii="Calibri" w:hAnsi="Calibri" w:eastAsia="Microsoft YaHei" w:cs="Calibri"/>
          <w:color w:val="263238"/>
          <w:sz w:val="21"/>
          <w:szCs w:val="21"/>
        </w:rPr>
        <w:t>Authorised Self-Defence Responses: Coordinated attribution disclosure and defensive cyber operations; reciprocal diplomatic expulsion from IMESI host states; targeted asset freeze in SFI clearing banks; immediate node failover per Section 4.6D; IEWC-certified evidence chain release. Distributed Resilience Mandate: Institutional infrastructure maintains 7-node distributed architecture (5-node minimum viable) with geographic distribution across minimum 4 continents; 48-hour operational</w:t>
      </w:r>
    </w:p>
    <w:p>
      <w:pPr>
        <w:pStyle w:val="Normal"/>
      </w:pPr>
      <w:r>
        <w:rPr>
          <w:rFonts w:ascii="Calibri" w:hAnsi="Calibri" w:eastAsia="Microsoft YaHei" w:cs="Calibri"/>
          <w:color w:val="263238"/>
          <w:sz w:val="21"/>
          <w:szCs w:val="21"/>
        </w:rPr>
        <w:t>continuity upon single-node incapacitation; annual 'black start' exercise for total infrastructure rebuild from encrypted distributed backups. IMF/BIS Compatibility (v9.5): Operations under this Section is designed and implemented in a manner consistent with members' obligations under the IMF Articles of Agreement and, where appropriate, in coordination with relevant frameworks of the Bank for International Settlements. Nothing in IMESI institutional architecture requires members to act contrary to their IMF or BIS commitments. SFI Financial Black Start (v9.4): The annual black-start exercise includes a 72-hour simulation of total reserve-currency clearing system incapacitation, requiring SFI to rebuild settlement operations from encrypted distributed nodes with IMU-denominated settlement only. Exercise evaluates: (a) IMU valuation stability under stress; (b) correspondent banking failover to pre-positioned neutral financial centres; (c) member central bank swap line activation speed; (d) cross-border payment continuity for critical imports (food, energy, pharmaceuticals). Results classified; aggregate pass/fail published on Institutional Readiness Dashboard. IMF/BIS Consistency (v9.5): Operations under this Section, including SFI settlement, black-start exercises, and swap line activation, is designed and implemented in a manner consistent with members' obligations under the IMF Articles of Agreement and, where appropriate, in coordination with relevant frameworks of the Bank for International Settlements. Nothing in IMESI's financial infrastructure provisions are construed as authorising member actions inconsistent with their IMF or BIS obligations. Host State Obligations: Physical and cyber security of node operations; non-interference with IEWC analytical functions; 72-hour notice before any regulatory or enforcement action affecting node operations; alternative hosting guarantee if operations become untenable. Breach triggers automatic node relocation and a cost-sharing adjustment of 150% of standard rate (12-month phase-in for first breach) to compensate for relocation expenses. First breaches carry a presumption of cooperative remediation; suspension of future hosting eligibility applies only after failed remediation. Negotiation status: Tier 1 non-negotiable. Only flexibility: node count (5 vs. 7), surcharge rate within specified band, human confirmation timing (4-hour window). Core: automatic presumptive response with human gate for highest escalation.</w:t>
      </w:r>
    </w:p>
    <w:p>
      <w:pPr>
        <w:pStyle w:val="Heading2"/>
      </w:pPr>
      <w:r>
        <w:rPr>
          <w:rFonts w:ascii="Calibri" w:hAnsi="Calibri" w:eastAsia="Microsoft YaHei" w:cs="Calibri"/>
          <w:b/>
          <w:color w:val="263238"/>
          <w:sz w:val="25"/>
          <w:szCs w:val="25"/>
        </w:rPr>
        <w:t>Section 1.6: Compound Emergency and Stacked Crisis Protocol</w:t>
      </w:r>
    </w:p>
    <w:p>
      <w:pPr>
        <w:pStyle w:val="Heading3"/>
      </w:pPr>
      <w:r>
        <w:rPr>
          <w:rFonts w:ascii="Calibri" w:hAnsi="Calibri" w:eastAsia="Microsoft YaHei" w:cs="Calibri"/>
          <w:b/>
          <w:color w:val="546E7A"/>
          <w:sz w:val="22"/>
          <w:szCs w:val="22"/>
        </w:rPr>
        <w:t>Section 1.6 (Addendum): Chain Reaction Protocol [NEW: v12.0]</w:t>
      </w:r>
    </w:p>
    <w:p>
      <w:pPr>
        <w:pStyle w:val="Normal"/>
      </w:pPr>
      <w:r>
        <w:rPr>
          <w:rFonts w:ascii="Calibri" w:hAnsi="Calibri" w:eastAsia="Microsoft YaHei" w:cs="Calibri"/>
          <w:color w:val="263238"/>
          <w:sz w:val="21"/>
          <w:szCs w:val="21"/>
        </w:rPr>
        <w:t>Where coercion against a non-IMESI state causes cascading economic harm to an IMESI Member, such as tariffs on a third-country supplier disrupting IMESI Member supply chains, the harm constitutes a Compound Emergency under Section 1.6. The affected Member gains eligibility for all stabilisation measures, including Resilience Fund access, SFI activation, and supply-chain rerouting.</w:t>
      </w:r>
    </w:p>
    <w:p>
      <w:pPr>
        <w:pStyle w:val="Normal"/>
      </w:pPr>
      <w:r>
        <w:rPr>
          <w:rFonts w:ascii="Calibri" w:hAnsi="Calibri" w:eastAsia="Microsoft YaHei" w:cs="Calibri"/>
          <w:color w:val="263238"/>
          <w:sz w:val="21"/>
          <w:szCs w:val="21"/>
        </w:rPr>
        <w:t>Definition: A Compound Emergency exists when 2 or more of the following occur simultaneously or within a 30-day cascading period: (a) Active IEWC-certified economic coercion case; (b) WHO-declared pandemic emergency with economic impact; (c) UNFCCC-certified climate disaster affecting &gt;5% GDP of any member; (d) IMF-certified financial stress event; (e) FAO/WFP-certified food security emergency affecting &gt;10% population of any member.</w:t>
      </w:r>
    </w:p>
    <w:p>
      <w:pPr>
        <w:pStyle w:val="Normal"/>
      </w:pPr>
      <w:r>
        <w:rPr>
          <w:rFonts w:ascii="Calibri" w:hAnsi="Calibri" w:eastAsia="Microsoft YaHei" w:cs="Calibri"/>
          <w:color w:val="263238"/>
          <w:sz w:val="21"/>
          <w:szCs w:val="21"/>
        </w:rPr>
        <w:t>Automatic Adjustments Upon IEWC Certification:</w:t>
      </w:r>
    </w:p>
    <w:p>
      <w:pPr>
        <w:pStyle w:val="Normal"/>
      </w:pPr>
      <w:r>
        <w:rPr>
          <w:rFonts w:ascii="Calibri" w:hAnsi="Calibri" w:eastAsia="Microsoft YaHei" w:cs="Calibri"/>
          <w:color w:val="263238"/>
          <w:sz w:val="21"/>
          <w:szCs w:val="21"/>
        </w:rPr>
        <w:t>(a) Burden-Sharing Modification: Shifts to pure GDP basis (removing trade-exposure weighting); optional relief cap raised to 40% (from 25%); EBC 5-year cycle suspended. (b) Cost Ceiling Suspension: 8% GDP presumptive ceiling suspended for 90 days; extension requires 60% vote for first 90-day extension, 75% for subsequent extensions. Hard cap of 12% GDP applies regardless of suspension. (c) Fund Architecture Flexibility: Peacetime Fund / Stabilisation Fund merger authorised at 60% CC vote; emergency borrowing ceiling raised to 75% of capitalised assets; SFI settlement targets suspended with full capacity deployment.</w:t>
      </w:r>
    </w:p>
    <w:p>
      <w:pPr>
        <w:pStyle w:val="Normal"/>
      </w:pPr>
      <w:r>
        <w:rPr>
          <w:rFonts w:ascii="Calibri" w:hAnsi="Calibri" w:eastAsia="Microsoft YaHei" w:cs="Calibri"/>
          <w:color w:val="263238"/>
          <w:sz w:val="21"/>
          <w:szCs w:val="21"/>
        </w:rPr>
        <w:t>Crisis Triage Priority Matrix:</w:t>
      </w:r>
    </w:p>
    <w:p>
      <w:pPr>
        <w:pStyle w:val="Normal"/>
      </w:pPr>
      <w:r>
        <w:rPr>
          <w:rFonts w:ascii="Calibri" w:hAnsi="Calibri" w:eastAsia="Microsoft YaHei" w:cs="Calibri"/>
          <w:color w:val="263238"/>
          <w:sz w:val="21"/>
          <w:szCs w:val="21"/>
        </w:rPr>
        <w:t>Priority</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Response</w:t>
      </w:r>
    </w:p>
    <w:p>
      <w:pPr>
        <w:pStyle w:val="Normal"/>
      </w:pPr>
      <w:r>
        <w:rPr>
          <w:rFonts w:ascii="Calibri" w:hAnsi="Calibri" w:eastAsia="Microsoft YaHei" w:cs="Calibri"/>
          <w:color w:val="263238"/>
          <w:sz w:val="21"/>
          <w:szCs w:val="21"/>
        </w:rPr>
        <w:t>Humanitarian supply chain collapse</w:t>
      </w:r>
    </w:p>
    <w:p>
      <w:pPr>
        <w:pStyle w:val="Normal"/>
      </w:pPr>
      <w:r>
        <w:rPr>
          <w:rFonts w:ascii="Calibri" w:hAnsi="Calibri" w:eastAsia="Microsoft YaHei" w:cs="Calibri"/>
          <w:color w:val="263238"/>
          <w:sz w:val="21"/>
          <w:szCs w:val="21"/>
        </w:rPr>
        <w:t>Immediate SFI humanitarian window; stockpile release</w:t>
      </w:r>
    </w:p>
    <w:p>
      <w:pPr>
        <w:pStyle w:val="Normal"/>
      </w:pPr>
      <w:r>
        <w:rPr>
          <w:rFonts w:ascii="Calibri" w:hAnsi="Calibri" w:eastAsia="Microsoft YaHei" w:cs="Calibri"/>
          <w:color w:val="263238"/>
          <w:sz w:val="21"/>
          <w:szCs w:val="21"/>
        </w:rPr>
        <w:t>Financial contagion threat</w:t>
      </w:r>
    </w:p>
    <w:p>
      <w:pPr>
        <w:pStyle w:val="Normal"/>
      </w:pPr>
      <w:r>
        <w:rPr>
          <w:rFonts w:ascii="Calibri" w:hAnsi="Calibri" w:eastAsia="Microsoft YaHei" w:cs="Calibri"/>
          <w:color w:val="263238"/>
          <w:sz w:val="21"/>
          <w:szCs w:val="21"/>
        </w:rPr>
        <w:t>Emergency swap line activation; SLI automatic trigger</w:t>
      </w:r>
    </w:p>
    <w:p>
      <w:pPr>
        <w:pStyle w:val="Normal"/>
      </w:pPr>
      <w:r>
        <w:rPr>
          <w:rFonts w:ascii="Calibri" w:hAnsi="Calibri" w:eastAsia="Microsoft YaHei" w:cs="Calibri"/>
          <w:color w:val="263238"/>
          <w:sz w:val="21"/>
          <w:szCs w:val="21"/>
        </w:rPr>
        <w:t>Coercion case active</w:t>
      </w:r>
    </w:p>
    <w:p>
      <w:pPr>
        <w:pStyle w:val="Normal"/>
      </w:pPr>
      <w:r>
        <w:rPr>
          <w:rFonts w:ascii="Calibri" w:hAnsi="Calibri" w:eastAsia="Microsoft YaHei" w:cs="Calibri"/>
          <w:color w:val="263238"/>
          <w:sz w:val="21"/>
          <w:szCs w:val="21"/>
        </w:rPr>
        <w:t>Standard IMESI activation with modified burden-sharing</w:t>
      </w:r>
    </w:p>
    <w:p>
      <w:pPr>
        <w:pStyle w:val="Normal"/>
      </w:pPr>
      <w:r>
        <w:rPr>
          <w:rFonts w:ascii="Calibri" w:hAnsi="Calibri" w:eastAsia="Microsoft YaHei" w:cs="Calibri"/>
          <w:color w:val="263238"/>
          <w:sz w:val="21"/>
          <w:szCs w:val="21"/>
        </w:rPr>
        <w:t>Climate adaptation urgent</w:t>
      </w:r>
    </w:p>
    <w:p>
      <w:pPr>
        <w:pStyle w:val="Normal"/>
      </w:pPr>
      <w:r>
        <w:rPr>
          <w:rFonts w:ascii="Calibri" w:hAnsi="Calibri" w:eastAsia="Microsoft YaHei" w:cs="Calibri"/>
          <w:color w:val="263238"/>
          <w:sz w:val="21"/>
          <w:szCs w:val="21"/>
        </w:rPr>
        <w:t>Green Strategic Reserve release; RDP accelerated disbursement</w:t>
      </w:r>
    </w:p>
    <w:p>
      <w:pPr>
        <w:pStyle w:val="Normal"/>
      </w:pPr>
      <w:r>
        <w:rPr>
          <w:rFonts w:ascii="Calibri" w:hAnsi="Calibri" w:eastAsia="Microsoft YaHei" w:cs="Calibri"/>
          <w:color w:val="263238"/>
          <w:sz w:val="21"/>
          <w:szCs w:val="21"/>
        </w:rPr>
        <w:t>Pre-Authorised All-Hazards Packages (Annex 4C): Modular response packages for: Pandemic + Coercion (Scenario Chi); Climate + Financial stress (Scenario Psi); Coercion + Financial stress (Scenario Omega); Triple crisis (Scenario Alpha-Omega). Each specifies trigger conditions, activation sequence, burden-sharing adjustments, and rolling review provisions. Coordination: Compound Emergency activation triggers automatic notification to WHO, UNFCCC Secretariat, IMF Managing Director, and WTO Director-General. IMESI seeks standing coordination protocols with each within 24 months of entry into force. Negotiation status: Tier 1 non-negotiable. Only flexibility: vote thresholds for extension (within specified bands), Fund merger threshold. Core: pure GDP burden-sharing, 12% hard cap, pre-authorised packages, automatic notification.</w:t>
      </w:r>
    </w:p>
    <w:p>
      <w:pPr>
        <w:pStyle w:val="Normal"/>
      </w:pPr>
      <w:r>
        <w:rPr>
          <w:rFonts w:ascii="Calibri" w:hAnsi="Calibri" w:eastAsia="Microsoft YaHei" w:cs="Calibri"/>
          <w:color w:val="263238"/>
          <w:sz w:val="21"/>
          <w:szCs w:val="21"/>
        </w:rPr>
        <w:t>Section 1.0A (Addendum): Democratic Override Safeguard [NEW: v9.8A Political Inoculation]</w:t>
      </w:r>
    </w:p>
    <w:p>
      <w:pPr>
        <w:pStyle w:val="Normal"/>
      </w:pPr>
      <w:r>
        <w:rPr>
          <w:rFonts w:ascii="Calibri" w:hAnsi="Calibri" w:eastAsia="Microsoft YaHei" w:cs="Calibri"/>
          <w:color w:val="263238"/>
          <w:sz w:val="21"/>
          <w:szCs w:val="21"/>
        </w:rPr>
        <w:t>No Member is obliged to implement any stabilisation measure package authorised under this Instrument where its competent constitutional authorities, acting in accordance with domestic law, have expressly rejected such implementation. Members exercising this safeguard notifies the Secretariat and provide a public summary of reasons. Such non-implementation is prohibited from ining itself constitute non-compliance for the purposes of tier status, provided the Member fulfils all transparency and consultation requirements under this Instrument.</w:t>
      </w:r>
    </w:p>
    <w:p>
      <w:pPr>
        <w:pStyle w:val="Heading2"/>
      </w:pPr>
      <w:r>
        <w:rPr>
          <w:rFonts w:ascii="Calibri" w:hAnsi="Calibri" w:eastAsia="Microsoft YaHei" w:cs="Calibri"/>
          <w:b/>
          <w:color w:val="263238"/>
          <w:sz w:val="25"/>
          <w:szCs w:val="25"/>
        </w:rPr>
        <w:t>Section 1.0B: Plural Alignment Principle [NEW: v9.8A Institutional Maturity]</w:t>
      </w:r>
    </w:p>
    <w:p>
      <w:pPr>
        <w:pStyle w:val="Normal"/>
      </w:pPr>
      <w:r>
        <w:rPr>
          <w:rFonts w:ascii="Calibri" w:hAnsi="Calibri" w:eastAsia="Microsoft YaHei" w:cs="Calibri"/>
          <w:color w:val="263238"/>
          <w:sz w:val="21"/>
          <w:szCs w:val="21"/>
        </w:rPr>
        <w:t>Participation in this Instrument is prohibited from creating any obligation of exclusive economic or political alignment among Members. Members remain free to participate simultaneously in any other bilateral, regional, or plurilateral economic, financial, or security arrangements.</w:t>
      </w:r>
    </w:p>
    <w:p>
      <w:pPr>
        <w:pStyle w:val="Normal"/>
      </w:pPr>
      <w:r>
        <w:rPr>
          <w:rFonts w:ascii="Calibri" w:hAnsi="Calibri" w:eastAsia="Microsoft YaHei" w:cs="Calibri"/>
          <w:color w:val="263238"/>
          <w:sz w:val="21"/>
          <w:szCs w:val="21"/>
        </w:rPr>
        <w:t>Nothing in this Instrument is interpreted as prohibiting, restricting, or conditioning Members' participation in other frameworks, including those whose membership or strategic orientation differs from that of IMESI.</w:t>
      </w:r>
    </w:p>
    <w:p>
      <w:pPr>
        <w:pStyle w:val="Normal"/>
      </w:pPr>
      <w:r>
        <w:rPr>
          <w:rFonts w:ascii="Calibri" w:hAnsi="Calibri" w:eastAsia="Microsoft YaHei" w:cs="Calibri"/>
          <w:color w:val="263238"/>
          <w:sz w:val="21"/>
          <w:szCs w:val="21"/>
        </w:rPr>
        <w:t>Members, on a case-by-case basis, abstain from participation in specific stabilisation or response measures authorised under this Instrument, subject to their applicable financial and transparency obligations, without such abstention being treated, in and of itself, as non-compliance or as evidence of geopolitical alignment.</w:t>
      </w:r>
    </w:p>
    <w:p>
      <w:pPr>
        <w:pStyle w:val="Normal"/>
      </w:pPr>
      <w:r>
        <w:rPr>
          <w:rFonts w:ascii="Calibri" w:hAnsi="Calibri" w:eastAsia="Microsoft YaHei" w:cs="Calibri"/>
          <w:color w:val="263238"/>
          <w:sz w:val="21"/>
          <w:szCs w:val="21"/>
        </w:rPr>
        <w:t>The Secretariat, in its public communications, emphasises the plurilateral and non-exclusive character of this Instrument and avoid language suggesting bloc formation or exclusive spheres of influence.</w:t>
      </w:r>
    </w:p>
    <w:p>
      <w:pPr>
        <w:pStyle w:val="Heading2"/>
      </w:pPr>
      <w:r>
        <w:rPr>
          <w:rFonts w:ascii="Calibri" w:hAnsi="Calibri" w:eastAsia="Microsoft YaHei" w:cs="Calibri"/>
          <w:b/>
          <w:color w:val="263238"/>
          <w:sz w:val="25"/>
          <w:szCs w:val="25"/>
        </w:rPr>
        <w:t>Section 1.0C: Domestic Sovereignty and Benefit Guarantee [NEW: v9.8A Institutional Maturity]</w:t>
      </w:r>
    </w:p>
    <w:p>
      <w:pPr>
        <w:pStyle w:val="Normal"/>
      </w:pPr>
      <w:r>
        <w:rPr>
          <w:rFonts w:ascii="Calibri" w:hAnsi="Calibri" w:eastAsia="Microsoft YaHei" w:cs="Calibri"/>
          <w:color w:val="263238"/>
          <w:sz w:val="21"/>
          <w:szCs w:val="21"/>
        </w:rPr>
        <w:t>Domestic Sovereignty Lock</w:t>
      </w:r>
    </w:p>
    <w:p>
      <w:pPr>
        <w:pStyle w:val="Normal"/>
      </w:pPr>
      <w:r>
        <w:rPr>
          <w:rFonts w:ascii="Calibri" w:hAnsi="Calibri" w:eastAsia="Microsoft YaHei" w:cs="Calibri"/>
          <w:color w:val="263238"/>
          <w:sz w:val="21"/>
          <w:szCs w:val="21"/>
        </w:rPr>
        <w:t>Nothing in this Instrument obliges any Member to adopt sanctions or other economic measures without authorisation under its domestic legal order. Implementation of all IMESI measures occur exclusively through Members' existing constitutional and legislative processes, as further specified in Section 1.0A. No body established under this Instrument imposes directly measures within any Member's jurisdiction.</w:t>
      </w:r>
    </w:p>
    <w:p>
      <w:pPr>
        <w:pStyle w:val="Normal"/>
      </w:pPr>
      <w:r>
        <w:rPr>
          <w:rFonts w:ascii="Calibri" w:hAnsi="Calibri" w:eastAsia="Microsoft YaHei" w:cs="Calibri"/>
          <w:color w:val="263238"/>
          <w:sz w:val="21"/>
          <w:szCs w:val="21"/>
        </w:rPr>
        <w:t>Net Benefit Transparency</w:t>
      </w:r>
    </w:p>
    <w:p>
      <w:pPr>
        <w:pStyle w:val="Normal"/>
      </w:pPr>
      <w:r>
        <w:rPr>
          <w:rFonts w:ascii="Calibri" w:hAnsi="Calibri" w:eastAsia="Microsoft YaHei" w:cs="Calibri"/>
          <w:color w:val="263238"/>
          <w:sz w:val="21"/>
          <w:szCs w:val="21"/>
        </w:rPr>
        <w:t>Prior to ratification or accession, each Member prepare and publish, in a form appropriate to its domestic procedures, a summary assessment of the expected net benefits and maximum financial exposure associated with participation in this Instrument, including the applicable cost ceilings and access to stabilisation and resilience facilities.</w:t>
      </w:r>
    </w:p>
    <w:p>
      <w:pPr>
        <w:pStyle w:val="Normal"/>
      </w:pPr>
      <w:r>
        <w:rPr>
          <w:rFonts w:ascii="Calibri" w:hAnsi="Calibri" w:eastAsia="Microsoft YaHei" w:cs="Calibri"/>
          <w:color w:val="263238"/>
          <w:sz w:val="21"/>
          <w:szCs w:val="21"/>
        </w:rPr>
        <w:t>Domestic Protection Trigger</w:t>
      </w:r>
    </w:p>
    <w:p>
      <w:pPr>
        <w:pStyle w:val="Normal"/>
      </w:pPr>
      <w:r>
        <w:rPr>
          <w:rFonts w:ascii="Calibri" w:hAnsi="Calibri" w:eastAsia="Microsoft YaHei" w:cs="Calibri"/>
          <w:color w:val="263238"/>
          <w:sz w:val="21"/>
          <w:szCs w:val="21"/>
        </w:rPr>
        <w:t>Where implementation of a specific measure under this Instrument would, as evidenced by objective indicators, cause severe and disproportionate harm to a critical domestic sector or to vulnerable populations, the affected Member adjusts temporarily or substitute such measure, subject to: (a) prompt notification to the Secretariat; (b) consultation with the IEWC and Coordination Committee; and (c) reasonable efforts to provide compensating contributions in other domains, where feasible. Any such adjustment is time-limited and subject to periodic review.</w:t>
      </w:r>
    </w:p>
    <w:p>
      <w:pPr>
        <w:pStyle w:val="Normal"/>
      </w:pPr>
      <w:r>
        <w:rPr>
          <w:rFonts w:ascii="Calibri" w:hAnsi="Calibri" w:eastAsia="Microsoft YaHei" w:cs="Calibri"/>
          <w:color w:val="263238"/>
          <w:sz w:val="21"/>
          <w:szCs w:val="21"/>
        </w:rPr>
        <w:t>Citizen-Facing Purpose Statement</w:t>
      </w:r>
    </w:p>
    <w:p>
      <w:pPr>
        <w:pStyle w:val="Normal"/>
      </w:pPr>
      <w:r>
        <w:rPr>
          <w:rFonts w:ascii="Calibri" w:hAnsi="Calibri" w:eastAsia="Microsoft YaHei" w:cs="Calibri"/>
          <w:color w:val="263238"/>
          <w:sz w:val="21"/>
          <w:szCs w:val="21"/>
        </w:rPr>
        <w:t>In interpreting and communicating this Instrument, Members and IMESI bodies emphasise that its purpose is to protect economic sovereignty, employment, and price stability by deterring and mitigating coercive economic pressure, not to compel alignment with any particular foreign or domestic policy beyond the specific objective of resisting documented economic coercion.</w:t>
      </w:r>
    </w:p>
    <w:p>
      <w:pPr>
        <w:pStyle w:val="Heading2"/>
      </w:pPr>
      <w:r>
        <w:rPr>
          <w:rFonts w:ascii="Calibri" w:hAnsi="Calibri" w:eastAsia="Microsoft YaHei" w:cs="Calibri"/>
          <w:b/>
          <w:color w:val="263238"/>
          <w:sz w:val="25"/>
          <w:szCs w:val="25"/>
        </w:rPr>
        <w:t>Section 1.0D: Regulatory Sovereignty Firewall [NEW: v9.9]</w:t>
      </w:r>
    </w:p>
    <w:p>
      <w:pPr>
        <w:pStyle w:val="Normal"/>
      </w:pPr>
      <w:r>
        <w:rPr>
          <w:rFonts w:ascii="Calibri" w:hAnsi="Calibri" w:eastAsia="Microsoft YaHei" w:cs="Calibri"/>
          <w:color w:val="263238"/>
          <w:sz w:val="21"/>
          <w:szCs w:val="21"/>
        </w:rPr>
        <w:t>Nothing in this Instrument is interpreted as authorising IMESI bodies to prescribe, harmonise, or condition membership on any particular model of domestic regulation, standards, or policy design. IMESI evaluates measures only insofar as they are weaponised to coerce other Members or cause systemic disruption; it does not opine on the substantive desirability of Members' regulatory choices. This is reinforced by the Non-Use Guarantee (Section 1.4C).</w:t>
      </w:r>
    </w:p>
    <w:p>
      <w:pPr>
        <w:pStyle w:val="Heading2"/>
      </w:pPr>
      <w:r>
        <w:rPr>
          <w:rFonts w:ascii="Calibri" w:hAnsi="Calibri" w:eastAsia="Microsoft YaHei" w:cs="Calibri"/>
          <w:b/>
          <w:color w:val="263238"/>
          <w:sz w:val="25"/>
          <w:szCs w:val="25"/>
        </w:rPr>
        <w:t>Section 1.0E: Modular Economic Security Framework [NEW: v13.0]</w:t>
      </w:r>
    </w:p>
    <w:p>
      <w:pPr>
        <w:pStyle w:val="Normal"/>
      </w:pPr>
      <w:r>
        <w:rPr>
          <w:rFonts w:ascii="Calibri" w:hAnsi="Calibri" w:eastAsia="Microsoft YaHei" w:cs="Calibri"/>
          <w:color w:val="263238"/>
          <w:sz w:val="21"/>
          <w:szCs w:val="21"/>
        </w:rPr>
        <w:t>This Instrument operates as a modular economic security framework, enabling Members to calibrate participation across tiers, sectors, and response tools through a structured system of pre-commitments and case-by-case decisions, consistent with their domestic law, capacity, and political preferences. The compliance architecture consists of three integrated layers: (a) the Step-Back/Earn-Back Protocol (Sections 5.4B-5.4F) as the primary layer, providing graduated, proportionate, and reversible consequences that incentivise genuine compliance and preserve trust; (b) Reinstatement (Section 5.2) as the secondary layer, activating only upon failure of the earn-back pathway, a verified Tier 3 Deliberate Hostile Violation, or Resolution Voidance (Section 5.3K), operating as the exception and never the default; and (c) the Serial Re-Escalator designation as the tertiary layer, under which Members or coercers that repeatedly trigger reinstatement face enhanced monitoring and reduced activation thresholds while retaining a clear earn-back pathway. This architecture ensures that no violation creates permanent exclusion, that earn-back remains available upon sustained compliance, and that reinstatement stays reserved for deliberate, material, and sustained bad faith.</w:t>
      </w:r>
    </w:p>
    <w:p>
      <w:pPr>
        <w:pStyle w:val="Heading2"/>
      </w:pPr>
      <w:r>
        <w:rPr>
          <w:rFonts w:ascii="Calibri" w:hAnsi="Calibri" w:eastAsia="Microsoft YaHei" w:cs="Calibri"/>
          <w:b/>
          <w:color w:val="263238"/>
          <w:sz w:val="25"/>
          <w:szCs w:val="25"/>
        </w:rPr>
        <w:t>Section 1.0F: Mutual Architecture Declaration [NEW: v13.0]</w:t>
      </w:r>
    </w:p>
    <w:p>
      <w:pPr>
        <w:pStyle w:val="Normal"/>
      </w:pPr>
      <w:r>
        <w:rPr>
          <w:rFonts w:ascii="Calibri" w:hAnsi="Calibri" w:eastAsia="Microsoft YaHei" w:cs="Calibri"/>
          <w:color w:val="263238"/>
          <w:sz w:val="21"/>
          <w:szCs w:val="21"/>
        </w:rPr>
        <w:t>The Parties to this Instrument recognise that durable stabilisation requires an architecture that binds all Members equally through the system's design, excludes unilateral enforcement mechanisms, excludes automatic military escalation, and preserves the integrity of the rules-based order. This Instrument operates on the principle that no Member restrains itself for another's benefit: all Members operate within the same structural constraints, the same transparency obligations, and the same earn-back opportunities. The framework architecture excludes kinetic enforcement mechanisms, automatic military escalation or authorisation for the use of force, and permanent exclusion of any Member based on compliance history. This declaration is legally binding and non-derogable.</w:t>
      </w:r>
    </w:p>
    <w:p>
      <w:pPr>
        <w:pStyle w:val="Heading2"/>
      </w:pPr>
      <w:r>
        <w:rPr>
          <w:rFonts w:ascii="Calibri" w:hAnsi="Calibri" w:eastAsia="Microsoft YaHei" w:cs="Calibri"/>
          <w:b/>
          <w:color w:val="263238"/>
          <w:sz w:val="25"/>
          <w:szCs w:val="25"/>
        </w:rPr>
        <w:t>Section 1.1A: Cross-Coalition Compatibility Clause [NEW: v9.8A Institutional Maturity]</w:t>
      </w:r>
    </w:p>
    <w:p>
      <w:pPr>
        <w:pStyle w:val="Heading3"/>
      </w:pPr>
      <w:r>
        <w:rPr>
          <w:rFonts w:ascii="Calibri" w:hAnsi="Calibri" w:eastAsia="Microsoft YaHei" w:cs="Calibri"/>
          <w:b/>
          <w:color w:val="546E7A"/>
          <w:sz w:val="22"/>
          <w:szCs w:val="22"/>
        </w:rPr>
        <w:t>Section 1.1A (Addendum): Bilateral Deal Compatibility [NEW: v12.0]</w:t>
      </w:r>
    </w:p>
    <w:p>
      <w:pPr>
        <w:pStyle w:val="Normal"/>
      </w:pPr>
      <w:r>
        <w:rPr>
          <w:rFonts w:ascii="Calibri" w:hAnsi="Calibri" w:eastAsia="Microsoft YaHei" w:cs="Calibri"/>
          <w:color w:val="263238"/>
          <w:sz w:val="21"/>
          <w:szCs w:val="21"/>
        </w:rPr>
        <w:t>IMESI operates in full compatibility with all existing bilateral and regional trade agreements. Membership in IMESI entails no modification, withdrawal, or limitation of any existing trade arrangement with any state. All pre-existing bilateral trade agreements remain fully preserved.</w:t>
      </w:r>
    </w:p>
    <w:p>
      <w:pPr>
        <w:pStyle w:val="Normal"/>
      </w:pPr>
      <w:r>
        <w:rPr>
          <w:rFonts w:ascii="Calibri" w:hAnsi="Calibri" w:eastAsia="Microsoft YaHei" w:cs="Calibri"/>
          <w:color w:val="263238"/>
          <w:sz w:val="21"/>
          <w:szCs w:val="21"/>
        </w:rPr>
        <w:t>IMESI is non-exclusive and compatible with Members' simultaneous participation in other bilateral, regional, or plurilateral coalitions, arrangements, or economic partnerships, subject only to basic consistency with IMESI's de-escalation principles and international legality requirements. This Instrument obliges no Member to withdraw from, modify, or limit participation in any other arrangement as a condition of IMESI membership. This aligns with the Non-Bloc Declaration (Section 1.1) and is critical for India, ASEAN, African Union, and other participants in multiple overlapping frameworks.</w:t>
      </w:r>
    </w:p>
    <w:p>
      <w:pPr>
        <w:pStyle w:val="Normal"/>
      </w:pPr>
      <w:r>
        <w:rPr>
          <w:rFonts w:ascii="Calibri" w:hAnsi="Calibri" w:eastAsia="Microsoft YaHei" w:cs="Calibri"/>
          <w:color w:val="263238"/>
          <w:sz w:val="21"/>
          <w:szCs w:val="21"/>
        </w:rPr>
        <w:t>Section 1.1 (Addendum): Escalated Response Ceiling for Military-Adjacent Coercion [NEW: v9.8A Military-Economic Nexus]</w:t>
      </w:r>
    </w:p>
    <w:p>
      <w:pPr>
        <w:pStyle w:val="Normal"/>
      </w:pPr>
      <w:r>
        <w:rPr>
          <w:rFonts w:ascii="Calibri" w:hAnsi="Calibri" w:eastAsia="Microsoft YaHei" w:cs="Calibri"/>
          <w:color w:val="263238"/>
          <w:sz w:val="21"/>
          <w:szCs w:val="21"/>
        </w:rPr>
        <w:t>When IEWC certifies "Military-Adjacent Economic Coercion" (economic measures coinciding with military mobilisation, cyber attacks on civilian infrastructure, or hybrid warfare per Section 2.12), the standard 8% GDP cumulative ceiling on stabilisation measures rises to 12% GDP with:</w:t>
      </w:r>
    </w:p>
    <w:p>
      <w:pPr>
        <w:pStyle w:val="Normal"/>
      </w:pPr>
      <w:r>
        <w:rPr>
          <w:rFonts w:ascii="Calibri" w:hAnsi="Calibri" w:eastAsia="Microsoft YaHei" w:cs="Calibri"/>
          <w:color w:val="263238"/>
          <w:sz w:val="21"/>
          <w:szCs w:val="21"/>
        </w:rPr>
        <w:t>Mandatory 75% supermajority vote (vs. standard 60%);</w:t>
      </w:r>
    </w:p>
    <w:p>
      <w:pPr>
        <w:pStyle w:val="Normal"/>
      </w:pPr>
      <w:r>
        <w:rPr>
          <w:rFonts w:ascii="Calibri" w:hAnsi="Calibri" w:eastAsia="Microsoft YaHei" w:cs="Calibri"/>
          <w:color w:val="263238"/>
          <w:sz w:val="21"/>
          <w:szCs w:val="21"/>
        </w:rPr>
        <w:t>Quarterly humanitarian impact reviews (vs. standard bi-annual);</w:t>
      </w:r>
    </w:p>
    <w:p>
      <w:pPr>
        <w:pStyle w:val="Normal"/>
      </w:pPr>
      <w:r>
        <w:rPr>
          <w:rFonts w:ascii="Calibri" w:hAnsi="Calibri" w:eastAsia="Microsoft YaHei" w:cs="Calibri"/>
          <w:color w:val="263238"/>
          <w:sz w:val="21"/>
          <w:szCs w:val="21"/>
        </w:rPr>
        <w:t>Automatic 30% reduction if civilian impact exceeds 5% threshold.</w:t>
      </w:r>
    </w:p>
    <w:p>
      <w:pPr>
        <w:pStyle w:val="Normal"/>
      </w:pPr>
      <w:r>
        <w:rPr>
          <w:rFonts w:ascii="Calibri" w:hAnsi="Calibri" w:eastAsia="Microsoft YaHei" w:cs="Calibri"/>
          <w:color w:val="263238"/>
          <w:sz w:val="21"/>
          <w:szCs w:val="21"/>
        </w:rPr>
        <w:t>Enhanced Civilian Protection Protocol</w:t>
      </w:r>
    </w:p>
    <w:p>
      <w:pPr>
        <w:pStyle w:val="Normal"/>
      </w:pPr>
      <w:r>
        <w:rPr>
          <w:rFonts w:ascii="Calibri" w:hAnsi="Calibri" w:eastAsia="Microsoft YaHei" w:cs="Calibri"/>
          <w:color w:val="263238"/>
          <w:sz w:val="21"/>
          <w:szCs w:val="21"/>
        </w:rPr>
        <w:t>Mandatory 72-hour "humanitarian corridor" negotiation before any Phase 3 measures; IEWC certifies &lt;3% civilian population impact. Ceiling increase requires highest voting threshold; framed as "existential economic defence" parallel to Article 51 self-defence; humanitarian safeguards are stricter, not looser.</w:t>
      </w:r>
    </w:p>
    <w:p>
      <w:pPr>
        <w:pStyle w:val="Heading2"/>
      </w:pPr>
      <w:r>
        <w:rPr>
          <w:rFonts w:ascii="Calibri" w:hAnsi="Calibri" w:eastAsia="Microsoft YaHei" w:cs="Calibri"/>
          <w:b/>
          <w:color w:val="263238"/>
          <w:sz w:val="25"/>
          <w:szCs w:val="25"/>
        </w:rPr>
        <w:t>Section 1.4C: Non-Use Guarantee for Routine Trade Policy [NEW: v9.8A Adoption Readiness]</w:t>
      </w:r>
    </w:p>
    <w:p>
      <w:pPr>
        <w:pStyle w:val="Normal"/>
      </w:pPr>
      <w:r>
        <w:rPr>
          <w:rFonts w:ascii="Calibri" w:hAnsi="Calibri" w:eastAsia="Microsoft YaHei" w:cs="Calibri"/>
          <w:color w:val="263238"/>
          <w:sz w:val="21"/>
          <w:szCs w:val="21"/>
        </w:rPr>
        <w:t>IMESI is not activated in response to routine macroeconomic, monetary, or broadly applied trade policy changes absent demonstrable systemic destabilisation exceeding defined thresholds and independent validation. Specifically:</w:t>
      </w:r>
    </w:p>
    <w:p>
      <w:pPr>
        <w:pStyle w:val="Normal"/>
      </w:pPr>
      <w:r>
        <w:rPr>
          <w:rFonts w:ascii="Calibri" w:hAnsi="Calibri" w:eastAsia="Microsoft YaHei" w:cs="Calibri"/>
          <w:color w:val="263238"/>
          <w:sz w:val="21"/>
          <w:szCs w:val="21"/>
        </w:rPr>
        <w:t>(a) Standard tariff adjustments applied on a most-favoured-nation basis, monetary policy decisions by independent central banks, fiscal austerity or stimulus measures, and regulatory changes applied uniformly across trading partners are prohibited from qualifying as coercion or systemic disruption under Articles I or II;</w:t>
      </w:r>
    </w:p>
    <w:p>
      <w:pPr>
        <w:pStyle w:val="Normal"/>
      </w:pPr>
      <w:r>
        <w:rPr>
          <w:rFonts w:ascii="Calibri" w:hAnsi="Calibri" w:eastAsia="Microsoft YaHei" w:cs="Calibri"/>
          <w:color w:val="263238"/>
          <w:sz w:val="21"/>
          <w:szCs w:val="21"/>
        </w:rPr>
        <w:t>(b) GSD/SND certification (Sections 1.4, 1.4B) requires IEWC to demonstrate that the measure in question causes systemic destabilisation exceeding the defined quantitative thresholds AND that the measure departs materially from the state's established policy pattern or is applied in a discriminatory manner;</w:t>
      </w:r>
    </w:p>
    <w:p>
      <w:pPr>
        <w:pStyle w:val="Normal"/>
      </w:pPr>
      <w:r>
        <w:rPr>
          <w:rFonts w:ascii="Calibri" w:hAnsi="Calibri" w:eastAsia="Microsoft YaHei" w:cs="Calibri"/>
          <w:color w:val="263238"/>
          <w:sz w:val="21"/>
          <w:szCs w:val="21"/>
        </w:rPr>
        <w:t>(c) Any Member challenges an activation as falling within this Non-Use Guarantee by petition to the IAC, which issues a preliminary ruling within 7 days.</w:t>
      </w:r>
    </w:p>
    <w:p>
      <w:pPr>
        <w:pStyle w:val="Normal"/>
      </w:pPr>
      <w:r>
        <w:rPr>
          <w:rFonts w:ascii="Calibri" w:hAnsi="Calibri" w:eastAsia="Microsoft YaHei" w:cs="Calibri"/>
          <w:color w:val="263238"/>
          <w:sz w:val="21"/>
          <w:szCs w:val="21"/>
        </w:rPr>
        <w:t>This guarantee preserves IMESI's full capability while narrowing the scope to genuine coercion and systemic disruption, preventing misuse against legitimate policy autonomy.</w:t>
      </w:r>
    </w:p>
    <w:p>
      <w:pPr>
        <w:pStyle w:val="Heading2"/>
      </w:pPr>
      <w:r>
        <w:rPr>
          <w:rFonts w:ascii="Calibri" w:hAnsi="Calibri" w:eastAsia="Microsoft YaHei" w:cs="Calibri"/>
          <w:b/>
          <w:color w:val="263238"/>
          <w:sz w:val="25"/>
          <w:szCs w:val="25"/>
        </w:rPr>
        <w:t>Section 1.4D: Systemic Disruption Safeguards Protocol [NEW: v9.8A Institutional Maturity]</w:t>
      </w:r>
    </w:p>
    <w:p>
      <w:pPr>
        <w:pStyle w:val="Heading3"/>
      </w:pPr>
      <w:r>
        <w:rPr>
          <w:rFonts w:ascii="Calibri" w:hAnsi="Calibri" w:eastAsia="Microsoft YaHei" w:cs="Calibri"/>
          <w:b/>
          <w:color w:val="546E7A"/>
          <w:sz w:val="22"/>
          <w:szCs w:val="22"/>
        </w:rPr>
        <w:t>Section 1.4D (Addendum): Elimination of the MFN Consistency Safe Harbor [NEW: v11.0]</w:t>
      </w:r>
    </w:p>
    <w:p>
      <w:pPr>
        <w:pStyle w:val="Normal"/>
      </w:pPr>
      <w:r>
        <w:rPr>
          <w:rFonts w:ascii="Calibri" w:hAnsi="Calibri" w:eastAsia="Microsoft YaHei" w:cs="Calibri"/>
          <w:color w:val="263238"/>
          <w:sz w:val="21"/>
          <w:szCs w:val="21"/>
        </w:rPr>
        <w:t>A tariff action receives no shield under the Non-Use Guarantee merely because it applies on a most-favoured-nation basis. Where the primary effect of a nominally universal tariff targets a specific subset of Members, measured by an affected trade volume of 80% or more originating from IMESI Members, the action constitutes Targeted Economic Coercion under Article II and activates the full response architecture.</w:t>
      </w:r>
    </w:p>
    <w:p>
      <w:pPr>
        <w:pStyle w:val="Heading3"/>
      </w:pPr>
      <w:r>
        <w:rPr>
          <w:rFonts w:ascii="Calibri" w:hAnsi="Calibri" w:eastAsia="Microsoft YaHei" w:cs="Calibri"/>
          <w:b/>
          <w:color w:val="546E7A"/>
          <w:sz w:val="22"/>
          <w:szCs w:val="22"/>
        </w:rPr>
        <w:t>Section 1.4E: Constructive Systemic Disruption (Baseline Shift Doctrine) [NEW: v11.0]</w:t>
      </w:r>
    </w:p>
    <w:p>
      <w:pPr>
        <w:pStyle w:val="Normal"/>
      </w:pPr>
      <w:r>
        <w:rPr>
          <w:rFonts w:ascii="Calibri" w:hAnsi="Calibri" w:eastAsia="Microsoft YaHei" w:cs="Calibri"/>
          <w:color w:val="263238"/>
          <w:sz w:val="21"/>
          <w:szCs w:val="21"/>
        </w:rPr>
        <w:t>A state that raises its baseline MFN tariff across the board from X% to Y%, where the increase represents a relative rise exceeding 200%, commits Constructive Systemic Disruption. This constitutes a prima facie SND trigger and shifts the burden of proof to the imposing state, which demonstrates to the IEWC that the measure lacks coercive effect.</w:t>
      </w:r>
    </w:p>
    <w:p>
      <w:pPr>
        <w:pStyle w:val="Heading3"/>
      </w:pPr>
      <w:r>
        <w:rPr>
          <w:rFonts w:ascii="Calibri" w:hAnsi="Calibri" w:eastAsia="Microsoft YaHei" w:cs="Calibri"/>
          <w:b/>
          <w:color w:val="546E7A"/>
          <w:sz w:val="22"/>
          <w:szCs w:val="22"/>
        </w:rPr>
        <w:t>Section 1.4F: Emergency Powers Statute Presumption [NEW: v12.0]</w:t>
      </w:r>
    </w:p>
    <w:p>
      <w:pPr>
        <w:pStyle w:val="Normal"/>
      </w:pPr>
      <w:r>
        <w:rPr>
          <w:rFonts w:ascii="Calibri" w:hAnsi="Calibri" w:eastAsia="Microsoft YaHei" w:cs="Calibri"/>
          <w:color w:val="263238"/>
          <w:sz w:val="21"/>
          <w:szCs w:val="21"/>
        </w:rPr>
        <w:t>Under IMESI doctrine, tariffs imposed through the International Emergency Economic Powers Act or any successor emergency economic powers statute carry a presumption of coercion. IEEPA-based tariffs trigger the Systemic-Economy Fast-Track (Section 5.1A) immediately upon issuance of the emergency declaration. This presumption operates as an internal certification standard; it passes no judgment on the domestic validity of the statute itself.</w:t>
      </w:r>
    </w:p>
    <w:p>
      <w:pPr>
        <w:pStyle w:val="Heading3"/>
      </w:pPr>
      <w:r>
        <w:rPr>
          <w:rFonts w:ascii="Calibri" w:hAnsi="Calibri" w:eastAsia="Microsoft YaHei" w:cs="Calibri"/>
          <w:b/>
          <w:color w:val="546E7A"/>
          <w:sz w:val="22"/>
          <w:szCs w:val="22"/>
        </w:rPr>
        <w:t>Section 1.4G: Emergency Declaration Certification [NEW: v12.0]</w:t>
      </w:r>
    </w:p>
    <w:p>
      <w:pPr>
        <w:pStyle w:val="Normal"/>
      </w:pPr>
      <w:r>
        <w:rPr>
          <w:rFonts w:ascii="Calibri" w:hAnsi="Calibri" w:eastAsia="Microsoft YaHei" w:cs="Calibri"/>
          <w:color w:val="263238"/>
          <w:sz w:val="21"/>
          <w:szCs w:val="21"/>
        </w:rPr>
        <w:t>The invocation of domestic emergency authorities, including national security, public health, or economic emergency, to impose tariffs automatically triggers a Presumptive Coercion finding where: (a) the emergency lacks recognition by the United Nations or WHO; (b) the tariffs apply discriminatorily; or (c) the tariffs link to policy demands beyond the scope of the stated emergency.</w:t>
      </w:r>
    </w:p>
    <w:p>
      <w:pPr>
        <w:pStyle w:val="Normal"/>
      </w:pPr>
      <w:r>
        <w:rPr>
          <w:rFonts w:ascii="Calibri" w:hAnsi="Calibri" w:eastAsia="Microsoft YaHei" w:cs="Calibri"/>
          <w:color w:val="263238"/>
          <w:sz w:val="21"/>
          <w:szCs w:val="21"/>
        </w:rPr>
        <w:t>Certification of Global Systemic Disruption (GSD) or Systemic Non-Coercive Disruption (SND) requires, in addition to IEWC analysis, confirmation by an independent economic panel composed of recognised macroeconomic and trade experts appointed under Annex 1 that the quantitative thresholds and systemic-risk criteria established in this Instrument have been met.</w:t>
      </w:r>
    </w:p>
    <w:p>
      <w:pPr>
        <w:pStyle w:val="Normal"/>
      </w:pPr>
      <w:r>
        <w:rPr>
          <w:rFonts w:ascii="Calibri" w:hAnsi="Calibri" w:eastAsia="Microsoft YaHei" w:cs="Calibri"/>
          <w:color w:val="263238"/>
          <w:sz w:val="21"/>
          <w:szCs w:val="21"/>
        </w:rPr>
        <w:t>Before authorising any measures under the GSD or SND doctrines, the Coordination Committee, to the maximum extent compatible with timely stabilisation, seeks consultations through relevant multilateral institutions, including the WTO, IMF, and other competent bodies, or demonstrate that imminent systemic harm renders such consultations ineffective as an initial response.</w:t>
      </w:r>
    </w:p>
    <w:p>
      <w:pPr>
        <w:pStyle w:val="Normal"/>
      </w:pPr>
      <w:r>
        <w:rPr>
          <w:rFonts w:ascii="Calibri" w:hAnsi="Calibri" w:eastAsia="Microsoft YaHei" w:cs="Calibri"/>
          <w:color w:val="263238"/>
          <w:sz w:val="21"/>
          <w:szCs w:val="21"/>
        </w:rPr>
        <w:t>Initial responses to GSD or SND certification prioritises stabilisation measures: liquidity support, supply chain rerouting, and payment-system continuity. Recourse to punitive or retaliatory trade restrictions as part</w:t>
      </w:r>
    </w:p>
    <w:p>
      <w:pPr>
        <w:pStyle w:val="Normal"/>
      </w:pPr>
      <w:r>
        <w:rPr>
          <w:rFonts w:ascii="Calibri" w:hAnsi="Calibri" w:eastAsia="Microsoft YaHei" w:cs="Calibri"/>
          <w:color w:val="263238"/>
          <w:sz w:val="21"/>
          <w:szCs w:val="21"/>
        </w:rPr>
        <w:t>of GSD or SND activation occurs only where stabilisation-first measures are demonstrably insufficient and remains subject to all proportionality and de-escalation safeguards.</w:t>
      </w:r>
    </w:p>
    <w:p>
      <w:pPr>
        <w:pStyle w:val="Heading2"/>
      </w:pPr>
      <w:r>
        <w:rPr>
          <w:rFonts w:ascii="Calibri" w:hAnsi="Calibri" w:eastAsia="Microsoft YaHei" w:cs="Calibri"/>
          <w:b/>
          <w:color w:val="263238"/>
          <w:sz w:val="25"/>
          <w:szCs w:val="25"/>
        </w:rPr>
        <w:t>Section 1.4H: Unilateral Economic Statecraft Presumption [NEW: v12.1]</w:t>
      </w:r>
    </w:p>
    <w:p>
      <w:pPr>
        <w:pStyle w:val="Normal"/>
      </w:pPr>
      <w:r>
        <w:rPr>
          <w:rFonts w:ascii="Calibri" w:hAnsi="Calibri" w:eastAsia="Microsoft YaHei" w:cs="Calibri"/>
          <w:color w:val="263238"/>
          <w:sz w:val="21"/>
          <w:szCs w:val="21"/>
        </w:rPr>
        <w:t>Where a state imposes significant economic measures, defined as tariffs exceeding 5% ad valorem, export restrictions affecting more than 10% of bilateral trade, or financial restrictions affecting more than 5% of bilateral investment flows, without prior notification to the WTO or a relevant multilateral body, without consultation with affected trading partners, and without a credible, publicly documented justification consistent with its international legal obligations, such measures carry a rebuttable presumption of economic coercion under Section 2.1. The burden of rebuttal rests with the imposing state, which demonstrates to the IEWC within 14 days of a preliminary finding that the measures address a genuine, documented, and imminent threat to essential security interests, remain proportionate to that threat, and adopt the least trade-restrictive means reasonably available. Failure to provide a satisfactory rebuttal within the 14-day window triggers automatic Phase 0 and Phase 1 activation under the compressed consultation track (Section 5.0K).</w:t>
      </w:r>
    </w:p>
    <w:p>
      <w:pPr>
        <w:pStyle w:val="Heading2"/>
      </w:pPr>
      <w:r>
        <w:rPr>
          <w:rFonts w:ascii="Calibri" w:hAnsi="Calibri" w:eastAsia="Microsoft YaHei" w:cs="Calibri"/>
          <w:b/>
          <w:color w:val="263238"/>
          <w:sz w:val="25"/>
          <w:szCs w:val="25"/>
        </w:rPr>
        <w:t>Section 1.4I: Pattern-of-Conduct Coercion Doctrine [NEW: v12.1]</w:t>
      </w:r>
    </w:p>
    <w:p>
      <w:pPr>
        <w:pStyle w:val="Normal"/>
      </w:pPr>
      <w:r>
        <w:rPr>
          <w:rFonts w:ascii="Calibri" w:hAnsi="Calibri" w:eastAsia="Microsoft YaHei" w:cs="Calibri"/>
          <w:color w:val="263238"/>
          <w:sz w:val="21"/>
          <w:szCs w:val="21"/>
        </w:rPr>
        <w:t>A Pattern-of-Conduct Coercion finding exists where a state has, within any 36-month period: (a) imposed three or more distinct economic measures against one or more Members; (b) withdrawn two or more such measures only to re-impose them or equivalent measures within 12 months; and (c) made public statements, in any forum, linking such measures to policy demands or diplomatic grievances. Upon certification by the IEWC (55% weighted vote), the evidentiary requirements of Section 2.15 reduce to demonstration of the pattern; the state faces presumptive Phase 2 activation upon any further measure against a Member within the subsequent 24 months; and the pattern enters the Repeat Coercer Registry (Section 5.3C). A Pattern-of-Conduct finding does not itself authorise stabilisation measures; it establishes heightened vigilance and expedited procedures for future incidents.</w:t>
      </w:r>
    </w:p>
    <w:p>
      <w:pPr>
        <w:pStyle w:val="Normal"/>
      </w:pPr>
      <w:r>
        <w:rPr>
          <w:rFonts w:ascii="Calibri" w:hAnsi="Calibri" w:eastAsia="Microsoft YaHei" w:cs="Calibri"/>
          <w:color w:val="263238"/>
          <w:sz w:val="21"/>
          <w:szCs w:val="21"/>
        </w:rPr>
        <w:t>Section 1.4D (Addendum): Routine Policy Changes Excluded from GSD/SND [NEW: v9.9]</w:t>
      </w:r>
    </w:p>
    <w:p>
      <w:pPr>
        <w:pStyle w:val="Normal"/>
      </w:pPr>
      <w:r>
        <w:rPr>
          <w:rFonts w:ascii="Calibri" w:hAnsi="Calibri" w:eastAsia="Microsoft YaHei" w:cs="Calibri"/>
          <w:color w:val="263238"/>
          <w:sz w:val="21"/>
          <w:szCs w:val="21"/>
        </w:rPr>
        <w:t>Systemic Economic Disruption (GSD/SND) cannot be triggered solely by: (a) WTO-consistent, most-favoured-nation tariff adjustments applied uniformly across trading partners; (b) pre-announced and broadly applied monetary or macroeconomic policy shifts; or (c) uniformly applied regulatory changes that do not selectively target one or more Members. GSD/SND findings require a material deviation from the expected baseline behaviour of the state concerned, combined with significant aggregate harm to multiple Members. Routine MFN-consistent tariff and monetary policy adjustments are explicitly excluded from activation triggers.</w:t>
      </w:r>
    </w:p>
    <w:p>
      <w:pPr>
        <w:pStyle w:val="Heading2"/>
      </w:pPr>
      <w:r>
        <w:rPr>
          <w:rFonts w:ascii="Calibri" w:hAnsi="Calibri" w:eastAsia="Microsoft YaHei" w:cs="Calibri"/>
          <w:b/>
          <w:color w:val="263238"/>
          <w:sz w:val="25"/>
          <w:szCs w:val="25"/>
        </w:rPr>
        <w:t>Section 1.5A: Economic Stabilisation in Armed-Force Context [NEW: v9.8A Military-Economic Nexus]</w:t>
      </w:r>
    </w:p>
    <w:p>
      <w:pPr>
        <w:pStyle w:val="Normal"/>
      </w:pPr>
      <w:r>
        <w:rPr>
          <w:rFonts w:ascii="Calibri" w:hAnsi="Calibri" w:eastAsia="Microsoft YaHei" w:cs="Calibri"/>
          <w:color w:val="263238"/>
          <w:sz w:val="21"/>
          <w:szCs w:val="21"/>
        </w:rPr>
        <w:t>This Instrument does not create any mutual defence or armed-force obligations and are not interpreted as a defence pact. Where a Member faces credible threats or use of armed force, and economic measures are deployed or credibly threatened to compel sovereign policy change, IMESI's stabilisation and response measures are activated with due regard to the heightened security context. In such cases:</w:t>
      </w:r>
    </w:p>
    <w:p>
      <w:pPr>
        <w:pStyle w:val="Normal"/>
      </w:pPr>
      <w:r>
        <w:rPr>
          <w:rFonts w:ascii="Calibri" w:hAnsi="Calibri" w:eastAsia="Microsoft YaHei" w:cs="Calibri"/>
          <w:color w:val="263238"/>
          <w:sz w:val="21"/>
          <w:szCs w:val="21"/>
        </w:rPr>
        <w:t>(a) economic stabilisation and diversification support is provided on an expedited basis;</w:t>
      </w:r>
    </w:p>
    <w:p>
      <w:pPr>
        <w:pStyle w:val="Normal"/>
      </w:pPr>
      <w:r>
        <w:rPr>
          <w:rFonts w:ascii="Calibri" w:hAnsi="Calibri" w:eastAsia="Microsoft YaHei" w:cs="Calibri"/>
          <w:color w:val="263238"/>
          <w:sz w:val="21"/>
          <w:szCs w:val="21"/>
        </w:rPr>
        <w:t>(b) severity classification for qualifying economic measures presume at least Moderate impact unless the Coordination Committee decides otherwise by 60% weighted vote; and</w:t>
      </w:r>
    </w:p>
    <w:p>
      <w:r>
        <w:t>(c) activation packages remain strictly economic and consistent with Members' obligations under the Charter of the United Nations.</w:t>
      </w:r>
    </w:p>
    <w:p>
      <w:r>
        <w:t>De-escalation Override</w:t>
      </w:r>
    </w:p>
    <w:p>
      <w:r>
        <w:t>(d) If the Secretary-General notifies the Coordination Committee that economic measures are impeding UN-mandated humanitarian access or peace operations, the Director-General convenes emergency CC consultation within 24 hours to consider suspension of Phase 2+ measures. This prevents IMESI from accidentally undermining UN peace efforts.</w:t>
      </w:r>
    </w:p>
    <w:p>
      <w:pPr>
        <w:pStyle w:val="Heading2"/>
      </w:pPr>
      <w:r>
        <w:t>Section 1.5B: Clarification of Non-Defence Character [NEW: v9.8A Political Inoculation]</w:t>
      </w:r>
    </w:p>
    <w:p>
      <w:r>
        <w:t>Nothing in this Instrument is interpreted as creating any mutual defence commitment, collective security obligation, or requirement to coordinate, constrain, or respond to Members' defence or military policies. Military context aggravates economic severity classification for the limited purpose of calibrating economic stabilisation and response; it is not used to authorise, legitimise, or co-ordinate any use or threat of armed force.</w:t>
      </w:r>
    </w:p>
    <w:p>
      <w:r>
        <w:t>Section 1.6(a)(f) and Automatic Adjustment (d) [NEW: v9.8A Military-Economic Nexus]</w:t>
      </w:r>
    </w:p>
    <w:p>
      <w:r>
        <w:t>New Compound Emergency Factor</w:t>
      </w:r>
    </w:p>
    <w:p>
      <w:r>
        <w:t>Section 1.6(a), new item (f): "a credible threat or use of armed force against any Member, formally notified to the United Nations under Article 35 or Article 51, when accompanied by economic measures meeting the Article II, Section 2.1 definition of economic coercion."</w:t>
      </w:r>
    </w:p>
    <w:p>
      <w:r>
        <w:t>Economic Defence Priority (New Automatic Adjustment)</w:t>
      </w:r>
    </w:p>
    <w:p>
      <w:r>
        <w:t>(d) In Compound Emergencies including factor (f), the Crisis Triage Priority Matrix treats economic stabilisation for the affected Member as co-equal with humanitarian supply chain protection. Pre-authorised economic stabilisation packages are deployed upon a 55% weighted emergency vote of the Coordination Committee, even where standard engagement timelines have not elapsed.</w:t>
      </w:r>
    </w:p>
    <w:p>
      <w:r>
        <w:t>UN-Authorised Enforcement Exclusion</w:t>
      </w:r>
    </w:p>
    <w:p>
      <w:r>
        <w:t>If the military threat is pursuant to UN Security Council authorisation (peace enforcement, R2P), the military-trigger does not apply. IMESI is not activated against UN-mandated military action, even if accompanied by economic pressure on members.</w:t>
      </w:r>
    </w:p>
    <w:p>
      <w:pPr>
        <w:pStyle w:val="Heading2"/>
      </w:pPr>
      <w:r>
        <w:t>Section 1.6B: Institutional Independence Safeguards for IEWC [NEW: v9.8 Red Team Fix]</w:t>
      </w:r>
    </w:p>
    <w:p>
      <w:r>
        <w:t>IEWC Composition and Rotation</w:t>
      </w:r>
    </w:p>
    <w:p>
      <w:r>
        <w:t>IEWC comprises: 5 core members (permanent 24-month terms, rotating annually); 3 affected-member rotating seats (recuse from voting if coercion subject); 2 independent expert seats (economists, former central bankers, diplomats; appointed by IAC; 36-month terms, staggered). Voting: 7-of-10 majority required for coercion certification.</w:t>
      </w:r>
    </w:p>
    <w:p>
      <w:r>
        <w:t>Independence Rules: No member state serves on IEWC if it faces active coercion investigation; Core member rotating off is not permitted to rejoin for 24 months; Independent experts are not employed by member state governments during or 24 months after service.</w:t>
      </w:r>
    </w:p>
    <w:p>
      <w:r>
        <w:t>Evidentiary Standard Codification and Audit</w:t>
      </w:r>
    </w:p>
    <w:p>
      <w:r>
        <w:t>IEWC publishes "Evidentiary Standards Manual" (updated every 24 months) defining: Metrics for "economic impact"; Thresholds for temporal nexus; Standards for proportionality assessment; Case-law precedents. Every 24 months, IAC reviews sample of 5 IEWC certifications and publishes assessment of consistency. IAC has no veto power but recommends training, procedure changes, or restructuring vote.</w:t>
      </w:r>
    </w:p>
    <w:p>
      <w:r>
        <w:t>Challenger Rights</w:t>
      </w:r>
    </w:p>
    <w:p>
      <w:r>
        <w:t>If &gt;25% of Core members believe IEWC is applying standards inconsistently: They petition for "Standards Consistency Review"; Review conducted by standing "Standards Appellate Panel" (3 independent academics + 2 IAC-appointed experts); Panel reviews prior 10 certifications and publishes comparative analysis; If "Anomalies detected": IEWC implements Panel recommendations or faces 55% CC restructuring vote.</w:t>
      </w:r>
    </w:p>
    <w:p>
      <w:r>
        <w:t>Section 1.6B (Addendum): Geographical and Systemic Balance [NEW: v9.8A Political Inoculation]</w:t>
      </w:r>
    </w:p>
    <w:p>
      <w:r>
        <w:t>In appointing members of the IEWC and IAC, Members strive to maintain balanced representation across geographic regions and across Members with differing alliance profiles, including at least one seat reserved at any time for a Member that is a major trading partner of the principal systemic economies. No more than one third of IEWC or IAC members are drawn from any single regional integration arrangement.</w:t>
      </w:r>
    </w:p>
    <w:p>
      <w:r>
        <w:t>Section 1.6B (Addendum): Small-State Representation Guarantee [NEW: v9.8A Small-State Protection]</w:t>
      </w:r>
    </w:p>
    <w:p>
      <w:r>
        <w:t>At least two IEWC seats and two IAC seats are reserved for eligible small-state Members (as defined in Section 4.1A), rotated through a small-state caucus nomination list on 24-month terms. Small-state representatives have full voting rights on all matters. This guarantees small economies permanent institutional voice in case certification and appeals processes.</w:t>
      </w:r>
    </w:p>
    <w:p>
      <w:pPr>
        <w:pStyle w:val="Heading2"/>
      </w:pPr>
      <w:r>
        <w:t>Section 1.1B: Declaration of Purpose and Nature [NEW: v15.0]</w:t>
      </w:r>
    </w:p>
    <w:p>
      <w:r>
        <w:t>(a) The Parties to this Instrument declare that its purpose establishes a mutual economic security insurance mechanism, not a trade bloc, customs union, or free trade area.</w:t>
      </w:r>
    </w:p>
    <w:p>
      <w:r>
        <w:t>(b) This Instrument: (i) creates no common external tariff; (ii) obliges no Member to adopt common trade policies or regulations; (iii) pursues no elimination of tariffs or other restrictions on trade between Members as a primary objective; and (iv) conditions any tariff preference on participation in collective security responses under GATT Article XXI, never on the elimination of trade barriers.</w:t>
      </w:r>
    </w:p>
    <w:p>
      <w:r>
        <w:t>(c) This Instrument operates outside the requirements of GATT Article XXIV (Customs Unions and Free-Trade Areas), as it constitutes no preferential trade agreement within the meaning of that provision.</w:t>
      </w:r>
    </w:p>
    <w:p>
      <w:r>
        <w:t>(d) The Parties' obligations under this Instrument complement, and never substitute for, their obligations under the WTO Agreements and their rights under GATT Article XXI.</w:t>
      </w:r>
    </w:p>
    <w:p>
      <w:r>
        <w:t>Rationale: This declaration places beyond doubt that IMESI functions as a security instrument, not a trade instrument, which supplies the foundational legal argument against any most-favoured-nation or Article XXIV challenge.</w:t>
      </w:r>
    </w:p>
    <w:p>
      <w:pPr>
        <w:pStyle w:val="Heading2"/>
      </w:pPr>
      <w:r>
        <w:t>Section 1.0E (Addendum): Permanent Exclusion Carve-Out for Existential Misconduct [NEW: v15.0]</w:t>
      </w:r>
    </w:p>
    <w:p>
      <w:pPr>
        <w:pStyle w:val="Heading3"/>
      </w:pPr>
      <w:r>
        <w:t>Section 1.0E (Addendum): Permanent Exclusion Carve-Out for Existential Misconduct [NEW: v15.0]</w:t>
      </w:r>
    </w:p>
    <w:p>
      <w:r>
        <w:t>(f) For purposes of this Section, the guarantee that no violation creates permanent exclusion applies to all violations except those classified as Existential Misconduct under Section 6.11(e).</w:t>
      </w:r>
    </w:p>
    <w:p>
      <w:r>
        <w:t>(g) For violations classified as Existential Misconduct, permanent exclusion stands as the only available remedy and the guarantee in this Section does not apply.</w:t>
      </w:r>
    </w:p>
    <w:p>
      <w:r>
        <w:t>(h) For all other violations, the guarantee in this Section applies in full: every step-back carries an earn-back pathway, no violation creates permanent exclusion, and sustained compliance restores full benefits.</w:t>
      </w:r>
    </w:p>
    <w:p>
      <w:r>
        <w:t>(i) The Internal Adjudication Chamber determines the distinction between Existential and Non-Existential Misconduct on a case-by-case basis, subject to the heightened evidentiary standard in Section 6.11(b), and the Chamber publishes each determination in the Legacy Case Archive (Section 4.6E) for precedent purposes.</w:t>
      </w:r>
    </w:p>
    <w:p>
      <w:pPr>
        <w:pStyle w:val="Heading2"/>
      </w:pPr>
      <w:r>
        <w:t>Section 1.7: Attack-Induced Ratchet Clause [NEW: v15.0]</w:t>
      </w:r>
    </w:p>
    <w:p>
      <w:r>
        <w:t>(a) Upon IEWC certification of any of the following, the corresponding Ratchet Mechanism activates automatically: (i) economic coercion under Article II; (ii) systemic disruption under Section 1.4 or 1.4B; (iii) military-economic coercion under Section 2.12; (iv) internal subversion under Section 6.1(h) or 6.11; or (v) withdrawal under Section 3.7B that the IEWC determines to be coerced.</w:t>
      </w:r>
    </w:p>
    <w:p>
      <w:r>
        <w:t>(b) Ratchet Mechanism Effects (applying for 60 months from certification, renewable by 55% CC vote): (i) the activation threshold for Phase 2 measures against the certified coercer reduces by 5 percentage points; (ii) the evidentiary burden for certification of the certified coercer reduces by one tier; (iii) the Fund contribution rate for the certified coercer, if a Member, increases by 25%; and (iv) the certified coercer's voting rights, if a Member, reduce by 25% for all decisions under Article II and Article V.</w:t>
      </w:r>
    </w:p>
    <w:p>
      <w:r>
        <w:t>(c) The Ratchet Mechanism applies cumulatively: (i) first attack: -5% threshold, -1 evidentiary tier; (ii) second attack: -10% threshold, -2 evidentiary tiers; (iii) third attack: -15% threshold, with a presumption of coercion established upon prima facie evidence.</w:t>
      </w:r>
    </w:p>
    <w:p>
      <w:r>
        <w:t>(d) The Ratchet Mechanism never applies to: (i) good-faith policy disagreements; (ii) WTO-consistent trade measures; or (iii) measures taken pursuant to UN Security Council authorisation.</w:t>
      </w:r>
    </w:p>
    <w:p>
      <w:r>
        <w:t>(e) The Ratchet Mechanism operates automatically without a separate CC vote. It operates under the Nofade Protocol (Annex 25) and persists until the certified coercer demonstrates 36 months of clean compliance.</w:t>
      </w:r>
    </w:p>
    <w:p>
      <w:r>
        <w:t>Why This Works: Every attack makes the next attack harder to execute and easier to detect. The coercer gains no learning advantage, because the ratchet makes each subsequent attempt more costly and less likely to succeed.</w:t>
      </w:r>
    </w:p>
    <w:p>
      <w:pPr>
        <w:pStyle w:val="Heading1"/>
        <w:pageBreakBefore/>
      </w:pPr>
      <w:r>
        <w:t>ARTICLE II: DEFINITIONS AND SCOPE</w:t>
      </w:r>
      <w:bookmarkStart w:name="_Toc000016" w:id="16"/>
      <w:bookmarkEnd w:id="16"/>
    </w:p>
    <w:p>
      <w:pPr>
        <w:pStyle w:val="Heading2"/>
      </w:pPr>
      <w:r>
        <w:t>Section 2.1: Definition of Economic Coercion</w:t>
      </w:r>
    </w:p>
    <w:p>
      <w:pPr>
        <w:pStyle w:val="Heading3"/>
      </w:pPr>
      <w:r>
        <w:t>Section 2.1 (Addendum): Extra-Jurisdictional Coercion Nexus Clause [NEW: v11.0]</w:t>
      </w:r>
    </w:p>
    <w:p>
      <w:r>
        <w:t>Tariffs explicitly linked to domestic political issues or border security demands, rather than trade matters, constitute Extra-Jurisdictional Coercion under the Definition and receive an automatic one-tier severity upgrade.</w:t>
      </w:r>
    </w:p>
    <w:p>
      <w:pPr>
        <w:pStyle w:val="Heading3"/>
      </w:pPr>
      <w:r>
        <w:t>Section 2.1 (Second Addendum): Credible Threat as Actionable Coercion [NEW: v11.0]</w:t>
      </w:r>
    </w:p>
    <w:p>
      <w:r>
        <w:t>Element 1 of the Definition incorporates threat-based activation: a credible threat, defined as a public statement by a Head of State or Commerce Secretary that tariffs are under consideration for a specific sector, suffices to trigger Phase 0 protective measures.</w:t>
      </w:r>
    </w:p>
    <w:p>
      <w:pPr>
        <w:pStyle w:val="Heading3"/>
      </w:pPr>
      <w:r>
        <w:t>Section 2.1 (Third Addendum): Commercial Coercion Doctrine [NEW: v12.0]</w:t>
      </w:r>
    </w:p>
    <w:p>
      <w:r>
        <w:t>Policy linkage under Element 2 includes explicit or implicit demands for specific commercial concessions: agricultural market access, purchase of specific goods or services, technology transfer, investment approvals, or changes to procurement practices. Demands purely commercial in nature qualify as coercion under this Section where linked to the threat or imposition of economic measures.</w:t>
      </w:r>
    </w:p>
    <w:p>
      <w:pPr>
        <w:pStyle w:val="Heading3"/>
      </w:pPr>
      <w:r>
        <w:t>Section 2.1 (Fourth Addendum): Foreign Policy Demand Inclusion [NEW: v12.0]</w:t>
      </w:r>
    </w:p>
    <w:p>
      <w:r>
        <w:t>The sovereign policy target under Element 3 includes foreign policy positions: voting behaviour in international organisations, diplomatic recognition, participation in multilateral sanctions regimes, alignment with specific states on geopolitical issues, and defence or security policy choices. Demands to cease purchasing goods from a third state, including oil, gas, or military equipment, qualify as sovereign policy targets.</w:t>
      </w:r>
    </w:p>
    <w:p>
      <w:pPr>
        <w:pStyle w:val="Heading3"/>
      </w:pPr>
      <w:r>
        <w:t>Section 2.1D: Symbolic Tariff Coercion [NEW: v12.0]</w:t>
      </w:r>
    </w:p>
    <w:p>
      <w:r>
        <w:t>Symbolic Tariff Coercion exists where a state imposes tariffs on goods constituting a small percentage of total bilateral trade but carrying significant political, cultural, or symbolic weight for the targeted Member, including wine, cheese, luxury goods, cultural products, and regional specialities. Symbolic tariffs meet the same certification standards as economic tariffs, with the material economic harm threshold reduced to 0.05% of GDP where the affected Member certifies the political significance.</w:t>
      </w:r>
    </w:p>
    <w:p>
      <w:pPr>
        <w:pStyle w:val="Heading3"/>
      </w:pPr>
      <w:r>
        <w:t>Section 2.1 (Fifth Addendum): Postal Channel Coercion [NEW: v12.0]</w:t>
      </w:r>
    </w:p>
    <w:p>
      <w:r>
        <w:t>The economic measure definition includes restrictions, fees, or operational changes affecting postal services, courier delivery, or cross-border e-commerce platforms. Weaponisation of postal and small-package channels meets the same certification and response standards as conventional tariff measures.</w:t>
      </w:r>
    </w:p>
    <w:p>
      <w:pPr>
        <w:pStyle w:val="Heading3"/>
      </w:pPr>
      <w:r>
        <w:t>Section 2.1E: Trade Remedy Harassment Pattern [NEW: v12.0]</w:t>
      </w:r>
    </w:p>
    <w:p>
      <w:r>
        <w:t>Where a state initiates five or more trade remedy investigations against a single IMESI Member within a 12-month period, the pattern constitutes economic harassment and triggers the Chronic Coercion Protocol (Section 2.10). Each investigation counts as a measure for the cumulative pressure ledger.</w:t>
      </w:r>
    </w:p>
    <w:p>
      <w:pPr>
        <w:pStyle w:val="Heading3"/>
      </w:pPr>
      <w:r>
        <w:t>Section 2.1 (Sixth Addendum): Exchange Rate Measure Linkage [NEW: v12.0]</w:t>
      </w:r>
    </w:p>
    <w:p>
      <w:r>
        <w:t>Measures affecting exchange rates, including currency manipulation, competitive devaluation, or capital controls, that link to policy demands constitute economic coercion. IMF Article IV assessments carry significant weight in IEWC analysis.</w:t>
      </w:r>
    </w:p>
    <w:p>
      <w:pPr>
        <w:pStyle w:val="Heading3"/>
      </w:pPr>
      <w:r>
        <w:t>Section 2.1 (Seventh Addendum): Investment Measure Linkage [NEW: v12.0]</w:t>
      </w:r>
    </w:p>
    <w:p>
      <w:r>
        <w:t>Measures affecting investment screening, approval, or conditions that link to tariff policy constitute a single coercive campaign. The IEWC aggregates investment and tariff measures for severity classification and burden-sharing.</w:t>
      </w:r>
    </w:p>
    <w:p>
      <w:pPr>
        <w:pStyle w:val="Heading3"/>
      </w:pPr>
      <w:r>
        <w:t>Section 2.1 (Eighth Addendum): Procurement Preference Coercion [NEW: v12.0]</w:t>
      </w:r>
    </w:p>
    <w:p>
      <w:r>
        <w:t>Procurement preferences, Buy National requirements, or public procurement exclusions applied discriminatorily against IMESI Members, or linked to policy demands, constitute economic coercion. The Joint Procurement Consortium (Section 3.13) activates to provide alternative procurement options.</w:t>
      </w:r>
    </w:p>
    <w:p>
      <w:pPr>
        <w:pStyle w:val="Heading3"/>
      </w:pPr>
      <w:r>
        <w:rPr>
          <w:rFonts w:ascii="Calibri" w:hAnsi="Calibri" w:eastAsia="Microsoft YaHei" w:cs="Calibri"/>
          <w:b/>
          <w:color w:val="546E7A"/>
          <w:sz w:val="22"/>
          <w:szCs w:val="22"/>
        </w:rPr>
        <w:t>Section 2.1 (Ninth Addendum): Intellectual Property Linkage [NEW: v12.0]</w:t>
      </w:r>
    </w:p>
    <w:p>
      <w:pPr>
        <w:pStyle w:val="Normal"/>
      </w:pPr>
      <w:r>
        <w:rPr>
          <w:rFonts w:ascii="Calibri" w:hAnsi="Calibri" w:eastAsia="Microsoft YaHei" w:cs="Calibri"/>
          <w:color w:val="263238"/>
          <w:sz w:val="21"/>
          <w:szCs w:val="21"/>
        </w:rPr>
        <w:t>Intellectual property restrictions, patent denials, or technology transfer requirements linked to tariff policy demands constitute economic coercion. The Technology Solidarity Pledge (Section 3.14) activates to provide alternative IP licensing.</w:t>
      </w:r>
    </w:p>
    <w:p>
      <w:pPr>
        <w:pStyle w:val="Heading3"/>
      </w:pPr>
      <w:r>
        <w:rPr>
          <w:rFonts w:ascii="Calibri" w:hAnsi="Calibri" w:eastAsia="Microsoft YaHei" w:cs="Calibri"/>
          <w:b/>
          <w:color w:val="546E7A"/>
          <w:sz w:val="22"/>
          <w:szCs w:val="22"/>
        </w:rPr>
        <w:t>Section 2.1F: Regulatory Coercion Doctrine [NEW: v12.0]</w:t>
      </w:r>
    </w:p>
    <w:p>
      <w:pPr>
        <w:pStyle w:val="Normal"/>
      </w:pPr>
      <w:r>
        <w:rPr>
          <w:rFonts w:ascii="Calibri" w:hAnsi="Calibri" w:eastAsia="Microsoft YaHei" w:cs="Calibri"/>
          <w:color w:val="263238"/>
          <w:sz w:val="21"/>
          <w:szCs w:val="21"/>
        </w:rPr>
        <w:t>Regulatory Coercion exists where a state uses technical regulations, standards, or conformity assessment procedures to impose trade burdens equivalent to or greater than tariffs, linked to policy demands. Regulatory coercion meets the same certification and response standards as tariff coercion, with the IEWC assessing the equivalent tariff burden of the regulatory measure.</w:t>
      </w:r>
    </w:p>
    <w:p>
      <w:pPr>
        <w:pStyle w:val="Heading3"/>
      </w:pPr>
      <w:r>
        <w:rPr>
          <w:rFonts w:ascii="Calibri" w:hAnsi="Calibri" w:eastAsia="Microsoft YaHei" w:cs="Calibri"/>
          <w:b/>
          <w:color w:val="546E7A"/>
          <w:sz w:val="22"/>
          <w:szCs w:val="22"/>
        </w:rPr>
        <w:t>Section 2.1G: Regulatory Weaponisation [NEW: v12.0]</w:t>
      </w:r>
    </w:p>
    <w:p>
      <w:pPr>
        <w:pStyle w:val="Normal"/>
      </w:pPr>
      <w:r>
        <w:rPr>
          <w:rFonts w:ascii="Calibri" w:hAnsi="Calibri" w:eastAsia="Microsoft YaHei" w:cs="Calibri"/>
          <w:color w:val="263238"/>
          <w:sz w:val="21"/>
          <w:szCs w:val="21"/>
        </w:rPr>
        <w:t>Regulatory Weaponisation exists where a state uses its domestic regulatory agencies to impose inspection, certification, licensing, or approval requirements that: (a) apply discriminatorily to IMESI Members; (b) significantly exceed burdens applied to domestic producers or other trading partners; (c) correlate temporally with a policy dispute or diplomatic friction; and (d) lack credible scientific or technical justification. Regulatory weaponisation meets the same certification and response standards as tariff coercion.</w:t>
      </w:r>
    </w:p>
    <w:p>
      <w:pPr>
        <w:pStyle w:val="Heading3"/>
      </w:pPr>
      <w:r>
        <w:rPr>
          <w:rFonts w:ascii="Calibri" w:hAnsi="Calibri" w:eastAsia="Microsoft YaHei" w:cs="Calibri"/>
          <w:b/>
          <w:color w:val="546E7A"/>
          <w:sz w:val="22"/>
          <w:szCs w:val="22"/>
        </w:rPr>
        <w:t>Section 2.1 (Tenth Addendum): Licensing Denial Protocol [NEW: v12.0]</w:t>
      </w:r>
    </w:p>
    <w:p>
      <w:pPr>
        <w:pStyle w:val="Normal"/>
      </w:pPr>
      <w:r>
        <w:rPr>
          <w:rFonts w:ascii="Calibri" w:hAnsi="Calibri" w:eastAsia="Microsoft YaHei" w:cs="Calibri"/>
          <w:color w:val="263238"/>
          <w:sz w:val="21"/>
          <w:szCs w:val="21"/>
        </w:rPr>
        <w:t>The denial, suspension, or non-renewal of licences, permits, certifications, or authorisations needed for market access constitutes an economic measure. Licence denials or delays temporally correlated with a policy dispute constitute coercion. The IEWC maintains a Licensing Denial Registry to track patterns.</w:t>
      </w:r>
    </w:p>
    <w:p>
      <w:pPr>
        <w:pStyle w:val="Heading3"/>
      </w:pPr>
      <w:r>
        <w:rPr>
          <w:rFonts w:ascii="Calibri" w:hAnsi="Calibri" w:eastAsia="Microsoft YaHei" w:cs="Calibri"/>
          <w:b/>
          <w:color w:val="546E7A"/>
          <w:sz w:val="22"/>
          <w:szCs w:val="22"/>
        </w:rPr>
        <w:t>Section 2.1H: Extraterritorial Tariff Coercion [NEW: v12.0]</w:t>
      </w:r>
    </w:p>
    <w:p>
      <w:pPr>
        <w:pStyle w:val="Normal"/>
      </w:pPr>
      <w:r>
        <w:rPr>
          <w:rFonts w:ascii="Calibri" w:hAnsi="Calibri" w:eastAsia="Microsoft YaHei" w:cs="Calibri"/>
          <w:color w:val="263238"/>
          <w:sz w:val="21"/>
          <w:szCs w:val="21"/>
        </w:rPr>
        <w:t>Extraterritorial Tariff Coercion exists where a state imposes tariffs, export controls, or sanctions on IMESI Members based on the Members’ trade with third countries. Measures that condition market access on a Member’s commercial relationships with non-IMESI states constitute coercion, including threats to tariff Members that purchase goods from specific states. Extraterritorial tariff coercion constitutes a Category 2 Red-Line event.</w:t>
      </w:r>
    </w:p>
    <w:p>
      <w:pPr>
        <w:pStyle w:val="Heading3"/>
      </w:pPr>
      <w:r>
        <w:rPr>
          <w:rFonts w:ascii="Calibri" w:hAnsi="Calibri" w:eastAsia="Microsoft YaHei" w:cs="Calibri"/>
          <w:b/>
          <w:color w:val="546E7A"/>
          <w:sz w:val="22"/>
          <w:szCs w:val="22"/>
        </w:rPr>
        <w:t>Section 2.1 (Eleventh Addendum): Correspondent Banking Denial [NEW: v12.0]</w:t>
      </w:r>
    </w:p>
    <w:p>
      <w:pPr>
        <w:pStyle w:val="Normal"/>
      </w:pPr>
      <w:r>
        <w:rPr>
          <w:rFonts w:ascii="Calibri" w:hAnsi="Calibri" w:eastAsia="Microsoft YaHei" w:cs="Calibri"/>
          <w:color w:val="263238"/>
          <w:sz w:val="21"/>
          <w:szCs w:val="21"/>
        </w:rPr>
        <w:t>The denial, termination, or restriction of correspondent banking relationships, or threats thereof, linked to policy demands constitutes financial coercion. The SFI (Section 8.10) activates, and the affected Member receives priority access to the Resilience Fund (Section 8.9) for payment system diversification.</w:t>
      </w:r>
    </w:p>
    <w:p>
      <w:pPr>
        <w:pStyle w:val="Heading3"/>
      </w:pPr>
      <w:r>
        <w:rPr>
          <w:rFonts w:ascii="Calibri" w:hAnsi="Calibri" w:eastAsia="Microsoft YaHei" w:cs="Calibri"/>
          <w:b/>
          <w:color w:val="546E7A"/>
          <w:sz w:val="22"/>
          <w:szCs w:val="22"/>
        </w:rPr>
        <w:t>Section 2.1 (Twelfth Addendum): Credit Rating Weaponisation [NEW: v12.0]</w:t>
      </w:r>
    </w:p>
    <w:p>
      <w:pPr>
        <w:pStyle w:val="Normal"/>
      </w:pPr>
      <w:r>
        <w:rPr>
          <w:rFonts w:ascii="Calibri" w:hAnsi="Calibri" w:eastAsia="Microsoft YaHei" w:cs="Calibri"/>
          <w:color w:val="263238"/>
          <w:sz w:val="21"/>
          <w:szCs w:val="21"/>
        </w:rPr>
        <w:t>Where a state pressures credit rating agencies to downgrade an IMESI Member’s sovereign debt, or rating agencies act in coordination with a state’s coercive campaign, the conduct constitutes economic coercion. The IEWC maintains a Credit Rating Monitoring Unit tracking anomalous downgrades. Anomalous downgrades trigger the Sovereign Yield Stabilisation Window (Section 8.20A) and the Anticipatory Damage Facility (Section 8.18).</w:t>
      </w:r>
    </w:p>
    <w:p>
      <w:pPr>
        <w:pStyle w:val="Heading3"/>
      </w:pPr>
      <w:r>
        <w:rPr>
          <w:rFonts w:ascii="Calibri" w:hAnsi="Calibri" w:eastAsia="Microsoft YaHei" w:cs="Calibri"/>
          <w:b/>
          <w:color w:val="546E7A"/>
          <w:sz w:val="22"/>
          <w:szCs w:val="22"/>
        </w:rPr>
        <w:t>Section 2.1I: Procurement Coercion Doctrine [NEW: v12.0]</w:t>
      </w:r>
    </w:p>
    <w:p>
      <w:pPr>
        <w:pStyle w:val="Normal"/>
      </w:pPr>
      <w:r>
        <w:rPr>
          <w:rFonts w:ascii="Calibri" w:hAnsi="Calibri" w:eastAsia="Microsoft YaHei" w:cs="Calibri"/>
          <w:color w:val="263238"/>
          <w:sz w:val="21"/>
          <w:szCs w:val="21"/>
        </w:rPr>
        <w:t>Procurement Coercion exists where a state imposes domestic procurement preferences, local content requirements, Buy National provisions, or supplier restrictions that: (a) apply discriminatorily to IMESI Members; (b) correlate temporally with a policy dispute; and (c) materially impair the market access of IMESI Members. Procurement coercion meets the same certification and response standards as tariff coercion, with the Joint Procurement Consortium (Section 3.13) providing alternative procurement options.</w:t>
      </w:r>
    </w:p>
    <w:p>
      <w:pPr>
        <w:pStyle w:val="Heading3"/>
      </w:pPr>
      <w:r>
        <w:rPr>
          <w:rFonts w:ascii="Calibri" w:hAnsi="Calibri" w:eastAsia="Microsoft YaHei" w:cs="Calibri"/>
          <w:b/>
          <w:color w:val="546E7A"/>
          <w:sz w:val="22"/>
          <w:szCs w:val="22"/>
        </w:rPr>
        <w:t>Section 2.1 (Thirteenth Addendum): Local Content Monitoring [NEW: v12.0]</w:t>
      </w:r>
    </w:p>
    <w:p>
      <w:pPr>
        <w:pStyle w:val="Normal"/>
      </w:pPr>
      <w:r>
        <w:rPr>
          <w:rFonts w:ascii="Calibri" w:hAnsi="Calibri" w:eastAsia="Microsoft YaHei" w:cs="Calibri"/>
          <w:color w:val="263238"/>
          <w:sz w:val="21"/>
          <w:szCs w:val="21"/>
        </w:rPr>
        <w:t>Local content requirements, domestic value-added requirements, and Buy National provisions applied discriminatorily, or linked to policy demands, constitute economic measures. The IEWC maintains a Local Content Monitoring Unit tracking such provisions across IMESI Members and coercer states.</w:t>
      </w:r>
    </w:p>
    <w:p>
      <w:pPr>
        <w:pStyle w:val="Normal"/>
      </w:pPr>
      <w:r>
        <w:rPr>
          <w:rFonts w:ascii="Calibri" w:hAnsi="Calibri" w:eastAsia="Microsoft YaHei" w:cs="Calibri"/>
          <w:color w:val="263238"/>
          <w:sz w:val="21"/>
          <w:szCs w:val="21"/>
        </w:rPr>
        <w:t>Economic coercion exists when ALL of the following elements are present:</w:t>
      </w:r>
    </w:p>
    <w:p>
      <w:pPr>
        <w:pStyle w:val="Normal"/>
      </w:pPr>
      <w:r>
        <w:rPr>
          <w:rFonts w:ascii="Calibri" w:hAnsi="Calibri" w:eastAsia="Microsoft YaHei" w:cs="Calibri"/>
          <w:color w:val="263238"/>
          <w:sz w:val="21"/>
          <w:szCs w:val="21"/>
        </w:rPr>
        <w:t>Element 1, ECONOMIC MEASURE A state applies or credibly threatens economic restrictions affecting trade, investment, services, technology, finance, data, or market access.</w:t>
      </w:r>
    </w:p>
    <w:p>
      <w:pPr>
        <w:pStyle w:val="Normal"/>
      </w:pPr>
      <w:r>
        <w:rPr>
          <w:rFonts w:ascii="Calibri" w:hAnsi="Calibri" w:eastAsia="Microsoft YaHei" w:cs="Calibri"/>
          <w:color w:val="263238"/>
          <w:sz w:val="21"/>
          <w:szCs w:val="21"/>
        </w:rPr>
        <w:t>Element 2, POLICY LINKAGE (DOCUMENTED) The measure is explicitly linked to demands for sovereign policy changes through: (a) Public statements: official government announcements or authoritative media explicitly connecting economic measure to policy demand (b) Diplomatic correspondence: notes verbales, diplomatic cables, or official communications (c) Pattern evidence: temporal correlation combined with official statements creating clear causal relationship</w:t>
      </w:r>
    </w:p>
    <w:p>
      <w:pPr>
        <w:pStyle w:val="Normal"/>
      </w:pPr>
      <w:r>
        <w:rPr>
          <w:rFonts w:ascii="Calibri" w:hAnsi="Calibri" w:eastAsia="Microsoft YaHei" w:cs="Calibri"/>
          <w:color w:val="263238"/>
          <w:sz w:val="21"/>
          <w:szCs w:val="21"/>
        </w:rPr>
        <w:t>Element 3, SOVEREIGN POLICY TARGET The demanded changes involve sovereign decisions beyond normal trade negotiation, including: (a) Foreign policy positions or diplomatic recognition (b) Domestic regulatory standards exceeding trade remedy scope (c) Democratic governance, rule of law, or human rights policies (d) Alliance memberships or security partnerships (e) Technology governance or digital sovereignty choices (f) Judicial or legislative actions within domestic authority</w:t>
      </w:r>
    </w:p>
    <w:p>
      <w:pPr>
        <w:pStyle w:val="Heading3"/>
      </w:pPr>
      <w:r>
        <w:rPr>
          <w:rFonts w:ascii="Calibri" w:hAnsi="Calibri" w:eastAsia="Microsoft YaHei" w:cs="Calibri"/>
          <w:b/>
          <w:color w:val="546E7A"/>
          <w:sz w:val="22"/>
          <w:szCs w:val="22"/>
        </w:rPr>
        <w:t>Element 4, MATERIAL ECONOMIC HARM OR CREDIBLE THREAT</w:t>
      </w:r>
    </w:p>
    <w:p>
      <w:pPr>
        <w:pStyle w:val="Normal"/>
      </w:pPr>
      <w:r>
        <w:rPr>
          <w:rFonts w:ascii="Calibri" w:hAnsi="Calibri" w:eastAsia="Microsoft YaHei" w:cs="Calibri"/>
          <w:color w:val="263238"/>
          <w:sz w:val="21"/>
          <w:szCs w:val="21"/>
        </w:rPr>
        <w:t>The measure creates or threatens quantifiable economic impact that:</w:t>
      </w:r>
    </w:p>
    <w:p>
      <w:pPr>
        <w:pStyle w:val="Normal"/>
      </w:pPr>
      <w:r>
        <w:rPr>
          <w:rFonts w:ascii="Calibri" w:hAnsi="Calibri" w:eastAsia="Microsoft YaHei" w:cs="Calibri"/>
          <w:color w:val="263238"/>
          <w:sz w:val="21"/>
          <w:szCs w:val="21"/>
        </w:rPr>
        <w:t>(a) Exceeds legitimate trade remedy scope (b) Targets sectors disproportionate to stated justification (c) Imposes costs designed to compel rather than remedy specific trade harm</w:t>
      </w:r>
    </w:p>
    <w:p>
      <w:pPr>
        <w:pStyle w:val="Normal"/>
      </w:pPr>
      <w:r>
        <w:rPr>
          <w:rFonts w:ascii="Calibri" w:hAnsi="Calibri" w:eastAsia="Microsoft YaHei" w:cs="Calibri"/>
          <w:color w:val="263238"/>
          <w:sz w:val="21"/>
          <w:szCs w:val="21"/>
        </w:rPr>
        <w:t>Element 5, ABSENCE OF FREE CHOICE The targeted state would not adopt the demanded policy absent economic pressure, demonstrated through: (a) Prior policy statements rejecting the demand (b) Domestic political consensus supporting current policy (c) Explicit refusal to modify policy despite economic pressure Critical: Policy linkage is documented, not merely inferred. Circumstantial evidence alone is insufficient. Excluded: Negotiations over tariff rates, market access terms, intellectual property protection, or other conventional trade issues do not constitute coercive policy targets.</w:t>
      </w:r>
    </w:p>
    <w:p>
      <w:pPr>
        <w:pStyle w:val="Normal"/>
      </w:pPr>
      <w:r>
        <w:rPr>
          <w:rFonts w:ascii="Calibri" w:hAnsi="Calibri" w:eastAsia="Microsoft YaHei" w:cs="Calibri"/>
          <w:color w:val="263238"/>
          <w:sz w:val="21"/>
          <w:szCs w:val="21"/>
        </w:rPr>
        <w:t>Element 2A, CONSTRUCTIVE TARIFF COERCION (v9.3): For tariff measures specifically: temporal correlation of tariff announcements with documented diplomatic friction, combined with discriminatory sectoral targeting (e.g. tariffs concentrated on sectors dominated by specific IMESI members), creates a</w:t>
      </w:r>
    </w:p>
    <w:p>
      <w:pPr>
        <w:pStyle w:val="Normal"/>
      </w:pPr>
      <w:r>
        <w:rPr>
          <w:rFonts w:ascii="Calibri" w:hAnsi="Calibri" w:eastAsia="Microsoft YaHei" w:cs="Calibri"/>
          <w:color w:val="263238"/>
          <w:sz w:val="21"/>
          <w:szCs w:val="21"/>
        </w:rPr>
        <w:t>rebuttable presumption of policy linkage even without explicit demand. The burden shifts to the tariff-imposing state to demonstrate legitimate non-coercive rationale. IEWC certifies constructive tariff coercion by 55% weighted vote with published sectoral analysis. Element 6, SYSTEMIC DISCRIMINATION (Alternative Pathway, v8.8): Measures need not demonstrate individual policy linkage if they: (i) apply discriminatorily across IMESI members versus non-members; (ii) exceed thresholds established in Section 1.4(a); and (iii) lack credible non-economic justification. IEWC certifies systemic coercion by 60% weighted vote with published economic impact analysis. This pathway addresses Global Systemic Disruptions that bypass the standard five-element test. Documentation Hierarchy (Universal Standard): ALL activation tiers, including Red-Line automatic triggers and Automatic Coalition Expansion, require primary source documentation of state policy linkage, not merely pattern analysis or anomaly detection. Tier</w:t>
      </w:r>
    </w:p>
    <w:p>
      <w:pPr>
        <w:pStyle w:val="Normal"/>
      </w:pPr>
      <w:r>
        <w:rPr>
          <w:rFonts w:ascii="Calibri" w:hAnsi="Calibri" w:eastAsia="Microsoft YaHei" w:cs="Calibri"/>
          <w:color w:val="263238"/>
          <w:sz w:val="21"/>
          <w:szCs w:val="21"/>
        </w:rPr>
        <w:t>Evidence Type</w:t>
      </w:r>
    </w:p>
    <w:p>
      <w:pPr>
        <w:pStyle w:val="Normal"/>
      </w:pPr>
      <w:r>
        <w:rPr>
          <w:rFonts w:ascii="Calibri" w:hAnsi="Calibri" w:eastAsia="Microsoft YaHei" w:cs="Calibri"/>
          <w:color w:val="263238"/>
          <w:sz w:val="21"/>
          <w:szCs w:val="21"/>
        </w:rPr>
        <w:t>Sufficiency</w:t>
      </w:r>
    </w:p>
    <w:p>
      <w:pPr>
        <w:pStyle w:val="Normal"/>
      </w:pPr>
      <w:r>
        <w:rPr>
          <w:rFonts w:ascii="Calibri" w:hAnsi="Calibri" w:eastAsia="Microsoft YaHei" w:cs="Calibri"/>
          <w:color w:val="263238"/>
          <w:sz w:val="21"/>
          <w:szCs w:val="21"/>
        </w:rPr>
        <w:t>Tier 1 (Primary, sufficient for activation)</w:t>
      </w:r>
    </w:p>
    <w:p>
      <w:pPr>
        <w:pStyle w:val="Normal"/>
      </w:pPr>
      <w:r>
        <w:rPr>
          <w:rFonts w:ascii="Calibri" w:hAnsi="Calibri" w:eastAsia="Microsoft YaHei" w:cs="Calibri"/>
          <w:color w:val="263238"/>
          <w:sz w:val="21"/>
          <w:szCs w:val="21"/>
        </w:rPr>
        <w:t>Official government statements; correspondence; legislative authenticated internal documents</w:t>
      </w:r>
    </w:p>
    <w:p>
      <w:pPr>
        <w:pStyle w:val="Normal"/>
      </w:pPr>
      <w:r>
        <w:rPr>
          <w:rFonts w:ascii="Calibri" w:hAnsi="Calibri" w:eastAsia="Microsoft YaHei" w:cs="Calibri"/>
          <w:color w:val="263238"/>
          <w:sz w:val="21"/>
          <w:szCs w:val="21"/>
        </w:rPr>
        <w:t>diplomatic records;</w:t>
      </w:r>
    </w:p>
    <w:p>
      <w:pPr>
        <w:pStyle w:val="Normal"/>
      </w:pPr>
      <w:r>
        <w:rPr>
          <w:rFonts w:ascii="Calibri" w:hAnsi="Calibri" w:eastAsia="Microsoft YaHei" w:cs="Calibri"/>
          <w:color w:val="263238"/>
          <w:sz w:val="21"/>
          <w:szCs w:val="21"/>
        </w:rPr>
        <w:t>Any single Tier 1 source sufficient for all activation levels</w:t>
      </w:r>
    </w:p>
    <w:p>
      <w:pPr>
        <w:pStyle w:val="Normal"/>
      </w:pPr>
      <w:r>
        <w:rPr>
          <w:rFonts w:ascii="Calibri" w:hAnsi="Calibri" w:eastAsia="Microsoft YaHei" w:cs="Calibri"/>
          <w:color w:val="263238"/>
          <w:sz w:val="21"/>
          <w:szCs w:val="21"/>
        </w:rPr>
        <w:t>Tier (Supplementary, insufficient alone)</w:t>
      </w:r>
    </w:p>
    <w:p>
      <w:pPr>
        <w:pStyle w:val="Normal"/>
      </w:pPr>
      <w:r>
        <w:rPr>
          <w:rFonts w:ascii="Calibri" w:hAnsi="Calibri" w:eastAsia="Microsoft YaHei" w:cs="Calibri"/>
          <w:color w:val="263238"/>
          <w:sz w:val="21"/>
          <w:szCs w:val="21"/>
        </w:rPr>
        <w:t>Pattern analysis; temporal correlation; market anomaly data; ADAI confidence scores; commercial intelligence</w:t>
      </w:r>
    </w:p>
    <w:p>
      <w:pPr>
        <w:pStyle w:val="Normal"/>
      </w:pPr>
      <w:r>
        <w:rPr>
          <w:rFonts w:ascii="Calibri" w:hAnsi="Calibri" w:eastAsia="Microsoft YaHei" w:cs="Calibri"/>
          <w:color w:val="263238"/>
          <w:sz w:val="21"/>
          <w:szCs w:val="21"/>
        </w:rPr>
        <w:t>Supplements Tier 1 but cannot independently trigger activation</w:t>
      </w:r>
    </w:p>
    <w:p>
      <w:pPr>
        <w:pStyle w:val="Normal"/>
      </w:pPr>
      <w:r>
        <w:rPr>
          <w:rFonts w:ascii="Calibri" w:hAnsi="Calibri" w:eastAsia="Microsoft YaHei" w:cs="Calibri"/>
          <w:color w:val="263238"/>
          <w:sz w:val="21"/>
          <w:szCs w:val="21"/>
        </w:rPr>
        <w:t>Red-Line Modification: Automatic triggers activate only when IEWC certifies Tier 1 documentation exists. If only Tier 2 indicators are present, expedited 24-hour investigation is required before provisional measures deploy. ACE Modification: Anomalous trade flows trigger consultation, not automatic expansion, unless accompanied by Tier 1 documentation of coercer direction.</w:t>
      </w:r>
    </w:p>
    <w:p>
      <w:pPr>
        <w:pStyle w:val="Heading3"/>
      </w:pPr>
      <w:r>
        <w:t>Section 2.1 (Addendum): Economic Coercion as an Emergency in International Relations [NEW: v15.0]</w:t>
      </w:r>
    </w:p>
    <w:p>
      <w:r>
        <w:t>(Element 7): For purposes of this Instrument and for purposes of invoking GATT Article XXI(b)(iii), economic coercion as defined in this Section constitutes an emergency in international relations. The Parties recognise that the use of economic measures to compel sovereign policy changes presents a fundamental threat to international peace and security, and that the collective response this Instrument authorises serves as necessary for the protection of their essential security interests.</w:t>
      </w:r>
    </w:p>
    <w:p>
      <w:r>
        <w:t>Rationale: This element links the definition of economic coercion directly to the WTO security exception language, making the defence a matter of treaty interpretation rather than a post-hoc justification.</w:t>
      </w:r>
    </w:p>
    <w:p>
      <w:pPr>
        <w:pStyle w:val="Heading2"/>
      </w:pPr>
      <w:r>
        <w:rPr>
          <w:rFonts w:ascii="Calibri" w:hAnsi="Calibri" w:eastAsia="Microsoft YaHei" w:cs="Calibri"/>
          <w:b/>
          <w:color w:val="263238"/>
          <w:sz w:val="25"/>
          <w:szCs w:val="25"/>
        </w:rPr>
        <w:t>Section 2.1J: Retroactive Policy-Linkage Doctrine [NEW: v12.1]</w:t>
      </w:r>
    </w:p>
    <w:p>
      <w:pPr>
        <w:pStyle w:val="Normal"/>
      </w:pPr>
      <w:r>
        <w:rPr>
          <w:rFonts w:ascii="Calibri" w:hAnsi="Calibri" w:eastAsia="Microsoft YaHei" w:cs="Calibri"/>
          <w:color w:val="263238"/>
          <w:sz w:val="21"/>
          <w:szCs w:val="21"/>
        </w:rPr>
        <w:t>Where a state imposes economic measures publicly justified on grounds of national security, trade remedy, or public health, but (a) diplomatic correspondence, internal government communications, or official statements by the imposing state's representatives contemporaneously link the measures to policy demands; or (b) the measures are subsequently withdrawn or modified following a policy concession by the targeted Member without a corresponding change in the stated justification, the IEWC certifies Retroactive Policy-Linkage. Upon certification the measures constitute economic coercion under Section 2.1 from the date of imposition, with full retroactive effect for escalation and burden-sharing, and the affected Member gains the right to claim compensation from the Anticipatory Damage Facility (Section 8.18) for harm incurred between imposition and certification. Certification requires a 60% weighted vote of the IEWC and remains subject to the Member Right of Response (Section 2.15 Second Addendum).</w:t>
      </w:r>
    </w:p>
    <w:p>
      <w:pPr>
        <w:pStyle w:val="Heading2"/>
      </w:pPr>
      <w:r>
        <w:rPr>
          <w:rFonts w:ascii="Calibri" w:hAnsi="Calibri" w:eastAsia="Microsoft YaHei" w:cs="Calibri"/>
          <w:b/>
          <w:color w:val="263238"/>
          <w:sz w:val="25"/>
          <w:szCs w:val="25"/>
        </w:rPr>
        <w:t>Section 2.1K: Executive Authority Aggravation Standard [NEW: v12.1]</w:t>
      </w:r>
    </w:p>
    <w:p>
      <w:pPr>
        <w:pStyle w:val="Normal"/>
      </w:pPr>
      <w:r>
        <w:rPr>
          <w:rFonts w:ascii="Calibri" w:hAnsi="Calibri" w:eastAsia="Microsoft YaHei" w:cs="Calibri"/>
          <w:color w:val="263238"/>
          <w:sz w:val="21"/>
          <w:szCs w:val="21"/>
        </w:rPr>
        <w:t>Where a state imposes economic measures through executive order, proclamation, or administrative directive in a manner materially inconsistent with the imposing state's established legislative processes or treaty obligations, the IEWC treats the unilateral executive character of the action as an aggravating factor in severity classification, elevating the classification by one level. The Coordination Committee, by 60% weighted vote, designates such measures as subject to expedited Phase 2 activation and eligible for enhanced burden-sharing relief of up to 40% of standard contribution under Section 8.4. This Section passes no judgment on the domestic validity of executive authority; it assesses predictability and deliberative character as factors in coercion analysis. A Member invoking this Section demonstrates the material inconsistency with established processes.</w:t>
      </w:r>
    </w:p>
    <w:p>
      <w:pPr>
        <w:pStyle w:val="Heading2"/>
      </w:pPr>
      <w:r>
        <w:rPr>
          <w:rFonts w:ascii="Calibri" w:hAnsi="Calibri" w:eastAsia="Microsoft YaHei" w:cs="Calibri"/>
          <w:b/>
          <w:color w:val="263238"/>
          <w:sz w:val="25"/>
          <w:szCs w:val="25"/>
        </w:rPr>
        <w:t>Section 2.1L: Consumer Goods Export Restriction Protocol [NEW: v12.1]</w:t>
      </w:r>
    </w:p>
    <w:p>
      <w:pPr>
        <w:pStyle w:val="Normal"/>
      </w:pPr>
      <w:r>
        <w:rPr>
          <w:rFonts w:ascii="Calibri" w:hAnsi="Calibri" w:eastAsia="Microsoft YaHei" w:cs="Calibri"/>
          <w:color w:val="263238"/>
          <w:sz w:val="21"/>
          <w:szCs w:val="21"/>
        </w:rPr>
        <w:t>Where a state imposes export restrictions on goods that are not listed on any recognised international dual-use list, not subject to multilateral export control regimes, and not essential to the state's national security as demonstrated by objective criteria, such restrictions carry a rebuttable presumption of coercion under Section 2.1. The IEWC assesses whether the restrictions correlate temporally with a policy dispute or diplomatic friction, apply discriminatorily to one or more Members, or range materially broader than measures applied to other trading partners. Upon certification the Technology Solidarity Pledge (Section 3.14) applies and the affected Member gains eligibility for enhanced Fund support under Section 8.32. This Section does not apply to measures authorised by the United Nations Security Council, adopted under multilateral arrangements, or demonstrably necessary to protect human, animal, or plant life or health under GATT Article XX(b).</w:t>
      </w:r>
    </w:p>
    <w:p>
      <w:pPr>
        <w:pStyle w:val="Heading2"/>
      </w:pPr>
      <w:r>
        <w:rPr>
          <w:rFonts w:ascii="Calibri" w:hAnsi="Calibri" w:eastAsia="Microsoft YaHei" w:cs="Calibri"/>
          <w:b/>
          <w:color w:val="263238"/>
          <w:sz w:val="25"/>
          <w:szCs w:val="25"/>
        </w:rPr>
        <w:t>Section 2.1A: Constructive Coercion Doctrine [Pilot Status, 36 Months]</w:t>
      </w:r>
    </w:p>
    <w:p>
      <w:pPr>
        <w:pStyle w:val="Normal"/>
      </w:pPr>
      <w:r>
        <w:rPr>
          <w:rFonts w:ascii="Calibri" w:hAnsi="Calibri" w:eastAsia="Microsoft YaHei" w:cs="Calibri"/>
          <w:color w:val="263238"/>
          <w:sz w:val="21"/>
          <w:szCs w:val="21"/>
        </w:rPr>
        <w:t>Definition: 'Constructive coercion' exists where a dominant supplier (holding &gt;40% global market share in relevant product/service) ceases or restricts supply without formal demand, but with coercive effect</w:t>
      </w:r>
    </w:p>
    <w:p>
      <w:pPr>
        <w:pStyle w:val="Normal"/>
      </w:pPr>
      <w:r>
        <w:rPr>
          <w:rFonts w:ascii="Calibri" w:hAnsi="Calibri" w:eastAsia="Microsoft YaHei" w:cs="Calibri"/>
          <w:color w:val="263238"/>
          <w:sz w:val="21"/>
          <w:szCs w:val="21"/>
        </w:rPr>
        <w:t>demonstrated through all of:</w:t>
      </w:r>
    </w:p>
    <w:p>
      <w:pPr>
        <w:pStyle w:val="Normal"/>
      </w:pPr>
      <w:r>
        <w:rPr>
          <w:rFonts w:ascii="Calibri" w:hAnsi="Calibri" w:eastAsia="Microsoft YaHei" w:cs="Calibri"/>
          <w:color w:val="263238"/>
          <w:sz w:val="21"/>
          <w:szCs w:val="21"/>
        </w:rPr>
        <w:t>(a) Supply concentration &gt;60% in coercing entity or state-affiliated sources (b) Prior documented linkage in similar case involving same supplier and policy domain (c) Concurrent informal diplomatic communications conveying policy preference within 30 days of supply cessation (d) Timing correlation with documented diplomatic friction or policy dispute Plus: absence of credible commercial justification (rebuttable by supplier within 14-day commercial justification window). Tier 1 documentation required for 2 of 4 indicators above. Burden Shift Procedure: Upon IEWC preliminary finding, 14-day 'commercial justification opportunity' issued to supplier. Rebuttal cites contractual force majeure, genuine market exit decision with 12-month advance notice, or documented commercial rationale independent of policy demands. Failure to rebut triggers standard</w:t>
      </w:r>
    </w:p>
    <w:p>
      <w:pPr>
        <w:pStyle w:val="Normal"/>
      </w:pPr>
      <w:r>
        <w:rPr>
          <w:rFonts w:ascii="Calibri" w:hAnsi="Calibri" w:eastAsia="Microsoft YaHei" w:cs="Calibri"/>
          <w:color w:val="263238"/>
          <w:sz w:val="21"/>
          <w:szCs w:val="21"/>
        </w:rPr>
        <w:t>Article II coercion finding with full stabilisation measure authorisation. Covered Sectors: Vaccine and medical supply withholding; critical mineral export cessation; agricultural export restrictions with food security implications. Cloud/AI capacity denial and LNG supply interruption included subject to review. Rolling Horizon: Pilot status operates in 36-month cycles from entry into force. Each cycle renews by silence on a clean record under the Nofade rule; the pilot continues at full strength absent a written 60% CC determination informed by a published effectiveness assessment. Evidentiary Note (v9.1): Constructive coercion is an exceptional pathway with a high evidentiary bar, not a routine alternative to standard Article II findings.</w:t>
      </w:r>
    </w:p>
    <w:p>
      <w:pPr>
        <w:pStyle w:val="Normal"/>
      </w:pPr>
      <w:r>
        <w:rPr>
          <w:rFonts w:ascii="Calibri" w:hAnsi="Calibri" w:eastAsia="Microsoft YaHei" w:cs="Calibri"/>
          <w:color w:val="263238"/>
          <w:sz w:val="21"/>
          <w:szCs w:val="21"/>
        </w:rPr>
        <w:t>However, once the 4-element test is satisfied, the finding triggers the same full stabilisation measure range as direct coercion, signalling to potential coercers that 'silent' supply disruption tools offer no safe harbour from collective response. Negotiation status: Tier 2 bargaining chip. Core: vaccines/minerals with 4-of-4 indicators and high Tier 1 threshold. Expendable: informal communications indicator, cloud/AI coverage, pilot sunset is shortened.</w:t>
      </w:r>
    </w:p>
    <w:p>
      <w:pPr>
        <w:pStyle w:val="Heading2"/>
      </w:pPr>
      <w:r>
        <w:rPr>
          <w:rFonts w:ascii="Calibri" w:hAnsi="Calibri" w:eastAsia="Microsoft YaHei" w:cs="Calibri"/>
          <w:b/>
          <w:color w:val="263238"/>
          <w:sz w:val="25"/>
          <w:szCs w:val="25"/>
        </w:rPr>
        <w:t>Section 2.1B: Adverse Economic Security Incident (AESI)</w:t>
      </w:r>
    </w:p>
    <w:p>
      <w:pPr>
        <w:pStyle w:val="Normal"/>
      </w:pPr>
      <w:r>
        <w:rPr>
          <w:rFonts w:ascii="Calibri" w:hAnsi="Calibri" w:eastAsia="Microsoft YaHei" w:cs="Calibri"/>
          <w:color w:val="263238"/>
          <w:sz w:val="21"/>
          <w:szCs w:val="21"/>
        </w:rPr>
        <w:t>Definition: An "Adverse Economic Security Incident" (AESI) means any measure or pattern of measures by a non-member that materially impairs the legitimate trade flows, financial stability, or essential supply needs of a Member. An AESI constitutes economic coercion under Section 2.1 or systemic disruption under Sections 1.4–1.4B, or is a precursor event warranting early-warning monitoring and preparatory response. Relationship to Existing Definitions: AESI provides a unified operational term encompassing the full spectrum from early-stage economic pressure through certified coercion. IEWC classifies each reported AESI by severity tier (Precursor, Active, Systemic) and route to the appropriate response pathway. An AESI classified as Active or Systemic triggers the standard certification procedures under Article II and Sections 1.4–1.4B respectively. Reporting: Members report suspected AESIs to the Secretariat within 72 hours of detection. The Secretariat acknowledges receipt within 24 hours and assign to IEWC for preliminary assessment within 7 days.</w:t>
      </w:r>
    </w:p>
    <w:p>
      <w:pPr>
        <w:pStyle w:val="Heading2"/>
      </w:pPr>
      <w:r>
        <w:rPr>
          <w:rFonts w:ascii="Calibri" w:hAnsi="Calibri" w:eastAsia="Microsoft YaHei" w:cs="Calibri"/>
          <w:b/>
          <w:color w:val="263238"/>
          <w:sz w:val="25"/>
          <w:szCs w:val="25"/>
        </w:rPr>
        <w:t>Section 2.2: Red-Line Coercion Categories</w:t>
      </w:r>
    </w:p>
    <w:p>
      <w:pPr>
        <w:pStyle w:val="Heading3"/>
      </w:pPr>
      <w:r>
        <w:rPr>
          <w:rFonts w:ascii="Calibri" w:hAnsi="Calibri" w:eastAsia="Microsoft YaHei" w:cs="Calibri"/>
          <w:b/>
          <w:color w:val="546E7A"/>
          <w:sz w:val="22"/>
          <w:szCs w:val="22"/>
        </w:rPr>
        <w:t>Section 2.2 (Addendum): Category 5 Strategic Manufacturing Coercion [NEW: v11.0]</w:t>
      </w:r>
    </w:p>
    <w:p>
      <w:pPr>
        <w:pStyle w:val="Normal"/>
      </w:pPr>
      <w:r>
        <w:rPr>
          <w:rFonts w:ascii="Calibri" w:hAnsi="Calibri" w:eastAsia="Microsoft YaHei" w:cs="Calibri"/>
          <w:color w:val="263238"/>
          <w:sz w:val="21"/>
          <w:szCs w:val="21"/>
        </w:rPr>
        <w:t>The Red-Line Categories incorporate Category 5: Strategic Manufacturing Coercion. Tariffs applied to the automotive, aerospace, or semiconductor sectors exceeding 15% that do not apply globally across all WTO members constitute a red-line activation.</w:t>
      </w:r>
    </w:p>
    <w:p>
      <w:pPr>
        <w:pStyle w:val="Heading3"/>
      </w:pPr>
      <w:r>
        <w:rPr>
          <w:rFonts w:ascii="Calibri" w:hAnsi="Calibri" w:eastAsia="Microsoft YaHei" w:cs="Calibri"/>
          <w:b/>
          <w:color w:val="546E7A"/>
          <w:sz w:val="22"/>
          <w:szCs w:val="22"/>
        </w:rPr>
        <w:t>Section 2.2 (Second Addendum): Category 6, MFN Status Revocation [NEW: v12.0]</w:t>
      </w:r>
    </w:p>
    <w:p>
      <w:pPr>
        <w:pStyle w:val="Normal"/>
      </w:pPr>
      <w:r>
        <w:rPr>
          <w:rFonts w:ascii="Calibri" w:hAnsi="Calibri" w:eastAsia="Microsoft YaHei" w:cs="Calibri"/>
          <w:color w:val="263238"/>
          <w:sz w:val="21"/>
          <w:szCs w:val="21"/>
        </w:rPr>
        <w:t>Any state that revokes, suspends, or materially conditions Most-Favoured-Nation status for any IMESI Member, or threatens such action, triggers automatic Category 2 Red-Line procedures. Revocation of MFN status operates functionally equivalent to a 100% tariff wall and receives equivalent treatment for all escalation and burden-sharing purposes.</w:t>
      </w:r>
    </w:p>
    <w:p>
      <w:pPr>
        <w:pStyle w:val="Heading3"/>
      </w:pPr>
      <w:r>
        <w:rPr>
          <w:rFonts w:ascii="Calibri" w:hAnsi="Calibri" w:eastAsia="Microsoft YaHei" w:cs="Calibri"/>
          <w:b/>
          <w:color w:val="546E7A"/>
          <w:sz w:val="22"/>
          <w:szCs w:val="22"/>
        </w:rPr>
        <w:t>Section 2.2A: Tier 2 Tariff Doctrine [NEW: v12.0]</w:t>
      </w:r>
    </w:p>
    <w:p>
      <w:pPr>
        <w:pStyle w:val="Normal"/>
      </w:pPr>
      <w:r>
        <w:rPr>
          <w:rFonts w:ascii="Calibri" w:hAnsi="Calibri" w:eastAsia="Microsoft YaHei" w:cs="Calibri"/>
          <w:color w:val="263238"/>
          <w:sz w:val="21"/>
          <w:szCs w:val="21"/>
        </w:rPr>
        <w:t>Where a state applies tariff rates to an IMESI Member exceeding that state’s standard MFN rate by more than 50 percentage points, or applies a special tariff schedule to a subset of Members materially higher than its general schedule, the differential constitutes a Tier 2 Tariff and triggers presumptive Phase 2 escalation. The burden of proof shifts to the imposing state to demonstrate that the differential treatment rests on legitimate, non-coercive trade policy.</w:t>
      </w:r>
    </w:p>
    <w:p>
      <w:pPr>
        <w:pStyle w:val="Heading2"/>
      </w:pPr>
      <w:r>
        <w:rPr>
          <w:rFonts w:ascii="Calibri" w:hAnsi="Calibri" w:eastAsia="Microsoft YaHei" w:cs="Calibri"/>
          <w:b/>
          <w:color w:val="263238"/>
          <w:sz w:val="25"/>
          <w:szCs w:val="25"/>
        </w:rPr>
        <w:t>Section 2.2B: Category 10, Unilateral Tariff Regime Disruption [NEW: v12.1]</w:t>
      </w:r>
    </w:p>
    <w:p>
      <w:pPr>
        <w:pStyle w:val="Normal"/>
      </w:pPr>
      <w:r>
        <w:rPr>
          <w:rFonts w:ascii="Calibri" w:hAnsi="Calibri" w:eastAsia="Microsoft YaHei" w:cs="Calibri"/>
          <w:color w:val="263238"/>
          <w:sz w:val="21"/>
          <w:szCs w:val="21"/>
        </w:rPr>
        <w:t>Category 10 Red-Line Coercion exists where a state: (a) imposes tariffs on a Member's goods at rates exceeding that state's WTO-bound tariff rate by more than 100% for any product category; or (b) unilaterally alters its tariff schedule in a manner that eliminates or materially reduces the predictability of tariff treatment for Members, including through suspension, revocation, or material modification of Most-Favoured-Nation status. Upon IEWC certification of Category 10, the Systemic-Economy Fast-Track (Section 5.1A) applies regardless of the imposing state's GDP share; the affected Member gains automatic eligibility for the Anticipatory Damage Facility (Section 8.18) at the enhanced Tier 1 strategic sector coverage rate; and all Members receive authorisation to implement reciprocal tariff measures at the same rate as the coercing state's applicable rate under the compressed consultation track (Section 5.0K), subject to the Non-Discrimination Certification requirement (Section 4.2V Addendum). Category 10 certification carries a presumption of Systemic Disruption regardless of the aggregate GDP impact threshold. Reciprocal measures under this Section respond to documented departures from bound commitments and apply on a most-favoured-nation basis to like products from all other sources.</w:t>
      </w:r>
    </w:p>
    <w:p>
      <w:pPr>
        <w:pStyle w:val="Heading3"/>
      </w:pPr>
      <w:r>
        <w:rPr>
          <w:rFonts w:ascii="Calibri" w:hAnsi="Calibri" w:eastAsia="Microsoft YaHei" w:cs="Calibri"/>
          <w:b/>
          <w:color w:val="546E7A"/>
          <w:sz w:val="22"/>
          <w:szCs w:val="22"/>
        </w:rPr>
        <w:t>Section 2.2 (Third Addendum): Shock Tariff Definition [NEW: v12.0]</w:t>
      </w:r>
    </w:p>
    <w:p>
      <w:pPr>
        <w:pStyle w:val="Normal"/>
      </w:pPr>
      <w:r>
        <w:rPr>
          <w:rFonts w:ascii="Calibri" w:hAnsi="Calibri" w:eastAsia="Microsoft YaHei" w:cs="Calibri"/>
          <w:color w:val="263238"/>
          <w:sz w:val="21"/>
          <w:szCs w:val="21"/>
        </w:rPr>
        <w:t>The rapid tariff escalation trigger under Category 4 includes any tariff increase exceeding 5 percentage points implemented with less than 7 days’ notice, regardless of the total percentage increase. Short-notice tariffs carry a presumption of coercion absent compelling technical justification.</w:t>
      </w:r>
    </w:p>
    <w:p>
      <w:pPr>
        <w:pStyle w:val="Heading3"/>
      </w:pPr>
      <w:r>
        <w:rPr>
          <w:rFonts w:ascii="Calibri" w:hAnsi="Calibri" w:eastAsia="Microsoft YaHei" w:cs="Calibri"/>
          <w:b/>
          <w:color w:val="546E7A"/>
          <w:sz w:val="22"/>
          <w:szCs w:val="22"/>
        </w:rPr>
        <w:t>Section 2.2 (Fourth Addendum): Category 7, Universal Tariff Shock [NEW: v12.0]</w:t>
      </w:r>
    </w:p>
    <w:p>
      <w:pPr>
        <w:pStyle w:val="Normal"/>
      </w:pPr>
      <w:r>
        <w:rPr>
          <w:rFonts w:ascii="Calibri" w:hAnsi="Calibri" w:eastAsia="Microsoft YaHei" w:cs="Calibri"/>
          <w:color w:val="263238"/>
          <w:sz w:val="21"/>
          <w:szCs w:val="21"/>
        </w:rPr>
        <w:t>A tariff applied to all IMESI Members, or a broad subset, without discrimination but causing aggregate harm exceeding 1% of combined IMESI GDP constitutes a Category 2 Red-Line event, triggering the Systemic-Economy Fast-Track (Section 5.1A) regardless of the individual tariff rate.</w:t>
      </w:r>
    </w:p>
    <w:p>
      <w:pPr>
        <w:pStyle w:val="Heading3"/>
      </w:pPr>
      <w:r>
        <w:rPr>
          <w:rFonts w:ascii="Calibri" w:hAnsi="Calibri" w:eastAsia="Microsoft YaHei" w:cs="Calibri"/>
          <w:b/>
          <w:color w:val="546E7A"/>
          <w:sz w:val="22"/>
          <w:szCs w:val="22"/>
        </w:rPr>
        <w:t>Section 2.2 (Fifth Addendum): Category 8, Payment System Exclusion [NEW: v12.0]</w:t>
      </w:r>
    </w:p>
    <w:p>
      <w:pPr>
        <w:pStyle w:val="Normal"/>
      </w:pPr>
      <w:r>
        <w:rPr>
          <w:rFonts w:ascii="Calibri" w:hAnsi="Calibri" w:eastAsia="Microsoft YaHei" w:cs="Calibri"/>
          <w:color w:val="263238"/>
          <w:sz w:val="21"/>
          <w:szCs w:val="21"/>
        </w:rPr>
        <w:t>Threats to exclude an IMESI Member from SWIFT, CHIPS, or other major payment and clearing systems, or the actual implementation of such exclusion, constitute a Category 2 Red-Line event. The SFI (Section 8.10) fully activates immediately, and alternative payment systems (Annex 11C) deploy within 24 hours.</w:t>
      </w:r>
    </w:p>
    <w:p>
      <w:pPr>
        <w:pStyle w:val="Heading3"/>
      </w:pPr>
      <w:r>
        <w:rPr>
          <w:rFonts w:ascii="Calibri" w:hAnsi="Calibri" w:eastAsia="Microsoft YaHei" w:cs="Calibri"/>
          <w:b/>
          <w:color w:val="546E7A"/>
          <w:sz w:val="22"/>
          <w:szCs w:val="22"/>
        </w:rPr>
        <w:t>Section 2.2 (Sixth Addendum): Category 9, National Security Definition Expansion [NEW: v12.0]</w:t>
      </w:r>
    </w:p>
    <w:p>
      <w:pPr>
        <w:pStyle w:val="Normal"/>
      </w:pPr>
      <w:r>
        <w:rPr>
          <w:rFonts w:ascii="Calibri" w:hAnsi="Calibri" w:eastAsia="Microsoft YaHei" w:cs="Calibri"/>
          <w:color w:val="263238"/>
          <w:sz w:val="21"/>
          <w:szCs w:val="21"/>
        </w:rPr>
        <w:t>Where a state expands the definition of national security to include new industries, sectors, or products specifically to justify tariffs on IMESI Members, the expansion triggers automatic Red-Line procedures. The expansion itself, not only the tariffs, constitutes a coercive act.</w:t>
      </w:r>
    </w:p>
    <w:p>
      <w:pPr>
        <w:pStyle w:val="Normal"/>
      </w:pPr>
      <w:r>
        <w:rPr>
          <w:rFonts w:ascii="Calibri" w:hAnsi="Calibri" w:eastAsia="Microsoft YaHei" w:cs="Calibri"/>
          <w:color w:val="263238"/>
          <w:sz w:val="21"/>
          <w:szCs w:val="21"/>
        </w:rPr>
        <w:t>Category 1: Sovereign Policy Reversal Demands Automatic Trigger: Expedited investigation (7 days) automatically activates. Tier 2+ members implement the pre-authorised minimum response (30% of scenario package) immediately unless a 70% supermajority explicitly votes to withhold.</w:t>
      </w:r>
    </w:p>
    <w:p>
      <w:pPr>
        <w:pStyle w:val="Normal"/>
      </w:pPr>
      <w:r>
        <w:rPr>
          <w:rFonts w:ascii="Calibri" w:hAnsi="Calibri" w:eastAsia="Microsoft YaHei" w:cs="Calibri"/>
          <w:color w:val="263238"/>
          <w:sz w:val="21"/>
          <w:szCs w:val="21"/>
        </w:rPr>
        <w:t>Category 2: Financial System Exclusion Automatic Trigger: Emergency procedures activate within 48 hours. Alternative payment infrastructure mobilises immediately. Tier 2+ members implement financial stabilisation measures within 7 days unless a 75% supermajority explicitly votes to withhold.</w:t>
      </w:r>
    </w:p>
    <w:p>
      <w:pPr>
        <w:pStyle w:val="Normal"/>
      </w:pPr>
      <w:r>
        <w:rPr>
          <w:rFonts w:ascii="Calibri" w:hAnsi="Calibri" w:eastAsia="Microsoft YaHei" w:cs="Calibri"/>
          <w:color w:val="263238"/>
          <w:sz w:val="21"/>
          <w:szCs w:val="21"/>
        </w:rPr>
        <w:t>Category 3: Strategic Technology Weaponisation Automatic Trigger: Pre-authorised scenario activates within 72 hours. Strategic stockpiles deploy. Tier 2+ members implement coordinated export controls and investment restrictions within 7 days unless a 65% supermajority explicitly votes to withhold.</w:t>
      </w:r>
    </w:p>
    <w:p>
      <w:pPr>
        <w:pStyle w:val="Normal"/>
      </w:pPr>
      <w:r>
        <w:rPr>
          <w:rFonts w:ascii="Calibri" w:hAnsi="Calibri" w:eastAsia="Microsoft YaHei" w:cs="Calibri"/>
          <w:color w:val="263238"/>
          <w:sz w:val="21"/>
          <w:szCs w:val="21"/>
        </w:rPr>
        <w:t>Category 4: Rapid Tariff Escalation (v9.3) Automatic Trigger: Tariff increases &gt;15 percentage points within 30 days affecting &gt;20% bilateral trade, combined with threats of further escalation. Tier 2+ members implement pre-authorised Scenario Theta-Tariff within 48 hours unless a 65% supermajority explicitly votes to withhold. Response: joint procurement acceleration, alternative supplier contracting, Phase 1 stabilisation measures, and SFI settlement preference.</w:t>
      </w:r>
    </w:p>
    <w:p>
      <w:pPr>
        <w:pStyle w:val="Heading2"/>
      </w:pPr>
      <w:r>
        <w:rPr>
          <w:rFonts w:ascii="Calibri" w:hAnsi="Calibri" w:eastAsia="Microsoft YaHei" w:cs="Calibri"/>
          <w:b/>
          <w:color w:val="263238"/>
          <w:sz w:val="25"/>
          <w:szCs w:val="25"/>
        </w:rPr>
        <w:t>Section 2.3: Strategic Severity Multiplier Clause</w:t>
      </w:r>
    </w:p>
    <w:p>
      <w:pPr>
        <w:pStyle w:val="Normal"/>
      </w:pPr>
      <w:r>
        <w:rPr>
          <w:rFonts w:ascii="Calibri" w:hAnsi="Calibri" w:eastAsia="Microsoft YaHei" w:cs="Calibri"/>
          <w:color w:val="263238"/>
          <w:sz w:val="21"/>
          <w:szCs w:val="21"/>
        </w:rPr>
        <w:t>Standard severity classification uses GDP impact thresholds:</w:t>
      </w:r>
    </w:p>
    <w:p>
      <w:pPr>
        <w:pStyle w:val="Normal"/>
      </w:pPr>
      <w:r>
        <w:rPr>
          <w:rFonts w:ascii="Calibri" w:hAnsi="Calibri" w:eastAsia="Microsoft YaHei" w:cs="Calibri"/>
          <w:color w:val="263238"/>
          <w:sz w:val="21"/>
          <w:szCs w:val="21"/>
        </w:rPr>
        <w:t>Classification</w:t>
      </w:r>
    </w:p>
    <w:p>
      <w:pPr>
        <w:pStyle w:val="Normal"/>
      </w:pPr>
      <w:r>
        <w:rPr>
          <w:rFonts w:ascii="Calibri" w:hAnsi="Calibri" w:eastAsia="Microsoft YaHei" w:cs="Calibri"/>
          <w:color w:val="263238"/>
          <w:sz w:val="21"/>
          <w:szCs w:val="21"/>
        </w:rPr>
        <w:t>GDP Impact</w:t>
      </w:r>
    </w:p>
    <w:p>
      <w:pPr>
        <w:pStyle w:val="Normal"/>
      </w:pPr>
      <w:r>
        <w:rPr>
          <w:rFonts w:ascii="Calibri" w:hAnsi="Calibri" w:eastAsia="Microsoft YaHei" w:cs="Calibri"/>
          <w:color w:val="263238"/>
          <w:sz w:val="21"/>
          <w:szCs w:val="21"/>
        </w:rPr>
        <w:t>Stabilisation Measure Range</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Minor</w:t>
      </w:r>
    </w:p>
    <w:p>
      <w:pPr>
        <w:pStyle w:val="Normal"/>
      </w:pPr>
      <w:r>
        <w:rPr>
          <w:rFonts w:ascii="Calibri" w:hAnsi="Calibri" w:eastAsia="Microsoft YaHei" w:cs="Calibri"/>
          <w:color w:val="263238"/>
          <w:sz w:val="21"/>
          <w:szCs w:val="21"/>
        </w:rPr>
        <w:t>&lt; 0.1% GDP</w:t>
      </w:r>
    </w:p>
    <w:p>
      <w:pPr>
        <w:pStyle w:val="Normal"/>
      </w:pPr>
      <w:r>
        <w:rPr>
          <w:rFonts w:ascii="Calibri" w:hAnsi="Calibri" w:eastAsia="Microsoft YaHei" w:cs="Calibri"/>
          <w:color w:val="263238"/>
          <w:sz w:val="21"/>
          <w:szCs w:val="21"/>
        </w:rPr>
        <w:t>Diplomatic + targeted tariffs (5–15%) on &lt;5% exports</w:t>
      </w:r>
    </w:p>
    <w:p>
      <w:pPr>
        <w:pStyle w:val="Normal"/>
      </w:pPr>
      <w:r>
        <w:rPr>
          <w:rFonts w:ascii="Calibri" w:hAnsi="Calibri" w:eastAsia="Microsoft YaHei" w:cs="Calibri"/>
          <w:color w:val="263238"/>
          <w:sz w:val="21"/>
          <w:szCs w:val="21"/>
        </w:rPr>
        <w:t>10–15 days</w:t>
      </w:r>
    </w:p>
    <w:p>
      <w:pPr>
        <w:pStyle w:val="Normal"/>
      </w:pPr>
      <w:r>
        <w:rPr>
          <w:rFonts w:ascii="Calibri" w:hAnsi="Calibri" w:eastAsia="Microsoft YaHei" w:cs="Calibri"/>
          <w:color w:val="263238"/>
          <w:sz w:val="21"/>
          <w:szCs w:val="21"/>
        </w:rPr>
        <w:t>Moderate</w:t>
      </w:r>
    </w:p>
    <w:p>
      <w:pPr>
        <w:pStyle w:val="Normal"/>
      </w:pPr>
      <w:r>
        <w:rPr>
          <w:rFonts w:ascii="Calibri" w:hAnsi="Calibri" w:eastAsia="Microsoft YaHei" w:cs="Calibri"/>
          <w:color w:val="263238"/>
          <w:sz w:val="21"/>
          <w:szCs w:val="21"/>
        </w:rPr>
        <w:t>0.1–0.5% GDP</w:t>
      </w:r>
    </w:p>
    <w:p>
      <w:pPr>
        <w:pStyle w:val="Normal"/>
      </w:pPr>
      <w:r>
        <w:rPr>
          <w:rFonts w:ascii="Calibri" w:hAnsi="Calibri" w:eastAsia="Microsoft YaHei" w:cs="Calibri"/>
          <w:color w:val="263238"/>
          <w:sz w:val="21"/>
          <w:szCs w:val="21"/>
        </w:rPr>
        <w:t>Tariffs (10–25%) on 10–25% exports + services restrictions</w:t>
      </w:r>
    </w:p>
    <w:p>
      <w:pPr>
        <w:pStyle w:val="Normal"/>
      </w:pPr>
      <w:r>
        <w:rPr>
          <w:rFonts w:ascii="Calibri" w:hAnsi="Calibri" w:eastAsia="Microsoft YaHei" w:cs="Calibri"/>
          <w:color w:val="263238"/>
          <w:sz w:val="21"/>
          <w:szCs w:val="21"/>
        </w:rPr>
        <w:t>5–7 days</w:t>
      </w:r>
    </w:p>
    <w:p>
      <w:pPr>
        <w:pStyle w:val="Normal"/>
      </w:pPr>
      <w:r>
        <w:rPr>
          <w:rFonts w:ascii="Calibri" w:hAnsi="Calibri" w:eastAsia="Microsoft YaHei" w:cs="Calibri"/>
          <w:color w:val="263238"/>
          <w:sz w:val="21"/>
          <w:szCs w:val="21"/>
        </w:rPr>
        <w:t>Severe</w:t>
      </w:r>
    </w:p>
    <w:p>
      <w:pPr>
        <w:pStyle w:val="Normal"/>
      </w:pPr>
      <w:r>
        <w:rPr>
          <w:rFonts w:ascii="Calibri" w:hAnsi="Calibri" w:eastAsia="Microsoft YaHei" w:cs="Calibri"/>
          <w:color w:val="263238"/>
          <w:sz w:val="21"/>
          <w:szCs w:val="21"/>
        </w:rPr>
        <w:t>0.5–1.0% GDP</w:t>
      </w:r>
    </w:p>
    <w:p>
      <w:pPr>
        <w:pStyle w:val="Normal"/>
      </w:pPr>
      <w:r>
        <w:rPr>
          <w:rFonts w:ascii="Calibri" w:hAnsi="Calibri" w:eastAsia="Microsoft YaHei" w:cs="Calibri"/>
          <w:color w:val="263238"/>
          <w:sz w:val="21"/>
          <w:szCs w:val="21"/>
        </w:rPr>
        <w:t>Tariffs (25–50%) on 30–50% exports + financial measures</w:t>
      </w:r>
    </w:p>
    <w:p>
      <w:pPr>
        <w:pStyle w:val="Normal"/>
      </w:pPr>
      <w:r>
        <w:rPr>
          <w:rFonts w:ascii="Calibri" w:hAnsi="Calibri" w:eastAsia="Microsoft YaHei" w:cs="Calibri"/>
          <w:color w:val="263238"/>
          <w:sz w:val="21"/>
          <w:szCs w:val="21"/>
        </w:rPr>
        <w:t>72–96 hours</w:t>
      </w:r>
    </w:p>
    <w:p>
      <w:pPr>
        <w:pStyle w:val="Normal"/>
      </w:pPr>
      <w:r>
        <w:rPr>
          <w:rFonts w:ascii="Calibri" w:hAnsi="Calibri" w:eastAsia="Microsoft YaHei" w:cs="Calibri"/>
          <w:color w:val="263238"/>
          <w:sz w:val="21"/>
          <w:szCs w:val="21"/>
        </w:rPr>
        <w:t>Critical</w:t>
      </w:r>
    </w:p>
    <w:p>
      <w:pPr>
        <w:pStyle w:val="Normal"/>
      </w:pPr>
      <w:r>
        <w:rPr>
          <w:rFonts w:ascii="Calibri" w:hAnsi="Calibri" w:eastAsia="Microsoft YaHei" w:cs="Calibri"/>
          <w:color w:val="263238"/>
          <w:sz w:val="21"/>
          <w:szCs w:val="21"/>
        </w:rPr>
        <w:t>&gt; 1.0% GDP</w:t>
      </w:r>
    </w:p>
    <w:p>
      <w:pPr>
        <w:pStyle w:val="Normal"/>
      </w:pPr>
      <w:r>
        <w:rPr>
          <w:rFonts w:ascii="Calibri" w:hAnsi="Calibri" w:eastAsia="Microsoft YaHei" w:cs="Calibri"/>
          <w:color w:val="263238"/>
          <w:sz w:val="21"/>
          <w:szCs w:val="21"/>
        </w:rPr>
        <w:t>Tariffs (50%+) on &gt;50% exports + comprehensive measures</w:t>
      </w:r>
    </w:p>
    <w:p>
      <w:pPr>
        <w:pStyle w:val="Normal"/>
      </w:pPr>
      <w:r>
        <w:rPr>
          <w:rFonts w:ascii="Calibri" w:hAnsi="Calibri" w:eastAsia="Microsoft YaHei" w:cs="Calibri"/>
          <w:color w:val="263238"/>
          <w:sz w:val="21"/>
          <w:szCs w:val="21"/>
        </w:rPr>
        <w:t>24–48 hours</w:t>
      </w:r>
    </w:p>
    <w:p>
      <w:pPr>
        <w:pStyle w:val="Normal"/>
      </w:pPr>
      <w:r>
        <w:rPr>
          <w:rFonts w:ascii="Calibri" w:hAnsi="Calibri" w:eastAsia="Microsoft YaHei" w:cs="Calibri"/>
          <w:color w:val="263238"/>
          <w:sz w:val="21"/>
          <w:szCs w:val="21"/>
        </w:rPr>
        <w:t>Tier 1 Strategic Sectors (automatically upgrades one severity level):</w:t>
      </w:r>
    </w:p>
    <w:p>
      <w:pPr>
        <w:pStyle w:val="Normal"/>
      </w:pPr>
      <w:r>
        <w:rPr>
          <w:rFonts w:ascii="Calibri" w:hAnsi="Calibri" w:eastAsia="Microsoft YaHei" w:cs="Calibri"/>
          <w:color w:val="263238"/>
          <w:sz w:val="21"/>
          <w:szCs w:val="21"/>
        </w:rPr>
        <w:t>(a) Semiconductors: advanced node manufacturing, lithography equipment, design tools (b) Rare earths: elements with &gt;70% supply concentration in coercing state (c) Pharmaceutical APIs: essential medicines with &gt;60% supply concentration (d) Critical infrastructure: 5G/6G, subsea cables, satellite systems, payment infrastructure (e) Energy security: primary energy sources representing &gt;30% of member's supply (f) Green transition inputs: battery minerals, rare earth magnets for turbines, electrolyser technology</w:t>
      </w:r>
    </w:p>
    <w:p>
      <w:pPr>
        <w:pStyle w:val="Normal"/>
      </w:pPr>
      <w:r>
        <w:rPr>
          <w:rFonts w:ascii="Calibri" w:hAnsi="Calibri" w:eastAsia="Microsoft YaHei" w:cs="Calibri"/>
          <w:color w:val="263238"/>
          <w:sz w:val="21"/>
          <w:szCs w:val="21"/>
        </w:rPr>
        <w:t>Tier 2 Strategic Sectors (upgrades if combined with pattern/precedent):</w:t>
      </w:r>
    </w:p>
    <w:p>
      <w:pPr>
        <w:pStyle w:val="Normal"/>
      </w:pPr>
      <w:r>
        <w:rPr>
          <w:rFonts w:ascii="Calibri" w:hAnsi="Calibri" w:eastAsia="Microsoft YaHei" w:cs="Calibri"/>
          <w:color w:val="263238"/>
          <w:sz w:val="21"/>
          <w:szCs w:val="21"/>
        </w:rPr>
        <w:t>(f) Advanced computing and AI systems (g) Quantum technologies (h) Aerospace and defence inputs (i) Agricultural staples representing &gt;20% of food security (j) Water and sanitation infrastructure</w:t>
      </w:r>
    </w:p>
    <w:p>
      <w:pPr>
        <w:pStyle w:val="Heading3"/>
      </w:pPr>
      <w:r>
        <w:t>Section 2.3 (Addendum): Troop Presence Aggravation Multiplier [NEW: v15.0]</w:t>
      </w:r>
    </w:p>
    <w:p>
      <w:r>
        <w:t>(h) Where the IEWC certifies that an economic coercive measure under Section 2.1 is accompanied by: (i) a deployment of armed forces by the coercing state within 500 kilometres of the affected Member's border; (ii) a naval blockade or exercise within the affected Member's Exclusive Economic Zone; (iii) a declaration of a no-fly zone or exclusion zone affecting the affected Member's airspace or maritime territory; or (iv) a formal military alliance commitment explicitly linked to the coercive economic demand, the severity classification under Section 2.3 escalates by two levels, rather than the standard one level.</w:t>
      </w:r>
    </w:p>
    <w:p>
      <w:r>
        <w:t>(i) For purposes of this Section: (i) Troop Presence includes any armed forces, whether regular military, mercenary, or proxy forces under the coercing state's effective control; (ii) armed forces includes naval, air, ground, and cyber forces where the cyber operations aim to degrade military or critical infrastructure capabilities; and (iii) the multiplier applies regardless of whether the troop presence carries a formal declaration or a mere deployment.</w:t>
      </w:r>
    </w:p>
    <w:p>
      <w:r>
        <w:t>(j) The Troop Presence Aggravation Multiplier: (i) applies automatically upon IEWC certification; (ii) operates without a separate CC vote; and (iii) persists until the troop presence withdraws and the CC votes (60%) to remove the multiplier.</w:t>
      </w:r>
    </w:p>
    <w:p>
      <w:r>
        <w:t>Rationale: This closes the routine-tariff loophole. A coercer cannot characterise economic measures as routine when military force backs them. The severity multiplier reflects the existential nature of the threat.</w:t>
      </w:r>
    </w:p>
    <w:p>
      <w:pPr>
        <w:pStyle w:val="Heading2"/>
      </w:pPr>
      <w:r>
        <w:rPr>
          <w:rFonts w:ascii="Calibri" w:hAnsi="Calibri" w:eastAsia="Microsoft YaHei" w:cs="Calibri"/>
          <w:b/>
          <w:color w:val="263238"/>
          <w:sz w:val="25"/>
          <w:szCs w:val="25"/>
        </w:rPr>
        <w:t>Section 2.4: Non-Alignment Protection Clause</w:t>
      </w:r>
    </w:p>
    <w:p>
      <w:pPr>
        <w:pStyle w:val="Normal"/>
      </w:pPr>
      <w:r>
        <w:rPr>
          <w:rFonts w:ascii="Calibri" w:hAnsi="Calibri" w:eastAsia="Microsoft YaHei" w:cs="Calibri"/>
          <w:color w:val="263238"/>
          <w:sz w:val="21"/>
          <w:szCs w:val="21"/>
        </w:rPr>
        <w:t>Geopolitical Alignment, Members maintain independent positions on major power strategic competition, regional disputes, territorial claims, alliance memberships, participation in other states' sanctions regimes, and diplomatic recognition. IMESI neither requires nor discourages participation in any security alliance, including NATO, AUKUS, or regional defence arrangements. Membership is fully compatible with any existing or future alliance commitments. Policy Harmonisation, Members maintain divergent regulatory standards, environmental policies, labour protections, human rights approaches, technology governance, and data privacy frameworks. Trade Alignment, Members negotiate bilateral or regional FTAs with any state, maintain preferential trade relationships outside IMESI, set independent tariff schedules, and pursue independent economic integration. IMESI obligations activate only when economic measures are explicitly weaponised to coerce policy changes meeting the Article II, Section 2.1 definition. This clause is critical for accession of non-aligned states who value strategic autonomy. Member Cost Band (v8.6): No member is normally required to implement stabilisation measures whose cumulative cost exceeds 3–7% of that member's GDP in any single case, with 5% as the presumptive ceiling. Cost is measured as the sum of sectoral tariff revenue loss, trade volume loss, financial measures cost, and regulatory compliance burden. Deviation above 5% requires the member's affirmative consent plus 75% Coordination Committee vote with published justification; deviation above 7% is prohibited. If a case pushes a member beyond their consented threshold, that member automatically reclassifies to Tier 1 obligations for that case or invokes the CNI exemption. This makes non-alignment real rather than aspirational.</w:t>
      </w:r>
    </w:p>
    <w:p>
      <w:pPr>
        <w:pStyle w:val="Heading2"/>
      </w:pPr>
      <w:r>
        <w:rPr>
          <w:rFonts w:ascii="Calibri" w:hAnsi="Calibri" w:eastAsia="Microsoft YaHei" w:cs="Calibri"/>
          <w:b/>
          <w:color w:val="263238"/>
          <w:sz w:val="25"/>
          <w:szCs w:val="25"/>
        </w:rPr>
        <w:t>Section 2.5: Attribution of Non-State Coercion (State-Adjoining Entity Doctrine)</w:t>
      </w:r>
    </w:p>
    <w:p>
      <w:pPr>
        <w:pStyle w:val="Heading3"/>
      </w:pPr>
      <w:r>
        <w:rPr>
          <w:rFonts w:ascii="Calibri" w:hAnsi="Calibri" w:eastAsia="Microsoft YaHei" w:cs="Calibri"/>
          <w:b/>
          <w:color w:val="546E7A"/>
          <w:sz w:val="22"/>
          <w:szCs w:val="22"/>
        </w:rPr>
        <w:t>Section 2.5 (Addendum): Official Statement Attribution [NEW: v11.0]</w:t>
      </w:r>
    </w:p>
    <w:p>
      <w:pPr>
        <w:pStyle w:val="Normal"/>
      </w:pPr>
      <w:r>
        <w:rPr>
          <w:rFonts w:ascii="Calibri" w:hAnsi="Calibri" w:eastAsia="Microsoft YaHei" w:cs="Calibri"/>
          <w:color w:val="263238"/>
          <w:sz w:val="21"/>
          <w:szCs w:val="21"/>
        </w:rPr>
        <w:t>Statements issued through the Executive Office or official government social media accounts, including Truth Social accounts, constitute Official Government Statements and rank as Tier 1 evidence for establishing linkage.</w:t>
      </w:r>
    </w:p>
    <w:p>
      <w:pPr>
        <w:pStyle w:val="Heading3"/>
      </w:pPr>
      <w:r>
        <w:rPr>
          <w:rFonts w:ascii="Calibri" w:hAnsi="Calibri" w:eastAsia="Microsoft YaHei" w:cs="Calibri"/>
          <w:b/>
          <w:color w:val="546E7A"/>
          <w:sz w:val="22"/>
          <w:szCs w:val="22"/>
        </w:rPr>
        <w:t>Section 2.5 (Second Addendum): Social Media Attribution [NEW: v12.0]</w:t>
      </w:r>
    </w:p>
    <w:p>
      <w:pPr>
        <w:pStyle w:val="Normal"/>
      </w:pPr>
      <w:r>
        <w:rPr>
          <w:rFonts w:ascii="Calibri" w:hAnsi="Calibri" w:eastAsia="Microsoft YaHei" w:cs="Calibri"/>
          <w:color w:val="263238"/>
          <w:sz w:val="21"/>
          <w:szCs w:val="21"/>
        </w:rPr>
        <w:t>Official social media accounts of heads of state, government officials, and government agencies constitute official government statements and rank as Tier 1 evidence for establishing policy linkage. This includes statements on X (formerly Twitter), Truth Social, and other major platforms.</w:t>
      </w:r>
    </w:p>
    <w:p>
      <w:pPr>
        <w:pStyle w:val="Normal"/>
      </w:pPr>
      <w:r>
        <w:rPr>
          <w:rFonts w:ascii="Calibri" w:hAnsi="Calibri" w:eastAsia="Microsoft YaHei" w:cs="Calibri"/>
          <w:color w:val="263238"/>
          <w:sz w:val="21"/>
          <w:szCs w:val="21"/>
        </w:rPr>
        <w:t>Presumption: Economic measures by any entity meeting 2 or more of the following criteria are presumed</w:t>
      </w:r>
    </w:p>
    <w:p>
      <w:pPr>
        <w:pStyle w:val="Normal"/>
      </w:pPr>
      <w:r>
        <w:rPr>
          <w:rFonts w:ascii="Calibri" w:hAnsi="Calibri" w:eastAsia="Microsoft YaHei" w:cs="Calibri"/>
          <w:color w:val="263238"/>
          <w:sz w:val="21"/>
          <w:szCs w:val="21"/>
        </w:rPr>
        <w:t>state-directed for purposes of Article II:</w:t>
      </w:r>
    </w:p>
    <w:p>
      <w:pPr>
        <w:pStyle w:val="Normal"/>
      </w:pPr>
      <w:r>
        <w:rPr>
          <w:rFonts w:ascii="Calibri" w:hAnsi="Calibri" w:eastAsia="Microsoft YaHei" w:cs="Calibri"/>
          <w:color w:val="263238"/>
          <w:sz w:val="21"/>
          <w:szCs w:val="21"/>
        </w:rPr>
        <w:t>(a) Majority state ownership or voting control (b) Board appointments requiring state approval (c) More than 30% of revenue from state contracts or state-directed procurement (d) Documented state coordination on timing or scope of measure (e) Pattern of measures correlating with state diplomatic objectives Rebuttal: The entity challenges the presumption before the Coordination Committee within 14 days; burden of proof rests on the entity to demonstrate genuine commercial independence. Hybrid Measures: Where state and non-state actors coordinate coercion, IMESI authorises stabilisation measures against both, with non-state measures treated as state measures for proportionality</w:t>
      </w:r>
    </w:p>
    <w:p>
      <w:pPr>
        <w:pStyle w:val="Normal"/>
      </w:pPr>
      <w:r>
        <w:rPr>
          <w:rFonts w:ascii="Calibri" w:hAnsi="Calibri" w:eastAsia="Microsoft YaHei" w:cs="Calibri"/>
          <w:color w:val="263238"/>
          <w:sz w:val="21"/>
          <w:szCs w:val="21"/>
        </w:rPr>
        <w:t>calculations. Digital Platform Specifics: For cloud services, payment systems, and algorithmic marketplaces, effective state direction is established through: data localisation requirements tied to market access; content moderation policies mirroring state censorship; or selective service denial correlating with diplomatic disputes.</w:t>
      </w:r>
    </w:p>
    <w:p>
      <w:pPr>
        <w:pStyle w:val="Normal"/>
      </w:pPr>
      <w:r>
        <w:rPr>
          <w:rFonts w:ascii="Calibri" w:hAnsi="Calibri" w:eastAsia="Microsoft YaHei" w:cs="Calibri"/>
          <w:color w:val="263238"/>
          <w:sz w:val="21"/>
          <w:szCs w:val="21"/>
        </w:rPr>
        <w:t>Section 2.5(c): Corporate Instrumentalisation, Recognition Criteria (v8.9)</w:t>
      </w:r>
    </w:p>
    <w:p>
      <w:pPr>
        <w:pStyle w:val="Normal"/>
      </w:pPr>
      <w:r>
        <w:rPr>
          <w:rFonts w:ascii="Calibri" w:hAnsi="Calibri" w:eastAsia="Microsoft YaHei" w:cs="Calibri"/>
          <w:color w:val="263238"/>
          <w:sz w:val="21"/>
          <w:szCs w:val="21"/>
        </w:rPr>
        <w:t>For purposes of coercion attribution, IEWC recognises corporate measures as state-adjoined when: entity meets 2+ criteria in Section 2.5(a); AND measure timing correlates with documented state policy demand; AND commercial rationale is rebutted by independent economic analysis. Limited Effect: Recognition enables: standard stabilisation measure authorisation against the corporate entity (same as state measures); SEPC protection for targeted member firms. Recognition does not create: automatic liability for corporate officers; extraterritorial regulatory authority; or private cause of action.</w:t>
      </w:r>
    </w:p>
    <w:p>
      <w:pPr>
        <w:pStyle w:val="Heading2"/>
      </w:pPr>
      <w:r>
        <w:rPr>
          <w:rFonts w:ascii="Calibri" w:hAnsi="Calibri" w:eastAsia="Microsoft YaHei" w:cs="Calibri"/>
          <w:b/>
          <w:color w:val="263238"/>
          <w:sz w:val="25"/>
          <w:szCs w:val="25"/>
        </w:rPr>
        <w:t>Section 2.5D: Systemic Infrastructure Provider Framework [Pilot Status]</w:t>
      </w:r>
    </w:p>
    <w:p>
      <w:pPr>
        <w:pStyle w:val="Normal"/>
      </w:pPr>
      <w:r>
        <w:rPr>
          <w:rFonts w:ascii="Calibri" w:hAnsi="Calibri" w:eastAsia="Microsoft YaHei" w:cs="Calibri"/>
          <w:color w:val="263238"/>
          <w:sz w:val="21"/>
          <w:szCs w:val="21"/>
        </w:rPr>
        <w:t>Purpose and Limits: This section creates no new competition authority. It coordinates existing national regulatory tools to prevent infrastructure weaponisation by dominant private providers. This framework does not target specific firms or sectors, but ensures that any systemic provider, regardless of nationality or sector, operates on neutral, non-discriminatory terms. Designation Criteria: 'Systemic Infrastructure Provider' (SIP) designation applies to entities meeting all of: (a) &gt;30% global market share in critical infrastructure service (cloud computing, payment clearing, credit ratings, logistics platforms, data analytics); (b) services essential to IMESI member economic security per Tier 1 or Tier 2 strategic sector list; (c) demonstrated capacity for discriminatory service denial. Designation is process-based on market share thresholds, not entity-specific identity. Annual IEWC review. Neutral Service Obligations: Interoperability requirements with mandatory API access and data portability standards; non-discriminatory access (service terms are not permitted to vary based on customer nationality or government policy alignment); due process guarantees with 30-day notice before service termination and independent appeal mechanism; transparency in algorithmic decision-making affecting market access. Regulatory Coordination: IMESI coordinates national regulatory tools including: synchronised merger review and abuse of dominance investigations; licensing conditions for IMESI-neutral service; procurement exclusion for SIPs violating neutral service obligations; mutual recognition of IMESI-certified SIP compliance across member jurisdictions. Firewall from Competition Regime: SIP framework explicitly does not create IMESI competition authority, does not preempt national or regional competition law, does not authorise IMESI-specific fines or penalties, and operates through coordination of existing national regulatory tools. Negotiation status: Tier 2 bargaining chip. Core: recognition that private infrastructure weaponisation is a problem. Expendable: all mandatory obligations. Final acceptable form: 'information and consultation' with early warning function only. Pilot status 36 months.</w:t>
      </w:r>
    </w:p>
    <w:p>
      <w:pPr>
        <w:pStyle w:val="Heading2"/>
      </w:pPr>
      <w:r>
        <w:t>Section 2.5H: Coercion-as-Service Attribution [NEW: v15.0]</w:t>
      </w:r>
    </w:p>
    <w:p>
      <w:r>
        <w:t>(a) For purposes of this Instrument, Coercion-as-Service Attribution exists where a coercive act is carried out through: (i) state-affiliated corporate entities, including shell companies and family-linked entities; (ii) state-funded or state-directed non-state actors, including think tanks, media outlets, and civil society organisations; (iii) third-country intermediaries acting on behalf of the coercing state; (iv) algorithmic or automated systems under state direction, including trading bots, social media amplification, and AI-generated content; or (v) any combination of the above.</w:t>
      </w:r>
    </w:p>
    <w:p>
      <w:r>
        <w:t>(b) Attribution under this Section rests on any of: (i) pattern evidence demonstrating coordination between the coercing state and the actor; (ii) financial evidence tracing funding from state sources to the actor; (iii) operational evidence showing timing, targeting, or content coordination; or (iv) an IEWC certification by 60% weighted vote that the actor operates as an instrument of state coercion.</w:t>
      </w:r>
    </w:p>
    <w:p>
      <w:r>
        <w:t>(c) The evidentiary standard for Coercion-as-Service Attribution stands at preponderance of the evidence, consistent with Section 2.15.</w:t>
      </w:r>
    </w:p>
    <w:p>
      <w:r>
        <w:t>(d) Upon certification of Coercion-as-Service Attribution: (i) this Instrument attributes the coercive act to the coercing state for all purposes; (ii) the framework permits invocation of Section 2.5D (Systemic Infrastructure Provider Framework) against the relevant entities; and (iii) the coercing state bears the burden of rebuttal under Section 2.15A.</w:t>
      </w:r>
    </w:p>
    <w:p>
      <w:r>
        <w:t>Rationale: This explicitly names and addresses the coercion-as-a-service model, lowering the attribution bar to pattern evidence and preponderance rather than demanding a smoking gun.</w:t>
      </w:r>
    </w:p>
    <w:p>
      <w:pPr>
        <w:pStyle w:val="Heading2"/>
      </w:pPr>
      <w:r>
        <w:rPr>
          <w:rFonts w:ascii="Calibri" w:hAnsi="Calibri" w:eastAsia="Microsoft YaHei" w:cs="Calibri"/>
          <w:b/>
          <w:color w:val="263238"/>
          <w:sz w:val="25"/>
          <w:szCs w:val="25"/>
        </w:rPr>
        <w:t>Section 2.6: Tiered Verification for Compressed Timelines</w:t>
      </w:r>
    </w:p>
    <w:p>
      <w:pPr>
        <w:pStyle w:val="Heading3"/>
      </w:pPr>
      <w:r>
        <w:rPr>
          <w:rFonts w:ascii="Calibri" w:hAnsi="Calibri" w:eastAsia="Microsoft YaHei" w:cs="Calibri"/>
          <w:b/>
          <w:color w:val="546E7A"/>
          <w:sz w:val="22"/>
          <w:szCs w:val="22"/>
        </w:rPr>
        <w:t>Section 2.6 (Addendum): Provisional Measures Distinction [NEW: v12.0]</w:t>
      </w:r>
    </w:p>
    <w:p>
      <w:pPr>
        <w:pStyle w:val="Normal"/>
      </w:pPr>
      <w:r>
        <w:rPr>
          <w:rFonts w:ascii="Calibri" w:hAnsi="Calibri" w:eastAsia="Microsoft YaHei" w:cs="Calibri"/>
          <w:color w:val="263238"/>
          <w:sz w:val="21"/>
          <w:szCs w:val="21"/>
        </w:rPr>
        <w:t>Where urgency prevents full certification, the IEWC authorises provisional defensive measures for up to 14 days. Such measures carry clear identification as provisional and exclude trade restrictions unless the IEWC certifies that trade restrictions are necessary to prevent irreversible harm.</w:t>
      </w:r>
    </w:p>
    <w:p>
      <w:pPr>
        <w:pStyle w:val="Normal"/>
      </w:pPr>
      <w:r>
        <w:rPr>
          <w:rFonts w:ascii="Calibri" w:hAnsi="Calibri" w:eastAsia="Microsoft YaHei" w:cs="Calibri"/>
          <w:color w:val="263238"/>
          <w:sz w:val="21"/>
          <w:szCs w:val="21"/>
        </w:rPr>
        <w:t>Preliminary Activation (0–72 hours): When the IEWC assesses that delay beyond 72 hours would cause irreversible harm (per FTA-O criteria, Section 5.0A) AND only Tier 2 indicators are available, the Director-General authorises Preliminary Activation by 55% weighted telephonic vote.</w:t>
      </w:r>
    </w:p>
    <w:p>
      <w:pPr>
        <w:pStyle w:val="Normal"/>
      </w:pPr>
      <w:r>
        <w:rPr>
          <w:rFonts w:ascii="Calibri" w:hAnsi="Calibri" w:eastAsia="Microsoft YaHei" w:cs="Calibri"/>
          <w:color w:val="263238"/>
          <w:sz w:val="21"/>
          <w:szCs w:val="21"/>
        </w:rPr>
        <w:t>Permitted Preliminary Measures: Strategic stockpile release (physical commodities only); SFI settlement system activation (non-binding test volume); alternative supplier procurement acceleration (letters of intent, not contracts); public readiness signalling (Dashboard amber status). Explicitly Excluded: Tariffs, quotas, trade restrictions; financial stabilisation measures; technology export controls; diplomatic downgrades or public attribution. Verification Clock: Preliminary activation expires automatically at 72 hours unless IEWC certifies Tier 1 documentation obtained. If unconfirmed: measures reduce to 25% intensity (signalling only); full investigation proceeds on standard timeline; Director-General publishes justification within 24 hours. Accountability: If Tier 1 documentation fails to materialise in &gt;20% of Preliminary Activations over any 12-month period, mandatory Director-General review is triggered. Repeated failure rate (&gt;30%) triggers ADAI suspension and external audit. Member Shield: Members implementing Preliminary Measures receive immunity from anti-fragmentation penalties if activation is later downgraded, provided implementation was proportional and within Preliminary scope.</w:t>
      </w:r>
    </w:p>
    <w:p>
      <w:pPr>
        <w:pStyle w:val="Heading2"/>
      </w:pPr>
      <w:r>
        <w:rPr>
          <w:rFonts w:ascii="Calibri" w:hAnsi="Calibri" w:eastAsia="Microsoft YaHei" w:cs="Calibri"/>
          <w:b/>
          <w:color w:val="263238"/>
          <w:sz w:val="25"/>
          <w:szCs w:val="25"/>
        </w:rPr>
        <w:t>Section 2.7: Climate-Trade Coercion Protocol (CTCP)</w:t>
      </w:r>
    </w:p>
    <w:p>
      <w:pPr>
        <w:pStyle w:val="Heading3"/>
      </w:pPr>
      <w:r>
        <w:rPr>
          <w:rFonts w:ascii="Calibri" w:hAnsi="Calibri" w:eastAsia="Microsoft YaHei" w:cs="Calibri"/>
          <w:b/>
          <w:color w:val="546E7A"/>
          <w:sz w:val="22"/>
          <w:szCs w:val="22"/>
        </w:rPr>
        <w:t>Section 2.7 (Addendum): Public Health Transparency [NEW: v12.0]</w:t>
      </w:r>
    </w:p>
    <w:p>
      <w:pPr>
        <w:pStyle w:val="Normal"/>
      </w:pPr>
      <w:r>
        <w:rPr>
          <w:rFonts w:ascii="Calibri" w:hAnsi="Calibri" w:eastAsia="Microsoft YaHei" w:cs="Calibri"/>
          <w:color w:val="263238"/>
          <w:sz w:val="21"/>
          <w:szCs w:val="21"/>
        </w:rPr>
        <w:t>Public health-related trade restrictions, including food safety, animal welfare, and pandemic response measures, that apply discriminatorily to IMESI Members or link to non-health policy demands meet the same certification and response standards as climate-trade coercion. The 90-day Cooperation Period applies to health-related coercion.</w:t>
      </w:r>
    </w:p>
    <w:p>
      <w:pPr>
        <w:pStyle w:val="Heading3"/>
      </w:pPr>
      <w:r>
        <w:rPr>
          <w:rFonts w:ascii="Calibri" w:hAnsi="Calibri" w:eastAsia="Microsoft YaHei" w:cs="Calibri"/>
          <w:b/>
          <w:color w:val="546E7A"/>
          <w:sz w:val="22"/>
          <w:szCs w:val="22"/>
        </w:rPr>
        <w:t>Section 2.7 (Second Addendum): SPS Abuse Standard [NEW: v12.0]</w:t>
      </w:r>
    </w:p>
    <w:p>
      <w:pPr>
        <w:pStyle w:val="Normal"/>
      </w:pPr>
      <w:r>
        <w:rPr>
          <w:rFonts w:ascii="Calibri" w:hAnsi="Calibri" w:eastAsia="Microsoft YaHei" w:cs="Calibri"/>
          <w:color w:val="263238"/>
          <w:sz w:val="21"/>
          <w:szCs w:val="21"/>
        </w:rPr>
        <w:t>Sanitary and phytosanitary measures that: (a) apply discriminatorily; (b) rest outside international standards including Codex Alimentarius, OIE, and IPPC; (c) lack risk assessment support; or (d) correlate temporally with policy disputes, constitute trade coercion subject to the same response standards as climate-trade coercion. The 90-day Cooperation Period applies to SPS disputes.</w:t>
      </w:r>
    </w:p>
    <w:p>
      <w:pPr>
        <w:pStyle w:val="Normal"/>
      </w:pPr>
      <w:r>
        <w:rPr>
          <w:rFonts w:ascii="Calibri" w:hAnsi="Calibri" w:eastAsia="Microsoft YaHei" w:cs="Calibri"/>
          <w:color w:val="263238"/>
          <w:sz w:val="21"/>
          <w:szCs w:val="21"/>
        </w:rPr>
        <w:t>Climate-trade coercion operates across multiple domains simultaneously (trade, finance, technology, development) with compounding transition-deadline effects that distinguish it from standard economic coercion. This section establishes a dedicated super-scenario with specialised response architecture. Expanded Definition: Economic measures weaponising climate or energy transition dependencies constitute climate-trade coercion when they meet the Section 2.1 elements. Specific forms include: (a) Carbon border adjustments applied discriminatorily or linked to non-climate policy demands (b) Critical mineral export controls tied to technology access or regulatory harmonisation beyond Paris obligations (c) Green subsidies conditioned on regulatory harmonisation or technology-sharing demands (d) Climate finance exclusion used as political leverage (e) Transition-critical supply chain disruption (battery minerals, solar/wind components, green hydrogen, grid-scale storage) Severity Auto-Upgrade: Climate-trade coercion is automatically classified two severity tiers above standard GDP impact (not one), reflecting the compounding nature of transition disruption and irreversible stranded-asset risk.</w:t>
      </w:r>
    </w:p>
    <w:p>
      <w:pPr>
        <w:pStyle w:val="Normal"/>
      </w:pPr>
      <w:r>
        <w:rPr>
          <w:rFonts w:ascii="Calibri" w:hAnsi="Calibri" w:eastAsia="Microsoft YaHei" w:cs="Calibri"/>
          <w:color w:val="263238"/>
          <w:sz w:val="21"/>
          <w:szCs w:val="21"/>
        </w:rPr>
        <w:t>Specialised Stabilisation Measures (Scenario Kappa):</w:t>
      </w:r>
    </w:p>
    <w:p>
      <w:pPr>
        <w:pStyle w:val="Normal"/>
      </w:pPr>
      <w:r>
        <w:rPr>
          <w:rFonts w:ascii="Calibri" w:hAnsi="Calibri" w:eastAsia="Microsoft YaHei" w:cs="Calibri"/>
          <w:color w:val="263238"/>
          <w:sz w:val="21"/>
          <w:szCs w:val="21"/>
        </w:rPr>
        <w:t>(a) Joint accelerated green industrial programme with pooled R&amp;D; and procurement (b) Coordinated non-recognition of coercive carbon border adjustments (c) Unified WTO complaint under GATT Article XX with common legal defence (d) Alternative climate finance pooling through Resilience Fund green allocation (e) Countervailing duties on carbon-intensive imports from coercer state Developing Country Protection: Automatic 40% burden-sharing relief for climate-trade coercion cases affecting developing members; priority access to Green Strategic Reserve; enhanced SFI humanitarian settlement window for green technology procurement.</w:t>
      </w:r>
    </w:p>
    <w:p>
      <w:pPr>
        <w:pStyle w:val="Normal"/>
      </w:pPr>
      <w:r>
        <w:rPr>
          <w:rFonts w:ascii="Calibri" w:hAnsi="Calibri" w:eastAsia="Microsoft YaHei" w:cs="Calibri"/>
          <w:color w:val="263238"/>
          <w:sz w:val="21"/>
          <w:szCs w:val="21"/>
        </w:rPr>
        <w:t>Climate Dependency Audit: Mandatory IEWC annual audit of member dependencies in battery minerals, solar/wind components, green hydrogen, and grid-scale storage (cross-referenced with Annex 3 supply chain resilience). Results feed Institutional Readiness Dashboard and CTCP pre-positioning. Green Transition Cooperation Window (v8.5): Climate-trade coercion findings trigger a mandatory 90-day Cooperation Period before stabilisation measures are authorised. During this period, IMESI convenes a joint technical working group with the coercing state to explore shared transition challenges and cooperative solutions. Stabilisation Measures are authorised only if the coercer refuses participation or if the working group fails to produce a framework for resolution. This presumes shared interest before adversarial response. Intra-Coalition Application: The same test used externally (discriminatory, policy-linked, opaque, non-notified)</w:t>
      </w:r>
    </w:p>
    <w:p>
      <w:pPr>
        <w:pStyle w:val="Normal"/>
      </w:pPr>
      <w:r>
        <w:rPr>
          <w:rFonts w:ascii="Calibri" w:hAnsi="Calibri" w:eastAsia="Microsoft YaHei" w:cs="Calibri"/>
          <w:color w:val="263238"/>
          <w:sz w:val="21"/>
          <w:szCs w:val="21"/>
        </w:rPr>
        <w:t>is used to assess member-on-member climate measures under Section 2.15 (CPCC). A presumption of legitimacy applies where measures are Paris-aligned, universal, transparent, and WTO-notified. No severity auto-upgrade for internal climate disputes; they use normal GDP-impact classification.</w:t>
      </w:r>
    </w:p>
    <w:p>
      <w:pPr>
        <w:pStyle w:val="Heading2"/>
      </w:pPr>
      <w:r>
        <w:rPr>
          <w:rFonts w:ascii="Calibri" w:hAnsi="Calibri" w:eastAsia="Microsoft YaHei" w:cs="Calibri"/>
          <w:b/>
          <w:color w:val="263238"/>
          <w:sz w:val="25"/>
          <w:szCs w:val="25"/>
        </w:rPr>
        <w:t>Section 2.8: ESG Standards Coercion</w:t>
      </w:r>
    </w:p>
    <w:p>
      <w:pPr>
        <w:pStyle w:val="Normal"/>
      </w:pPr>
      <w:r>
        <w:rPr>
          <w:rFonts w:ascii="Calibri" w:hAnsi="Calibri" w:eastAsia="Microsoft YaHei" w:cs="Calibri"/>
          <w:color w:val="263238"/>
          <w:sz w:val="21"/>
          <w:szCs w:val="21"/>
        </w:rPr>
        <w:t>Definition: Environmental, social, and governance measures constitute coercion when: discriminatorily applied across trading partners; linked to policy demands beyond ILO core conventions or Paris obligations; lacking credible due process; or timed to correlate with unrelated diplomatic disputes. Legitimate Exclusion: Universal, process-based, good-faith ESG measures applied to all trading partners without discrimination remain excluded from the coercion definition. Response: Due Process Coalition, joint WTO challenge of discriminatory ESG measures; mutual recognition of IMESI member ESG certification standards; alternative supply chain verification bypassing coercer's unilateral standards.</w:t>
      </w:r>
    </w:p>
    <w:p>
      <w:pPr>
        <w:pStyle w:val="Heading2"/>
      </w:pPr>
      <w:r>
        <w:rPr>
          <w:rFonts w:ascii="Calibri" w:hAnsi="Calibri" w:eastAsia="Microsoft YaHei" w:cs="Calibri"/>
          <w:b/>
          <w:color w:val="263238"/>
          <w:sz w:val="25"/>
          <w:szCs w:val="25"/>
        </w:rPr>
        <w:t>Section 2.9: Cognitive and Information Coercion</w:t>
      </w:r>
    </w:p>
    <w:p>
      <w:pPr>
        <w:pStyle w:val="Heading3"/>
      </w:pPr>
      <w:r>
        <w:rPr>
          <w:rFonts w:ascii="Calibri" w:hAnsi="Calibri" w:eastAsia="Microsoft YaHei" w:cs="Calibri"/>
          <w:b/>
          <w:color w:val="546E7A"/>
          <w:sz w:val="22"/>
          <w:szCs w:val="22"/>
        </w:rPr>
        <w:t>Section 2.9 (Addendum): Data Weaponisation Linkage [NEW: v12.0]</w:t>
      </w:r>
    </w:p>
    <w:p>
      <w:pPr>
        <w:pStyle w:val="Normal"/>
      </w:pPr>
      <w:r>
        <w:rPr>
          <w:rFonts w:ascii="Calibri" w:hAnsi="Calibri" w:eastAsia="Microsoft YaHei" w:cs="Calibri"/>
          <w:color w:val="263238"/>
          <w:sz w:val="21"/>
          <w:szCs w:val="21"/>
        </w:rPr>
        <w:t>Data localisation requirements, cross-border data flow restrictions, or digital services taxes linked to tariff policy demands constitute data weaponisation under Section 2.9(b). The Digital Infrastructure Resilience Fund (Section 8.8) activates to support affected Members.</w:t>
      </w:r>
    </w:p>
    <w:p>
      <w:pPr>
        <w:pStyle w:val="Heading3"/>
      </w:pPr>
      <w:r>
        <w:rPr>
          <w:rFonts w:ascii="Calibri" w:hAnsi="Calibri" w:eastAsia="Microsoft YaHei" w:cs="Calibri"/>
          <w:b/>
          <w:color w:val="546E7A"/>
          <w:sz w:val="22"/>
          <w:szCs w:val="22"/>
        </w:rPr>
        <w:t>Section 2.9 (Second Addendum): Digital Services Linkage [NEW: v12.0]</w:t>
      </w:r>
    </w:p>
    <w:p>
      <w:pPr>
        <w:pStyle w:val="Normal"/>
      </w:pPr>
      <w:r>
        <w:rPr>
          <w:rFonts w:ascii="Calibri" w:hAnsi="Calibri" w:eastAsia="Microsoft YaHei" w:cs="Calibri"/>
          <w:color w:val="263238"/>
          <w:sz w:val="21"/>
          <w:szCs w:val="21"/>
        </w:rPr>
        <w:t>Digital Services Taxes, platform regulation, and data localisation requirements linked to tariff policy demands constitute cognitive and information coercion. The Digital Infrastructure Resilience Fund (Section 8.8) activates to support affected Members, and the Technology Solidarity Pledge (Section 3.14) applies to digital services.</w:t>
      </w:r>
    </w:p>
    <w:p>
      <w:pPr>
        <w:pStyle w:val="Normal"/>
      </w:pPr>
      <w:r>
        <w:rPr>
          <w:rFonts w:ascii="Calibri" w:hAnsi="Calibri" w:eastAsia="Microsoft YaHei" w:cs="Calibri"/>
          <w:color w:val="263238"/>
          <w:sz w:val="21"/>
          <w:szCs w:val="21"/>
        </w:rPr>
        <w:t>Definition: Coercion through AI-generated financial disinformation targeting member markets; algorithmic trading manipulation; deepfake diplomatic communications; or synthetic media creating false coercion narratives. Detection: IEWC AI Early Warning Cell (Annex 11) monitors for cognitive coercion signatures; ADAI confidence scoring includes manipulation probability assessment.</w:t>
      </w:r>
    </w:p>
    <w:p>
      <w:pPr>
        <w:pStyle w:val="Normal"/>
      </w:pPr>
      <w:r>
        <w:rPr>
          <w:rFonts w:ascii="Calibri" w:hAnsi="Calibri" w:eastAsia="Microsoft YaHei" w:cs="Calibri"/>
          <w:color w:val="263238"/>
          <w:sz w:val="21"/>
          <w:szCs w:val="21"/>
        </w:rPr>
        <w:t>Active Cognitive Defence (ACD):</w:t>
      </w:r>
    </w:p>
    <w:p>
      <w:pPr>
        <w:pStyle w:val="Normal"/>
      </w:pPr>
      <w:r>
        <w:rPr>
          <w:rFonts w:ascii="Calibri" w:hAnsi="Calibri" w:eastAsia="Microsoft YaHei" w:cs="Calibri"/>
          <w:color w:val="263238"/>
          <w:sz w:val="21"/>
          <w:szCs w:val="21"/>
        </w:rPr>
        <w:t>Trigger: ADAI certifies &gt;90% probability of cognitive coercion with &gt;2% market impact across member economies.</w:t>
      </w:r>
    </w:p>
    <w:p>
      <w:pPr>
        <w:pStyle w:val="Normal"/>
      </w:pPr>
      <w:r>
        <w:rPr>
          <w:rFonts w:ascii="Calibri" w:hAnsi="Calibri" w:eastAsia="Microsoft YaHei" w:cs="Calibri"/>
          <w:color w:val="263238"/>
          <w:sz w:val="21"/>
          <w:szCs w:val="21"/>
        </w:rPr>
        <w:t>Permitted Active Measures:</w:t>
      </w:r>
    </w:p>
    <w:p>
      <w:pPr>
        <w:pStyle w:val="Normal"/>
      </w:pPr>
      <w:r>
        <w:rPr>
          <w:rFonts w:ascii="Calibri" w:hAnsi="Calibri" w:eastAsia="Microsoft YaHei" w:cs="Calibri"/>
          <w:color w:val="263238"/>
          <w:sz w:val="21"/>
          <w:szCs w:val="21"/>
        </w:rPr>
        <w:t>(a) Coordinated market circuit breakers across member exchanges, deployed within 1 hour (b) Mandatory disclosure of algorithmic trading suspensions to market regulators (c) Rapid fact-checking coalition with pre-positioned media partnerships; pre-negotiated publication timelines (d) Coordinated platform takedown requests with documented attribution evidence (e) Public attribution statements with IEWC-certified evidence chain</w:t>
      </w:r>
    </w:p>
    <w:p>
      <w:pPr>
        <w:pStyle w:val="Normal"/>
      </w:pPr>
      <w:r>
        <w:rPr>
          <w:rFonts w:ascii="Calibri" w:hAnsi="Calibri" w:eastAsia="Microsoft YaHei" w:cs="Calibri"/>
          <w:color w:val="263238"/>
          <w:sz w:val="21"/>
          <w:szCs w:val="21"/>
        </w:rPr>
        <w:t>Prohibited: No offensive disinformation; no counter-propaganda; no attribution without IEWC-certified evidence. IMESI remains a defensive institution. Speed: ACD measures deploy within 1 hour of ADAI certification. Human confirmation required for extension beyond 24 hours. Measures revert automatically if ADAI confidence drops below 85%.</w:t>
      </w:r>
    </w:p>
    <w:p>
      <w:pPr>
        <w:pStyle w:val="Normal"/>
      </w:pPr>
      <w:r>
        <w:rPr>
          <w:rFonts w:ascii="Calibri" w:hAnsi="Calibri" w:eastAsia="Microsoft YaHei" w:cs="Calibri"/>
          <w:color w:val="263238"/>
          <w:sz w:val="21"/>
          <w:szCs w:val="21"/>
        </w:rPr>
        <w:t>Section 2.9(b): Data Weaponisation (v8.8)</w:t>
      </w:r>
    </w:p>
    <w:p>
      <w:pPr>
        <w:pStyle w:val="Normal"/>
      </w:pPr>
      <w:r>
        <w:rPr>
          <w:rFonts w:ascii="Calibri" w:hAnsi="Calibri" w:eastAsia="Microsoft YaHei" w:cs="Calibri"/>
          <w:color w:val="263238"/>
          <w:sz w:val="21"/>
          <w:szCs w:val="21"/>
        </w:rPr>
        <w:t>Coercion through: mandatory data localisation as a market access condition; extraterritorial data access demands; selective data portability denial; or cross-border flow restrictions tied to policy demands. Triggers same response as Section 2.9(a) plus data localisation reciprocity and joint privacy standard development. IEWC Hybrid Threat Cell (Section 2.12) provides integrated assessment when data weaponisation accompanies economic measures.</w:t>
      </w:r>
    </w:p>
    <w:p>
      <w:pPr>
        <w:pStyle w:val="Normal"/>
      </w:pPr>
      <w:r>
        <w:rPr>
          <w:rFonts w:ascii="Calibri" w:hAnsi="Calibri" w:eastAsia="Microsoft YaHei" w:cs="Calibri"/>
          <w:color w:val="263238"/>
          <w:sz w:val="21"/>
          <w:szCs w:val="21"/>
        </w:rPr>
        <w:t>Section 2.9(c): Market Manipulation Defence (v8.8)</w:t>
      </w:r>
    </w:p>
    <w:p>
      <w:pPr>
        <w:pStyle w:val="Normal"/>
      </w:pPr>
      <w:r>
        <w:rPr>
          <w:rFonts w:ascii="Calibri" w:hAnsi="Calibri" w:eastAsia="Microsoft YaHei" w:cs="Calibri"/>
          <w:color w:val="263238"/>
          <w:sz w:val="21"/>
          <w:szCs w:val="21"/>
        </w:rPr>
        <w:t>Coercion through algorithmic trading disruption, sovereign credit default swap manipulation, or coordinated</w:t>
      </w:r>
    </w:p>
    <w:p>
      <w:pPr>
        <w:pStyle w:val="Normal"/>
      </w:pPr>
      <w:r>
        <w:rPr>
          <w:rFonts w:ascii="Calibri" w:hAnsi="Calibri" w:eastAsia="Microsoft YaHei" w:cs="Calibri"/>
          <w:color w:val="263238"/>
          <w:sz w:val="21"/>
          <w:szCs w:val="21"/>
        </w:rPr>
        <w:t>short-selling targeting member economies. Permitted responses:</w:t>
      </w:r>
    </w:p>
    <w:p>
      <w:pPr>
        <w:pStyle w:val="Normal"/>
      </w:pPr>
      <w:r>
        <w:rPr>
          <w:rFonts w:ascii="Calibri" w:hAnsi="Calibri" w:eastAsia="Microsoft YaHei" w:cs="Calibri"/>
          <w:color w:val="263238"/>
          <w:sz w:val="21"/>
          <w:szCs w:val="21"/>
        </w:rPr>
        <w:t>(a) Coordinated trading halts across member exchanges (b) Temporary short-selling bans on affected sovereign instruments (c) Pre-positioned sovereign wealth fund stabilisation purchases (d) Joint central bank intervention in currency markets Requires ADAI &gt;85% confidence or certification by 2+ member financial regulators. Activation timeline: within 4 hours of certification.</w:t>
      </w:r>
    </w:p>
    <w:p>
      <w:pPr>
        <w:pStyle w:val="Heading2"/>
      </w:pPr>
      <w:r>
        <w:rPr>
          <w:rFonts w:ascii="Calibri" w:hAnsi="Calibri" w:eastAsia="Microsoft YaHei" w:cs="Calibri"/>
          <w:b/>
          <w:color w:val="263238"/>
          <w:sz w:val="25"/>
          <w:szCs w:val="25"/>
        </w:rPr>
        <w:t>Section 2.9D: Defensive Market-Integrity Measures Against Algorithmic Disinformation [NEW: v12.1]</w:t>
      </w:r>
    </w:p>
    <w:p>
      <w:pPr>
        <w:pStyle w:val="Normal"/>
      </w:pPr>
      <w:r>
        <w:rPr>
          <w:rFonts w:ascii="Calibri" w:hAnsi="Calibri" w:eastAsia="Microsoft YaHei" w:cs="Calibri"/>
          <w:color w:val="263238"/>
          <w:sz w:val="21"/>
          <w:szCs w:val="21"/>
        </w:rPr>
        <w:t>Where the IEWC, on the advice of the Coalition Narrative Integrity Cell (Section 4.2Y) and in consultation with affected Members' financial regulators, certifies that algorithmically distributed financial disinformation has caused, or credibly threatens to cause, material market disruption, the Coordination Committee holds authority to authorise Defensive Market-Integrity Measures. Permitted measures limit strictly to: (a) coordinated, time-limited trading halts or circuit-breakers on Member exchanges for specific affected instruments; (b) coordinated public statements by Member finance ministries and central banks affirming market fundamentals and liquidity backstops; and (c) enhanced monitoring and reporting by Members' financial regulators of trading patterns correlated with the campaign. No measure under this Section restricts the ability of any media outlet, journalist, or platform to publish or disseminate information, and no measure requires platforms to remove, label, or downgrade content. Any Defensive Market-Integrity Measure expires automatically after 72 hours unless renewed by a 60% weighted vote of the Coordination Committee with a published justification demonstrating continuing necessity and proportionality.</w:t>
      </w:r>
    </w:p>
    <w:p>
      <w:pPr>
        <w:pStyle w:val="Heading2"/>
      </w:pPr>
      <w:r>
        <w:rPr>
          <w:rFonts w:ascii="Calibri" w:hAnsi="Calibri" w:eastAsia="Microsoft YaHei" w:cs="Calibri"/>
          <w:b/>
          <w:color w:val="263238"/>
          <w:sz w:val="25"/>
          <w:szCs w:val="25"/>
        </w:rPr>
        <w:t>Section 2.10: Chronic and Gradual Coercion Protocol (CGP)</w:t>
      </w:r>
    </w:p>
    <w:p>
      <w:pPr>
        <w:pStyle w:val="Heading3"/>
      </w:pPr>
      <w:r>
        <w:rPr>
          <w:rFonts w:ascii="Calibri" w:hAnsi="Calibri" w:eastAsia="Microsoft YaHei" w:cs="Calibri"/>
          <w:b/>
          <w:color w:val="546E7A"/>
          <w:sz w:val="22"/>
          <w:szCs w:val="22"/>
        </w:rPr>
        <w:t>Section 2.10 (Addendum): Administrative Harassment Index [NEW: v11.0]</w:t>
      </w:r>
    </w:p>
    <w:p>
      <w:pPr>
        <w:pStyle w:val="Normal"/>
      </w:pPr>
      <w:r>
        <w:rPr>
          <w:rFonts w:ascii="Calibri" w:hAnsi="Calibri" w:eastAsia="Microsoft YaHei" w:cs="Calibri"/>
          <w:color w:val="263238"/>
          <w:sz w:val="21"/>
          <w:szCs w:val="21"/>
        </w:rPr>
        <w:t>The Graduated Pressure framework codifies a Customs Delay threshold: an increase in average customs clearance times for IMESI exports exceeding 50% against the prior year automatically qualifies as a sub-threshold measure.</w:t>
      </w:r>
    </w:p>
    <w:p>
      <w:pPr>
        <w:pStyle w:val="Heading3"/>
      </w:pPr>
      <w:r>
        <w:rPr>
          <w:rFonts w:ascii="Calibri" w:hAnsi="Calibri" w:eastAsia="Microsoft YaHei" w:cs="Calibri"/>
          <w:b/>
          <w:color w:val="546E7A"/>
          <w:sz w:val="22"/>
          <w:szCs w:val="22"/>
        </w:rPr>
        <w:t>Section 2.10 (Second Addendum): Inspection Harassment Protocol [NEW: v12.0]</w:t>
      </w:r>
    </w:p>
    <w:p>
      <w:pPr>
        <w:pStyle w:val="Normal"/>
      </w:pPr>
      <w:r>
        <w:rPr>
          <w:rFonts w:ascii="Calibri" w:hAnsi="Calibri" w:eastAsia="Microsoft YaHei" w:cs="Calibri"/>
          <w:color w:val="263238"/>
          <w:sz w:val="21"/>
          <w:szCs w:val="21"/>
        </w:rPr>
        <w:t>Physical inspection delays, laboratory testing backlogs, and documentation requirements applied disproportionately to goods from IMESI Members enter the Gradual Pressure Register. Where average inspection times for IMESI exports exceed those for domestic producers or non-IMESI trading partners by more than 100% for three consecutive months, the pattern triggers a presumptive Chronic Coercion finding.</w:t>
      </w:r>
    </w:p>
    <w:p>
      <w:pPr>
        <w:pStyle w:val="Normal"/>
      </w:pPr>
      <w:r>
        <w:rPr>
          <w:rFonts w:ascii="Calibri" w:hAnsi="Calibri" w:eastAsia="Microsoft YaHei" w:cs="Calibri"/>
          <w:color w:val="263238"/>
          <w:sz w:val="21"/>
          <w:szCs w:val="21"/>
        </w:rPr>
        <w:t>(a) Chronic Coercion (v8.4): A coercer inflicts equivalent cumulative harm through sustained sub-threshold measures, each individually below severity triggers, but collectively devastating over 12–24 months. Existing activation thresholds assess per-event, not per-pattern. Mechanism: IEWC maintains a rolling 24-month pressure ledger per state, tracking: (a) documented policy demands with any economic measure attached, regardless of individual severity; (b) aggregate GDP impact across all measures; (c) pattern of sectoral targeting; (d) tariff rate increases cumulating &gt;10 percentage points on any member's exports; (e) tariff base expansions affecting new sectors &gt;5% of trade; (f) 'tariff uncertainty premiums' quantified via investment freeze metrics and forward-looking trade flow modelling (v9.3). Trigger: When cumulative impact exceeds 0.5% GDP OR when 3+ distinct measures target the same policy demand within 24 months, the IEWC certifies a Chronic Coercion Pattern.</w:t>
      </w:r>
    </w:p>
    <w:p>
      <w:pPr>
        <w:pStyle w:val="Normal"/>
      </w:pPr>
      <w:r>
        <w:rPr>
          <w:rFonts w:ascii="Calibri" w:hAnsi="Calibri" w:eastAsia="Microsoft YaHei" w:cs="Calibri"/>
          <w:color w:val="263238"/>
          <w:sz w:val="21"/>
          <w:szCs w:val="21"/>
        </w:rPr>
        <w:t>Activation Effects:</w:t>
      </w:r>
    </w:p>
    <w:p>
      <w:pPr>
        <w:pStyle w:val="Normal"/>
      </w:pPr>
      <w:r>
        <w:rPr>
          <w:rFonts w:ascii="Calibri" w:hAnsi="Calibri" w:eastAsia="Microsoft YaHei" w:cs="Calibri"/>
          <w:color w:val="263238"/>
          <w:sz w:val="21"/>
          <w:szCs w:val="21"/>
        </w:rPr>
        <w:t>(a) Expedited 14-day investigation (vs. standard 30–45 days) (b) Automatic Phase 1 authorisation if prior Tier 1 documentation exists for any component measure (c) Burden-sharing relief for affected member treated as Moderate severity regardless of individual measure classification Exclusion: Legitimate trade disputes without documented policy linkage are excluded from the pressure ledger. The 24-month rolling window prevents over-aggregation of stale events.</w:t>
      </w:r>
    </w:p>
    <w:p>
      <w:pPr>
        <w:pStyle w:val="Normal"/>
      </w:pPr>
      <w:r>
        <w:rPr>
          <w:rFonts w:ascii="Calibri" w:hAnsi="Calibri" w:eastAsia="Microsoft YaHei" w:cs="Calibri"/>
          <w:color w:val="263238"/>
          <w:sz w:val="21"/>
          <w:szCs w:val="21"/>
        </w:rPr>
        <w:t>Human Verification Panel (v8.5): Chronic Coercion certification requires unanimous finding by a three-person expert panel: one IEWC economist, one external academic specialist, and one representative from a non-aligned member state (rotating). The panel deliberates for 14 days before certification. Dissenting opinions are published. Panel selection is weighted toward affected member preference. (b) Gradual Pressure Accumulation (v8.8): IEWC maintains a Gradual Pressure Register tracking: • Regulatory changes with &gt;5% cost impact on member exports, cumulated over 36 months • Administrative delays increasing &gt;50% over baseline, sustained &gt;18 months • Standards harmonisation demands with compliance costs &gt;0.1% GDP annually • "Death by a thousand cuts" pattern: &gt;10 distinct measures, each below Minor threshold, targeting same policy domain</w:t>
      </w:r>
    </w:p>
    <w:p>
      <w:pPr>
        <w:pStyle w:val="Normal"/>
      </w:pPr>
      <w:r>
        <w:rPr>
          <w:rFonts w:ascii="Calibri" w:hAnsi="Calibri" w:eastAsia="Microsoft YaHei" w:cs="Calibri"/>
          <w:color w:val="263238"/>
          <w:sz w:val="21"/>
          <w:szCs w:val="21"/>
        </w:rPr>
        <w:t>(c) Gradual Pressure Triggers:</w:t>
      </w:r>
    </w:p>
    <w:p>
      <w:pPr>
        <w:pStyle w:val="Normal"/>
        <w:numPr>
          <w:ilvl w:val="0"/>
          <w:numId w:val="1"/>
        </w:numPr>
      </w:pPr>
      <w:r>
        <w:rPr>
          <w:rFonts w:ascii="Calibri" w:hAnsi="Calibri" w:eastAsia="Microsoft YaHei" w:cs="Calibri"/>
          <w:color w:val="263238"/>
          <w:sz w:val="21"/>
          <w:szCs w:val="21"/>
        </w:rPr>
        <w:t>36-month cumulative cost &gt;0.3% GDP: automatic consultation requirement</w:t>
      </w:r>
    </w:p>
    <w:p>
      <w:pPr>
        <w:pStyle w:val="Normal"/>
        <w:numPr>
          <w:ilvl w:val="0"/>
          <w:numId w:val="1"/>
        </w:numPr>
      </w:pPr>
      <w:r>
        <w:rPr>
          <w:rFonts w:ascii="Calibri" w:hAnsi="Calibri" w:eastAsia="Microsoft YaHei" w:cs="Calibri"/>
          <w:color w:val="263238"/>
          <w:sz w:val="21"/>
          <w:szCs w:val="21"/>
        </w:rPr>
        <w:t>36-month cumulative cost &gt;0.5% GDP: presumptive Moderate severity classification</w:t>
      </w:r>
    </w:p>
    <w:p>
      <w:pPr>
        <w:pStyle w:val="Normal"/>
        <w:numPr>
          <w:ilvl w:val="0"/>
          <w:numId w:val="1"/>
        </w:numPr>
      </w:pPr>
      <w:r>
        <w:rPr>
          <w:rFonts w:ascii="Calibri" w:hAnsi="Calibri" w:eastAsia="Microsoft YaHei" w:cs="Calibri"/>
          <w:color w:val="263238"/>
          <w:sz w:val="21"/>
          <w:szCs w:val="21"/>
        </w:rPr>
        <w:t>Pattern of &gt;15 sub-threshold measures with documented policy linkage: Chronic Coercion certification (d) Response Characteristics: Gradual pressure responses emphasise: structural diversification subsidies; permanent supply chain reconfiguration; regulatory equivalence negotiations; long-term WTO cases. Speed is less critical than irreversibility of protective measures.</w:t>
      </w:r>
    </w:p>
    <w:p>
      <w:pPr>
        <w:pStyle w:val="Normal"/>
      </w:pPr>
      <w:r>
        <w:rPr>
          <w:rFonts w:ascii="Calibri" w:hAnsi="Calibri" w:eastAsia="Microsoft YaHei" w:cs="Calibri"/>
          <w:color w:val="263238"/>
          <w:sz w:val="21"/>
          <w:szCs w:val="21"/>
        </w:rPr>
        <w:t>Section 2.10 (Amended): Chronic and Gradual Coercion Protocol, Threshold Adjustment [v9.8 Revision]</w:t>
      </w:r>
    </w:p>
    <w:p>
      <w:pPr>
        <w:pStyle w:val="Normal"/>
      </w:pPr>
      <w:r>
        <w:rPr>
          <w:rFonts w:ascii="Calibri" w:hAnsi="Calibri" w:eastAsia="Microsoft YaHei" w:cs="Calibri"/>
          <w:color w:val="263238"/>
          <w:sz w:val="21"/>
          <w:szCs w:val="21"/>
        </w:rPr>
        <w:t>Revised Thresholds</w:t>
      </w:r>
    </w:p>
    <w:p>
      <w:pPr>
        <w:pStyle w:val="Normal"/>
      </w:pPr>
      <w:r>
        <w:rPr>
          <w:rFonts w:ascii="Calibri" w:hAnsi="Calibri" w:eastAsia="Microsoft YaHei" w:cs="Calibri"/>
          <w:color w:val="263238"/>
          <w:sz w:val="21"/>
          <w:szCs w:val="21"/>
        </w:rPr>
        <w:t>Cumulative economic pressure: Previous Threshold 0.5% GDP, Revised Threshold 0.3% GDP. Incident count: Previous Threshold 3+ measures in 24 months, Revised Threshold 2+ measures in 36 months.</w:t>
      </w:r>
    </w:p>
    <w:p>
      <w:pPr>
        <w:pStyle w:val="Normal"/>
      </w:pPr>
      <w:r>
        <w:rPr>
          <w:rFonts w:ascii="Calibri" w:hAnsi="Calibri" w:eastAsia="Microsoft YaHei" w:cs="Calibri"/>
          <w:color w:val="263238"/>
          <w:sz w:val="21"/>
          <w:szCs w:val="21"/>
        </w:rPr>
        <w:t>Amber Pressure Status (New Intermediate Tier)</w:t>
      </w:r>
    </w:p>
    <w:p>
      <w:pPr>
        <w:pStyle w:val="Normal"/>
      </w:pPr>
      <w:r>
        <w:rPr>
          <w:rFonts w:ascii="Calibri" w:hAnsi="Calibri" w:eastAsia="Microsoft YaHei" w:cs="Calibri"/>
          <w:color w:val="263238"/>
          <w:sz w:val="21"/>
          <w:szCs w:val="21"/>
        </w:rPr>
        <w:t>Sub-threshold accumulation (0.15%-0.3% GDP cumulative or 1 isolated measure with &gt;0.1% GDP impact in prior 24 months) triggers "Amber Pressure Status":</w:t>
      </w:r>
    </w:p>
    <w:p>
      <w:pPr>
        <w:pStyle w:val="Normal"/>
      </w:pPr>
      <w:r>
        <w:rPr>
          <w:rFonts w:ascii="Calibri" w:hAnsi="Calibri" w:eastAsia="Microsoft YaHei" w:cs="Calibri"/>
          <w:color w:val="263238"/>
          <w:sz w:val="21"/>
          <w:szCs w:val="21"/>
        </w:rPr>
        <w:t>Mandatory IEWC briefing to affected member's parliament (within 7 days of determination);</w:t>
      </w:r>
    </w:p>
    <w:p>
      <w:pPr>
        <w:pStyle w:val="Normal"/>
      </w:pPr>
      <w:r>
        <w:rPr>
          <w:rFonts w:ascii="Calibri" w:hAnsi="Calibri" w:eastAsia="Microsoft YaHei" w:cs="Calibri"/>
          <w:color w:val="263238"/>
          <w:sz w:val="21"/>
          <w:szCs w:val="21"/>
        </w:rPr>
        <w:t>Automatic Resilience Fund "Diversification Fast-Track" eligibility (Section 8.9A): expedited review of member's supply-chain and critical-infrastructure diversification requests; 15-day turnaround on fund applications;</w:t>
      </w:r>
    </w:p>
    <w:p>
      <w:pPr>
        <w:pStyle w:val="Normal"/>
      </w:pPr>
      <w:r>
        <w:rPr>
          <w:rFonts w:ascii="Calibri" w:hAnsi="Calibri" w:eastAsia="Microsoft YaHei" w:cs="Calibri"/>
          <w:color w:val="263238"/>
          <w:sz w:val="21"/>
          <w:szCs w:val="21"/>
        </w:rPr>
        <w:t>Public Dashboard entry (Section 4.2A): "Elevated Pressure Monitoring" status with no attribution to specific coercer or measures (informational only);</w:t>
      </w:r>
    </w:p>
    <w:p>
      <w:pPr>
        <w:pStyle w:val="Normal"/>
      </w:pPr>
      <w:r>
        <w:rPr>
          <w:rFonts w:ascii="Calibri" w:hAnsi="Calibri" w:eastAsia="Microsoft YaHei" w:cs="Calibri"/>
          <w:color w:val="263238"/>
          <w:sz w:val="21"/>
          <w:szCs w:val="21"/>
        </w:rPr>
        <w:t>Secretariat offers 90-day diplomatic consultation window to coercing state (optional; provides off-ramp for policy correction).</w:t>
      </w:r>
    </w:p>
    <w:p>
      <w:pPr>
        <w:pStyle w:val="Normal"/>
      </w:pPr>
      <w:r>
        <w:rPr>
          <w:rFonts w:ascii="Calibri" w:hAnsi="Calibri" w:eastAsia="Microsoft YaHei" w:cs="Calibri"/>
          <w:color w:val="263238"/>
          <w:sz w:val="21"/>
          <w:szCs w:val="21"/>
        </w:rPr>
        <w:t>Chronic Coercion Certification (Lowered Threshold)</w:t>
      </w:r>
    </w:p>
    <w:p>
      <w:pPr>
        <w:pStyle w:val="Normal"/>
      </w:pPr>
      <w:r>
        <w:rPr>
          <w:rFonts w:ascii="Calibri" w:hAnsi="Calibri" w:eastAsia="Microsoft YaHei" w:cs="Calibri"/>
          <w:color w:val="263238"/>
          <w:sz w:val="21"/>
          <w:szCs w:val="21"/>
        </w:rPr>
        <w:t>Upon revised threshold breach: Expedited 14-day investigation (unchanged); If prior Tier 1 coercion documentation exists for any component measure, automatic Phase 1 activation (no additional vote); If no prior documentation, standard IEWC recommendation to CC (Section 5.0).</w:t>
      </w:r>
    </w:p>
    <w:p>
      <w:pPr>
        <w:pStyle w:val="Heading3"/>
      </w:pPr>
      <w:r>
        <w:t>Section 2.10 (Third Addendum): Systemic-Actor Cumulative Pressure Reduction [NEW: v15.0]</w:t>
      </w:r>
    </w:p>
    <w:p>
      <w:r>
        <w:t>(e) Where the IEWC certifies that the coercing state constitutes a systemic economy (GDP exceeding 5% of global GDP), the cumulative pressure threshold for Chronic Coercion certification under Section 2.10(a) reduces as follows: (i) the GDP impact threshold reduces from 0.3% to 0.15%; (ii) the incident count threshold reduces from 2+ measures in 36 months to 1+ measure in 12 months; and (iii) the tariff-rate accumulation threshold reduces from above 10 percentage points to above 5 percentage points.</w:t>
      </w:r>
    </w:p>
    <w:p>
      <w:r>
        <w:t>(f) Amber Pressure Status under Section 2.10(b) triggers automatically for systemic-economy coercers at: (i) cumulative GDP impact of 0.075%; (ii) a single measure with above 0.05% GDP impact; or (iii) a single tariff increase exceeding 3 percentage points.</w:t>
      </w:r>
    </w:p>
    <w:p>
      <w:r>
        <w:t>(g) The reduced thresholds under this Section apply only to measures that: (i) lack multilateral coordination through WTO, IMF, or equivalent frameworks; (ii) are imposed without 90 days' advance notification; and (iii) are not applied uniformly across all trading partners.</w:t>
      </w:r>
    </w:p>
    <w:p>
      <w:r>
        <w:t>Rationale: This closes the calibration loophole. A systemic economy cannot game the thresholds, because the thresholds sit lower for systemic actors. Every action banks cumulative pressure faster. Subsection (g)(iii) confines the reduction to discriminatory measures, preserving full space for WTO-consistent, uniformly applied trade policy.</w:t>
      </w:r>
    </w:p>
    <w:p>
      <w:pPr>
        <w:pStyle w:val="Heading2"/>
      </w:pPr>
      <w:r>
        <w:rPr>
          <w:rFonts w:ascii="Calibri" w:hAnsi="Calibri" w:eastAsia="Microsoft YaHei" w:cs="Calibri"/>
          <w:b/>
          <w:color w:val="263238"/>
          <w:sz w:val="25"/>
          <w:szCs w:val="25"/>
        </w:rPr>
        <w:t>Section 2.10A: Intensity-Compressed Coercion Protocol [NEW: v9.8 Red Team Fix]</w:t>
      </w:r>
    </w:p>
    <w:p>
      <w:pPr>
        <w:pStyle w:val="Normal"/>
      </w:pPr>
      <w:r>
        <w:rPr>
          <w:rFonts w:ascii="Calibri" w:hAnsi="Calibri" w:eastAsia="Microsoft YaHei" w:cs="Calibri"/>
          <w:color w:val="263238"/>
          <w:sz w:val="21"/>
          <w:szCs w:val="21"/>
        </w:rPr>
        <w:t>Purpose: Capture rapid, high-intensity coercion that falls below cumulative thresholds but causes acute economic shock.</w:t>
      </w:r>
    </w:p>
    <w:p>
      <w:pPr>
        <w:pStyle w:val="Normal"/>
      </w:pPr>
      <w:r>
        <w:rPr>
          <w:rFonts w:ascii="Calibri" w:hAnsi="Calibri" w:eastAsia="Microsoft YaHei" w:cs="Calibri"/>
          <w:color w:val="263238"/>
          <w:sz w:val="21"/>
          <w:szCs w:val="21"/>
        </w:rPr>
        <w:t>Trigger Conditions</w:t>
      </w:r>
    </w:p>
    <w:p>
      <w:pPr>
        <w:pStyle w:val="Normal"/>
      </w:pPr>
      <w:r>
        <w:rPr>
          <w:rFonts w:ascii="Calibri" w:hAnsi="Calibri" w:eastAsia="Microsoft YaHei" w:cs="Calibri"/>
          <w:color w:val="263238"/>
          <w:sz w:val="21"/>
          <w:szCs w:val="21"/>
        </w:rPr>
        <w:t>IEWC certifies "Intensity-Compressed Coercion" if: (a) Single measure or coordinated measure-cluster causes &gt;0.2% GDP negative impact within 30-day window; AND (b) Measure is temporally linked to political demand or diplomatic dispute (nexus required). Does NOT require cumulative threshold (0.3%) to be met; does NOT require 2+ measures.</w:t>
      </w:r>
    </w:p>
    <w:p>
      <w:pPr>
        <w:pStyle w:val="Normal"/>
      </w:pPr>
      <w:r>
        <w:rPr>
          <w:rFonts w:ascii="Calibri" w:hAnsi="Calibri" w:eastAsia="Microsoft YaHei" w:cs="Calibri"/>
          <w:color w:val="263238"/>
          <w:sz w:val="21"/>
          <w:szCs w:val="21"/>
        </w:rPr>
        <w:t>Phase 0+ Protective Response (Non-Escalatory)</w:t>
      </w:r>
    </w:p>
    <w:p>
      <w:pPr>
        <w:pStyle w:val="Normal"/>
      </w:pPr>
      <w:r>
        <w:rPr>
          <w:rFonts w:ascii="Calibri" w:hAnsi="Calibri" w:eastAsia="Microsoft YaHei" w:cs="Calibri"/>
          <w:color w:val="263238"/>
          <w:sz w:val="21"/>
          <w:szCs w:val="21"/>
        </w:rPr>
        <w:t>Certification triggers immediate automatic Phase 0+ measures (within 24 hours): Resilience Fund pre-positioned capital (Section 8.9) releases up to 0.15% of allocating member's GDP for emergency liquidity; Digital Infrastructure Resilience Fund (Section 8.8) releases capital for supply-chain substitution at 5-day approval; Swap-line coordination (Annex 11C) activated; Diplomatic consultation window (90 days) opens with coercer state.</w:t>
      </w:r>
    </w:p>
    <w:p>
      <w:pPr>
        <w:pStyle w:val="Normal"/>
      </w:pPr>
      <w:r>
        <w:rPr>
          <w:rFonts w:ascii="Calibri" w:hAnsi="Calibri" w:eastAsia="Microsoft YaHei" w:cs="Calibri"/>
          <w:color w:val="263238"/>
          <w:sz w:val="21"/>
          <w:szCs w:val="21"/>
        </w:rPr>
        <w:t>NOT sanctions; NOT Phase 1. Purely defensive.</w:t>
      </w:r>
    </w:p>
    <w:p>
      <w:pPr>
        <w:pStyle w:val="Normal"/>
      </w:pPr>
      <w:r>
        <w:rPr>
          <w:rFonts w:ascii="Calibri" w:hAnsi="Calibri" w:eastAsia="Microsoft YaHei" w:cs="Calibri"/>
          <w:color w:val="263238"/>
          <w:sz w:val="21"/>
          <w:szCs w:val="21"/>
        </w:rPr>
        <w:t>De-Escalation Logic</w:t>
      </w:r>
    </w:p>
    <w:p>
      <w:pPr>
        <w:pStyle w:val="Normal"/>
      </w:pPr>
      <w:r>
        <w:rPr>
          <w:rFonts w:ascii="Calibri" w:hAnsi="Calibri" w:eastAsia="Microsoft YaHei" w:cs="Calibri"/>
          <w:color w:val="263238"/>
          <w:sz w:val="21"/>
          <w:szCs w:val="21"/>
        </w:rPr>
        <w:t>If coercer lifts measure within 30 days: Certification expires automatically; Protective measures wind down; Case logged as "Intense Temporary Pressure." If coercer maintains beyond 30 days: Case transitions to standard GPEW or Chronic Coercion Protocol; Phase 1 auto-triggers per Section 5.0A.</w:t>
      </w:r>
    </w:p>
    <w:p>
      <w:pPr>
        <w:pStyle w:val="Normal"/>
      </w:pPr>
      <w:r>
        <w:rPr>
          <w:rFonts w:ascii="Calibri" w:hAnsi="Calibri" w:eastAsia="Microsoft YaHei" w:cs="Calibri"/>
          <w:color w:val="263238"/>
          <w:sz w:val="21"/>
          <w:szCs w:val="21"/>
        </w:rPr>
        <w:t>Section 2.10A (Addendum): Military Nexus Fast-Lane [NEW: v9.8A Military-Economic Nexus]</w:t>
      </w:r>
    </w:p>
    <w:p>
      <w:pPr>
        <w:pStyle w:val="Normal"/>
      </w:pPr>
      <w:r>
        <w:rPr>
          <w:rFonts w:ascii="Calibri" w:hAnsi="Calibri" w:eastAsia="Microsoft YaHei" w:cs="Calibri"/>
          <w:color w:val="263238"/>
          <w:sz w:val="21"/>
          <w:szCs w:val="21"/>
        </w:rPr>
        <w:t>Where the conditions in Section 2.10A(a) are met and IEWC certifies that the coercive economic measure is accompanied by a credible threat or use of armed force against the affected Member, the following additional adjustments apply:</w:t>
      </w:r>
    </w:p>
    <w:p>
      <w:pPr>
        <w:pStyle w:val="Normal"/>
      </w:pPr>
      <w:r>
        <w:rPr>
          <w:rFonts w:ascii="Calibri" w:hAnsi="Calibri" w:eastAsia="Microsoft YaHei" w:cs="Calibri"/>
          <w:color w:val="263238"/>
          <w:sz w:val="21"/>
          <w:szCs w:val="21"/>
        </w:rPr>
        <w:t>(i) Phase 0+ protective measures are deployed within 12 hours of certification, rather than 24 hours;</w:t>
      </w:r>
    </w:p>
    <w:p>
      <w:pPr>
        <w:pStyle w:val="Normal"/>
      </w:pPr>
      <w:r>
        <w:rPr>
          <w:rFonts w:ascii="Calibri" w:hAnsi="Calibri" w:eastAsia="Microsoft YaHei" w:cs="Calibri"/>
          <w:color w:val="263238"/>
          <w:sz w:val="21"/>
          <w:szCs w:val="21"/>
        </w:rPr>
        <w:t>(ii) the diplomatic consultation window with the coercing state is shortened from 90 days to 30 days by 60% weighted vote of the Coordination Committee, with unanimous consent of the affected member required; and</w:t>
      </w:r>
    </w:p>
    <w:p>
      <w:pPr>
        <w:pStyle w:val="Normal"/>
      </w:pPr>
      <w:r>
        <w:rPr>
          <w:rFonts w:ascii="Calibri" w:hAnsi="Calibri" w:eastAsia="Microsoft YaHei" w:cs="Calibri"/>
          <w:color w:val="263238"/>
          <w:sz w:val="21"/>
          <w:szCs w:val="21"/>
        </w:rPr>
        <w:t>(iii) any transition from Phase 0+ to Phase 1 under Section 5.0A requires renewed human confirmation by the Coordination Committee, with explicit consideration of de-escalation options.</w:t>
      </w:r>
    </w:p>
    <w:p>
      <w:pPr>
        <w:pStyle w:val="Heading2"/>
      </w:pPr>
      <w:r>
        <w:rPr>
          <w:rFonts w:ascii="Calibri" w:hAnsi="Calibri" w:eastAsia="Microsoft YaHei" w:cs="Calibri"/>
          <w:b/>
          <w:color w:val="263238"/>
          <w:sz w:val="25"/>
          <w:szCs w:val="25"/>
        </w:rPr>
        <w:t>Section 2.10B: Repeat Coercer Presumption for Small States [NEW: v9.8A Small-State Protection]</w:t>
      </w:r>
    </w:p>
    <w:p>
      <w:pPr>
        <w:pStyle w:val="Normal"/>
      </w:pPr>
      <w:r>
        <w:rPr>
          <w:rFonts w:ascii="Calibri" w:hAnsi="Calibri" w:eastAsia="Microsoft YaHei" w:cs="Calibri"/>
          <w:color w:val="263238"/>
          <w:sz w:val="21"/>
          <w:szCs w:val="21"/>
        </w:rPr>
        <w:t>When the same coercer has been certified as targeting two or more small-state Members within any 36-month period, IEWC applies pattern-based certification with reduced documentation requirements: one fewer Tier 1 document is required, and prior case records from the Pattern Ledger (Section 2.10) substitutes for fresh primary evidence, subject to sign-off by a dedicated small-state review panel (3 IEWC members including at least 1 small-state representative). This prevents repeated low-grade coercion from flying under the radar simply because individual small states lack the resources for full documentation.</w:t>
      </w:r>
    </w:p>
    <w:p>
      <w:pPr>
        <w:pStyle w:val="Heading2"/>
      </w:pPr>
      <w:r>
        <w:rPr>
          <w:rFonts w:ascii="Calibri" w:hAnsi="Calibri" w:eastAsia="Microsoft YaHei" w:cs="Calibri"/>
          <w:b/>
          <w:color w:val="263238"/>
          <w:sz w:val="25"/>
          <w:szCs w:val="25"/>
        </w:rPr>
        <w:t>Section 2.10C: Regulatory Surprise Protocol [NEW: v12.1]</w:t>
      </w:r>
    </w:p>
    <w:p>
      <w:pPr>
        <w:pStyle w:val="Normal"/>
      </w:pPr>
      <w:r>
        <w:rPr>
          <w:rFonts w:ascii="Calibri" w:hAnsi="Calibri" w:eastAsia="Microsoft YaHei" w:cs="Calibri"/>
          <w:color w:val="263238"/>
          <w:sz w:val="21"/>
          <w:szCs w:val="21"/>
        </w:rPr>
        <w:t>Regulatory Surprise exists where a state: (a) implements regulatory changes, including sanitary, phytosanitary, technical, or environmental standards, imposing compliance costs equivalent to a tariff exceeding 10% ad valorem on goods or services from one or more Members; (b) does so with less than 30 days' notice or without consultation with affected trading partners; and (c) acts in a manner materially inconsistent with its established regulatory pattern, international standards, or prior WTO notifications. Upon IEWC certification the regulatory changes constitute an economic measure under Section 2.1, with the equivalent tariff burden used for severity classification and proportionality assessment; the affected Member gains expedited access to the Regulatory Friction Parallel Track (Section 10.7); and the changes enter the 24-month rolling pressure ledger of the Chronic Coercion Protocol (Section 2.10).</w:t>
      </w:r>
    </w:p>
    <w:p>
      <w:pPr>
        <w:pStyle w:val="Heading2"/>
      </w:pPr>
      <w:r>
        <w:rPr>
          <w:rFonts w:ascii="Calibri" w:hAnsi="Calibri" w:eastAsia="Microsoft YaHei" w:cs="Calibri"/>
          <w:b/>
          <w:color w:val="263238"/>
          <w:sz w:val="25"/>
          <w:szCs w:val="25"/>
        </w:rPr>
        <w:t>Section 2.10D: Customs Harassment and Administrative Obstruction Protocol [NEW: v12.1]</w:t>
      </w:r>
    </w:p>
    <w:p>
      <w:pPr>
        <w:pStyle w:val="Normal"/>
      </w:pPr>
      <w:r>
        <w:rPr>
          <w:rFonts w:ascii="Calibri" w:hAnsi="Calibri" w:eastAsia="Microsoft YaHei" w:cs="Calibri"/>
          <w:color w:val="263238"/>
          <w:sz w:val="21"/>
          <w:szCs w:val="21"/>
        </w:rPr>
        <w:t>Customs Harassment exists where a state: (a) imposes selective customs inspections, detentions, or documentation requirements on goods from one or more Members; (b) increases average clearance times for goods from Members by more than 100% relative to the prior 12-month average; and (c) applies such measures only to states with which it maintains an active policy dispute or diplomatic friction. The IEWC maintains a Customs Harassment Monitoring Unit tracking clearance times, inspection and detention rates, and documentation requirements by country of origin. Upon certification the measures constitute a Chronic Coercion Pattern under Section 2.10, the affected Member gains expedited Fund support, and the Trade Facilitation Corridors (Annex 3B) activate for the affected Member. Certification operates independently of WTO dispute settlement proceedings, consistent with the standards of WTO Trade Facilitation Agreement Articles 1 and 7.</w:t>
      </w:r>
    </w:p>
    <w:p>
      <w:pPr>
        <w:pStyle w:val="Normal"/>
      </w:pPr>
      <w:r>
        <w:rPr>
          <w:rFonts w:ascii="Calibri" w:hAnsi="Calibri" w:eastAsia="Microsoft YaHei" w:cs="Calibri"/>
          <w:color w:val="263238"/>
          <w:sz w:val="21"/>
          <w:szCs w:val="21"/>
        </w:rPr>
        <w:t>Section 2.10 (Addendum): Automated Regulatory Measures in Gradual Pressure Register [NEW: v9.9]</w:t>
      </w:r>
    </w:p>
    <w:p>
      <w:pPr>
        <w:pStyle w:val="Normal"/>
      </w:pPr>
      <w:r>
        <w:rPr>
          <w:rFonts w:ascii="Calibri" w:hAnsi="Calibri" w:eastAsia="Microsoft YaHei" w:cs="Calibri"/>
          <w:color w:val="263238"/>
          <w:sz w:val="21"/>
          <w:szCs w:val="21"/>
        </w:rPr>
        <w:t>For the purposes of the Gradual Pressure Register, "regulatory measures" include patterns of automated or algorithmically generated procedures (including AI-assisted questionnaires, risk scoring, and document requests) that significantly and selectively increase compliance burdens for enterprises from one or more Members.</w:t>
      </w:r>
    </w:p>
    <w:p>
      <w:pPr>
        <w:pStyle w:val="Normal"/>
      </w:pPr>
      <w:r>
        <w:rPr>
          <w:rFonts w:ascii="Calibri" w:hAnsi="Calibri" w:eastAsia="Microsoft YaHei" w:cs="Calibri"/>
          <w:color w:val="263238"/>
          <w:sz w:val="21"/>
          <w:szCs w:val="21"/>
        </w:rPr>
        <w:t>Patterns (Addendum): Algorithmic Regulatory Harassment [NEW: v9.9]</w:t>
      </w:r>
    </w:p>
    <w:p>
      <w:pPr>
        <w:pStyle w:val="Normal"/>
      </w:pPr>
      <w:r>
        <w:rPr>
          <w:rFonts w:ascii="Calibri" w:hAnsi="Calibri" w:eastAsia="Microsoft YaHei" w:cs="Calibri"/>
          <w:color w:val="263238"/>
          <w:sz w:val="21"/>
          <w:szCs w:val="21"/>
        </w:rPr>
        <w:t>Algorithmic regulatory harassment against firms from a single Member: thousands of automated compliance demands and investigations that individually look routine but, in aggregate, create a sustained chilling effect on market access.</w:t>
      </w:r>
    </w:p>
    <w:p>
      <w:pPr>
        <w:pStyle w:val="Heading2"/>
      </w:pPr>
      <w:r>
        <w:rPr>
          <w:rFonts w:ascii="Calibri" w:hAnsi="Calibri" w:eastAsia="Microsoft YaHei" w:cs="Calibri"/>
          <w:b/>
          <w:color w:val="263238"/>
          <w:sz w:val="25"/>
          <w:szCs w:val="25"/>
        </w:rPr>
        <w:t>Section 2.11: Environmental Force Majeure</w:t>
      </w:r>
    </w:p>
    <w:p>
      <w:pPr>
        <w:pStyle w:val="Normal"/>
      </w:pPr>
      <w:r>
        <w:rPr>
          <w:rFonts w:ascii="Calibri" w:hAnsi="Calibri" w:eastAsia="Microsoft YaHei" w:cs="Calibri"/>
          <w:color w:val="263238"/>
          <w:sz w:val="21"/>
          <w:szCs w:val="21"/>
        </w:rPr>
        <w:t>Automatic suspension of all Chronic Coercion triggers and active Phase 1 measures when: (a) UNFCCC certifies an extreme weather event in the coercing state of a magnitude affecting &gt;5% of GDP or &gt;10% of population (b) FAO or WFP certifies acute food insecurity affecting &gt;10% of the coercing state's population Duration: Suspension lasts 180 days; renewable by 55% weighted vote. Existing Phase 2+ measures are maintained but not escalated. Override: If the coercing state continues or escalates coercive measures during the force majeure period, the coalition overrides the suspension by 60% weighted vote. Principle: IMESI is a defensive institution with a humanitarian floor. Economic stabilisation measures do not compound natural disasters.</w:t>
      </w:r>
    </w:p>
    <w:p>
      <w:pPr>
        <w:pStyle w:val="Heading2"/>
      </w:pPr>
      <w:r>
        <w:rPr>
          <w:rFonts w:ascii="Calibri" w:hAnsi="Calibri" w:eastAsia="Microsoft YaHei" w:cs="Calibri"/>
          <w:b/>
          <w:color w:val="263238"/>
          <w:sz w:val="25"/>
          <w:szCs w:val="25"/>
        </w:rPr>
        <w:t>Section 2.12: Hybrid Coercion Doctrine</w:t>
      </w:r>
    </w:p>
    <w:p>
      <w:pPr>
        <w:pStyle w:val="Heading3"/>
      </w:pPr>
      <w:r>
        <w:rPr>
          <w:rFonts w:ascii="Calibri" w:hAnsi="Calibri" w:eastAsia="Microsoft YaHei" w:cs="Calibri"/>
          <w:b/>
          <w:color w:val="546E7A"/>
          <w:sz w:val="22"/>
          <w:szCs w:val="22"/>
        </w:rPr>
        <w:t>Section 2.12B: Security-Alliance Linked Coercion Protocol [NEW: v12.0]</w:t>
      </w:r>
    </w:p>
    <w:p>
      <w:pPr>
        <w:pStyle w:val="Normal"/>
      </w:pPr>
      <w:r>
        <w:rPr>
          <w:rFonts w:ascii="Calibri" w:hAnsi="Calibri" w:eastAsia="Microsoft YaHei" w:cs="Calibri"/>
          <w:color w:val="263238"/>
          <w:sz w:val="21"/>
          <w:szCs w:val="21"/>
        </w:rPr>
        <w:t>Where a state explicitly or implicitly conditions tariff treatment, market access, or economic cooperation on a Member’s defence spending levels, security alliance commitments, or military posture, the conduct constitutes Security-Alliance Linked Coercion. Such conduct automatically triggers the Military-Economic Nexus provisions (Section 2.12A) and the Enhanced Civilian Protection Protocol (Section 1.1 Addendum), regardless of whether armed force enters the threat.</w:t>
      </w:r>
    </w:p>
    <w:p>
      <w:pPr>
        <w:pStyle w:val="Normal"/>
      </w:pPr>
      <w:r>
        <w:rPr>
          <w:rFonts w:ascii="Calibri" w:hAnsi="Calibri" w:eastAsia="Microsoft YaHei" w:cs="Calibri"/>
          <w:color w:val="263238"/>
          <w:sz w:val="21"/>
          <w:szCs w:val="21"/>
        </w:rPr>
        <w:t>(a) Definition: Hybrid coercion exists when economic measures are combined with non-economic pressure, cyber operations, data manipulation, platform control, or infrastructure sabotage, to amplify compulsion. The presence of any non-economic vector lowers evidentiary thresholds for economic coercion findings. (b) Integrated Assessment: IEWC establishes a Hybrid Threat Cell with cyber, data governance, and critical infrastructure expertise. Hybrid cases trigger automatic cross-domain response authorisation: economic stabilisation measures plus cyber defence coordination, data sovereignty protocols, and infrastructure hardening. (c) Attribution Standard: For cyber/data components, IEWC ons rely: commercial threat intelligence; member agency assessments; pattern analysis correlating timing with economic demands. Tier 1 documentation required only for the economic component.</w:t>
      </w:r>
    </w:p>
    <w:p>
      <w:pPr>
        <w:pStyle w:val="Heading2"/>
      </w:pPr>
      <w:r>
        <w:t>Section 2.14: Private Economic Coercion Protocol (PECP)</w:t>
      </w:r>
    </w:p>
    <w:p>
      <w:pPr>
        <w:pStyle w:val="Heading3"/>
      </w:pPr>
      <w:r>
        <w:t>Section 2.14 (Addendum): Platform Coercion Protocol [NEW: v12.0]</w:t>
      </w:r>
    </w:p>
    <w:p>
      <w:r>
        <w:t>Private economic coercion includes platform-based measures: algorithmic demotion of Member-state content, search result manipulation, account suspension of government entities, app-store access denial, and payment processing restrictions. Where a platform holding over 30% global market share in a critical infrastructure service engages in such conduct with documented policy linkage, the IEWC certifies Platform Coercion under this Protocol. Responses include coordinated regulatory action, interoperability mandates, and procurement exclusion consistent with Members’ obligations under the WTO Government Procurement Agreement.</w:t>
      </w:r>
    </w:p>
    <w:p>
      <w:r>
        <w:t>Definition: Private economic coercion exists when a non-state entity with &gt;30% global market share in a critical infrastructure service denies service to compel policy change, without credible commercial justification, causing &gt;0.5% GDP impact or &gt;50,000 job losses in a Member. Attribution: Rebuttable presumption if: market dominance + timing correlation + discriminatory application (no need to prove state direction). Response toolkit: Coordinated regulatory actions: interoperability mandates, data portability, antitrust, procurement exclusion, joint development of alternatives. No tariffs or state-level sanctions on the entity's home country. Legal basis: domestic regulation / competition law and GATS Article VI; national treatment preserved.</w:t>
      </w:r>
    </w:p>
    <w:p>
      <w:pPr>
        <w:pStyle w:val="Heading2"/>
      </w:pPr>
      <w:r>
        <w:t>Section 2.15: Climate Policy Coordination Charter (CPCC)</w:t>
      </w:r>
    </w:p>
    <w:p>
      <w:pPr>
        <w:pStyle w:val="Heading3"/>
      </w:pPr>
      <w:r>
        <w:t>Section 2.15 (Addendum): Sham Investigation Protocol [NEW: v11.0]</w:t>
      </w:r>
    </w:p>
    <w:p>
      <w:r>
        <w:t>The Evidentiary Standards incorporate a specific criterion: an investigation initiated on unfair trade grounds, including Section 301 authorities, that ranges materially broader than the stated grievance, such as targeting $500 billion in goods over a $10 billion grievance, triggers a presumption of coercion.</w:t>
      </w:r>
    </w:p>
    <w:p>
      <w:r>
        <w:t>Scope: CBAMs, green subsidies, critical mineral restrictions, climate finance conditions when applied member-to-member. Notification: 90-day advance notice for measures affecting &gt;5% of bilateral trade. Consultation: 30-day mandatory consultation on request; IEWC assesses disproportionate burden (not legitimacy of climate policy). IAC Referral: Automatic if &gt;10% trade impact, linked to non-climate demands, or requested by 2+ members. IAC focus is on burden distribution, not forcing policy reversal.</w:t>
      </w:r>
    </w:p>
    <w:p>
      <w:pPr>
        <w:pStyle w:val="Heading2"/>
      </w:pPr>
      <w:r>
        <w:t>Section 2.13: Regional and Sectoral Inclusion Clause</w:t>
      </w:r>
    </w:p>
    <w:p>
      <w:r>
        <w:t>Measures under this Instrument is applied in relation to specific regions or sectors within a Member where an AESI is targeted or where dependence and vulnerability are particularly acute, as identified pursuant to criteria set out in an Annex. This ensures that geographically concentrated or sector-specific coercion receives tailored response calibration rather than only whole-of-economy assessment. Criteria: The Secretariat maintains a Regional and Sectoral Vulnerability Register identifying: (a) sub-national regions with &gt;30% economic dependence on a single non-member trading partner; (b) sectors where a non-member controls &gt;40% of critical input supply; (c) border regions subject to targeted administrative obstruction. Registration is voluntary and confidential.</w:t>
      </w:r>
    </w:p>
    <w:p>
      <w:r>
        <w:t>(d) Response Menu:</w:t>
      </w:r>
    </w:p>
    <w:p>
      <w:pPr>
        <w:pStyle w:val="Normal"/>
        <w:numPr>
          <w:ilvl w:val="0"/>
          <w:numId w:val="1"/>
        </w:numPr>
      </w:pPr>
      <w:r>
        <w:t>Cyber-Economic: Coordinated disclosure of attribution; joint cyber defence; sanctions on cyber service providers</w:t>
      </w:r>
    </w:p>
    <w:p>
      <w:r>
        <w:t>Data-Economic: Reciprocal data localisation; platform access restrictions; algorithmic transparency mandates</w:t>
      </w:r>
    </w:p>
    <w:p>
      <w:pPr>
        <w:pStyle w:val="Normal"/>
        <w:numPr>
          <w:ilvl w:val="0"/>
          <w:numId w:val="1"/>
        </w:numPr>
      </w:pPr>
      <w:r>
        <w:t>Infrastructure-Economic: Physical security coordination; alternative routing; emergency repair protocols</w:t>
      </w:r>
    </w:p>
    <w:p>
      <w:pPr>
        <w:pStyle w:val="Heading2"/>
      </w:pPr>
      <w:r>
        <w:t>Section 2.0A: Universal Applicability Principle [NEW: v9.8B]</w:t>
      </w:r>
    </w:p>
    <w:p>
      <w:r>
        <w:t>The definitions, certification standards, and response mechanisms of this Instrument apply to economic coercion by any state, including Members themselves. Intra-member coercion, where one Member engages in conduct meeting the Article II, Section 2.1 definition against another Member, is assessed, certified, and responded to under the same evidentiary standards, procedural safeguards, and proportionality requirements as coercion by non-members. No state is exempt from scrutiny and no state is presumptively targeted. This universal applicability is fundamental to IMESI's credibility as a rules-based, non-discriminatory instrument.</w:t>
      </w:r>
    </w:p>
    <w:p>
      <w:pPr>
        <w:pStyle w:val="Heading2"/>
      </w:pPr>
      <w:r>
        <w:t>Section 2.1C: Preferential Aggregation for Small-State Coercion Cases [NEW: v9.8A Small-State Protection]</w:t>
      </w:r>
    </w:p>
    <w:p>
      <w:r>
        <w:t>When three or more small-state Members (as defined in Section 4.1A) face similar economic measures from the same coercer within a 24-month period, IEWC aggregates these into a single AESI and classify the consolidated case as at least "Moderate" severity by default, unless the Coordination Committee votes otherwise by 60% weighted vote. This prevents divide-and-rule tactics where scattered pressure on individual small states falls below activation thresholds.</w:t>
      </w:r>
    </w:p>
    <w:p>
      <w:r>
        <w:t>Section 2.3 (Addendum): Hybrid Military-Economic Multiplier [NEW: v9.8A Military-Economic Nexus]</w:t>
      </w:r>
    </w:p>
    <w:p>
      <w:r>
        <w:t>Where IEWC determines that qualifying economic coercion under Section 2.1 occurs concurrently with:</w:t>
      </w:r>
    </w:p>
    <w:p>
      <w:r>
        <w:t>(a) a credible threat or use of armed force against the affected Member, notified to the United Nations under Article 35 or Article 51 of the Charter; or</w:t>
      </w:r>
    </w:p>
    <w:p>
      <w:r>
        <w:t>(b) formal military exercises or deployments explicitly linked to the same policy demand;</w:t>
      </w:r>
    </w:p>
    <w:p>
      <w:r>
        <w:t>the severity classification is upgraded by one level, subject to confirmation by a 55% weighted vote of the Coordination Committee. This upgrade does not authorise any military response and intensifies only economic stabilisation and response measures.</w:t>
      </w:r>
    </w:p>
    <w:p>
      <w:r>
        <w:t>Pattern Presumption Rolling Review</w:t>
      </w:r>
    </w:p>
    <w:p>
      <w:r>
        <w:t>If 24 months elapse without renewed UN notification or military activity, the multiplier expires and requires fresh CC certification. Prevents stale military notifications from permanently escalating economic response.</w:t>
      </w:r>
    </w:p>
    <w:p>
      <w:pPr>
        <w:pStyle w:val="Heading2"/>
      </w:pPr>
      <w:r>
        <w:t>Section 2.4A: Symmetry of Economic Exposure [NEW: v9.8A Political Inoculation]</w:t>
      </w:r>
    </w:p>
    <w:p>
      <w:r>
        <w:t>In designing burden-sharing formulas and activation packages, the Coordination Committee ensures that no Member is expected to bear a materially higher proportional cost of stabilisation measures in respect of any coercing state than the average proportional cost borne by Members of comparable economic size and trade exposure. The Secretariat publishes, for each case, an ex-ante and ex-post cost distribution note demonstrating such symmetry.</w:t>
      </w:r>
    </w:p>
    <w:p>
      <w:r>
        <w:t>Section 2.5D(f): Functional State-Adjoining Status [NEW: v9.9]</w:t>
      </w:r>
    </w:p>
    <w:p>
      <w:r>
        <w:t>For the purposes of this Instrument, an entity providing critical infrastructure services are treated as functionally state-adjoining where: (i) at least 60 per cent of its global revenue derives from a single national jurisdiction's regulatory forbearance or market access; and (ii) documented service denial or discriminatory treatment towards one or more Members correlates temporally with a documented diplomatic dispute or policy friction involving that jurisdiction and such Member(s).</w:t>
      </w:r>
    </w:p>
    <w:p>
      <w:r>
        <w:t>In such cases, the IEWC certifies Functional State-Adjoining Status by 55 per cent weighted vote, supported by a published analysis of market concentration and temporal nexus. This pathway applies, at a minimum, to: (a) digital payment and settlement infrastructure; and (b) commercial satellite imagery providers constituting more than 50 per cent of global high-resolution capacity in any relevant vertical.</w:t>
      </w:r>
    </w:p>
    <w:p>
      <w:r>
        <w:t>The list of sectors to which Functional State-Adjoining Status applies is maintained in Annex 2A: Functional State-Adjoining Sector List. The Coordination Committee adds to or remove from that list by 55 per cent weighted vote, with a mandatory review at least every 24 months.</w:t>
      </w:r>
    </w:p>
    <w:p>
      <w:r>
        <w:t>This Section is interpreted consistently with the Information Defence Boundary (Section 2.9) and the Security Alliance Firewall (Section 2.12A). Nothing in this Section authorises coordination of offensive cyber operations, military intelligence activities, or any form of use or threat of force.</w:t>
      </w:r>
    </w:p>
    <w:p>
      <w:r>
        <w:t>Section 2.5(g): Systemic Forbearance, Experimental Pathway [NEW: v9.9]</w:t>
      </w:r>
    </w:p>
    <w:p>
      <w:r>
        <w:t>This subsection establishes an experimental pathway for treating certain non-state coercive actors as state-adjoined for the limited purposes of proportionality and burden-sharing assessments.</w:t>
      </w:r>
    </w:p>
    <w:p>
      <w:r>
        <w:t>Trigger Conditions</w:t>
      </w:r>
    </w:p>
    <w:p>
      <w:r>
        <w:t>The IEWC considers Systemic Forbearance where: (a) criminal or terrorist entities operate from, or predominantly through, the territory or jurisdiction of a state; (b) such entities target one or more Members with economic effects exceeding 0.3 per cent of GDP or affecting more than 50,000 jobs in aggregate; (c) the state in question possesses the technical and legal capacity to interdict such activities, but fails to take reasonable action within 30 days of formal diplomatic notification by an affected Member or by the Secretariat acting on the affected Member's request; and (d) there is documented temporal correlation between the state's failure to act and a policy dispute or coercive demand involving that state and the affected Member(s).</w:t>
      </w:r>
    </w:p>
    <w:p>
      <w:r>
        <w:t>Certification Process</w:t>
      </w:r>
    </w:p>
    <w:p>
      <w:r>
        <w:t>The IEWC issues a Preliminary Systemic Forbearance Finding by 60 per cent weighted vote. Such a finding has no effect unless and until it is confirmed by the Independent Adjudication Court (IAC). Within 14 days of a preliminary finding, the IAC decides whether to confirm or decline it, assessing in particular whether the state's forbearance is treated as an aggravating factor in proportionality and burden-sharing assessments under this Instrument. If the IAC declines confirmation, the preliminary finding lapses without prejudice.</w:t>
      </w:r>
    </w:p>
    <w:p>
      <w:r>
        <w:t>Effects and Limitations</w:t>
      </w:r>
    </w:p>
    <w:p>
      <w:r>
        <w:t>Where confirmed by the IAC: (a) subsequent operations of the entities concerned is treated, for the purposes of proportionality matrices and burden-sharing formulas only, as if conducted by a state-adjoined actor; (b) no automatic stabilisation measure authorisation arises from such confirmation; all standard activation, voting, and legal-compatibility requirements continue to apply; and (c) confirmation is not, in itself, construed as a determination of state responsibility under international law.</w:t>
      </w:r>
    </w:p>
    <w:p>
      <w:r>
        <w:t>Expiry and Review</w:t>
      </w:r>
    </w:p>
    <w:p>
      <w:r>
        <w:t>A Systemic Forbearance confirmation expires 180 days after the state demonstrates sustained interdiction efforts, as verified by independent technical assessment reported to the IEWC and the IAC. This subsection is subject to review at the six-year Grand Review. Renewal or amendment requires a 70 per cent weighted vote of the Coordination Committee, taking into account a published IAC assessment of its utility, safeguards, and abuse risk.</w:t>
      </w:r>
    </w:p>
    <w:p>
      <w:r>
        <w:t>Section 2.2 (Addendum): CBDC-Based Financial Exclusion Precursor [NEW: v9.9]</w:t>
      </w:r>
    </w:p>
    <w:p>
      <w:r>
        <w:t>CBDC-based transaction blocking or wallet blacklisting applied on a discriminatory basis to Members, where the effect is functionally equivalent to denial of correspondent banking services, are treated as a Category 2 financial exclusion precursor for purposes of SFI stress-response activation.</w:t>
      </w:r>
    </w:p>
    <w:p>
      <w:r>
        <w:t>Section 2.7 (Addendum): Climate Ambition Non-Adjudication [NEW: v9.9]</w:t>
      </w:r>
    </w:p>
    <w:p>
      <w:r>
        <w:t>Nothing in this Instrument authorises IMESI to determine the adequacy of any Member's climate policy ambition; its role is limited to responding to coercive use of climate-related measures, or managing significant economic spillovers between Members.</w:t>
      </w:r>
    </w:p>
    <w:p>
      <w:pPr>
        <w:pStyle w:val="Normal"/>
      </w:pPr>
      <w:r>
        <w:rPr>
          <w:rFonts w:ascii="Calibri" w:hAnsi="Calibri" w:eastAsia="Microsoft YaHei" w:cs="Calibri"/>
          <w:color w:val="263238"/>
          <w:sz w:val="21"/>
          <w:szCs w:val="21"/>
        </w:rPr>
        <w:t>Section 2.7 (Addendum): Paris-Aligned Policy Safeguard [NEW: v9.9]</w:t>
      </w:r>
    </w:p>
    <w:p>
      <w:pPr>
        <w:pStyle w:val="Normal"/>
      </w:pPr>
      <w:r>
        <w:rPr>
          <w:rFonts w:ascii="Calibri" w:hAnsi="Calibri" w:eastAsia="Microsoft YaHei" w:cs="Calibri"/>
          <w:color w:val="263238"/>
          <w:sz w:val="21"/>
          <w:szCs w:val="21"/>
        </w:rPr>
        <w:t>Climate-trade mediation provisions are not interpreted as constraining Members' right to pursue Paris-aligned climate policies; they provide only procedural tools for mediation and diversification financing where such policies generate significant bilateral economic disruption between Members.</w:t>
      </w:r>
    </w:p>
    <w:p>
      <w:pPr>
        <w:pStyle w:val="Heading2"/>
      </w:pPr>
      <w:r>
        <w:rPr>
          <w:rFonts w:ascii="Calibri" w:hAnsi="Calibri" w:eastAsia="Microsoft YaHei" w:cs="Calibri"/>
          <w:b/>
          <w:color w:val="263238"/>
          <w:sz w:val="25"/>
          <w:szCs w:val="25"/>
        </w:rPr>
        <w:t>Section 2.8A: Coalition Standards Recognition [NEW: v9.8A Small-State Protection]</w:t>
      </w:r>
    </w:p>
    <w:p>
      <w:pPr>
        <w:pStyle w:val="Normal"/>
      </w:pPr>
      <w:r>
        <w:rPr>
          <w:rFonts w:ascii="Calibri" w:hAnsi="Calibri" w:eastAsia="Microsoft YaHei" w:cs="Calibri"/>
          <w:color w:val="263238"/>
          <w:sz w:val="21"/>
          <w:szCs w:val="21"/>
        </w:rPr>
        <w:t>Small-state Members pool their regulatory stance on ESG, digital governance, data protection, or other standards domains and have IMESI recognise "Coalition Standards" as one reference regime for the purposes of Sections 2.7 (Climate-Trade Coercion Protocol) and 2.8 (ESG Standards Coercion). Collective standards adopted across 10 or more small markets are treated as equivalent in market weight to a single large-economy standard for proportionality and response-calibration purposes. The Secretariat maintains a Coalition Standards Registry, updated quarterly.</w:t>
      </w:r>
    </w:p>
    <w:p>
      <w:pPr>
        <w:pStyle w:val="Normal"/>
      </w:pPr>
      <w:r>
        <w:rPr>
          <w:rFonts w:ascii="Calibri" w:hAnsi="Calibri" w:eastAsia="Microsoft YaHei" w:cs="Calibri"/>
          <w:color w:val="263238"/>
          <w:sz w:val="21"/>
          <w:szCs w:val="21"/>
        </w:rPr>
        <w:t>Section 2.9 (Addendum): Information Defence Boundary [NEW: v9.8A Political Inoculation]</w:t>
      </w:r>
    </w:p>
    <w:p>
      <w:pPr>
        <w:pStyle w:val="Normal"/>
      </w:pPr>
      <w:r>
        <w:rPr>
          <w:rFonts w:ascii="Calibri" w:hAnsi="Calibri" w:eastAsia="Microsoft YaHei" w:cs="Calibri"/>
          <w:color w:val="263238"/>
          <w:sz w:val="21"/>
          <w:szCs w:val="21"/>
        </w:rPr>
        <w:t>Active Cognitive Defence under this Section is limited to market-stability and factual-integrity measures, including trading halts, regulatory notifications, and fact-checking partnerships. IMESI is prohibited from coordinating offensive information operations, political messaging, or content-moderation policies unrelated to the specific economic coercion event, and is prohibited from requesting or direct any Member to restrict lawful domestic political speech.</w:t>
      </w:r>
    </w:p>
    <w:p>
      <w:pPr>
        <w:pStyle w:val="Normal"/>
      </w:pPr>
      <w:r>
        <w:rPr>
          <w:rFonts w:ascii="Calibri" w:hAnsi="Calibri" w:eastAsia="Microsoft YaHei" w:cs="Calibri"/>
          <w:color w:val="263238"/>
          <w:sz w:val="21"/>
          <w:szCs w:val="21"/>
        </w:rPr>
        <w:t>Section 2.9 (Addendum): Coalition-Targeted Information Operations [NEW: v9.9]</w:t>
      </w:r>
    </w:p>
    <w:p>
      <w:pPr>
        <w:pStyle w:val="Normal"/>
      </w:pPr>
      <w:r>
        <w:rPr>
          <w:rFonts w:ascii="Calibri" w:hAnsi="Calibri" w:eastAsia="Microsoft YaHei" w:cs="Calibri"/>
          <w:color w:val="263238"/>
          <w:sz w:val="21"/>
          <w:szCs w:val="21"/>
        </w:rPr>
        <w:t>Cognitive coercion also includes coordinated information operations directed at IMESI itself, as described in the Strategic Communications Charter (Annex 16), where such operations are used to deter membership or fracture coalition cohesion.</w:t>
      </w:r>
    </w:p>
    <w:p>
      <w:pPr>
        <w:pStyle w:val="Normal"/>
      </w:pPr>
      <w:r>
        <w:rPr>
          <w:rFonts w:ascii="Calibri" w:hAnsi="Calibri" w:eastAsia="Microsoft YaHei" w:cs="Calibri"/>
          <w:color w:val="263238"/>
          <w:sz w:val="21"/>
          <w:szCs w:val="21"/>
        </w:rPr>
        <w:t>Section 2.9 (Addendum): Strict Scope Limitation [NEW: v10.0]</w:t>
      </w:r>
    </w:p>
    <w:p>
      <w:pPr>
        <w:pStyle w:val="Normal"/>
      </w:pPr>
      <w:r>
        <w:rPr>
          <w:rFonts w:ascii="Calibri" w:hAnsi="Calibri" w:eastAsia="Microsoft YaHei" w:cs="Calibri"/>
          <w:color w:val="263238"/>
          <w:sz w:val="21"/>
          <w:szCs w:val="21"/>
        </w:rPr>
        <w:t>The cognitive and information coercion provisions of this Section apply only where information operations are directly and demonstrably linked to economic coercion or inducement as defined in Article II. They do not apply to general political discourse, public criticism, independent media activity, or good-faith civil society advocacy. This limitation applies equally to the IMESI-targeted disinformation provisions of the Strategic Communications Charter (Annex 16).</w:t>
      </w:r>
    </w:p>
    <w:p>
      <w:pPr>
        <w:pStyle w:val="Normal"/>
      </w:pPr>
      <w:r>
        <w:rPr>
          <w:rFonts w:ascii="Calibri" w:hAnsi="Calibri" w:eastAsia="Microsoft YaHei" w:cs="Calibri"/>
          <w:color w:val="263238"/>
          <w:sz w:val="21"/>
          <w:szCs w:val="21"/>
        </w:rPr>
        <w:t>Section 2.12(d): Military Coercion Context Adjustment [NEW: v9.8A Military-Economic Nexus]</w:t>
      </w:r>
    </w:p>
    <w:p>
      <w:pPr>
        <w:pStyle w:val="Normal"/>
      </w:pPr>
      <w:r>
        <w:rPr>
          <w:rFonts w:ascii="Calibri" w:hAnsi="Calibri" w:eastAsia="Microsoft YaHei" w:cs="Calibri"/>
          <w:color w:val="263238"/>
          <w:sz w:val="21"/>
          <w:szCs w:val="21"/>
        </w:rPr>
        <w:t>Where credible threats or use of armed force under the Charter of the United Nations accompany economic measures as part of a single coercive campaign, such military elements are treated as aggravating context for the purposes of severity classification and procedural timelines. IMESI's response under this Section remains strictly economic. In such hybrid cases, IEWC recommends:</w:t>
      </w:r>
    </w:p>
    <w:p>
      <w:pPr>
        <w:pStyle w:val="Normal"/>
      </w:pPr>
      <w:r>
        <w:rPr>
          <w:rFonts w:ascii="Calibri" w:hAnsi="Calibri" w:eastAsia="Microsoft YaHei" w:cs="Calibri"/>
          <w:color w:val="263238"/>
          <w:sz w:val="21"/>
          <w:szCs w:val="21"/>
        </w:rPr>
        <w:t>(i) automatic one-tier upgrade of economic severity classification; and</w:t>
      </w:r>
    </w:p>
    <w:p>
      <w:pPr>
        <w:pStyle w:val="Normal"/>
      </w:pPr>
      <w:r>
        <w:rPr>
          <w:rFonts w:ascii="Calibri" w:hAnsi="Calibri" w:eastAsia="Microsoft YaHei" w:cs="Calibri"/>
          <w:color w:val="263238"/>
          <w:sz w:val="21"/>
          <w:szCs w:val="21"/>
        </w:rPr>
        <w:t>(ii) compression of standard investigation or engagement timelines by up to 50 percent, subject to a 60% weighted vote of the Coordination Committee.</w:t>
      </w:r>
    </w:p>
    <w:p>
      <w:pPr>
        <w:pStyle w:val="Normal"/>
      </w:pPr>
      <w:r>
        <w:rPr>
          <w:rFonts w:ascii="Calibri" w:hAnsi="Calibri" w:eastAsia="Microsoft YaHei" w:cs="Calibri"/>
          <w:color w:val="263238"/>
          <w:sz w:val="21"/>
          <w:szCs w:val="21"/>
        </w:rPr>
        <w:t>Rolling Review</w:t>
      </w:r>
    </w:p>
    <w:p>
      <w:pPr>
        <w:pStyle w:val="Normal"/>
      </w:pPr>
      <w:r>
        <w:rPr>
          <w:rFonts w:ascii="Calibri" w:hAnsi="Calibri" w:eastAsia="Microsoft YaHei" w:cs="Calibri"/>
          <w:color w:val="263238"/>
          <w:sz w:val="21"/>
          <w:szCs w:val="21"/>
        </w:rPr>
        <w:t>If the military threat resolves (UN Security Council ceasefire, withdrawal notification) but economic coercion continues, severity classification reverts to standard economic assessment within 14 days unless CC votes to maintain elevated status. This prevents a ratchet effect where military context permanently escalates economic response.</w:t>
      </w:r>
    </w:p>
    <w:p>
      <w:pPr>
        <w:pStyle w:val="Heading2"/>
      </w:pPr>
      <w:r>
        <w:rPr>
          <w:rFonts w:ascii="Calibri" w:hAnsi="Calibri" w:eastAsia="Microsoft YaHei" w:cs="Calibri"/>
          <w:b/>
          <w:color w:val="263238"/>
          <w:sz w:val="25"/>
          <w:szCs w:val="25"/>
        </w:rPr>
        <w:t>Section 2.12A: Hybrid Threat Integration Protocol [NEW: v9.8A Military-Economic Nexus]</w:t>
      </w:r>
    </w:p>
    <w:p>
      <w:pPr>
        <w:pStyle w:val="Normal"/>
      </w:pPr>
      <w:r>
        <w:rPr>
          <w:rFonts w:ascii="Calibri" w:hAnsi="Calibri" w:eastAsia="Microsoft YaHei" w:cs="Calibri"/>
          <w:color w:val="263238"/>
          <w:sz w:val="21"/>
          <w:szCs w:val="21"/>
        </w:rPr>
        <w:t>Purpose: Creates a formal bridge between military threat indicators and economic response activation, without making IMESI a military alliance.</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Allows IEWC to certify "Hybrid Military-Economic Threats" when military mobilisation (mass troop movements, naval blockade preparations, cyber attacks on critical infrastructure) occurs simultaneously with economic pressure. Triggers accelerated 24-hour Phase 1 activation (vs. standard 48-72 hours) when military indicators are present.</w:t>
      </w:r>
    </w:p>
    <w:p>
      <w:pPr>
        <w:pStyle w:val="Normal"/>
      </w:pPr>
      <w:r>
        <w:rPr>
          <w:rFonts w:ascii="Calibri" w:hAnsi="Calibri" w:eastAsia="Microsoft YaHei" w:cs="Calibri"/>
          <w:color w:val="263238"/>
          <w:sz w:val="21"/>
          <w:szCs w:val="21"/>
        </w:rPr>
        <w:t>Human Safeguard</w:t>
      </w:r>
    </w:p>
    <w:p>
      <w:pPr>
        <w:pStyle w:val="Normal"/>
      </w:pPr>
      <w:r>
        <w:rPr>
          <w:rFonts w:ascii="Calibri" w:hAnsi="Calibri" w:eastAsia="Microsoft YaHei" w:cs="Calibri"/>
          <w:color w:val="263238"/>
          <w:sz w:val="21"/>
          <w:szCs w:val="21"/>
        </w:rPr>
        <w:t>Requires 55% CC vote to confirm military-economic nexus; the classification reverts automatically to standard status if no Tier 1 economic coercion documentation emerges within 14 days.</w:t>
      </w:r>
    </w:p>
    <w:p>
      <w:pPr>
        <w:pStyle w:val="Normal"/>
      </w:pPr>
      <w:r>
        <w:rPr>
          <w:rFonts w:ascii="Calibri" w:hAnsi="Calibri" w:eastAsia="Microsoft YaHei" w:cs="Calibri"/>
          <w:color w:val="263238"/>
          <w:sz w:val="21"/>
          <w:szCs w:val="21"/>
        </w:rPr>
        <w:t>Political Palatability</w:t>
      </w:r>
    </w:p>
    <w:p>
      <w:pPr>
        <w:pStyle w:val="Normal"/>
      </w:pPr>
      <w:r>
        <w:rPr>
          <w:rFonts w:ascii="Calibri" w:hAnsi="Calibri" w:eastAsia="Microsoft YaHei" w:cs="Calibri"/>
          <w:color w:val="263238"/>
          <w:sz w:val="21"/>
          <w:szCs w:val="21"/>
        </w:rPr>
        <w:t>Explicitly framed as "defensive economic preparation" not "military coordination"; preserves non-alignment by requiring only economic stabilisation measures, not military support.</w:t>
      </w:r>
    </w:p>
    <w:p>
      <w:pPr>
        <w:pStyle w:val="Normal"/>
      </w:pPr>
      <w:r>
        <w:rPr>
          <w:rFonts w:ascii="Calibri" w:hAnsi="Calibri" w:eastAsia="Microsoft YaHei" w:cs="Calibri"/>
          <w:color w:val="263238"/>
          <w:sz w:val="21"/>
          <w:szCs w:val="21"/>
        </w:rPr>
        <w:t>Section 2.12A (Addendum): Security Alliance Firewall [NEW: v9.8A Political Inoculation]</w:t>
      </w:r>
    </w:p>
    <w:p>
      <w:pPr>
        <w:pStyle w:val="Normal"/>
      </w:pPr>
      <w:r>
        <w:rPr>
          <w:rFonts w:ascii="Calibri" w:hAnsi="Calibri" w:eastAsia="Microsoft YaHei" w:cs="Calibri"/>
          <w:color w:val="263238"/>
          <w:sz w:val="21"/>
          <w:szCs w:val="21"/>
        </w:rPr>
        <w:t>The Hybrid Threat Integration Protocol is not used to coordinate military operations, defence postures, or intelligence activities beyond what is strictly necessary to assess economic risk. IMESI is prohibited from establishing any standing body with authority over Members' defence or security policies.</w:t>
      </w:r>
    </w:p>
    <w:p>
      <w:pPr>
        <w:pStyle w:val="Heading2"/>
      </w:pPr>
      <w:r>
        <w:rPr>
          <w:rFonts w:ascii="Calibri" w:hAnsi="Calibri" w:eastAsia="Microsoft YaHei" w:cs="Calibri"/>
          <w:b/>
          <w:color w:val="263238"/>
          <w:sz w:val="25"/>
          <w:szCs w:val="25"/>
        </w:rPr>
        <w:t>Section 2.15: Evidentiary Standards for Coercion Certification [NEW: v9.8 Red Team Fix]</w:t>
      </w:r>
    </w:p>
    <w:p>
      <w:pPr>
        <w:pStyle w:val="Heading3"/>
      </w:pPr>
      <w:r>
        <w:rPr>
          <w:rFonts w:ascii="Calibri" w:hAnsi="Calibri" w:eastAsia="Microsoft YaHei" w:cs="Calibri"/>
          <w:b/>
          <w:color w:val="546E7A"/>
          <w:sz w:val="22"/>
          <w:szCs w:val="22"/>
        </w:rPr>
        <w:t>Section 2.15 (Second Addendum): Member Right of Response [NEW: v12.0]</w:t>
      </w:r>
    </w:p>
    <w:p>
      <w:pPr>
        <w:pStyle w:val="Normal"/>
      </w:pPr>
      <w:r>
        <w:rPr>
          <w:rFonts w:ascii="Calibri" w:hAnsi="Calibri" w:eastAsia="Microsoft YaHei" w:cs="Calibri"/>
          <w:color w:val="263238"/>
          <w:sz w:val="21"/>
          <w:szCs w:val="21"/>
        </w:rPr>
        <w:t>Any state alleged to have engaged in economic coercion holds the right to submit a written response to IEWC findings within 14 days of notification. The response enters the IEWC record and receives consideration before any Phase 2+ measures are authorised.</w:t>
      </w:r>
    </w:p>
    <w:p>
      <w:pPr>
        <w:pStyle w:val="Heading3"/>
      </w:pPr>
      <w:r>
        <w:rPr>
          <w:rFonts w:ascii="Calibri" w:hAnsi="Calibri" w:eastAsia="Microsoft YaHei" w:cs="Calibri"/>
          <w:b/>
          <w:color w:val="546E7A"/>
          <w:sz w:val="22"/>
          <w:szCs w:val="22"/>
        </w:rPr>
        <w:t>Section 2.15 (Third Addendum): Administrative Authority Factor [NEW: v12.0]</w:t>
      </w:r>
    </w:p>
    <w:p>
      <w:pPr>
        <w:pStyle w:val="Normal"/>
      </w:pPr>
      <w:r>
        <w:rPr>
          <w:rFonts w:ascii="Calibri" w:hAnsi="Calibri" w:eastAsia="Microsoft YaHei" w:cs="Calibri"/>
          <w:color w:val="263238"/>
          <w:sz w:val="21"/>
          <w:szCs w:val="21"/>
        </w:rPr>
        <w:t>The use of administrative, executive, or non-legislative authority to impose tariffs constitutes a factor supporting a coercion finding. Bypass of normal legislative processes indicates disproportionate and destabilising economic statecraft.</w:t>
      </w:r>
    </w:p>
    <w:p>
      <w:pPr>
        <w:pStyle w:val="Normal"/>
      </w:pPr>
      <w:r>
        <w:rPr>
          <w:rFonts w:ascii="Calibri" w:hAnsi="Calibri" w:eastAsia="Microsoft YaHei" w:cs="Calibri"/>
          <w:color w:val="263238"/>
          <w:sz w:val="21"/>
          <w:szCs w:val="21"/>
        </w:rPr>
        <w:t>Temporal Clarity Rule</w:t>
      </w:r>
    </w:p>
    <w:p>
      <w:pPr>
        <w:pStyle w:val="Normal"/>
      </w:pPr>
      <w:r>
        <w:rPr>
          <w:rFonts w:ascii="Calibri" w:hAnsi="Calibri" w:eastAsia="Microsoft YaHei" w:cs="Calibri"/>
          <w:color w:val="263238"/>
          <w:sz w:val="21"/>
          <w:szCs w:val="21"/>
        </w:rPr>
        <w:t>IEWC certification of coercion does not require proof of subjective intent. Certification requires only: (a) Factual nexus: member state's policy action (tariff, service denial, financial restriction, sanctions) is temporally and substantively linked to a political demand or diplomatic dispute with target member; (b) Economic impact: policy causes measurable economic harm (&gt;0.1% GDP, trade flow &gt;20% reduction, asset freeze &gt;$50M, sectoral output decline &gt;10%) within 12 months of policy onset; (c) Proportionality deficit: policy impact is substantially disproportionate to stated legitimate policy objective.</w:t>
      </w:r>
    </w:p>
    <w:p>
      <w:pPr>
        <w:pStyle w:val="Normal"/>
      </w:pPr>
      <w:r>
        <w:rPr>
          <w:rFonts w:ascii="Calibri" w:hAnsi="Calibri" w:eastAsia="Microsoft YaHei" w:cs="Calibri"/>
          <w:color w:val="263238"/>
          <w:sz w:val="21"/>
          <w:szCs w:val="21"/>
        </w:rPr>
        <w:t>Non-Requirements (Explicitly Excluded)</w:t>
      </w:r>
    </w:p>
    <w:p>
      <w:pPr>
        <w:pStyle w:val="Normal"/>
      </w:pPr>
      <w:r>
        <w:rPr>
          <w:rFonts w:ascii="Calibri" w:hAnsi="Calibri" w:eastAsia="Microsoft YaHei" w:cs="Calibri"/>
          <w:color w:val="263238"/>
          <w:sz w:val="21"/>
          <w:szCs w:val="21"/>
        </w:rPr>
        <w:t>Proof of subjective coercive intent; Evidence that policy violates WTO rules (IMESI is about coercive misuse of legitimate exceptions); Comparison of policy to treatment of other states.</w:t>
      </w:r>
    </w:p>
    <w:p>
      <w:pPr>
        <w:pStyle w:val="Normal"/>
      </w:pPr>
      <w:r>
        <w:rPr>
          <w:rFonts w:ascii="Calibri" w:hAnsi="Calibri" w:eastAsia="Microsoft YaHei" w:cs="Calibri"/>
          <w:color w:val="263238"/>
          <w:sz w:val="21"/>
          <w:szCs w:val="21"/>
        </w:rPr>
        <w:t>Procedural Safeguard Against Evidentiary Dispute</w:t>
      </w:r>
    </w:p>
    <w:p>
      <w:pPr>
        <w:pStyle w:val="Normal"/>
      </w:pPr>
      <w:r>
        <w:rPr>
          <w:rFonts w:ascii="Calibri" w:hAnsi="Calibri" w:eastAsia="Microsoft YaHei" w:cs="Calibri"/>
          <w:color w:val="263238"/>
          <w:sz w:val="21"/>
          <w:szCs w:val="21"/>
        </w:rPr>
        <w:t>If coercing state disputes IEWC findings within 14 days, dispute goes to "Rapid Evidence Panel" (3 independent forensic economists from pre-approved roster); Panel has 7-day deadline; If Panel supports IEWC: certification stands, no further evidence challenges; If contested: IEWC has 5 additional days for supplementary analysis; Panel re-convenes for 3-day determination; Total maximum delay from certification to finalized evidence: 21 days. Certification becomes operational (Phase 1 activates) after 21 days regardless of Panel outcome.</w:t>
      </w:r>
    </w:p>
    <w:p>
      <w:pPr>
        <w:pStyle w:val="Heading2"/>
      </w:pPr>
      <w:r>
        <w:rPr>
          <w:rFonts w:ascii="Calibri" w:hAnsi="Calibri" w:eastAsia="Microsoft YaHei" w:cs="Calibri"/>
          <w:b/>
          <w:color w:val="263238"/>
          <w:sz w:val="25"/>
          <w:szCs w:val="25"/>
        </w:rPr>
        <w:t>Section 2.15A: Unsubstantiated National Security Claim Protocol [NEW: v12.1]</w:t>
      </w:r>
    </w:p>
    <w:p>
      <w:pPr>
        <w:pStyle w:val="Normal"/>
      </w:pPr>
      <w:r>
        <w:rPr>
          <w:rFonts w:ascii="Calibri" w:hAnsi="Calibri" w:eastAsia="Microsoft YaHei" w:cs="Calibri"/>
          <w:color w:val="263238"/>
          <w:sz w:val="21"/>
          <w:szCs w:val="21"/>
        </w:rPr>
        <w:t>Where a state invokes national security as justification for economic measures against one or more Members, the IEWC assesses: (a) whether the state has provided a detailed, publicly available explanation of the specific security threat; (b) whether the measures differ materially from measures applied to other states with comparable security profiles; (c) whether the measures correlate temporally with a policy dispute unrelated to national security; and (d) whether the measures have undergone any form of independent or legislative review. Where the IEWC finds that the claim lacks credible evidence, applies discriminatorily, or remains materially disproportionate to the stated concern, the claim carries a rebuttable presumption of pretext, with the burden of rebuttal on the imposing state. Measures based on a pretextual claim constitute coercion under Section 2.1 and trigger immediate Phase 0 activation under the compressed consultation track (Section 5.0K) and enhanced burden-sharing relief of up to 40% of standard contribution (Section 8.4). This assessment operates without prejudice to any Member's rights under the WTO Defence-in-Depth Protocol (Annex 1A.1) and reflects the objective-review standard of WTO panel practice under GATT Article XXI.</w:t>
      </w:r>
    </w:p>
    <w:p>
      <w:pPr>
        <w:pStyle w:val="Heading2"/>
      </w:pPr>
      <w:r>
        <w:rPr>
          <w:rFonts w:ascii="Calibri" w:hAnsi="Calibri" w:eastAsia="Microsoft YaHei" w:cs="Calibri"/>
          <w:b/>
          <w:color w:val="263238"/>
          <w:sz w:val="25"/>
          <w:szCs w:val="25"/>
        </w:rPr>
        <w:t>Section 2.15C: Mixed-Issue Tariff Protocol [NEW: v12.1]</w:t>
      </w:r>
    </w:p>
    <w:p>
      <w:pPr>
        <w:pStyle w:val="Normal"/>
      </w:pPr>
      <w:r>
        <w:rPr>
          <w:rFonts w:ascii="Calibri" w:hAnsi="Calibri" w:eastAsia="Microsoft YaHei" w:cs="Calibri"/>
          <w:color w:val="263238"/>
          <w:sz w:val="21"/>
          <w:szCs w:val="21"/>
        </w:rPr>
        <w:t>Where a state imposes tariffs or other economic measures explicitly or implicitly linked to immigration or border security policies, foreign policy positions or diplomatic recognition, defence spending commitments or alliance relationships, climate or environmental policy choices beyond Paris Agreement obligations, or any other sovereign policy domain unrelated to trade, such measures carry a rebuttable presumption of coercion under Section 2.1. The IEWC assesses whether the tariff rate materially exceeds measures applied to states with similar trade profiles but no policy dispute, whether the measures correlate temporally with the dispute, and whether withdrawal or modification follows policy concessions. Where two or more criteria hold, the IEWC certifies Mixed-Issue Coercion; the measures follow the response procedures for Category 4 Red-Line events (Section 2.2) and the affected Member gains automatic eligibility for support under Section 8.32.</w:t>
      </w:r>
    </w:p>
    <w:p>
      <w:pPr>
        <w:pStyle w:val="Heading2"/>
      </w:pPr>
      <w:r>
        <w:rPr>
          <w:rFonts w:ascii="Calibri" w:hAnsi="Calibri" w:eastAsia="Microsoft YaHei" w:cs="Calibri"/>
          <w:b/>
          <w:color w:val="263238"/>
          <w:sz w:val="25"/>
          <w:szCs w:val="25"/>
        </w:rPr>
        <w:t>Section 2.15D: Secondary Supply Chain Sanctions Protocol [NEW: v12.1]</w:t>
      </w:r>
    </w:p>
    <w:p>
      <w:pPr>
        <w:pStyle w:val="Normal"/>
      </w:pPr>
      <w:r>
        <w:rPr>
          <w:rFonts w:ascii="Calibri" w:hAnsi="Calibri" w:eastAsia="Microsoft YaHei" w:cs="Calibri"/>
          <w:color w:val="263238"/>
          <w:sz w:val="21"/>
          <w:szCs w:val="21"/>
        </w:rPr>
        <w:t>Extraterritorial Tariff Coercion includes measures where a state conditions market access, or imposes tariffs, based on a Member's trade with, investment in, or economic relationships with a third country. Upon IEWC certification the measures receive Category 2 Red-Line treatment for escalation purposes; the Shadow Financial Infrastructure (Section 8.10) activates automatically for the affected Member; and the Technology Solidarity Pledge (Section 3.14) applies to affected technology and dual-use goods. No Member restricts its trade with any third country as a condition of receiving IMESI protection. The Secretariat maintains a Secondary Sanctions Monitoring Unit tracking measures that restrict Members' trade with third countries, complementing the Foreign Policy Demand Inclusion (Section 2.1 Fourth Addendum) and the Secondary Tariff Pressure standard (Section 6.2 Addendum).</w:t>
      </w:r>
    </w:p>
    <w:p>
      <w:pPr>
        <w:pStyle w:val="Heading2"/>
      </w:pPr>
      <w:r>
        <w:rPr>
          <w:rFonts w:ascii="Calibri" w:hAnsi="Calibri" w:eastAsia="Microsoft YaHei" w:cs="Calibri"/>
          <w:b/>
          <w:color w:val="263238"/>
          <w:sz w:val="25"/>
          <w:szCs w:val="25"/>
        </w:rPr>
        <w:t>Section 2.15E: Official Statement Consistency Protocol [NEW: v12.1]</w:t>
      </w:r>
    </w:p>
    <w:p>
      <w:pPr>
        <w:pStyle w:val="Normal"/>
      </w:pPr>
      <w:r>
        <w:rPr>
          <w:rFonts w:ascii="Calibri" w:hAnsi="Calibri" w:eastAsia="Microsoft YaHei" w:cs="Calibri"/>
          <w:color w:val="263238"/>
          <w:sz w:val="21"/>
          <w:szCs w:val="21"/>
        </w:rPr>
        <w:t>Where a state's official representatives, including heads of state, ministers, or designated spokespersons, make public statements that threaten economic measures on one date and state the opposite position on another, contradict prior official commitments or treaty obligations, or link threats of economic measures to policy demands that vary over time, the IEWC assesses whether a pattern of inconsistency indicates coercive intent. A pattern of three or more contradictory statements within a 12-month period constitutes a rebuttable presumption of coercion under Section 2.1. The IEWC maintains a Public Statement Registry of formal government communications relevant to economic coercion, published on the Dashboard. A Member targeted by a state demonstrating such a pattern gains eligibility for expedited Fund support and Track A stabilisation without the standard 14-day consultation window.</w:t>
      </w:r>
    </w:p>
    <w:p>
      <w:pPr>
        <w:pStyle w:val="Heading2"/>
      </w:pPr>
      <w:r>
        <w:rPr>
          <w:rFonts w:ascii="Calibri" w:hAnsi="Calibri" w:eastAsia="Microsoft YaHei" w:cs="Calibri"/>
          <w:b/>
          <w:color w:val="263238"/>
          <w:sz w:val="25"/>
          <w:szCs w:val="25"/>
        </w:rPr>
        <w:t>Section 2.15F: Retroactive Policy Reversal Protocol [NEW: v12.1]</w:t>
      </w:r>
    </w:p>
    <w:p>
      <w:pPr>
        <w:pStyle w:val="Normal"/>
      </w:pPr>
      <w:r>
        <w:rPr>
          <w:rFonts w:ascii="Calibri" w:hAnsi="Calibri" w:eastAsia="Microsoft YaHei" w:cs="Calibri"/>
          <w:color w:val="263238"/>
          <w:sz w:val="21"/>
          <w:szCs w:val="21"/>
        </w:rPr>
        <w:t>Where a state, within 12 months of making a formal commitment or assurance to maintain current trade policies, imposes tariffs or other economic measures materially inconsistent with that commitment, such action carries a rebuttable presumption of coercion. The imposition triggers immediate IEWC certification under the compressed consultation track (Section 5.0K), entitles the affected Member to enhanced Fund support under Section 8.32, and receives Category 4 Red-Line treatment (Rapid Tariff Escalation) regardless of the tariff rate. The imposing state bears the burden of demonstrating that the measures rest on a genuine, documented change in circumstances, remain proportionate to that change, and apply consistently with its WTO obligations. This Section does not apply to measures responding to a demonstrable, documented, and non-pretextual change in the economic or security environment.</w:t>
      </w:r>
    </w:p>
    <w:p>
      <w:pPr>
        <w:pStyle w:val="Heading2"/>
      </w:pPr>
      <w:r>
        <w:t>Section 2.15B: Protocol-Layer Coercion Certification [NEW: v15.0]</w:t>
      </w:r>
    </w:p>
    <w:p>
      <w:r>
        <w:t>(a) For purposes of this Instrument, Protocol-Layer Coercion exists where a state or state-adjoined entity: (i) modifies technical standards, encryption requirements, or authentication protocols for payment, messaging, or settlement infrastructure; and (ii) such modification results in the functional exclusion of one or more Members from that infrastructure; and (iii) a genuine, documented, and proportionate security or technical necessity does not justify the exclusion.</w:t>
      </w:r>
    </w:p>
    <w:p>
      <w:r>
        <w:t>(b) Certification under this Section rests on any of: (i) asymmetric burden of compliance; (ii) temporal correlation with a policy dispute; (iii) absence of prior consultation with affected Members; (iv) the velocity of the standard-setting process; and (v) the absence of a credible, non-discriminatory justification.</w:t>
      </w:r>
    </w:p>
    <w:p>
      <w:r>
        <w:t>(c) The IEWC maintains at least three analysts with technical expertise in payment systems, messaging protocols, and standard-setting bodies, with a surge capacity of five additional analysts activated upon protocol-layer certification.</w:t>
      </w:r>
    </w:p>
    <w:p>
      <w:r>
        <w:t>Rationale: This creates a distinct evidentiary track for technical exclusion, with dedicated expertise and a lower evidentiary bar, where asymmetric burden plus temporal correlation establishes a prima facie case.</w:t>
      </w:r>
    </w:p>
    <w:p>
      <w:pPr>
        <w:pStyle w:val="Heading2"/>
      </w:pPr>
      <w:r>
        <w:t>Section 2.15G: Standing Evidentiary Challenge Panel [NEW: v15.0]</w:t>
      </w:r>
    </w:p>
    <w:p>
      <w:r>
        <w:t>(a) This Section establishes a Standing Evidentiary Challenge Panel (SECP) composed of five independent experts: (i) two trade economists; (ii) two international lawyers with expertise in WTO and investment law; and (iii) one former senior official from a non-Member international organisation (WTO, IMF, UNCTAD).</w:t>
      </w:r>
    </w:p>
    <w:p>
      <w:r>
        <w:t>(b) SECP members: (i) serve staggered 5-year terms; (ii) take office through Coordination Committee appointment by 60% weighted vote; (iii) remain independent of any Member government or IMESI institution; and (iv) operate subject to Section 1.6B independence rules.</w:t>
      </w:r>
    </w:p>
    <w:p>
      <w:r>
        <w:t>(c) The SECP: (i) reviews any coercion certification challenged by a Member or the coercing state; (ii) issues an advisory opinion within 14 days of the challenge; (iii) assesses whether the evidentiary standard under Section 2.15 has been met, considering both the IEWC's evidence and any rebuttal evidence submitted; (iv) where the SECP finds the evidentiary standard unmet, recommends that the Coordination Committee suspend or modify the certification; and (v) where the SECP finds the evidentiary standard met, issues a public affirmation of the certification.</w:t>
      </w:r>
    </w:p>
    <w:p>
      <w:r>
        <w:t>(d) An SECP advisory opinion does not: (i) delay or suspend any Track A stabilisation measures; (ii) replace the Coordination Committee's authority to authorise or terminate stabilisation measures; or (iii) create any private right of action.</w:t>
      </w:r>
    </w:p>
    <w:p>
      <w:r>
        <w:t>(e) The SECP publishes, within 30 days of each review, a summary of its findings and reasoning, with appropriate redactions for classified information.</w:t>
      </w:r>
    </w:p>
    <w:p>
      <w:r>
        <w:t>Rationale: This provides a credible, independent check on IEWC certifications, reducing false positives while maintaining speed, since Track A continues during review. It also builds public legitimacy by demonstrating that coercion findings face independent scrutiny.</w:t>
      </w:r>
    </w:p>
    <w:p>
      <w:pPr>
        <w:pStyle w:val="Heading2"/>
      </w:pPr>
      <w:r>
        <w:t>Section 2.15H: Proxy Force Attribution Protocol [NEW: v15.0]</w:t>
      </w:r>
    </w:p>
    <w:p>
      <w:r>
        <w:t>(a) For purposes of this Instrument, a Proxy Force denotes any armed group, militia, mercenary organisation, or irregular force that: (i) operates with the direct or indirect support of a state; (ii) conducts military or paramilitary operations targeting a Member or its citizens; and (iii) creates an economic coercion environment through the threat or use of force.</w:t>
      </w:r>
    </w:p>
    <w:p>
      <w:r>
        <w:t>(b) Attribution of Proxy Forces to a state rests on any of: (i) evidence of funding, arming, training, or logistical support; (ii) evidence of tactical or strategic coordination; (iii) evidence of command-and-control relationships; (iv) public or private acknowledgment by the state; or (v) pattern evidence demonstrating that the Proxy Force operates in furtherance of the state's foreign policy objectives.</w:t>
      </w:r>
    </w:p>
    <w:p>
      <w:r>
        <w:t>(c) Where the IEWC certifies that: (i) a Proxy Force has conducted operations against a Member; and (ii) the operations form part of a coercive campaign meeting the Article II, Section 2.1 definition, this Instrument attributes the Proxy Force's actions to the supporting state for all purposes.</w:t>
      </w:r>
    </w:p>
    <w:p>
      <w:r>
        <w:t>(d) Attribution under this Section: (i) triggers the Military-Economic Nexus provisions (Section 2.12A); (ii) triggers the Troop Presence Aggravation Multiplier (Section 2.3 Addendum); (iii) triggers the Existential Threat Immediate Protection Protocol (Section 5.14); and (iv) takes effect upon a 60% IEWC vote for certification.</w:t>
      </w:r>
    </w:p>
    <w:p>
      <w:r>
        <w:t>(e) The IEWC maintains a Proxy Force Registry, updated quarterly, identifying known and suspected Proxy Forces and their supporting states.</w:t>
      </w:r>
    </w:p>
    <w:p>
      <w:r>
        <w:t>Rationale: This prevents a coercer from hiding behind proxies. A mercenary attack or militia incursion that creates economic pressure attaches to the supporting state. The coercer cannot claim deniability.</w:t>
      </w:r>
    </w:p>
    <w:p>
      <w:pPr>
        <w:pStyle w:val="Heading1"/>
        <w:pageBreakBefore/>
      </w:pPr>
      <w:r>
        <w:rPr>
          <w:rFonts w:ascii="Calibri" w:hAnsi="Calibri" w:eastAsia="Microsoft YaHei" w:cs="Calibri"/>
          <w:b/>
          <w:color w:val="455A64"/>
          <w:sz w:val="30"/>
          <w:szCs w:val="30"/>
        </w:rPr>
        <w:t>ARTICLE III: TIERED MEMBERSHIP</w:t>
      </w:r>
      <w:bookmarkStart w:name="_Toc000017" w:id="17"/>
      <w:bookmarkEnd w:id="17"/>
    </w:p>
    <w:p>
      <w:pPr>
        <w:pStyle w:val="Heading3"/>
      </w:pPr>
      <w:r>
        <w:rPr>
          <w:rFonts w:ascii="Calibri" w:hAnsi="Calibri" w:eastAsia="Microsoft YaHei" w:cs="Calibri"/>
          <w:b/>
          <w:color w:val="546E7A"/>
          <w:sz w:val="22"/>
          <w:szCs w:val="22"/>
        </w:rPr>
        <w:t>Article III (Addendum): Anti-Sanctions Protection [NEW: v12.0]</w:t>
      </w:r>
    </w:p>
    <w:p>
      <w:pPr>
        <w:pStyle w:val="Normal"/>
      </w:pPr>
      <w:r>
        <w:rPr>
          <w:rFonts w:ascii="Calibri" w:hAnsi="Calibri" w:eastAsia="Microsoft YaHei" w:cs="Calibri"/>
          <w:color w:val="263238"/>
          <w:sz w:val="21"/>
          <w:szCs w:val="21"/>
        </w:rPr>
        <w:t>No Member faces penalties, sanctions, or adverse consequences for joining IMESI. Any external state that imposes sanctions, tariffs, or punitive measures on a country solely for joining IMESI engages in economic coercion under Article II, triggering immediate IMESI collective response.</w:t>
      </w:r>
    </w:p>
    <w:p>
      <w:pPr>
        <w:pStyle w:val="Heading2"/>
      </w:pPr>
      <w:r>
        <w:rPr>
          <w:rFonts w:ascii="Calibri" w:hAnsi="Calibri" w:eastAsia="Microsoft YaHei" w:cs="Calibri"/>
          <w:b/>
          <w:color w:val="263238"/>
          <w:sz w:val="25"/>
          <w:szCs w:val="25"/>
        </w:rPr>
        <w:t>Section 3.1: Five-Tier Framework (v8.6)</w:t>
      </w:r>
    </w:p>
    <w:p>
      <w:pPr>
        <w:pStyle w:val="Normal"/>
      </w:pPr>
      <w:r>
        <w:rPr>
          <w:rFonts w:ascii="Calibri" w:hAnsi="Calibri" w:eastAsia="Microsoft YaHei" w:cs="Calibri"/>
          <w:color w:val="263238"/>
          <w:sz w:val="21"/>
          <w:szCs w:val="21"/>
        </w:rPr>
        <w:t>Consolidated from the original six-tier system to improve clarity and reduce accession complexity. Tier 0.5 (Protected Observer) and Tier 0 (Observer+) are merged into a single Observer tier with graduated access.</w:t>
      </w:r>
    </w:p>
    <w:p>
      <w:pPr>
        <w:pStyle w:val="Normal"/>
      </w:pPr>
      <w:r>
        <w:rPr>
          <w:rFonts w:ascii="Calibri" w:hAnsi="Calibri" w:eastAsia="Microsoft YaHei" w:cs="Calibri"/>
          <w:color w:val="263238"/>
          <w:sz w:val="21"/>
          <w:szCs w:val="21"/>
        </w:rPr>
        <w:t>TIER 0, OBSERVER (merges Protected Observer and Observer+) Rights: IEWC intelligence sharing (quarterly public versions escalating to full access at 6 months); SFI humanitarian window; public solidarity statements; supply chain resilience cooperation; Coordination Committee sessions (non-voting); strategic reserve purchases at cost. Obligations: Maintain intelligence confidentiality; refrain from undermining stabilisation measures; small annual contribution (waived for first 12 months for states facing active coercion threat). Exit on 90-day notice.</w:t>
      </w:r>
    </w:p>
    <w:p>
      <w:pPr>
        <w:pStyle w:val="Normal"/>
      </w:pPr>
      <w:r>
        <w:rPr>
          <w:rFonts w:ascii="Calibri" w:hAnsi="Calibri" w:eastAsia="Microsoft YaHei" w:cs="Calibri"/>
          <w:color w:val="263238"/>
          <w:sz w:val="21"/>
          <w:szCs w:val="21"/>
        </w:rPr>
        <w:t>TIER 0.5, PROVISIONAL (24-month maximum) Rights: Full intelligence access; supply chain benefits; joint R&amp;D; programmes; stockpile purchase rights; no stabilisation measure obligations. Obligations: Data sharing; participation in at least one stress-test exercise. Automatic graduation to Associate after 6 months unless opt-out filed. Maximum 24-month duration, progresses to Associate or revert to Observer.</w:t>
      </w:r>
    </w:p>
    <w:p>
      <w:pPr>
        <w:pStyle w:val="Normal"/>
      </w:pPr>
      <w:r>
        <w:rPr>
          <w:rFonts w:ascii="Calibri" w:hAnsi="Calibri" w:eastAsia="Microsoft YaHei" w:cs="Calibri"/>
          <w:color w:val="263238"/>
          <w:sz w:val="21"/>
          <w:szCs w:val="21"/>
        </w:rPr>
        <w:t>TIER 1, ASSOCIATE Rights: Full intelligence access; strategic reserve purchase rights; alternative payment system access; joint R&amp;D; trade facilitation for critical goods. Obligations: Select 3+ cooperation</w:t>
      </w:r>
    </w:p>
    <w:p>
      <w:pPr>
        <w:pStyle w:val="Normal"/>
      </w:pPr>
      <w:r>
        <w:rPr>
          <w:rFonts w:ascii="Calibri" w:hAnsi="Calibri" w:eastAsia="Microsoft YaHei" w:cs="Calibri"/>
          <w:color w:val="263238"/>
          <w:sz w:val="21"/>
          <w:szCs w:val="21"/>
        </w:rPr>
        <w:t>sectors with binding commitments; 3-year renewable terms.</w:t>
      </w:r>
    </w:p>
    <w:p>
      <w:pPr>
        <w:pStyle w:val="Normal"/>
      </w:pPr>
      <w:r>
        <w:rPr>
          <w:rFonts w:ascii="Calibri" w:hAnsi="Calibri" w:eastAsia="Microsoft YaHei" w:cs="Calibri"/>
          <w:color w:val="263238"/>
          <w:sz w:val="21"/>
          <w:szCs w:val="21"/>
        </w:rPr>
        <w:t>TIER 2, FULL Rights: Priority allocation during shortages; preferred payment system rates; joint procurement savings (10–15%); technology sharing; Resilience Fund project grants. Obligations: Comprehensive commitments with minimum response floors (best efforts per Section 3.4) and maximum protection. Federal systems: structured sub-national consultation and burden-sharing relief where provinces/Länder formally object (Section 3.8B). 7-year renewable; 0.1% GDP contribution.</w:t>
      </w:r>
    </w:p>
    <w:p>
      <w:pPr>
        <w:pStyle w:val="Normal"/>
      </w:pPr>
      <w:r>
        <w:rPr>
          <w:rFonts w:ascii="Calibri" w:hAnsi="Calibri" w:eastAsia="Microsoft YaHei" w:cs="Calibri"/>
          <w:color w:val="263238"/>
          <w:sz w:val="21"/>
          <w:szCs w:val="21"/>
        </w:rPr>
        <w:t>TIER 3, ENHANCED SOLIDARITY Rights: Guaranteed supply commitments during crises; co-development of critical technologies; first access to new resilience infrastructure; deepest intelligence sharing. Obligations: Highest coordination tier. Binding minimum response floors (Section 3.4). 7-year renewable; 0.2% GDP + ICB contribution. Mandatory reauthorisation at renewal.</w:t>
      </w:r>
    </w:p>
    <w:p>
      <w:pPr>
        <w:pStyle w:val="Heading2"/>
      </w:pPr>
      <w:r>
        <w:rPr>
          <w:rFonts w:ascii="Calibri" w:hAnsi="Calibri" w:eastAsia="Microsoft YaHei" w:cs="Calibri"/>
          <w:b/>
          <w:color w:val="263238"/>
          <w:sz w:val="25"/>
          <w:szCs w:val="25"/>
        </w:rPr>
        <w:t>Section 3.1A: Graduated Solidarity Entry (GSE)</w:t>
      </w:r>
    </w:p>
    <w:p>
      <w:pPr>
        <w:pStyle w:val="Heading3"/>
      </w:pPr>
      <w:r>
        <w:rPr>
          <w:rFonts w:ascii="Calibri" w:hAnsi="Calibri" w:eastAsia="Microsoft YaHei" w:cs="Calibri"/>
          <w:b/>
          <w:color w:val="546E7A"/>
          <w:sz w:val="22"/>
          <w:szCs w:val="22"/>
        </w:rPr>
        <w:t>Section 3.1H: Progressive Accession [NEW: v12.0]</w:t>
      </w:r>
    </w:p>
    <w:p>
      <w:r>
        <w:t>States accede to IMESI gradually, beginning with Observer status and progressively assuming obligations. Progressive accession permits states to build confidence and capacity before committing to higher tiers.</w:t>
      </w:r>
    </w:p>
    <w:p>
      <w:pPr>
        <w:pStyle w:val="Heading3"/>
      </w:pPr>
      <w:r>
        <w:t>Section 3.1A (Addendum): Transitional Access Window [NEW: v12.0]</w:t>
      </w:r>
    </w:p>
    <w:p>
      <w:r>
        <w:t>States that sign the Founding Pledge (Annex 22) without yet ratifying the full Charter receive immediate Observer+ status with full intelligence access, joint procurement benefits, and SFI humanitarian window access. Tangible benefits flow from Day 1.</w:t>
      </w:r>
    </w:p>
    <w:p>
      <w:r>
        <w:t>Eligibility: Any WTO member facing a documented coercion threat (IEWC-certified) or any state expressing interest in IMESI cooperation.</w:t>
      </w:r>
    </w:p>
    <w:p>
      <w:r>
        <w:t>Graduation: New members enter at Observer (Tier 0) with a 12-month fee waiver if facing active coercion threat. Automatic progression to Provisional (Tier 0.5) after 6 months unless opt-out filed. Provisional status expires at 24 months with automatic graduation to Associate (Tier 1) or reversion to Observer. Restrictions: Observers and Provisional members cannot block decisions, receive burden-sharing compensation, or participate in stabilisation measure authorisation votes. The consolidated entry pathway is a recruitment funnel with clear progression, not a permanent low-commitment status. Funding: 0.5% levy on Tier 2+ member annual contributions covers all Observer-tier costs. Classified as solidarity investment, not obligation. Post-Coercion Accession Incentive: A state that resisted coercion outside IMESI, within 12 months of coercion ending and upon IEWC certification that the coercion met Article II criteria and the state maintained policy independence, receives direct Tier 1 Associate entry with a 25% contribution discount in Year 1 and priority RDP eligibility. Tariff Shock Accession Window (v9.3): Any WTO member facing non-discriminatory tariff increases &gt;10 percentage points on &gt;15% of exports accede at Tier 1 (Associate) within 14 days via expedited procedure: DG certification of tariff shock conditions + 55% CC telephonic vote. Acceding member receives: 6-month contribution holiday; immediate joint procurement access; IEWC intelligence briefings from Day 1; and SFI settlement eligibility. This expands the coalition precisely when tariff shocks create demand for collective shelter. Extended Tariff Refugee Pathway (v9.3A): States facing universal tariff disruption (&gt;10% on &gt;25% of exports) that cannot commit to even Tier 1 obligations enter a 90-day Tariff Refugee Window at Observer+ level: zero obligations, full SFI humanitarian access, IEWC intelligence sharing, and supply chain cooperation. Automatic Observer+ status without CC vote. At Day 90, member elects to accede at Tier 1 (via Tariff Shock Accession) or revert to standard Observer. Funded by 0.5% levy on Tier 2+ members during active SND or GSD events. Cost imposition: Rapidly expands coalition membership during tariff crises, diluting the aggressor's market power and creating coalition critical mass before formal obligations commence.</w:t>
      </w:r>
    </w:p>
    <w:p>
      <w:pPr>
        <w:pStyle w:val="Heading2"/>
      </w:pPr>
      <w:r>
        <w:t>Section 3.1B: Southern Partnership Track</w:t>
      </w:r>
    </w:p>
    <w:p>
      <w:r>
        <w:t>Eligibility: African Union members, LDCs, and SIDS eligible for enhanced technical assistance track upon Tier 0 accession.</w:t>
      </w:r>
    </w:p>
    <w:p>
      <w:r>
        <w:t>Offered Benefits (Non-Automatic):</w:t>
      </w:r>
    </w:p>
    <w:p>
      <w:r>
        <w:t>(a) Extended fee waiver: 24 months (vs. 12 standard), subject to quarterly engagement milestones (b) Technical assistance: supply chain mapping, customs modernisation, IEWC integration support (c) Early RDP eligibility: Resilience Dividend Program access after 12 months with 5% diversification target (vs. 10% standard) No Burden-Sharing Modification: Southern Partnership participants subject to same cost ceilings and tier obligations as standard members upon graduation. Funding: Technical assistance financed through voluntary contributions from Tier 3 members; no mandatory levy. Secretariat reports annually on contribution matching.</w:t>
      </w:r>
    </w:p>
    <w:p>
      <w:pPr>
        <w:pStyle w:val="Heading2"/>
      </w:pPr>
      <w:r>
        <w:t>Section 3.1C: IMESI-LDC Protocol</w:t>
      </w:r>
    </w:p>
    <w:p>
      <w:r>
        <w:t>Eligibility: African Union members, UN Least Developed Countries, and UN Small Island Developing States are eligible for enhanced protections. (a) Secondary Sanctions Shield: Automatic IMESI protection for LDCs targeted for IMESI membership itself (not just coercion), including pre-membership intelligence sharing on threats, diplomatic coordination with potential coercers, and accelerated Observer+ pathway with 6-month fee waiver. (b) Great Power Capture Insurance: Any LDC member requests an independent legal advisory opinion on Coordination Committee decisions affecting them. Opinion funded by Secretariat; external counsel from rotating pool (ICJ former judges, WTO appellate body members). Non-binding but public; CC responds within 14 days. (c) Collateral Damage Fund: Dedicated 10% of Peacetime Fund for non-member developing states harmed by IMESI stabilisation measures. Automatic eligibility if trade diversion &gt;0.5% GDP or humanitarian supply disruption certified by WFP. Grants (not loans) up to 50% of documented harm, burden-shared 50% from Peacetime Fund and 50% from implementing members proportionally.</w:t>
      </w:r>
    </w:p>
    <w:p>
      <w:r>
        <w:t>Accession Package (Annex 9B):</w:t>
      </w:r>
    </w:p>
    <w:p>
      <w:r>
        <w:t>24-month fee waiver (vs. 12-month standard); supply chain mapping and customs modernisation technical assistance; early RDP eligibility after 6 months (vs. 12 standard) with 5% diversification target (vs. 10% standard); no graduation to full obligations until 36 months or 2 coercion cases observed. Development Voting Enhancements: LDC/SIDS members receive 1.5x voting weight on measures affecting &gt;0.5% of their GDP; automatic 40% burden-sharing relief in climate-trade coercion cases; priority access to Green Strategic Reserve; guaranteed IEWC analyst position if member maintains Tier 2+ status. Narrative: IMESI promotes itself to LDC/SIDS audiences as: 'Insurance against great-power arbitrariness, not alignment with any pole.' No required foreign policy coordination beyond resisting coercion; no adoption of rich-country regulatory standards; no participation in sanctions regimes outside IMESI scope. Anchor Statement (v9.1): The following sentence appears in both legal recitals and public communications guidance: 'For LDCs and SIDS, IMESI is primarily a shield against other powers' sanctions and coercion, not a vehicle for new obligations.' Negotiation status: Tier 3 protected secondary priority. Percentages and timelines negotiable; core: existence of distinct LDC pathway with secondary sanctions shield and collateral damage mechanism.</w:t>
      </w:r>
    </w:p>
    <w:p>
      <w:pPr>
        <w:pStyle w:val="Heading2"/>
      </w:pPr>
      <w:r>
        <w:t>Section 3.2: Provisional Pathway</w:t>
      </w:r>
    </w:p>
    <w:p>
      <w:r>
        <w:t>The Provisional tier (Tier 0.5) serves as a structured pathway from Observer to Associate membership, with full intelligence access and supply chain benefits but no stabilisation measure obligations. Maximum duration: 24 months. Feature</w:t>
      </w:r>
    </w:p>
    <w:p>
      <w:r>
        <w:t>Provisional Period</w:t>
      </w:r>
    </w:p>
    <w:p>
      <w:r>
        <w:t>Intelligence access</w:t>
      </w:r>
    </w:p>
    <w:p>
      <w:r>
        <w:t>Full (equivalent to Tier 1)</w:t>
      </w:r>
    </w:p>
    <w:p>
      <w:r>
        <w:t>Supply chain benefits</w:t>
      </w:r>
    </w:p>
    <w:p>
      <w:r>
        <w:t>Full cooperation, stockpile purchase rights</w:t>
      </w:r>
    </w:p>
    <w:p>
      <w:r>
        <w:t>Stabilisation Measure obligations</w:t>
      </w:r>
    </w:p>
    <w:p>
      <w:r>
        <w:t>None</w:t>
      </w:r>
    </w:p>
    <w:p>
      <w:r>
        <w:t>Exit penalties</w:t>
      </w:r>
    </w:p>
    <w:p>
      <w:r>
        <w:t>None</w:t>
      </w:r>
    </w:p>
    <w:p>
      <w:r>
        <w:t>Duration</w:t>
      </w:r>
    </w:p>
    <w:p>
      <w:r>
        <w:t>6 months</w:t>
      </w:r>
    </w:p>
    <w:p>
      <w:r>
        <w:t>Graduation</w:t>
      </w:r>
    </w:p>
    <w:p>
      <w:r>
        <w:t>Automatic to Associate unless opt-out filed</w:t>
      </w:r>
    </w:p>
    <w:p>
      <w:pPr>
        <w:pStyle w:val="Heading2"/>
      </w:pPr>
      <w:r>
        <w:t>Section 3.2A: "Reverse Accession" Pathway</w:t>
      </w:r>
    </w:p>
    <w:p>
      <w:r>
        <w:t>States join as protection recipients only for up to 24 months, receiving IMESI protections without stabilisation measure obligations. Contribution: 0.05% GDP plus intelligence sharing.</w:t>
      </w:r>
    </w:p>
    <w:p>
      <w:r>
        <w:t>Graduation to full obligations triggered by:</w:t>
      </w:r>
    </w:p>
    <w:p>
      <w:r>
        <w:t>(a) Voluntary upgrade at any time (b) Receiving IMESI protection twice (reciprocity trigger) (c) 24-month automatic graduation Success-Contingent Deepening (SCD) (v8.3): Graduation timelines adjust based on demonstrated</w:t>
      </w:r>
    </w:p>
    <w:p>
      <w:r>
        <w:t>institutional value:</w:t>
      </w:r>
    </w:p>
    <w:p>
      <w:r>
        <w:t>(a) Provisional to Associate requires: 6 months elapsed AND (IEWC-certified coercion case observed OR successful micro-exercise participation) (b) Reverse Accession graduation accelerated to 12 months if member receives IMESI protection during the period; extended to 36 months if no coercion cases occur globally during membership (c) Tier 2/3 renewal at 7 years requires: elapsed time AND (VCI-B or above OR 2+ successful case participations per Annex 13A) The framework only deepens when it has demonstrated value, reducing exposure to criticism that members committed to untested institutions.</w:t>
      </w:r>
    </w:p>
    <w:p>
      <w:pPr>
        <w:pStyle w:val="Heading2"/>
      </w:pPr>
      <w:r>
        <w:t>Section 3.2B: Automatic Trade Data Sharing Incentive</w:t>
      </w:r>
    </w:p>
    <w:p>
      <w:r>
        <w:t>Observer+ members submitting complete quarterly trade data within 30 days receive reciprocal benefits that</w:t>
      </w:r>
    </w:p>
    <w:p>
      <w:r>
        <w:t>accelerate their own planning and graduation:</w:t>
      </w:r>
    </w:p>
    <w:p>
      <w:r>
        <w:t>(a) Aggregated IMESI-wide trade flow analytics (normally Tier 2+ only) (b) Early access to IEWC sectoral vulnerability reports (30-day advance over standard publication) (c) Data quality bonus: 10% reduction in Tier 1 graduation contribution for consistent quarterly compliance Self-enforcing: no data submission = no benefit. Improves IEWC analytical quality while rewarding compliance with information that aids members' own strategic planning.</w:t>
      </w:r>
    </w:p>
    <w:p>
      <w:pPr>
        <w:pStyle w:val="Heading2"/>
      </w:pPr>
      <w:r>
        <w:t>Section 3.3: Sector-Specific Opt-Ins</w:t>
      </w:r>
    </w:p>
    <w:p>
      <w:r>
        <w:t>Tariff Priority Designation (v9.3): Members designate up to 3 sectors as tariff priority. In designated sectors, IMESI provides: automatic supply chain mapping updated quarterly; pre-negotiated alternative supplier framework contracts; expedited stabilisation measure authorisation for tariff-related disruptions (48-hour IEWC certification); and priority access to Tariff Stabilisation Sub-Fund (Section 8.6A). Tariff priority designation reviewed annually; sectors are changed with 30-day notice. Associate and Full members select 2–3 vulnerable sectors for binding protection (e.g., agriculture, semiconductors, energy). In those sectors, stabilisation measure obligations and protection guarantees are fully binding. Other sectors are covered by diplomatic coordination only. This reduces exposure while preserving core stabilisation capacity in areas of greatest vulnerability. Sector selections are reviewed every 3 years and are expanded by notification. Enhanced Solidarity members (Tier 3) are committed across all sectors.</w:t>
      </w:r>
    </w:p>
    <w:p>
      <w:pPr>
        <w:pStyle w:val="Heading2"/>
      </w:pPr>
      <w:r>
        <w:t>Section 3.3A: Modular Response Architecture</w:t>
      </w:r>
    </w:p>
    <w:p>
      <w:r>
        <w:t>Stabilisation response tools are structured into four independent modules. Associate and Full members pre-commit to specific modules at accession, reducing exposure while preserving stabilisation critical mass: Module</w:t>
      </w:r>
    </w:p>
    <w:p>
      <w:r>
        <w:t>Scope</w:t>
      </w:r>
    </w:p>
    <w:p>
      <w:r>
        <w:t>Typical Commitments</w:t>
      </w:r>
    </w:p>
    <w:p>
      <w:r>
        <w:t>Trade Module</w:t>
      </w:r>
    </w:p>
    <w:p>
      <w:r>
        <w:t>Tariffs, quotas, rules of origin, procurement</w:t>
      </w:r>
    </w:p>
    <w:p>
      <w:r>
        <w:t>Reciprocal trade measures within opted sectors</w:t>
      </w:r>
    </w:p>
    <w:p>
      <w:r>
        <w:t>Financial Module</w:t>
      </w:r>
    </w:p>
    <w:p>
      <w:r>
        <w:t>Investment screening, capital markets, payment systems</w:t>
      </w:r>
    </w:p>
    <w:p>
      <w:r>
        <w:t>Screening obligations; clearing cooperation</w:t>
      </w:r>
    </w:p>
    <w:p>
      <w:r>
        <w:t>Technology Module</w:t>
      </w:r>
    </w:p>
    <w:p>
      <w:r>
        <w:t>Export controls, R&amp;D; platform restrictions</w:t>
      </w:r>
    </w:p>
    <w:p>
      <w:r>
        <w:t>Coordinated categories</w:t>
      </w:r>
    </w:p>
    <w:p>
      <w:r>
        <w:t>Strategic Module</w:t>
      </w:r>
    </w:p>
    <w:p>
      <w:r>
        <w:t>Stockpiling, alternative sourcing, supply chain coordination</w:t>
      </w:r>
    </w:p>
    <w:p>
      <w:r>
        <w:t>Materials</w:t>
      </w:r>
    </w:p>
    <w:p>
      <w:r>
        <w:t>limits,</w:t>
      </w:r>
    </w:p>
    <w:p>
      <w:r>
        <w:t>controls</w:t>
      </w:r>
    </w:p>
    <w:p>
      <w:r>
        <w:t>on</w:t>
      </w:r>
    </w:p>
    <w:p>
      <w:r>
        <w:t>pre-agreed</w:t>
      </w:r>
    </w:p>
    <w:p>
      <w:r>
        <w:t>technology</w:t>
      </w:r>
    </w:p>
    <w:p>
      <w:r>
        <w:t>Stockpile contributions; dependency audit participation</w:t>
      </w:r>
    </w:p>
    <w:p>
      <w:r>
        <w:t>Core founding members commit to all four modules. Smaller or more exposed members begin with one or two, scaling up as institutional trust builds. Minimum response floors (Section 3.4) apply only within modules to which the member has committed. Stabilisation capacity is preserved through critical mass, the aggregate module coverage across all members, not uniform coverage by each member. Modular Rolling Horizon (v8.5): Each module operates on an independent 5-year review cycle. Each cycle renews by silence under the Nofade rule; modification or termination takes effect only through an affirmative written member determination, and non-continuation of one module does not affect commitment to others. Members retain full coalition membership while shedding specific module commitments, with corresponding burden-sharing adjustment. This ensures that no member is locked into response obligations that have become politically or economically unsustainable.</w:t>
      </w:r>
    </w:p>
    <w:p>
      <w:pPr>
        <w:pStyle w:val="Heading2"/>
      </w:pPr>
      <w:r>
        <w:t>Section 3.4: Minimum Response Floor</w:t>
      </w:r>
    </w:p>
    <w:p>
      <w:r>
        <w:t>Stabilisation Measure implementation obligations are tier-differentiated (v8.6):</w:t>
      </w:r>
    </w:p>
    <w:p>
      <w:r>
        <w:t>Domain</w:t>
      </w:r>
    </w:p>
    <w:p>
      <w:r>
        <w:t>Minimum Floor</w:t>
      </w:r>
    </w:p>
    <w:p>
      <w:r>
        <w:t>Tier 3 (Binding)</w:t>
      </w:r>
    </w:p>
    <w:p>
      <w:r>
        <w:t>Tier 2 (Best Efforts)</w:t>
      </w:r>
    </w:p>
    <w:p>
      <w:r>
        <w:t>Trade measures</w:t>
      </w:r>
    </w:p>
    <w:p>
      <w:r>
        <w:t>70% of authorised value impact</w:t>
      </w:r>
    </w:p>
    <w:p>
      <w:r>
        <w:t>Mandatory</w:t>
      </w:r>
    </w:p>
    <w:p>
      <w:r>
        <w:t>Target with ex post review</w:t>
      </w:r>
    </w:p>
    <w:p>
      <w:r>
        <w:t>Financial measures</w:t>
      </w:r>
    </w:p>
    <w:p>
      <w:r>
        <w:t>60% of measures</w:t>
      </w:r>
    </w:p>
    <w:p>
      <w:r>
        <w:t>authorised</w:t>
      </w:r>
    </w:p>
    <w:p>
      <w:r>
        <w:t>Mandatory</w:t>
      </w:r>
    </w:p>
    <w:p>
      <w:r>
        <w:t>Target with ex post review</w:t>
      </w:r>
    </w:p>
    <w:p>
      <w:r>
        <w:t>50% of measures</w:t>
      </w:r>
    </w:p>
    <w:p>
      <w:r>
        <w:t>authorised</w:t>
      </w:r>
    </w:p>
    <w:p>
      <w:r>
        <w:t>Mandatory</w:t>
      </w:r>
    </w:p>
    <w:p>
      <w:r>
        <w:t>Target with ex post review</w:t>
      </w:r>
    </w:p>
    <w:p>
      <w:r>
        <w:t>100% of measures</w:t>
      </w:r>
    </w:p>
    <w:p>
      <w:r>
        <w:t>authorised</w:t>
      </w:r>
    </w:p>
    <w:p>
      <w:r>
        <w:t>Mandatory</w:t>
      </w:r>
    </w:p>
    <w:p>
      <w:r>
        <w:t>Mandatory</w:t>
      </w:r>
    </w:p>
    <w:p>
      <w:pPr>
        <w:pStyle w:val="Normal"/>
      </w:pPr>
      <w:r>
        <w:rPr>
          <w:rFonts w:ascii="Calibri" w:hAnsi="Calibri" w:eastAsia="Microsoft YaHei" w:cs="Calibri"/>
          <w:color w:val="263238"/>
          <w:sz w:val="21"/>
          <w:szCs w:val="21"/>
        </w:rPr>
        <w:t>Investment technology</w:t>
      </w:r>
    </w:p>
    <w:p>
      <w:pPr>
        <w:pStyle w:val="Normal"/>
      </w:pPr>
      <w:r>
        <w:rPr>
          <w:rFonts w:ascii="Calibri" w:hAnsi="Calibri" w:eastAsia="Microsoft YaHei" w:cs="Calibri"/>
          <w:color w:val="263238"/>
          <w:sz w:val="21"/>
          <w:szCs w:val="21"/>
        </w:rPr>
        <w:t>/</w:t>
      </w:r>
    </w:p>
    <w:p>
      <w:pPr>
        <w:pStyle w:val="Normal"/>
      </w:pPr>
      <w:r>
        <w:rPr>
          <w:rFonts w:ascii="Calibri" w:hAnsi="Calibri" w:eastAsia="Microsoft YaHei" w:cs="Calibri"/>
          <w:color w:val="263238"/>
          <w:sz w:val="21"/>
          <w:szCs w:val="21"/>
        </w:rPr>
        <w:t>Diplomatic measures</w:t>
      </w:r>
    </w:p>
    <w:p>
      <w:pPr>
        <w:pStyle w:val="Normal"/>
      </w:pPr>
      <w:r>
        <w:rPr>
          <w:rFonts w:ascii="Calibri" w:hAnsi="Calibri" w:eastAsia="Microsoft YaHei" w:cs="Calibri"/>
          <w:color w:val="263238"/>
          <w:sz w:val="21"/>
          <w:szCs w:val="21"/>
        </w:rPr>
        <w:t>Tier 3 (Enhanced Solidarity): Minimum response floors are binding as specified. Tier 2 (Full/Associate): Members use best efforts to achieve minimum response floors, with mandatory ex post review and transparent reporting. Underperformance triggers an escalating surcharge ladder: Shortfall</w:t>
      </w:r>
    </w:p>
    <w:p>
      <w:pPr>
        <w:pStyle w:val="Normal"/>
      </w:pPr>
      <w:r>
        <w:rPr>
          <w:rFonts w:ascii="Calibri" w:hAnsi="Calibri" w:eastAsia="Microsoft YaHei" w:cs="Calibri"/>
          <w:color w:val="263238"/>
          <w:sz w:val="21"/>
          <w:szCs w:val="21"/>
        </w:rPr>
        <w:t>Fund Surcharge</w:t>
      </w:r>
    </w:p>
    <w:p>
      <w:pPr>
        <w:pStyle w:val="Normal"/>
      </w:pPr>
      <w:r>
        <w:rPr>
          <w:rFonts w:ascii="Calibri" w:hAnsi="Calibri" w:eastAsia="Microsoft YaHei" w:cs="Calibri"/>
          <w:color w:val="263238"/>
          <w:sz w:val="21"/>
          <w:szCs w:val="21"/>
        </w:rPr>
        <w:t>Additional Measure</w:t>
      </w:r>
    </w:p>
    <w:p>
      <w:pPr>
        <w:pStyle w:val="Normal"/>
      </w:pPr>
      <w:r>
        <w:rPr>
          <w:rFonts w:ascii="Calibri" w:hAnsi="Calibri" w:eastAsia="Microsoft YaHei" w:cs="Calibri"/>
          <w:color w:val="263238"/>
          <w:sz w:val="21"/>
          <w:szCs w:val="21"/>
        </w:rPr>
        <w:t>&lt;10% below floor</w:t>
      </w:r>
    </w:p>
    <w:p>
      <w:pPr>
        <w:pStyle w:val="Normal"/>
      </w:pPr>
      <w:r>
        <w:rPr>
          <w:rFonts w:ascii="Calibri" w:hAnsi="Calibri" w:eastAsia="Microsoft YaHei" w:cs="Calibri"/>
          <w:color w:val="263238"/>
          <w:sz w:val="21"/>
          <w:szCs w:val="21"/>
        </w:rPr>
        <w:t>+15%</w:t>
      </w:r>
    </w:p>
    <w:p>
      <w:pPr>
        <w:pStyle w:val="Normal"/>
      </w:pPr>
      <w:r>
        <w:rPr>
          <w:rFonts w:ascii="Calibri" w:hAnsi="Calibri" w:eastAsia="Microsoft YaHei" w:cs="Calibri"/>
          <w:color w:val="263238"/>
          <w:sz w:val="21"/>
          <w:szCs w:val="21"/>
        </w:rPr>
        <w:t>Public transparency report</w:t>
      </w:r>
    </w:p>
    <w:p>
      <w:pPr>
        <w:pStyle w:val="Normal"/>
      </w:pPr>
      <w:r>
        <w:rPr>
          <w:rFonts w:ascii="Calibri" w:hAnsi="Calibri" w:eastAsia="Microsoft YaHei" w:cs="Calibri"/>
          <w:color w:val="263238"/>
          <w:sz w:val="21"/>
          <w:szCs w:val="21"/>
        </w:rPr>
        <w:t>10–25% below floor</w:t>
      </w:r>
    </w:p>
    <w:p>
      <w:pPr>
        <w:pStyle w:val="Normal"/>
      </w:pPr>
      <w:r>
        <w:rPr>
          <w:rFonts w:ascii="Calibri" w:hAnsi="Calibri" w:eastAsia="Microsoft YaHei" w:cs="Calibri"/>
          <w:color w:val="263238"/>
          <w:sz w:val="21"/>
          <w:szCs w:val="21"/>
        </w:rPr>
        <w:t>+35%</w:t>
      </w:r>
    </w:p>
    <w:p>
      <w:pPr>
        <w:pStyle w:val="Normal"/>
      </w:pPr>
      <w:r>
        <w:rPr>
          <w:rFonts w:ascii="Calibri" w:hAnsi="Calibri" w:eastAsia="Microsoft YaHei" w:cs="Calibri"/>
          <w:color w:val="263238"/>
          <w:sz w:val="21"/>
          <w:szCs w:val="21"/>
        </w:rPr>
        <w:t>Mandatory remediation plan within 30 days</w:t>
      </w:r>
    </w:p>
    <w:p>
      <w:pPr>
        <w:pStyle w:val="Normal"/>
      </w:pPr>
      <w:r>
        <w:rPr>
          <w:rFonts w:ascii="Calibri" w:hAnsi="Calibri" w:eastAsia="Microsoft YaHei" w:cs="Calibri"/>
          <w:color w:val="263238"/>
          <w:sz w:val="21"/>
          <w:szCs w:val="21"/>
        </w:rPr>
        <w:t>&gt;25% below floor</w:t>
      </w:r>
    </w:p>
    <w:p>
      <w:pPr>
        <w:pStyle w:val="Normal"/>
      </w:pPr>
      <w:r>
        <w:rPr>
          <w:rFonts w:ascii="Calibri" w:hAnsi="Calibri" w:eastAsia="Microsoft YaHei" w:cs="Calibri"/>
          <w:color w:val="263238"/>
          <w:sz w:val="21"/>
          <w:szCs w:val="21"/>
        </w:rPr>
        <w:t>+60%</w:t>
      </w:r>
    </w:p>
    <w:p>
      <w:pPr>
        <w:pStyle w:val="Normal"/>
      </w:pPr>
      <w:r>
        <w:rPr>
          <w:rFonts w:ascii="Calibri" w:hAnsi="Calibri" w:eastAsia="Microsoft YaHei" w:cs="Calibri"/>
          <w:color w:val="263238"/>
          <w:sz w:val="21"/>
          <w:szCs w:val="21"/>
        </w:rPr>
        <w:t>Automatic tier review triggered</w:t>
      </w:r>
    </w:p>
    <w:p>
      <w:pPr>
        <w:pStyle w:val="Normal"/>
      </w:pPr>
      <w:r>
        <w:rPr>
          <w:rFonts w:ascii="Calibri" w:hAnsi="Calibri" w:eastAsia="Microsoft YaHei" w:cs="Calibri"/>
          <w:color w:val="263238"/>
          <w:sz w:val="21"/>
          <w:szCs w:val="21"/>
        </w:rPr>
        <w:t>Best Efforts Review Panel (v8.6): A three-member panel (IEWC analyst, affected member representative, independent expert) assesses good faith for Tier 2 underperformance. Good-faith finding reduces surcharge by 50%. Critical National Interest Exemption: Each Tier 2+ member invokes 1 CNI exemption per 10-year cycle, exercised unilaterally with 48-hour written notice. Invoking member automatically pays a 2-year Fund surcharge at 150% of normal contribution rate. Full transparency required: published statement explaining necessity, entered into public record. A second invocation within the same 10-year cycle costs 250%</w:t>
      </w:r>
    </w:p>
    <w:p>
      <w:pPr>
        <w:pStyle w:val="Normal"/>
      </w:pPr>
      <w:r>
        <w:rPr>
          <w:rFonts w:ascii="Calibri" w:hAnsi="Calibri" w:eastAsia="Microsoft YaHei" w:cs="Calibri"/>
          <w:color w:val="263238"/>
          <w:sz w:val="21"/>
          <w:szCs w:val="21"/>
        </w:rPr>
        <w:t>surcharge and triggers automatic tier downgrade review by the Coordination Committee.</w:t>
      </w:r>
    </w:p>
    <w:p>
      <w:pPr>
        <w:pStyle w:val="Normal"/>
      </w:pPr>
      <w:r>
        <w:rPr>
          <w:rFonts w:ascii="Calibri" w:hAnsi="Calibri" w:eastAsia="Microsoft YaHei" w:cs="Calibri"/>
          <w:color w:val="263238"/>
          <w:sz w:val="21"/>
          <w:szCs w:val="21"/>
        </w:rPr>
        <w:t>Modular Opt-Out with Automatic Re-engagement (MOAR) (v8.3):</w:t>
      </w:r>
    </w:p>
    <w:p>
      <w:pPr>
        <w:pStyle w:val="Normal"/>
      </w:pPr>
      <w:r>
        <w:rPr>
          <w:rFonts w:ascii="Calibri" w:hAnsi="Calibri" w:eastAsia="Microsoft YaHei" w:cs="Calibri"/>
          <w:color w:val="263238"/>
          <w:sz w:val="21"/>
          <w:szCs w:val="21"/>
        </w:rPr>
        <w:t>As a preferred alternative to CNI, members exercise sector-specific, time-limited opt-outs that preserve coalition participation while accommodating domestic constraints. Feature</w:t>
      </w:r>
    </w:p>
    <w:p>
      <w:pPr>
        <w:pStyle w:val="Normal"/>
      </w:pPr>
      <w:r>
        <w:rPr>
          <w:rFonts w:ascii="Calibri" w:hAnsi="Calibri" w:eastAsia="Microsoft YaHei" w:cs="Calibri"/>
          <w:color w:val="263238"/>
          <w:sz w:val="21"/>
          <w:szCs w:val="21"/>
        </w:rPr>
        <w:t>MOAR Design</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Up to 3 sector-specific opt-outs per case (not blanket exemption)</w:t>
      </w:r>
    </w:p>
    <w:p>
      <w:pPr>
        <w:pStyle w:val="Normal"/>
      </w:pPr>
      <w:r>
        <w:rPr>
          <w:rFonts w:ascii="Calibri" w:hAnsi="Calibri" w:eastAsia="Microsoft YaHei" w:cs="Calibri"/>
          <w:color w:val="263238"/>
          <w:sz w:val="21"/>
          <w:szCs w:val="21"/>
        </w:rPr>
        <w:t>Duration</w:t>
      </w:r>
    </w:p>
    <w:p>
      <w:pPr>
        <w:pStyle w:val="Normal"/>
      </w:pPr>
      <w:r>
        <w:rPr>
          <w:rFonts w:ascii="Calibri" w:hAnsi="Calibri" w:eastAsia="Microsoft YaHei" w:cs="Calibri"/>
          <w:color w:val="263238"/>
          <w:sz w:val="21"/>
          <w:szCs w:val="21"/>
        </w:rPr>
        <w:t>6 months per opt-out; non-renewable for the same sector in the same case</w:t>
      </w:r>
    </w:p>
    <w:p>
      <w:pPr>
        <w:pStyle w:val="Normal"/>
      </w:pPr>
      <w:r>
        <w:rPr>
          <w:rFonts w:ascii="Calibri" w:hAnsi="Calibri" w:eastAsia="Microsoft YaHei" w:cs="Calibri"/>
          <w:color w:val="263238"/>
          <w:sz w:val="21"/>
          <w:szCs w:val="21"/>
        </w:rPr>
        <w:t>Surcharge</w:t>
      </w:r>
    </w:p>
    <w:p>
      <w:pPr>
        <w:pStyle w:val="Normal"/>
      </w:pPr>
      <w:r>
        <w:rPr>
          <w:rFonts w:ascii="Calibri" w:hAnsi="Calibri" w:eastAsia="Microsoft YaHei" w:cs="Calibri"/>
          <w:color w:val="263238"/>
          <w:sz w:val="21"/>
          <w:szCs w:val="21"/>
        </w:rPr>
        <w:t>25% per opt-out (vs. 150% for full CNI)</w:t>
      </w:r>
    </w:p>
    <w:p>
      <w:pPr>
        <w:pStyle w:val="Normal"/>
      </w:pPr>
      <w:r>
        <w:rPr>
          <w:rFonts w:ascii="Calibri" w:hAnsi="Calibri" w:eastAsia="Microsoft YaHei" w:cs="Calibri"/>
          <w:color w:val="263238"/>
          <w:sz w:val="21"/>
          <w:szCs w:val="21"/>
        </w:rPr>
        <w:t>Notification</w:t>
      </w:r>
    </w:p>
    <w:p>
      <w:pPr>
        <w:pStyle w:val="Normal"/>
      </w:pPr>
      <w:r>
        <w:rPr>
          <w:rFonts w:ascii="Calibri" w:hAnsi="Calibri" w:eastAsia="Microsoft YaHei" w:cs="Calibri"/>
          <w:color w:val="263238"/>
          <w:sz w:val="21"/>
          <w:szCs w:val="21"/>
        </w:rPr>
        <w:t>Confidential notification to Director-General only (not public)</w:t>
      </w:r>
    </w:p>
    <w:p>
      <w:pPr>
        <w:pStyle w:val="Normal"/>
      </w:pPr>
      <w:r>
        <w:rPr>
          <w:rFonts w:ascii="Calibri" w:hAnsi="Calibri" w:eastAsia="Microsoft YaHei" w:cs="Calibri"/>
          <w:color w:val="263238"/>
          <w:sz w:val="21"/>
          <w:szCs w:val="21"/>
        </w:rPr>
        <w:t>Re-engagement</w:t>
      </w:r>
    </w:p>
    <w:p>
      <w:pPr>
        <w:pStyle w:val="Normal"/>
      </w:pPr>
      <w:r>
        <w:rPr>
          <w:rFonts w:ascii="Calibri" w:hAnsi="Calibri" w:eastAsia="Microsoft YaHei" w:cs="Calibri"/>
          <w:color w:val="263238"/>
          <w:sz w:val="21"/>
          <w:szCs w:val="21"/>
        </w:rPr>
        <w:t>Automatic re-engagement at 120% intensity after 6-month expiry</w:t>
      </w:r>
    </w:p>
    <w:p>
      <w:pPr>
        <w:pStyle w:val="Normal"/>
      </w:pPr>
      <w:r>
        <w:rPr>
          <w:rFonts w:ascii="Calibri" w:hAnsi="Calibri" w:eastAsia="Microsoft YaHei" w:cs="Calibri"/>
          <w:color w:val="263238"/>
          <w:sz w:val="21"/>
          <w:szCs w:val="21"/>
        </w:rPr>
        <w:t>Escalation</w:t>
      </w:r>
    </w:p>
    <w:p>
      <w:pPr>
        <w:pStyle w:val="Normal"/>
      </w:pPr>
      <w:r>
        <w:rPr>
          <w:rFonts w:ascii="Calibri" w:hAnsi="Calibri" w:eastAsia="Microsoft YaHei" w:cs="Calibri"/>
          <w:color w:val="263238"/>
          <w:sz w:val="21"/>
          <w:szCs w:val="21"/>
        </w:rPr>
        <w:t>Third MOAR opt-out in same case triggers standard CNI penalties</w:t>
      </w:r>
    </w:p>
    <w:p>
      <w:pPr>
        <w:pStyle w:val="Normal"/>
      </w:pPr>
      <w:r>
        <w:rPr>
          <w:rFonts w:ascii="Calibri" w:hAnsi="Calibri" w:eastAsia="Microsoft YaHei" w:cs="Calibri"/>
          <w:color w:val="263238"/>
          <w:sz w:val="21"/>
          <w:szCs w:val="21"/>
        </w:rPr>
        <w:t>Ceiling: Total MOAR opt-out impact is not permitted to exceed the Member Cost Band presumptive ceiling (Section 2.4). MOAR reduces stigma of non-participation while ensuring no permanent free-riding through the automatic re-engagement mechanism. MOAR-Tariff Variant (v9.3A): Sector-specific opt-outs specifically designed for tariff-sensitive industries (e.g. automobiles, agriculture, critical minerals) where counter-tariff participation would cause disproportionate consumer harm or supply chain disruption. MOAR-Tariff opt-outs: (i) carry 25% surcharge (vs 150% for full CNI); (ii) require mandatory 120% intensity re-engagement after 6-month window; (iii) automatically notify Secretariat of sector vulnerability data; (iv) preserve aggregate coalition pressure through burden redistribution to non-opted sectors. Cost imposition: Preserves total stabilisation measure pressure while allowing domestic political management of tariff-sensitive sectors, codifying behaviour that preserves coalition cohesion over forced participation and defection. Presumptive Legitimacy (v9.2): MOAR is presumed legitimate for members with alliance-sensitive exposure, geographically concentrated trade dependencies, or constitutional constraints on specific stabilisation measure domains. MOAR use does not reduce protection the member receives in other sectors or future cases, does not affect tier status, and does not trigger reputational consequences within the coalition. Systemic-Economy Module Opt-In (v9.2): When the coercer is a systemic economy, Tier 2 members confine participation to non-escalatory modules (diversification finance, information sharing, joint procurement) with reduced but non-zero burden-sharing at 60% standard rate. This codifies behaviour that preserves coalition cohesion while accommodating asymmetric exposure.</w:t>
      </w:r>
    </w:p>
    <w:p>
      <w:pPr>
        <w:pStyle w:val="Normal"/>
      </w:pPr>
      <w:r>
        <w:rPr>
          <w:rFonts w:ascii="Calibri" w:hAnsi="Calibri" w:eastAsia="Microsoft YaHei" w:cs="Calibri"/>
          <w:color w:val="263238"/>
          <w:sz w:val="21"/>
          <w:szCs w:val="21"/>
        </w:rPr>
        <w:t>Persistent Opt-Out Review (v9.4): Where a member invokes a sectoral opt-out in the same sector for more than two consecutive review periods, the Secretariat flags the case for automatic Coordination Committee review. The Committee, by 55% weighted vote: (i) increases the applicable surcharge up to a maximum of 50% for subsequent periods; and/or (ii) reclassify that member to Tier 1 obligations for the specific case concerned. Any such decision notified to all members and reviewed at the next six-monthly strategic assessment. This keeps MOAR as a safety valve but makes chronic hiding more visible and somewhat costlier, without draconian surcharges or automatic global downgrade. Enforcement: First violation, warning and increased Fund contribution. Second violation within 3 years, temporary suspension from Enhanced Solidarity benefits. Third violation, Committee review for potential downgrade.</w:t>
      </w:r>
    </w:p>
    <w:p>
      <w:pPr>
        <w:pStyle w:val="Normal"/>
      </w:pPr>
      <w:r>
        <w:rPr>
          <w:rFonts w:ascii="Calibri" w:hAnsi="Calibri" w:eastAsia="Microsoft YaHei" w:cs="Calibri"/>
          <w:color w:val="263238"/>
          <w:sz w:val="21"/>
          <w:szCs w:val="21"/>
        </w:rPr>
        <w:t>Tier 3 Hard Pre-Commitment (v9.1): Enhanced Solidarity members adopt at least one hard domestic pre-commitment within 24 months of Tier 3 accession, such as a statute requiring a parliamentary vote to leave IMESI (not merely to join), executive order designating IMESI obligations as national security priority, or constitutional delegation of stabilisation measure implementation authority. Specific mechanism is nationally determined; the Secretariat certifies functional equivalence. This signals to potential coercers that the highest-tier response is genuinely locked in, not subject to executive reversal.</w:t>
      </w:r>
    </w:p>
    <w:p>
      <w:pPr>
        <w:pStyle w:val="Heading3"/>
      </w:pPr>
      <w:r>
        <w:t>Section 3.4 (Addendum): Minimum Response Floor, Objective Standards [NEW: v15.0]</w:t>
      </w:r>
    </w:p>
    <w:p>
      <w:r>
        <w:t>(f) For purposes of this Section, best efforts is defined by the following objective, verifiable metrics: (i) the Member implements at least 80% of the authorised measures by value within the specified implementation window; (ii) the Member provides a detailed, publicly available implementation plan within 7 days of activation; (iii) the Member reports implementation progress weekly to the Secretariat; and (iv) the Member certifies that any deviation from the authorised measures is: (A) necessary due to documented, verifiable operational constraints; (B) communicated to the Secretariat within 24 hours; and (C) temporary and subject to a remediation plan.</w:t>
      </w:r>
    </w:p>
    <w:p>
      <w:r>
        <w:t>(g) The Best Efforts Review Panel (Section 3.4): (i) assesses compliance against the objective metrics in subsection (f); (ii) issues a public finding within 14 days of any implementation deadline; and (iii) where the Member fails to meet 80% implementation without documented operational constraints, classifies the failure as a Tier 2 anti-fragmentation violation.</w:t>
      </w:r>
    </w:p>
    <w:p>
      <w:r>
        <w:t>(h) The Secretariat maintains a public Best Efforts Compliance Dashboard, displaying each Member's implementation percentage by activation, with colour-coded status: (i) Green: 90-100% implementation; (ii) Amber: 80-89% implementation; (iii) Red: below 80% implementation.</w:t>
      </w:r>
    </w:p>
    <w:p>
      <w:r>
        <w:t>(i) Three consecutive Red findings trigger automatic tier review and potential downgrade under the Section 3.4 enforcement protocol.</w:t>
      </w:r>
    </w:p>
    <w:p>
      <w:r>
        <w:t>Rationale: Best efforts now stands objective and measurable. A Member cannot claim effort while doing nothing. The 80% implementation floor carries public naming, Tier 2 violation, and potential tier downgrade.</w:t>
      </w:r>
    </w:p>
    <w:p>
      <w:pPr>
        <w:pStyle w:val="Heading2"/>
      </w:pPr>
      <w:r>
        <w:rPr>
          <w:rFonts w:ascii="Calibri" w:hAnsi="Calibri" w:eastAsia="Microsoft YaHei" w:cs="Calibri"/>
          <w:b/>
          <w:color w:val="263238"/>
          <w:sz w:val="25"/>
          <w:szCs w:val="25"/>
        </w:rPr>
        <w:t>Section 3.4A: Sectoral Pilot Participation</w:t>
      </w:r>
    </w:p>
    <w:p>
      <w:pPr>
        <w:pStyle w:val="Normal"/>
      </w:pPr>
      <w:r>
        <w:rPr>
          <w:rFonts w:ascii="Calibri" w:hAnsi="Calibri" w:eastAsia="Microsoft YaHei" w:cs="Calibri"/>
          <w:color w:val="263238"/>
          <w:sz w:val="21"/>
          <w:szCs w:val="21"/>
        </w:rPr>
        <w:t>Subject to approval by the Coordination Committee, a state accedes as a Sectoral Participant limited to specified policy domains, including but not limited to: critical minerals, digital trade, food security, energy, pharmaceuticals, or financial infrastructure. (a) Scope: Rights and obligations for Sectoral Participants are confined to the designated sectors. Participation in collective response measures, burden-sharing, and Fund contributions are calculated on the basis of the Member's trade exposure in the designated sectors only (b) Pathway: Sectoral Participation is designed as an entry mechanism. After 24 months, Sectoral Participants upgrade to full Tier 1 or Tier 2 membership by expanding their sector coverage and adjusting contributions accordingly (c) Limitations: Sectoral Participants are prohibited from having voting rights on matters outside their designated sectors; are prohibited from accessing Fund facilities for non-designated sectors; and are not eligible for Tier 3 Enhanced Solidarity status (d) Modalities: Detailed eligibility criteria, contribution formulas, and sector designation procedures are set out in an Annex adopted by 55% CC weighted vote Rationale: Sectoral Participation lowers the barrier to entry for states that recognise specific economic security vulnerabilities but are not yet prepared for comprehensive membership. It builds institutional familiarity and trust while providing immediate protection in the most vulnerable sectors.</w:t>
      </w:r>
    </w:p>
    <w:p>
      <w:pPr>
        <w:pStyle w:val="Heading2"/>
      </w:pPr>
      <w:r>
        <w:rPr>
          <w:rFonts w:ascii="Calibri" w:hAnsi="Calibri" w:eastAsia="Microsoft YaHei" w:cs="Calibri"/>
          <w:b/>
          <w:color w:val="263238"/>
          <w:sz w:val="25"/>
          <w:szCs w:val="25"/>
        </w:rPr>
        <w:t>Section 3.1D: No Retrospective Liability [NEW: v9.8A Institutional Maturity]</w:t>
      </w:r>
    </w:p>
    <w:p>
      <w:pPr>
        <w:pStyle w:val="Normal"/>
      </w:pPr>
      <w:r>
        <w:rPr>
          <w:rFonts w:ascii="Calibri" w:hAnsi="Calibri" w:eastAsia="Microsoft YaHei" w:cs="Calibri"/>
          <w:color w:val="263238"/>
          <w:sz w:val="21"/>
          <w:szCs w:val="21"/>
        </w:rPr>
        <w:t>IMESI activation, certification, and stabilisation measure authority applies only to conduct occurring after a Member's date of accession. No state faces IMESI proceedings, coercion certification, or burden-sharing obligations in respect of acts or omissions that predate its entry into force of membership. This limitation applies equally to coercion allegations by Members against other Members and to third-state conduct predating the affected Member's accession. Standard treaty practice; does not weaken future deterrence.</w:t>
      </w:r>
    </w:p>
    <w:p>
      <w:pPr>
        <w:pStyle w:val="Heading2"/>
      </w:pPr>
      <w:r>
        <w:rPr>
          <w:rFonts w:ascii="Calibri" w:hAnsi="Calibri" w:eastAsia="Microsoft YaHei" w:cs="Calibri"/>
          <w:b/>
          <w:color w:val="263238"/>
          <w:sz w:val="25"/>
          <w:szCs w:val="25"/>
        </w:rPr>
        <w:t>Section 3.1E: New Member Grace Period [NEW: v9.8A Institutional Maturity]</w:t>
      </w:r>
    </w:p>
    <w:p>
      <w:pPr>
        <w:pStyle w:val="Normal"/>
      </w:pPr>
      <w:r>
        <w:rPr>
          <w:rFonts w:ascii="Calibri" w:hAnsi="Calibri" w:eastAsia="Microsoft YaHei" w:cs="Calibri"/>
          <w:color w:val="263238"/>
          <w:sz w:val="21"/>
          <w:szCs w:val="21"/>
        </w:rPr>
        <w:t>New Members enjoy a 12-month grace period from the date of accession during which: (a) operational obligations (stabilisation measure implementation, compliance reporting) are reduced to 50% of the applicable tier minimum; (b) full membership rights, including voting, Fund access, intelligence briefings, and Dashboard participation, apply immediately from accession; (c) burden-sharing contributions are phased in at 25% for months 1-6 and 50% for months 7-12, reaching 100% at month 13. The grace period helps capacity-constrained states onboard without compromising their rights or the system's integrity once the period ends.</w:t>
      </w:r>
    </w:p>
    <w:p>
      <w:pPr>
        <w:pStyle w:val="Heading2"/>
      </w:pPr>
      <w:r>
        <w:rPr>
          <w:rFonts w:ascii="Calibri" w:hAnsi="Calibri" w:eastAsia="Microsoft YaHei" w:cs="Calibri"/>
          <w:b/>
          <w:color w:val="263238"/>
          <w:sz w:val="25"/>
          <w:szCs w:val="25"/>
        </w:rPr>
        <w:t>Section 3.1F: First-Mover Protection Package [NEW: v9.8A Political Roadmap]</w:t>
      </w:r>
    </w:p>
    <w:p>
      <w:pPr>
        <w:pStyle w:val="Normal"/>
      </w:pPr>
      <w:r>
        <w:rPr>
          <w:rFonts w:ascii="Calibri" w:hAnsi="Calibri" w:eastAsia="Microsoft YaHei" w:cs="Calibri"/>
          <w:color w:val="263238"/>
          <w:sz w:val="21"/>
          <w:szCs w:val="21"/>
        </w:rPr>
        <w:t>The first 10 ratifying states ("Founding Members") receive special protections and benefits for the initial review cycle (6 years):</w:t>
      </w:r>
    </w:p>
    <w:p>
      <w:pPr>
        <w:pStyle w:val="Normal"/>
      </w:pPr>
      <w:r>
        <w:rPr>
          <w:rFonts w:ascii="Calibri" w:hAnsi="Calibri" w:eastAsia="Microsoft YaHei" w:cs="Calibri"/>
          <w:color w:val="263238"/>
          <w:sz w:val="21"/>
          <w:szCs w:val="21"/>
        </w:rPr>
        <w:t>(a) Fund access multiplier: 1.5x standard allocation rates for the first 3 years;</w:t>
      </w:r>
    </w:p>
    <w:p>
      <w:pPr>
        <w:pStyle w:val="Normal"/>
      </w:pPr>
      <w:r>
        <w:rPr>
          <w:rFonts w:ascii="Calibri" w:hAnsi="Calibri" w:eastAsia="Microsoft YaHei" w:cs="Calibri"/>
          <w:color w:val="263238"/>
          <w:sz w:val="21"/>
          <w:szCs w:val="21"/>
        </w:rPr>
        <w:t>(b) Heightened presumption: any coercion targeting a Founding Member during the initial period triggers automatic "Elevated Concern" classification (minimum Moderate severity) and fast-track IEWC review</w:t>
      </w:r>
    </w:p>
    <w:p>
      <w:pPr>
        <w:pStyle w:val="Normal"/>
      </w:pPr>
      <w:r>
        <w:rPr>
          <w:rFonts w:ascii="Calibri" w:hAnsi="Calibri" w:eastAsia="Microsoft YaHei" w:cs="Calibri"/>
          <w:color w:val="263238"/>
          <w:sz w:val="21"/>
          <w:szCs w:val="21"/>
        </w:rPr>
        <w:t>(7-day turnaround vs. standard 14);</w:t>
      </w:r>
    </w:p>
    <w:p>
      <w:pPr>
        <w:pStyle w:val="Normal"/>
      </w:pPr>
      <w:r>
        <w:rPr>
          <w:rFonts w:ascii="Calibri" w:hAnsi="Calibri" w:eastAsia="Microsoft YaHei" w:cs="Calibri"/>
          <w:color w:val="263238"/>
          <w:sz w:val="21"/>
          <w:szCs w:val="21"/>
        </w:rPr>
        <w:t>(c) Institutional seats: Founding Members retain at least one guaranteed seat on the IEWC and one on the IAC for the first review cycle;</w:t>
      </w:r>
    </w:p>
    <w:p>
      <w:pPr>
        <w:pStyle w:val="Normal"/>
      </w:pPr>
      <w:r>
        <w:rPr>
          <w:rFonts w:ascii="Calibri" w:hAnsi="Calibri" w:eastAsia="Microsoft YaHei" w:cs="Calibri"/>
          <w:color w:val="263238"/>
          <w:sz w:val="21"/>
          <w:szCs w:val="21"/>
        </w:rPr>
        <w:t>(d) Political recognition: Founding Member status is permanently recorded and publicly acknowledged in all institutional documents.</w:t>
      </w:r>
    </w:p>
    <w:p>
      <w:pPr>
        <w:pStyle w:val="Normal"/>
      </w:pPr>
      <w:r>
        <w:rPr>
          <w:rFonts w:ascii="Calibri" w:hAnsi="Calibri" w:eastAsia="Microsoft YaHei" w:cs="Calibri"/>
          <w:color w:val="263238"/>
          <w:sz w:val="21"/>
          <w:szCs w:val="21"/>
        </w:rPr>
        <w:t>These protections directly address "why wes go first?" with concrete upside and shared risk.</w:t>
      </w:r>
    </w:p>
    <w:p>
      <w:pPr>
        <w:pStyle w:val="Heading3"/>
      </w:pPr>
      <w:r>
        <w:rPr>
          <w:rFonts w:ascii="Calibri" w:hAnsi="Calibri" w:eastAsia="Microsoft YaHei" w:cs="Calibri"/>
          <w:b/>
          <w:color w:val="546E7A"/>
          <w:sz w:val="22"/>
          <w:szCs w:val="22"/>
        </w:rPr>
        <w:t>Section 3.1F (Addendum): First-Mover Protection Extension Protocol [NEW: v13.0]</w:t>
      </w:r>
    </w:p>
    <w:p>
      <w:pPr>
        <w:pStyle w:val="Normal"/>
      </w:pPr>
      <w:r>
        <w:rPr>
          <w:rFonts w:ascii="Calibri" w:hAnsi="Calibri" w:eastAsia="Microsoft YaHei" w:cs="Calibri"/>
          <w:color w:val="263238"/>
          <w:sz w:val="21"/>
          <w:szCs w:val="21"/>
        </w:rPr>
        <w:t>The First-Mover Protection Window (Section 8.9D) extends to 36 months from entry into force, rather than 24 months, for any Founding Member that has not yet benefited from a successful IMESI activation resulting in a Cooperative Resolution. Where a coercer targets a Founding Member within 36 months of entry into force, the First-Mover Protection Package applies with full effect for that case, including the 1.5x Fund access multiplier, the heightened severity presumption, and guaranteed institutional seats, regardless of whether the coalition has reached the Minimum Viable Coalition threshold. Coercion targeting a Founding Member during this window receives an elevated severity classification one level above the standard GDP-impact classification, and the affected Founding Member receives immediate Track A stabilisation under Section 5.0F without awaiting full certification.</w:t>
      </w:r>
    </w:p>
    <w:p>
      <w:pPr>
        <w:pStyle w:val="Heading2"/>
      </w:pPr>
      <w:r>
        <w:rPr>
          <w:rFonts w:ascii="Calibri" w:hAnsi="Calibri" w:eastAsia="Microsoft YaHei" w:cs="Calibri"/>
          <w:b/>
          <w:color w:val="263238"/>
          <w:sz w:val="25"/>
          <w:szCs w:val="25"/>
        </w:rPr>
        <w:t>Section 3.1G: Systemic Economy Founding Sponsor Option [NEW: v9.8B]</w:t>
      </w:r>
    </w:p>
    <w:p>
      <w:r>
        <w:t>One or more systemic economies (GDP exceeding 5% of global GDP), by separate arrangement with the Provisional Steering Group, acts as Founding Sponsors by: (a) hosting core IMESI institutions (Secretariat, IEWC analytical centre, or SFI node) during the establishment period; (b) making enhanced initial contributions to the Fund (up to 2x standard band for the first 3 years); and (c) providing institutional infrastructure (office space, IT systems, diplomatic facilities) on a cost-recovery basis. Founding Sponsor status confers no permanent governance advantage beyond the First-Mover Protection Package (Section 3.1F). The identity of Founding Sponsors is determined by political negotiation, not specified in this Instrument.</w:t>
      </w:r>
    </w:p>
    <w:p>
      <w:pPr>
        <w:pStyle w:val="Heading2"/>
      </w:pPr>
      <w:r>
        <w:t>Section 3.2C: Founding Observer Track [NEW: v9.8A Adoption Readiness]</w:t>
      </w:r>
    </w:p>
    <w:p>
      <w:pPr>
        <w:pStyle w:val="Heading3"/>
      </w:pPr>
      <w:r>
        <w:t>Section 3.2C (Addendum): Observer Status Guarantee [NEW: v12.0]</w:t>
      </w:r>
    </w:p>
    <w:p>
      <w:r>
        <w:t>Any state applying for Observer+ status that faces coercion for doing so receives automatic Emergency Protection Facility access from the date of application. The Facility provides bridging loans, SFI access, and supply-chain support for up to 90 days.</w:t>
      </w:r>
    </w:p>
    <w:p>
      <w:r>
        <w:t>Any state enters a 12-24 month Observer+ "trial participation" pathway with zero escalation obligations. Founding Observer status includes:</w:t>
      </w:r>
    </w:p>
    <w:p>
      <w:r>
        <w:t>(a) Access to IEWC unclassified intelligence briefings and Coercion Forecast Market publications (Annex 14);</w:t>
      </w:r>
    </w:p>
    <w:p>
      <w:r>
        <w:t>(b) Eligibility to participate in Joint Procurement Consortium tenders (Section 3.13) and Substitution Acceleration Sub-Fund projects (Section 10.5);</w:t>
      </w:r>
    </w:p>
    <w:p>
      <w:r>
        <w:t>(c) Invitation to Coalition Stress Test exercises (Annex 13) as observer;</w:t>
      </w:r>
    </w:p>
    <w:p>
      <w:r>
        <w:t>(d) No obligation to implement any stabilisation measure, contribute to the Fund, or participate in any activation;</w:t>
      </w:r>
    </w:p>
    <w:p>
      <w:r>
        <w:t>(e) Automatic transition to Tier 0 (Observer+) at the end of the trial period, with option to apply for higher tier or withdraw with no penalty.</w:t>
      </w:r>
    </w:p>
    <w:p>
      <w:r>
        <w:t>Founding Observer status lowers entry friction dramatically, builds institutional trust before formal commitment, and increases early coalition size. Trial participants are not permitted to vote on CC decisions but attend and speak at CC sessions.</w:t>
      </w:r>
    </w:p>
    <w:p>
      <w:pPr>
        <w:pStyle w:val="Heading3"/>
      </w:pPr>
      <w:r>
        <w:t>Section 3.2C (Addendum): Observer+ Sunset and No Permanent Observer Clause [NEW: v15.0]</w:t>
      </w:r>
    </w:p>
    <w:p>
      <w:r>
        <w:t>(f) Observer+ status: (i) remains limited to a maximum of 24 months; and (ii) after 24 months, the Observer+ Member elects one of three paths: (A) accession to Tier 1 (Associate) membership; (B) reversion to standard Observer status with no benefits and no obligations; or (C) withdrawal from the Instrument entirely.</w:t>
      </w:r>
    </w:p>
    <w:p>
      <w:r>
        <w:t>(g) Observer+ Members: (i) receive unclassified intelligence briefings only; (ii) hold access to Joint Procurement Consortium tenders only for humanitarian and essential goods; (iii) hold access to the SFI humanitarian window only; (iv) hold no eligibility for strategic reserve purchases; (v) hold no eligibility for any Fund disbursements; and (vi) hold no eligibility for the Resilience Dividend Program (Section 8.14).</w:t>
      </w:r>
    </w:p>
    <w:p>
      <w:r>
        <w:t>(h) Observer+ Members remain subject to: (i) the same transparency and anti-fragmentation obligations as Tier 1 members; (ii) the same data sharing and compliance reporting obligations; and (iii) the same confidentiality and non-circumvention obligations.</w:t>
      </w:r>
    </w:p>
    <w:p>
      <w:r>
        <w:t>(i) An Observer+ Member that fails to accede after 24 months, or that the IEWC determines to be using Observer+ status to circumvent IMESI obligations, faces: (i) immediate loss of all Observer+ benefits; (ii) a 5-year moratorium on re-applying for Observer+ status; and (iii) public naming on the Dashboard.</w:t>
      </w:r>
    </w:p>
    <w:p>
      <w:r>
        <w:t>(j) The Secretariat maintains a public Observer+ Registry, displaying each Observer+ Member's status, duration, and transition deadline.</w:t>
      </w:r>
    </w:p>
    <w:p>
      <w:r>
        <w:t>(k) No Member holds Observer+ status for more than 24 months cumulatively, regardless of whether the status is renewed or re-applied.</w:t>
      </w:r>
    </w:p>
    <w:p>
      <w:r>
        <w:t>(l) After 24 months of cumulative Observer+ status: (i) the Member accedes to Tier 1 or higher; (ii) the Member elects reversion to standard Observer status with no benefits and no obligations; or (iii) the Member elects withdrawal from the Instrument entirely.</w:t>
      </w:r>
    </w:p>
    <w:p>
      <w:r>
        <w:t>(m) A Member that has held Observer+ status for 24 months and fails to accede or withdraw: (i) is automatically reclassified as standard Observer with no benefits; (ii) faces a 5-year moratorium on re-applying for Observer+ status; and (iii) is publicly named on the Dashboard.</w:t>
      </w:r>
    </w:p>
    <w:p>
      <w:r>
        <w:t>(n) The 24-month cumulative limit: (i) applies regardless of whether the status is held continuously or in separate periods; (ii) runs from the Member's first day of Observer+ status; and (iii) operates subject to the Nofade Protocol (Annex 25).</w:t>
      </w:r>
    </w:p>
    <w:p>
      <w:r>
        <w:t>Rationale: Observer+ now functions as a true trial period, not a permanent free ride. Benefits are limited, duration is capped at 24 months cumulatively, and failure to transition triggers loss of benefits and a 5-year moratorium. Permanent Observer+ status is impossible.</w:t>
      </w:r>
    </w:p>
    <w:p>
      <w:pPr>
        <w:pStyle w:val="Heading3"/>
      </w:pPr>
      <w:r>
        <w:t>Section 3.2C (Second Addendum): Observer+ Graduation and Exit Accountability [NEW: v15.0]</w:t>
      </w:r>
    </w:p>
    <w:p>
      <w:r>
        <w:t>(o) Observer+ Members: (i) are subject to the same Banked Performance accounting as full Members under Section 3.7B (Second Addendum); (ii) repay any net benefits received (intelligence value, procurement savings, supply chain assistance) exceeding their nominal contribution if they fail to graduate to Tier 1 within 24 months; and (iii) hold no eligibility for Observer+ status again for 10 years after graduation or withdrawal.</w:t>
      </w:r>
    </w:p>
    <w:p>
      <w:r>
        <w:t>(p) An Observer+ Member that fails to graduate to Tier 1 within 24 months: (i) loses all Observer+ benefits immediately; (ii) is publicly listed on the Dashboard as a Non-Graduating Observer; and (iii) faces a 10-year moratorium on re-applying for Observer+ status.</w:t>
      </w:r>
    </w:p>
    <w:p>
      <w:r>
        <w:t>(q) The Secretariat calculates the repayment amount under subsection (o)(ii) based on: (i) documented procurement savings; (ii) estimated intelligence value under a classified methodology; and (iii) supply chain assistance received.</w:t>
      </w:r>
    </w:p>
    <w:p>
      <w:r>
        <w:t>(r) Repayment under this Section falls due within 12 months of the Observer+ Member's failure to graduate or withdrawal.</w:t>
      </w:r>
    </w:p>
    <w:p>
      <w:r>
        <w:t>(s) The 10-year moratorium in this Addendum supersedes the 5-year moratorium in Section 3.2C (Addendum)(i) and (m) for non-graduating Observers, resolving the overlap in favour of the longer period.</w:t>
      </w:r>
    </w:p>
    <w:p>
      <w:r>
        <w:t>Rationale: This closes the free-ride loophole. An Observer+ Member cannot extract 24 months of benefits and walk away: it repays net benefits received or faces a 10-year moratorium. Benefit reconciliation constitutes financial accounting and imposes no trade measure.</w:t>
      </w:r>
    </w:p>
    <w:p>
      <w:pPr>
        <w:pStyle w:val="Heading2"/>
      </w:pPr>
      <w:r>
        <w:t>Section 3.3B: Selective Participation Mode [NEW: v9.8A Adoption Readiness]</w:t>
      </w:r>
    </w:p>
    <w:p>
      <w:r>
        <w:t>For each activation, any Member elects Selective Participation, choosing to participate at the measure level rather than adopting the full stabilisation measure package, without losing overall membership status or tier classification. Selective Participation operates as follows:</w:t>
      </w:r>
    </w:p>
    <w:p>
      <w:r>
        <w:t>(a) The Member notifies the Secretariat within 7 days of activation which specific measure categories (trade, financial, regulatory, diplomatic) it implements;</w:t>
      </w:r>
    </w:p>
    <w:p>
      <w:r>
        <w:t>(b) The Member participates in at least one measure category AND continue full financial contributions to the Fund for that case;</w:t>
      </w:r>
    </w:p>
    <w:p>
      <w:r>
        <w:t>(c) Alternatively, the Member substitutes enhanced financial or logistical support (e.g. additional Fund contribution of 0.1% GDP, supply-chain assistance, diplomatic mediation) in lieu of direct</w:t>
      </w:r>
    </w:p>
    <w:p>
      <w:r>
        <w:t>stabilisation measure implementation;</w:t>
      </w:r>
    </w:p>
    <w:p>
      <w:r>
        <w:t>(d) Selective Participation does not trigger MOAR surcharges (Section 7.4) provided conditions (b) or (c) are met.</w:t>
      </w:r>
    </w:p>
    <w:p>
      <w:r>
        <w:t>This mode is particularly valuable for non-aligned and mid-sized economies that face domestic political constraints on specific measure types. The system retains collective strength because burden-sharing still applies through financial or alternative contributions.</w:t>
      </w:r>
    </w:p>
    <w:p>
      <w:pPr>
        <w:pStyle w:val="Heading3"/>
      </w:pPr>
      <w:r>
        <w:t>Section 3.3B (Addendum): Meaningful Selective Participation Standard [NEW: v15.0]</w:t>
      </w:r>
    </w:p>
    <w:p>
      <w:r>
        <w:t>(e) For purposes of this Section, Selective Participation requires: (i) participation in at least two measure categories, not one; (ii) at least one of the chosen categories constituting a trade-based or financial measure, not a purely diplomatic or regulatory measure; (iii) chosen measures collectively representing at least 50% of the value of the full authorised package; and (iv) a detailed justification from the Member explaining why the chosen measures are materially equivalent to full participation.</w:t>
      </w:r>
    </w:p>
    <w:p>
      <w:r>
        <w:t>(f) Pure diplomatic or regulatory measures, standing alone, do not constitute Selective Participation.</w:t>
      </w:r>
    </w:p>
    <w:p>
      <w:r>
        <w:t>(g) The Secretariat: (i) assesses each Selective Participation election against the criteria in subsection (e); (ii) publishes a public Selective Participation Assessment within 7 days of the election; and (iii) where the Secretariat finds the election insufficient, treats the Member as having abstained, with the abstention consequences under Section 3.5 applying.</w:t>
      </w:r>
    </w:p>
    <w:p>
      <w:r>
        <w:t>(h) A Member that elects Selective Participation more than three times in any 24-month period: (i) faces a 25% Fund surcharge for 12 months; (ii) is subject to automatic VCI downgrade; and (iii) loses the right to elect Selective Participation for 12 months.</w:t>
      </w:r>
    </w:p>
    <w:p>
      <w:r>
        <w:t>Rationale: Selective Participation now demands real contribution: two measure categories, one trade or financial, and 50% of package value. Symbolic participation no longer suffices.</w:t>
      </w:r>
    </w:p>
    <w:p>
      <w:pPr>
        <w:pStyle w:val="Heading2"/>
      </w:pPr>
      <w:r>
        <w:t>Section 3.3C: Silent Participation Option [NEW: v9.8A Institutional Maturity]</w:t>
      </w:r>
    </w:p>
    <w:p>
      <w:r>
        <w:t>In politically sensitive cases, a Member participates with non-publicly attributed contributions, subject to the following constraints: (a) contributions still count in internal compliance metrics and are visible to the Secretariat and CC; (b) the Member meets the same minimum floors as others at its tier; (c) silent participation is limited to defined categories: financial flows, logistics support, and procurement, not all measure types; (d) trade and regulatory stabilisation measures cannot be implemented silently (these are inherently public); (e) the Member notifies the Secretariat within 7 days of activation, specifying which contributions are silent. This accommodates domestic political constraints while maintaining collective effectiveness.</w:t>
      </w:r>
    </w:p>
    <w:p>
      <w:pPr>
        <w:pStyle w:val="Heading2"/>
      </w:pPr>
      <w:r>
        <w:t>Section 3.3D: Minimum Viable Implementation Layer (MVIL) [NEW: v9.9]</w:t>
      </w:r>
    </w:p>
    <w:p>
      <w:r>
        <w:t>Certain Members elect to participate under a Minimum Viable Implementation Layer (MVIL) operational profile, designed for governments with limited administrative capacity or heightened domestic caution.</w:t>
      </w:r>
    </w:p>
    <w:p>
      <w:r>
        <w:t>(a) Scope of Obligations: MVIL participation limits binding obligations in any activation to: (i) Phase 0 automatic stabilisation measures; and (ii) a pre-defined menu of Phase 1 measures notified in advance by the Member (trade, procurement, regulatory, or financial).</w:t>
      </w:r>
    </w:p>
    <w:p>
      <w:r>
        <w:t>(b) Governance Requirements: MVIL Participants designate a single national IMESI focal point. They are not required to staff all standing bodies, provided they respond within standard decision timelines on activations and financial commitments.</w:t>
      </w:r>
    </w:p>
    <w:p>
      <w:r>
        <w:t>(c) Transition: MVIL status is compatible with any membership tier. A Member transitions from MVIL to full operational participation by simple written notification; no amendment is required.</w:t>
      </w:r>
    </w:p>
    <w:p>
      <w:r>
        <w:t>(d) Effect: MVIL does not alter rights to Phase 0 support, access to early-warning, or eligibility for Resilience Fund projects. It provides a capacity-aligned pathway into IMESI's core functions, without diminishing the collective protection available to other Members.</w:t>
      </w:r>
    </w:p>
    <w:p>
      <w:pPr>
        <w:pStyle w:val="Heading2"/>
      </w:pPr>
      <w:r>
        <w:t>Section 3.4B: Small-State Solidarity Pledge [NEW: v9.8A Small-State Protection]</w:t>
      </w:r>
    </w:p>
    <w:p>
      <w:r>
        <w:t>Any Member signs voluntarily the Small-State Solidarity Pledge, committing to automatically join any activation package where a small-state Member is the primary target, up to a cost band of 0.3% GDP per case. Pledge signatories receive: priority access to Resilience Diversification Programme funding (Section 8.14); 5% reduction in standard burden-sharing contribution calculations; and recognition as "Solidarity Partner" on the Institutional Readiness Dashboard (Section 4.2A). The Pledge creates an immediate mini-coalition for small-state cases even when larger Members hesitate.</w:t>
      </w:r>
    </w:p>
    <w:p>
      <w:pPr>
        <w:pStyle w:val="Heading2"/>
      </w:pPr>
      <w:r>
        <w:t>Section 3.4C: Minimum Action Floor per Tier [NEW: v9.8A Institutional Maturity]</w:t>
      </w:r>
    </w:p>
    <w:p>
      <w:r>
        <w:t>For each tier, the following minimum contribution profile applies per activation: Tier 0 (Observer+): intelligence sharing and quarterly data reporting only; no financial or measure obligations. Tier 1 (Associate): financial contribution at 0.05% GDP per case OR implementation of at least one measure category. Tier 2 (Full): financial contribution at 0.1% GDP per case AND implementation of at least two measure categories. Tier 3 (Enhanced Solidarity): financial contribution at 0.15% GDP per case AND implementation of at least three measure categories AND participation in joint procurement. These floors prevent hollow membership while remaining proportionate to capacity. Members falling below their tier floor for 2 consecutive activations are subject to the Compliance Audit process (Section 4.3A).</w:t>
      </w:r>
    </w:p>
    <w:p>
      <w:pPr>
        <w:pStyle w:val="Heading2"/>
      </w:pPr>
      <w:r>
        <w:t>Section 3.4D: Continuous Active Participation Requirement [NEW: v15.0]</w:t>
      </w:r>
    </w:p>
    <w:p>
      <w:r>
        <w:t>(a) All Members maintain Continuous Active Participation in IMESI.</w:t>
      </w:r>
    </w:p>
    <w:p>
      <w:r>
        <w:t>(b) Continuous Active Participation means: (i) attending at least 75% of CC sessions in any 12-month period; (ii) casting votes on at least 75% of all matters requiring a vote in any 12-month period; (iii) implementing at least 80% of authorised measures by value in any 12-month period; (iv) submitting all reports and disclosures on time; and (v) participating in at least one stress test or micro-exercise per 12-month period.</w:t>
      </w:r>
    </w:p>
    <w:p>
      <w:r>
        <w:t>(c) A Member that fails to meet the Continuous Active Participation requirement: (i) receives a warning for the first violation; (ii) faces a 25% Fund surcharge for the second violation in any 24-month period; (iii) faces a 50% Fund surcharge and automatic VCI downgrade for the third violation in any 36-month period; and (iv) faces automatic tier review and potential downgrade for the fourth violation in any 48-month period.</w:t>
      </w:r>
    </w:p>
    <w:p>
      <w:r>
        <w:t>(d) The Continuous Active Participation requirement: (i) applies to all Tier 1+ Members; (ii) is assessed quarterly by the Secretariat; (iii) is published on the Dashboard in aggregate form, with individual Member data available to the CC; and (iv) operates subject to the Nofade Protocol (Annex 25).</w:t>
      </w:r>
    </w:p>
    <w:p>
      <w:r>
        <w:t>(e) The Secretariat: (i) maintains a public Active Participation Dashboard; (ii) notifies Members of any compliance gaps; and (iii) provides technical assistance to help Members meet the requirement.</w:t>
      </w:r>
    </w:p>
    <w:p>
      <w:r>
        <w:t>Rationale: Passive participation now stands prohibited. Members actively participate: attending sessions, casting votes, implementing measures, submitting reports, and joining exercises. Failure triggers escalating penalties.</w:t>
      </w:r>
    </w:p>
    <w:p>
      <w:pPr>
        <w:pStyle w:val="Heading2"/>
      </w:pPr>
      <w:r>
        <w:t>Section 3.8F: Parliamentary Rejection and Procedural Consequences [NEW: v9.8 Structural Fix]</w:t>
      </w:r>
    </w:p>
    <w:p>
      <w:r>
        <w:t>Triggering Condition: When a Tier 2+ member elects optional parliamentary affirmation (Section 1.0A) and parliament votes to reject an authorized IMESI measure.</w:t>
      </w:r>
    </w:p>
    <w:p>
      <w:r>
        <w:t>Automatic Consequence Sequence</w:t>
      </w:r>
    </w:p>
    <w:p>
      <w:r>
        <w:t>1. Immediate Notification (within 24 hours) to Secretariat. 2. Classification: Secretariat classes rejection as Substantive Objection (written legal/constitutional/policy justification; eligible for mitigation) or Frivolous Rejection (no justification or politically motivated; triggers penalty track).</w:t>
      </w:r>
    </w:p>
    <w:p>
      <w:r>
        <w:t>Tier 1 Procedural Track (Substantive Objection, est. 20%): 14-day window to propose alternative participation; CC votes on alternative within 7 days; If approved: member participates under alternative, no surcharge; If rejected: member automatically invokes MOAR (25% surcharge, 6-month opt-out).</w:t>
      </w:r>
    </w:p>
    <w:p>
      <w:r>
        <w:t>Tier 2 Procedural Track (Frivolous Rejection, est. 80%): Automatic 150% Fund surcharge for 24 months; Tier status flagged "Conditional"; Next renewal vote includes specific question requiring 75% (vs. standard majority).</w:t>
      </w:r>
    </w:p>
    <w:p>
      <w:r>
        <w:t>Constitutional Emergency Override</w:t>
      </w:r>
    </w:p>
    <w:p>
      <w:r>
        <w:t>If rejection based on constitutional constraint: Member pays 150% Fund surcharge for one round (not ongoing); Automatic alternative timeline (30 days); No stigma; flagged as constitutional constraint.</w:t>
      </w:r>
    </w:p>
    <w:p>
      <w:r>
        <w:t>Transparency</w:t>
      </w:r>
    </w:p>
    <w:p>
      <w:r>
        <w:t>All rejections and member responses published on Dashboard (member name, justification, consequence track, alternative if invoked).</w:t>
      </w:r>
    </w:p>
    <w:p>
      <w:pPr>
        <w:pStyle w:val="Heading2"/>
      </w:pPr>
      <w:r>
        <w:t>Section 3.9A: Coercer Rehabilitation Protocol (CRP)</w:t>
      </w:r>
    </w:p>
    <w:p>
      <w:r>
        <w:t>Phase 1, Monitored Cessation (18 months): No new coercion; quarterly IEWC verification; transparency reports. Benefits: SFI humanitarian window; IEWC intelligence on third-party threats only. Phase 2, Confidence-Building: Accept IAC jurisdiction; adopt TSR-like domestic transparency. Benefits: Protective Association status; 50% Fund rate. Phase 3, Integration: 55% CC weighted vote for membership; 3-year enhanced monitoring (non-punitive).</w:t>
      </w:r>
    </w:p>
    <w:p>
      <w:pPr>
        <w:pStyle w:val="Heading2"/>
      </w:pPr>
      <w:r>
        <w:t>Section 3.9B: Coercer Rehabilitation Bond Syndication and Guarantee [Clarifying Rule, v9.8]</w:t>
      </w:r>
    </w:p>
    <w:p>
      <w:r>
        <w:t>Bond Issuance Mechanism: States seeking CRP Phase 2+ deposits 0.1% GDP as performance bond. Instrument: Negotiable sovereign bond, denominated in IMU; Maturity: 30 months (tranches at 0, 6, 24 months); Guarantee: IMESI provides 60% partial guarantee.</w:t>
      </w:r>
    </w:p>
    <w:p>
      <w:r>
        <w:t>Syndication</w:t>
      </w:r>
    </w:p>
    <w:p>
      <w:r>
        <w:t>Bond offered to SFI-cleared private investors first (90-day window); If &gt;80% syndicated: no IMESI intervention; proceed to Phase 2+; If &lt;80%: Secretariat purchases remaining (capped at 20% from reserves); If &lt;50% AND reserves insufficient: issuance delayed 60 days.</w:t>
      </w:r>
    </w:p>
    <w:p>
      <w:r>
        <w:t>Fallback</w:t>
      </w:r>
    </w:p>
    <w:p>
      <w:pPr>
        <w:pStyle w:val="Normal"/>
      </w:pPr>
      <w:r>
        <w:rPr>
          <w:rFonts w:ascii="Calibri" w:hAnsi="Calibri" w:eastAsia="Microsoft YaHei" w:cs="Calibri"/>
          <w:color w:val="263238"/>
          <w:sz w:val="21"/>
          <w:szCs w:val="21"/>
        </w:rPr>
        <w:t>If bond cannot be syndicated after 90 days and Secretariat cannot fund shortfall: CRP Phase 2+ paused (not denied); Secretariat works on alternatives: increase bond to 0.15% GDP or extend Phase 1 by 12 months; State not penalized for failed syndication.</w:t>
      </w:r>
    </w:p>
    <w:p>
      <w:pPr>
        <w:pStyle w:val="Heading2"/>
      </w:pPr>
      <w:r>
        <w:rPr>
          <w:rFonts w:ascii="Calibri" w:hAnsi="Calibri" w:eastAsia="Microsoft YaHei" w:cs="Calibri"/>
          <w:b/>
          <w:color w:val="263238"/>
          <w:sz w:val="25"/>
          <w:szCs w:val="25"/>
        </w:rPr>
        <w:t>Section 3.5: Constructive Abstention Mechanism</w:t>
      </w:r>
    </w:p>
    <w:p>
      <w:pPr>
        <w:pStyle w:val="Heading3"/>
      </w:pPr>
      <w:r>
        <w:rPr>
          <w:rFonts w:ascii="Calibri" w:hAnsi="Calibri" w:eastAsia="Microsoft YaHei" w:cs="Calibri"/>
          <w:b/>
          <w:color w:val="546E7A"/>
          <w:sz w:val="22"/>
          <w:szCs w:val="22"/>
        </w:rPr>
        <w:t>Section 3.5 (Addendum): The Flexibility Trap [NEW: v11.0]</w:t>
      </w:r>
    </w:p>
    <w:p>
      <w:pPr>
        <w:pStyle w:val="Normal"/>
      </w:pPr>
      <w:r>
        <w:rPr>
          <w:rFonts w:ascii="Calibri" w:hAnsi="Calibri" w:eastAsia="Microsoft YaHei" w:cs="Calibri"/>
          <w:color w:val="263238"/>
          <w:sz w:val="21"/>
          <w:szCs w:val="21"/>
        </w:rPr>
        <w:t>Abstention in favour of a bilateral deal with the coercing state does not qualify as Constructive Abstention. Such abstention constitutes a Tier 1 Anti-Fragmentation violation where it undermines the collective phase.</w:t>
      </w:r>
    </w:p>
    <w:p>
      <w:pPr>
        <w:pStyle w:val="Normal"/>
      </w:pPr>
      <w:r>
        <w:rPr>
          <w:rFonts w:ascii="Calibri" w:hAnsi="Calibri" w:eastAsia="Microsoft YaHei" w:cs="Calibri"/>
          <w:color w:val="263238"/>
          <w:sz w:val="21"/>
          <w:szCs w:val="21"/>
        </w:rPr>
        <w:t>For Tier 1 and Tier 2 members facing severe domestic political constraints:</w:t>
      </w:r>
    </w:p>
    <w:p>
      <w:pPr>
        <w:pStyle w:val="Normal"/>
        <w:numPr>
          <w:ilvl w:val="0"/>
          <w:numId w:val="1"/>
        </w:numPr>
      </w:pPr>
      <w:r>
        <w:rPr>
          <w:rFonts w:ascii="Calibri" w:hAnsi="Calibri" w:eastAsia="Microsoft YaHei" w:cs="Calibri"/>
          <w:color w:val="263238"/>
          <w:sz w:val="21"/>
          <w:szCs w:val="21"/>
        </w:rPr>
        <w:t>Written notification 48 hours before vote</w:t>
      </w:r>
    </w:p>
    <w:p>
      <w:pPr>
        <w:pStyle w:val="Normal"/>
        <w:numPr>
          <w:ilvl w:val="0"/>
          <w:numId w:val="1"/>
        </w:numPr>
      </w:pPr>
      <w:r>
        <w:rPr>
          <w:rFonts w:ascii="Calibri" w:hAnsi="Calibri" w:eastAsia="Microsoft YaHei" w:cs="Calibri"/>
          <w:color w:val="263238"/>
          <w:sz w:val="21"/>
          <w:szCs w:val="21"/>
        </w:rPr>
        <w:t>Explanation of domestic constraint (published within 24 hours) Cumulative cap: No member abstains on more than 15% of cases in any 3-year rolling period.</w:t>
      </w:r>
    </w:p>
    <w:p>
      <w:pPr>
        <w:pStyle w:val="Normal"/>
      </w:pPr>
      <w:r>
        <w:rPr>
          <w:rFonts w:ascii="Calibri" w:hAnsi="Calibri" w:eastAsia="Microsoft YaHei" w:cs="Calibri"/>
          <w:color w:val="263238"/>
          <w:sz w:val="21"/>
          <w:szCs w:val="21"/>
        </w:rPr>
        <w:t>Escalating surcharge:</w:t>
      </w:r>
    </w:p>
    <w:p>
      <w:pPr>
        <w:pStyle w:val="Normal"/>
      </w:pPr>
      <w:r>
        <w:rPr>
          <w:rFonts w:ascii="Calibri" w:hAnsi="Calibri" w:eastAsia="Microsoft YaHei" w:cs="Calibri"/>
          <w:color w:val="263238"/>
          <w:sz w:val="21"/>
          <w:szCs w:val="21"/>
        </w:rPr>
        <w:t>Abstention</w:t>
      </w:r>
    </w:p>
    <w:p>
      <w:pPr>
        <w:pStyle w:val="Normal"/>
      </w:pPr>
      <w:r>
        <w:rPr>
          <w:rFonts w:ascii="Calibri" w:hAnsi="Calibri" w:eastAsia="Microsoft YaHei" w:cs="Calibri"/>
          <w:color w:val="263238"/>
          <w:sz w:val="21"/>
          <w:szCs w:val="21"/>
        </w:rPr>
        <w:t>Fund Surcharge</w:t>
      </w:r>
    </w:p>
    <w:p>
      <w:pPr>
        <w:pStyle w:val="Normal"/>
      </w:pPr>
      <w:r>
        <w:rPr>
          <w:rFonts w:ascii="Calibri" w:hAnsi="Calibri" w:eastAsia="Microsoft YaHei" w:cs="Calibri"/>
          <w:color w:val="263238"/>
          <w:sz w:val="21"/>
          <w:szCs w:val="21"/>
        </w:rPr>
        <w:t>Additional Consequence</w:t>
      </w:r>
    </w:p>
    <w:p>
      <w:pPr>
        <w:pStyle w:val="Normal"/>
      </w:pPr>
      <w:r>
        <w:rPr>
          <w:rFonts w:ascii="Calibri" w:hAnsi="Calibri" w:eastAsia="Microsoft YaHei" w:cs="Calibri"/>
          <w:color w:val="263238"/>
          <w:sz w:val="21"/>
          <w:szCs w:val="21"/>
        </w:rPr>
        <w:t>First (per 3-year period)</w:t>
      </w:r>
    </w:p>
    <w:p>
      <w:pPr>
        <w:pStyle w:val="Normal"/>
      </w:pPr>
      <w:r>
        <w:rPr>
          <w:rFonts w:ascii="Calibri" w:hAnsi="Calibri" w:eastAsia="Microsoft YaHei" w:cs="Calibri"/>
          <w:color w:val="263238"/>
          <w:sz w:val="21"/>
          <w:szCs w:val="21"/>
        </w:rPr>
        <w:t>+50% of normal burden share</w:t>
      </w:r>
    </w:p>
    <w:p>
      <w:pPr>
        <w:pStyle w:val="Normal"/>
      </w:pPr>
      <w:r>
        <w:rPr>
          <w:rFonts w:ascii="Calibri" w:hAnsi="Calibri" w:eastAsia="Microsoft YaHei" w:cs="Calibri"/>
          <w:color w:val="263238"/>
          <w:sz w:val="21"/>
          <w:szCs w:val="21"/>
        </w:rPr>
        <w:t>None</w:t>
      </w:r>
    </w:p>
    <w:p>
      <w:pPr>
        <w:pStyle w:val="Normal"/>
      </w:pPr>
      <w:r>
        <w:rPr>
          <w:rFonts w:ascii="Calibri" w:hAnsi="Calibri" w:eastAsia="Microsoft YaHei" w:cs="Calibri"/>
          <w:color w:val="263238"/>
          <w:sz w:val="21"/>
          <w:szCs w:val="21"/>
        </w:rPr>
        <w:t>Second</w:t>
      </w:r>
    </w:p>
    <w:p>
      <w:pPr>
        <w:pStyle w:val="Normal"/>
      </w:pPr>
      <w:r>
        <w:rPr>
          <w:rFonts w:ascii="Calibri" w:hAnsi="Calibri" w:eastAsia="Microsoft YaHei" w:cs="Calibri"/>
          <w:color w:val="263238"/>
          <w:sz w:val="21"/>
          <w:szCs w:val="21"/>
        </w:rPr>
        <w:t>+100%</w:t>
      </w:r>
    </w:p>
    <w:p>
      <w:pPr>
        <w:pStyle w:val="Normal"/>
      </w:pPr>
      <w:r>
        <w:rPr>
          <w:rFonts w:ascii="Calibri" w:hAnsi="Calibri" w:eastAsia="Microsoft YaHei" w:cs="Calibri"/>
          <w:color w:val="263238"/>
          <w:sz w:val="21"/>
          <w:szCs w:val="21"/>
        </w:rPr>
        <w:t>Mandatory public explanation to Coordination Committee</w:t>
      </w:r>
    </w:p>
    <w:p>
      <w:pPr>
        <w:pStyle w:val="Normal"/>
      </w:pPr>
      <w:r>
        <w:rPr>
          <w:rFonts w:ascii="Calibri" w:hAnsi="Calibri" w:eastAsia="Microsoft YaHei" w:cs="Calibri"/>
          <w:color w:val="263238"/>
          <w:sz w:val="21"/>
          <w:szCs w:val="21"/>
        </w:rPr>
        <w:t>Third</w:t>
      </w:r>
    </w:p>
    <w:p>
      <w:pPr>
        <w:pStyle w:val="Normal"/>
      </w:pPr>
      <w:r>
        <w:rPr>
          <w:rFonts w:ascii="Calibri" w:hAnsi="Calibri" w:eastAsia="Microsoft YaHei" w:cs="Calibri"/>
          <w:color w:val="263238"/>
          <w:sz w:val="21"/>
          <w:szCs w:val="21"/>
        </w:rPr>
        <w:t>+150%</w:t>
      </w:r>
    </w:p>
    <w:p>
      <w:pPr>
        <w:pStyle w:val="Normal"/>
      </w:pPr>
      <w:r>
        <w:rPr>
          <w:rFonts w:ascii="Calibri" w:hAnsi="Calibri" w:eastAsia="Microsoft YaHei" w:cs="Calibri"/>
          <w:color w:val="263238"/>
          <w:sz w:val="21"/>
          <w:szCs w:val="21"/>
        </w:rPr>
        <w:t>Mandatory public explanation + formal review of tier status</w:t>
      </w:r>
    </w:p>
    <w:p>
      <w:pPr>
        <w:pStyle w:val="Normal"/>
      </w:pPr>
      <w:r>
        <w:rPr>
          <w:rFonts w:ascii="Calibri" w:hAnsi="Calibri" w:eastAsia="Microsoft YaHei" w:cs="Calibri"/>
          <w:color w:val="263238"/>
          <w:sz w:val="21"/>
          <w:szCs w:val="21"/>
        </w:rPr>
        <w:t>Coalition Integrity Trigger: If &gt;30% of members abstain on any single case, an automatic coalition-wide review of membership tiers is triggered. Members who abstained without severe domestic political constraint certification (verified by IEWC within 14 days) face mandatory opt-down to Observer+ status. Vote does not count toward threshold. Implementing members receive the abstainer's additional contribution. Constructive Alternative (v8.5, enhanced v9.2): Beyond standard abstention, members propose a Constructive Alternative, an alternative stabilisation measure package that addresses the coercion through different means. If the alternative is adopted by 55% weighted vote, the proposing member participates at 75% burden share with full benefits. This transforms dissent into contribution: alternative pathways are legitimised rather than penalised, and the coalition gains flexibility without losing aggregate pressure. Systemic-Economy Enhancement (v9.2): In cases involving systemic economies, adopted Constructive Alternatives, such as shifts from tariffs to diversification subsidies, WTO litigation, or procurement reorientation, count as full participation for burden-sharing credit (100% rate, not 75%). This provides an explicit pathway for highly exposed members to contribute meaningfully without direct trade confrontation.</w:t>
      </w:r>
    </w:p>
    <w:p>
      <w:pPr>
        <w:pStyle w:val="Heading3"/>
      </w:pPr>
      <w:r>
        <w:rPr>
          <w:rFonts w:ascii="Calibri" w:hAnsi="Calibri" w:eastAsia="Microsoft YaHei" w:cs="Calibri"/>
          <w:b/>
          <w:color w:val="546E7A"/>
          <w:sz w:val="22"/>
          <w:szCs w:val="22"/>
        </w:rPr>
        <w:t>Section 3.5 (Second Addendum): Vulnerability-Based Abstention Relief [NEW: v12.1]</w:t>
      </w:r>
    </w:p>
    <w:p>
      <w:pPr>
        <w:pStyle w:val="Normal"/>
      </w:pPr>
      <w:r>
        <w:rPr>
          <w:rFonts w:ascii="Calibri" w:hAnsi="Calibri" w:eastAsia="Microsoft YaHei" w:cs="Calibri"/>
          <w:color w:val="263238"/>
          <w:sz w:val="21"/>
          <w:szCs w:val="21"/>
        </w:rPr>
        <w:t>For actions taken by a state certified as a High Political Volatility actor under Section 4.2X, IMESI waives the abstention surcharge under this Section in full where a Member demonstrates to the IEWC that its domestic industry or financial system faces unique vulnerability to immediate and severe shock from the specific measure. The waiver removes the financial penalty for prudence without altering the Member's notification and transparency obligations under Section 6.4A.</w:t>
      </w:r>
    </w:p>
    <w:p>
      <w:pPr>
        <w:pStyle w:val="Heading3"/>
      </w:pPr>
      <w:r>
        <w:t>Section 3.5 (Addendum): Expanded Abstention Definition [NEW: v15.0]</w:t>
      </w:r>
    </w:p>
    <w:p>
      <w:r>
        <w:t>(e) For purposes of this Section, abstention includes: (i) formal abstention from a vote; (ii) failure to cast a vote when present; (iii) casting a procedurally invalid vote, including voting present or voting on a procedural matter in a manner that registers no substantive position; (iv) failure to attend a session where a vote is scheduled, without a documented constitutional or force-majeure justification; and (v) any other conduct that has the effect of not contributing to the collective decision.</w:t>
      </w:r>
    </w:p>
    <w:p>
      <w:r>
        <w:t>(f) The 15% abstention cap in Section 3.5 applies to all forms of abstention defined in subsection (e).</w:t>
      </w:r>
    </w:p>
    <w:p>
      <w:r>
        <w:t>(g) A Member that exceeds the 15% abstention cap: (i) faces the escalating surcharge schedule in Section 3.5; (ii) is subject to automatic VCI downgrade (Annex 13A); and (iii) is subject to the Coalition Integrity Trigger (Section 3.5).</w:t>
      </w:r>
    </w:p>
    <w:p>
      <w:r>
        <w:t>(h) The Secretariat maintains a public Abstention Registry, displaying each Member's abstention rate by activation and rolling 3-year period.</w:t>
      </w:r>
    </w:p>
    <w:p>
      <w:r>
        <w:t>Rationale: Active non-participation now counts as abstention. A Member cannot show up and do nothing without the conduct counting against the abstention cap. The Abstention Registry provides public transparency.</w:t>
      </w:r>
    </w:p>
    <w:p>
      <w:pPr>
        <w:pStyle w:val="Heading2"/>
      </w:pPr>
      <w:r>
        <w:rPr>
          <w:rFonts w:ascii="Calibri" w:hAnsi="Calibri" w:eastAsia="Microsoft YaHei" w:cs="Calibri"/>
          <w:b/>
          <w:color w:val="263238"/>
          <w:sz w:val="25"/>
          <w:szCs w:val="25"/>
        </w:rPr>
        <w:t>Section 3.7: Rolling Review Horizons by Tier (Nofade Protocol)</w:t>
      </w:r>
    </w:p>
    <w:p>
      <w:pPr>
        <w:pStyle w:val="Heading3"/>
      </w:pPr>
      <w:r>
        <w:rPr>
          <w:rFonts w:ascii="Calibri" w:hAnsi="Calibri" w:eastAsia="Microsoft YaHei" w:cs="Calibri"/>
          <w:b/>
          <w:color w:val="546E7A"/>
          <w:sz w:val="22"/>
          <w:szCs w:val="22"/>
        </w:rPr>
        <w:t>Section 3.7B: Exit Without Penalty [NEW: v12.0]</w:t>
      </w:r>
    </w:p>
    <w:p>
      <w:pPr>
        <w:pStyle w:val="Normal"/>
      </w:pPr>
      <w:r>
        <w:rPr>
          <w:rFonts w:ascii="Calibri" w:hAnsi="Calibri" w:eastAsia="Microsoft YaHei" w:cs="Calibri"/>
          <w:color w:val="263238"/>
          <w:sz w:val="21"/>
          <w:szCs w:val="21"/>
        </w:rPr>
        <w:t>Members withdraw from this Instrument upon 12 months’ notice, with no financial penalty beyond ordinary Fund adjustments. Withdrawal does not affect the Member’s standing in other international organisations or trade agreements.</w:t>
      </w:r>
    </w:p>
    <w:p>
      <w:pPr>
        <w:pStyle w:val="Heading3"/>
      </w:pPr>
      <w:r>
        <w:rPr>
          <w:rFonts w:ascii="Calibri" w:hAnsi="Calibri" w:eastAsia="Microsoft YaHei" w:cs="Calibri"/>
          <w:b/>
          <w:color w:val="546E7A"/>
          <w:sz w:val="22"/>
          <w:szCs w:val="22"/>
        </w:rPr>
        <w:t>Section 3.7B (Addendum): Pre-Withdrawal Notification Protocol [NEW: v13.0]</w:t>
      </w:r>
    </w:p>
    <w:p>
      <w:pPr>
        <w:pStyle w:val="Normal"/>
      </w:pPr>
      <w:r>
        <w:rPr>
          <w:rFonts w:ascii="Calibri" w:hAnsi="Calibri" w:eastAsia="Microsoft YaHei" w:cs="Calibri"/>
          <w:color w:val="263238"/>
          <w:sz w:val="21"/>
          <w:szCs w:val="21"/>
        </w:rPr>
        <w:t>A Member considering withdrawal notifies the Secretariat confidentially at least 30 days before any public announcement. The Secretariat treats the notification as Restricted under Section 4.2N and uses the window to: (a) assess whether the withdrawal is coerced; (b) pre-position Defection Cascade Circuit Breaker measures under Section 6.7; and (c) offer the Member alternative support addressing its concerns. Notification creates no penalty, condition, or delay on withdrawal itself, consistent with Section 3.7B. Where two or more Members announce withdrawal within a 7-day window, the Defection Cascade Circuit Breaker triggers immediately, without waiting for the standard defection-rate threshold, freezing all stabilisation measures and convening an emergency Coordination Committee session within 24 hours. Documented inducement of a coordinated withdrawal announcement by a coercing state constitutes a Tier 1 anti-fragmentation violation against that state and triggers automatic ACE expansion under Section 6.3; any Phase 3 escalation follows the standard voting and human-confirmation procedures of Sections 4.5B and 5.5B.</w:t>
      </w:r>
    </w:p>
    <w:p>
      <w:pPr>
        <w:pStyle w:val="Heading3"/>
      </w:pPr>
      <w:r>
        <w:rPr>
          <w:rFonts w:ascii="Calibri" w:hAnsi="Calibri" w:eastAsia="Microsoft YaHei" w:cs="Calibri"/>
          <w:b/>
          <w:color w:val="546E7A"/>
          <w:sz w:val="22"/>
          <w:szCs w:val="22"/>
        </w:rPr>
        <w:t>Section 3.7 (Addendum): Retroactive Protection Clause [NEW: v12.0]</w:t>
      </w:r>
    </w:p>
    <w:p>
      <w:pPr>
        <w:pStyle w:val="Normal"/>
      </w:pPr>
      <w:r>
        <w:rPr>
          <w:rFonts w:ascii="Calibri" w:hAnsi="Calibri" w:eastAsia="Microsoft YaHei" w:cs="Calibri"/>
          <w:color w:val="263238"/>
          <w:sz w:val="21"/>
          <w:szCs w:val="21"/>
        </w:rPr>
        <w:t>Members that join IMESI and face retaliation from any state receive retroactive protection dating to the date they signed the Founding Pledge. Tariffs or sanctions imposed after the pledge date but before formal ratification fall within coverage.</w:t>
      </w:r>
    </w:p>
    <w:p>
      <w:pPr>
        <w:pStyle w:val="Normal"/>
      </w:pPr>
      <w:r>
        <w:rPr>
          <w:rFonts w:ascii="Calibri" w:hAnsi="Calibri" w:eastAsia="Microsoft YaHei" w:cs="Calibri"/>
          <w:color w:val="263238"/>
          <w:sz w:val="21"/>
          <w:szCs w:val="21"/>
        </w:rPr>
        <w:t>To reduce perceived lock-in risk, membership at each tier operates on defined review cycles under the Nofade Protocol (Annex 25): each cycle renews by silence on a clean record, and only a written Coordination Committee determination modifies a tier commitment. Review</w:t>
      </w:r>
    </w:p>
    <w:p>
      <w:pPr>
        <w:pStyle w:val="Normal"/>
      </w:pPr>
      <w:r>
        <w:rPr>
          <w:rFonts w:ascii="Calibri" w:hAnsi="Calibri" w:eastAsia="Microsoft YaHei" w:cs="Calibri"/>
          <w:color w:val="263238"/>
          <w:sz w:val="21"/>
          <w:szCs w:val="21"/>
        </w:rPr>
        <w:t>cycles:</w:t>
      </w:r>
    </w:p>
    <w:p>
      <w:pPr>
        <w:pStyle w:val="Normal"/>
      </w:pPr>
      <w:r>
        <w:rPr>
          <w:rFonts w:ascii="Calibri" w:hAnsi="Calibri" w:eastAsia="Microsoft YaHei" w:cs="Calibri"/>
          <w:color w:val="263238"/>
          <w:sz w:val="21"/>
          <w:szCs w:val="21"/>
        </w:rPr>
        <w:t>Tier</w:t>
      </w:r>
    </w:p>
    <w:p>
      <w:pPr>
        <w:pStyle w:val="Normal"/>
      </w:pPr>
      <w:r>
        <w:rPr>
          <w:rFonts w:ascii="Calibri" w:hAnsi="Calibri" w:eastAsia="Microsoft YaHei" w:cs="Calibri"/>
          <w:color w:val="263238"/>
          <w:sz w:val="21"/>
          <w:szCs w:val="21"/>
        </w:rPr>
        <w:t>Initial Term</w:t>
      </w:r>
    </w:p>
    <w:p>
      <w:pPr>
        <w:pStyle w:val="Normal"/>
      </w:pPr>
      <w:r>
        <w:rPr>
          <w:rFonts w:ascii="Calibri" w:hAnsi="Calibri" w:eastAsia="Microsoft YaHei" w:cs="Calibri"/>
          <w:color w:val="263238"/>
          <w:sz w:val="21"/>
          <w:szCs w:val="21"/>
        </w:rPr>
        <w:t>Renewal Term</w:t>
      </w:r>
    </w:p>
    <w:p>
      <w:pPr>
        <w:pStyle w:val="Normal"/>
      </w:pPr>
      <w:r>
        <w:rPr>
          <w:rFonts w:ascii="Calibri" w:hAnsi="Calibri" w:eastAsia="Microsoft YaHei" w:cs="Calibri"/>
          <w:color w:val="263238"/>
          <w:sz w:val="21"/>
          <w:szCs w:val="21"/>
        </w:rPr>
        <w:t>Non-Renewal Consequence</w:t>
      </w:r>
    </w:p>
    <w:p>
      <w:pPr>
        <w:pStyle w:val="Normal"/>
      </w:pPr>
      <w:r>
        <w:rPr>
          <w:rFonts w:ascii="Calibri" w:hAnsi="Calibri" w:eastAsia="Microsoft YaHei" w:cs="Calibri"/>
          <w:color w:val="263238"/>
          <w:sz w:val="21"/>
          <w:szCs w:val="21"/>
        </w:rPr>
        <w:t>Tier 1 (Associate)</w:t>
      </w:r>
    </w:p>
    <w:p>
      <w:pPr>
        <w:pStyle w:val="Normal"/>
      </w:pPr>
      <w:r>
        <w:rPr>
          <w:rFonts w:ascii="Calibri" w:hAnsi="Calibri" w:eastAsia="Microsoft YaHei" w:cs="Calibri"/>
          <w:color w:val="263238"/>
          <w:sz w:val="21"/>
          <w:szCs w:val="21"/>
        </w:rPr>
        <w:t>3 years</w:t>
      </w:r>
    </w:p>
    <w:p>
      <w:pPr>
        <w:pStyle w:val="Normal"/>
      </w:pPr>
      <w:r>
        <w:rPr>
          <w:rFonts w:ascii="Calibri" w:hAnsi="Calibri" w:eastAsia="Microsoft YaHei" w:cs="Calibri"/>
          <w:color w:val="263238"/>
          <w:sz w:val="21"/>
          <w:szCs w:val="21"/>
        </w:rPr>
        <w:t>5-year renewable</w:t>
      </w:r>
    </w:p>
    <w:p>
      <w:pPr>
        <w:pStyle w:val="Normal"/>
      </w:pPr>
      <w:r>
        <w:rPr>
          <w:rFonts w:ascii="Calibri" w:hAnsi="Calibri" w:eastAsia="Microsoft YaHei" w:cs="Calibri"/>
          <w:color w:val="263238"/>
          <w:sz w:val="21"/>
          <w:szCs w:val="21"/>
        </w:rPr>
        <w:t>Automatic revert to Observer+</w:t>
      </w:r>
    </w:p>
    <w:p>
      <w:pPr>
        <w:pStyle w:val="Normal"/>
      </w:pPr>
      <w:r>
        <w:rPr>
          <w:rFonts w:ascii="Calibri" w:hAnsi="Calibri" w:eastAsia="Microsoft YaHei" w:cs="Calibri"/>
          <w:color w:val="263238"/>
          <w:sz w:val="21"/>
          <w:szCs w:val="21"/>
        </w:rPr>
        <w:t>Tier 2 (Full)</w:t>
      </w:r>
    </w:p>
    <w:p>
      <w:pPr>
        <w:pStyle w:val="Normal"/>
      </w:pPr>
      <w:r>
        <w:rPr>
          <w:rFonts w:ascii="Calibri" w:hAnsi="Calibri" w:eastAsia="Microsoft YaHei" w:cs="Calibri"/>
          <w:color w:val="263238"/>
          <w:sz w:val="21"/>
          <w:szCs w:val="21"/>
        </w:rPr>
        <w:t>7 years</w:t>
      </w:r>
    </w:p>
    <w:p>
      <w:pPr>
        <w:pStyle w:val="Normal"/>
      </w:pPr>
      <w:r>
        <w:rPr>
          <w:rFonts w:ascii="Calibri" w:hAnsi="Calibri" w:eastAsia="Microsoft YaHei" w:cs="Calibri"/>
          <w:color w:val="263238"/>
          <w:sz w:val="21"/>
          <w:szCs w:val="21"/>
        </w:rPr>
        <w:t>10-year renewable</w:t>
      </w:r>
    </w:p>
    <w:p>
      <w:pPr>
        <w:pStyle w:val="Normal"/>
      </w:pPr>
      <w:r>
        <w:rPr>
          <w:rFonts w:ascii="Calibri" w:hAnsi="Calibri" w:eastAsia="Microsoft YaHei" w:cs="Calibri"/>
          <w:color w:val="263238"/>
          <w:sz w:val="21"/>
          <w:szCs w:val="21"/>
        </w:rPr>
        <w:t>Optional exit after Year 5 with 2-year notice; no financial penalty</w:t>
      </w:r>
    </w:p>
    <w:p>
      <w:pPr>
        <w:pStyle w:val="Normal"/>
      </w:pPr>
      <w:r>
        <w:rPr>
          <w:rFonts w:ascii="Calibri" w:hAnsi="Calibri" w:eastAsia="Microsoft YaHei" w:cs="Calibri"/>
          <w:color w:val="263238"/>
          <w:sz w:val="21"/>
          <w:szCs w:val="21"/>
        </w:rPr>
        <w:t>Tier 3 (Enhanced Solidarity)</w:t>
      </w:r>
    </w:p>
    <w:p>
      <w:pPr>
        <w:pStyle w:val="Normal"/>
      </w:pPr>
      <w:r>
        <w:rPr>
          <w:rFonts w:ascii="Calibri" w:hAnsi="Calibri" w:eastAsia="Microsoft YaHei" w:cs="Calibri"/>
          <w:color w:val="263238"/>
          <w:sz w:val="21"/>
          <w:szCs w:val="21"/>
        </w:rPr>
        <w:t>7 years</w:t>
      </w:r>
    </w:p>
    <w:p>
      <w:pPr>
        <w:pStyle w:val="Normal"/>
      </w:pPr>
      <w:r>
        <w:rPr>
          <w:rFonts w:ascii="Calibri" w:hAnsi="Calibri" w:eastAsia="Microsoft YaHei" w:cs="Calibri"/>
          <w:color w:val="263238"/>
          <w:sz w:val="21"/>
          <w:szCs w:val="21"/>
        </w:rPr>
        <w:t>10-year renewable</w:t>
      </w:r>
    </w:p>
    <w:p>
      <w:pPr>
        <w:pStyle w:val="Normal"/>
      </w:pPr>
      <w:r>
        <w:rPr>
          <w:rFonts w:ascii="Calibri" w:hAnsi="Calibri" w:eastAsia="Microsoft YaHei" w:cs="Calibri"/>
          <w:color w:val="263238"/>
          <w:sz w:val="21"/>
          <w:szCs w:val="21"/>
        </w:rPr>
        <w:t>Mandatory reauthorisation vote by domestic government; exit after Year 5 with 2-year notice</w:t>
      </w:r>
    </w:p>
    <w:p>
      <w:pPr>
        <w:pStyle w:val="Normal"/>
      </w:pPr>
      <w:r>
        <w:rPr>
          <w:rFonts w:ascii="Calibri" w:hAnsi="Calibri" w:eastAsia="Microsoft YaHei" w:cs="Calibri"/>
          <w:color w:val="263238"/>
          <w:sz w:val="21"/>
          <w:szCs w:val="21"/>
        </w:rPr>
        <w:t>Renewal is procedural, not substantive, designed to ensure continuing domestic political mandate, not to create uncertainty. Members in good standing renews by written notification. Downgrade due to non-renewal carries no financial penalty beyond loss of tier-specific benefits.</w:t>
      </w:r>
    </w:p>
    <w:p>
      <w:pPr>
        <w:pStyle w:val="Normal"/>
      </w:pPr>
      <w:r>
        <w:rPr>
          <w:rFonts w:ascii="Calibri" w:hAnsi="Calibri" w:eastAsia="Microsoft YaHei" w:cs="Calibri"/>
          <w:color w:val="263238"/>
          <w:sz w:val="21"/>
          <w:szCs w:val="21"/>
        </w:rPr>
        <w:t>Clarified Exit Provisions (v8.6): Non-renewal or tier downgrade carries no retroactive financial penalty beyond: (a) loss of tier-specific benefits prospectively; (b) return of unexpended Fund contributions on pro rata basis; (c) 12-month transition period for SFI access at standard rates. No claim for damages or lost anticipated benefits arise. Exit is a legitimate institutional option, not a betrayal. This clarity makes accession less daunting. Withdrawal Procedure: A member withdraws from this Instrument by written notification to the Depositary. Withdrawal takes effect 12 months after receipt, during which period the member remains bound by existing decisions but assumes no new obligations. No financial or legal penalties apply solely by reason of withdrawal. Upon withdrawal: (a) the member's Fund contributions are returned on a pro rata basis net of any outstanding claims; (b) SFI access continues at commercial rates for 24 months for orderly transition; (c) intelligence-sharing obligations cease but confidentiality obligations survive for 5 years. Withdrawal does not affect the validity of any IMESI decision taken while the member was party. Exit Adjustment Mechanism: A Member that withdraws from this Instrument, following consultations with the Secretariat, makes appropriate financial adjustments, which include partial repayment of net benefits received from the Mutual Economic Security Fund during the preceding 36-month period, in order to preserve the Fund's integrity. Adjustment calculations are transparent, based on audited disbursement records, and subject to review by the IAC upon request. No adjustment exceeds 50% of net benefits received. Members withdrawing during an active case in which they received emergency assistance completes adjustment within 24 months of withdrawal effective date. Accelerated Withdrawal: If a government is elected on an explicit IMESI-withdrawal platform: 6-month withdrawal notice (instead of 12). During those 6 months: obligations limited to confidentiality, non-circumvention, and agreed financial settlement. Pro-rata return of contributions, no penalty or claim for expected benefits. 24-month cooling-off before re-accession fast track. Verified Capability Threshold (v8): Tier 2/3 renewal at Year 7 requires: (a) 7 years elapsed AND (b) participation in at least 1 actual coercion case OR at least 3 successful micro-exercises with simulated cost absorption (VCI-B or above per Annex 13A). If the VCI-case threshold is</w:t>
      </w:r>
    </w:p>
    <w:p>
      <w:pPr>
        <w:pStyle w:val="Normal"/>
      </w:pPr>
      <w:r>
        <w:rPr>
          <w:rFonts w:ascii="Calibri" w:hAnsi="Calibri" w:eastAsia="Microsoft YaHei" w:cs="Calibri"/>
          <w:color w:val="263238"/>
          <w:sz w:val="21"/>
          <w:szCs w:val="21"/>
        </w:rPr>
        <w:t>unmet, a 2-year extension is granted with enhanced micro-exercise requirements. This makes the 7-year figure contingent on verified capability, not merely elapsed time.</w:t>
      </w:r>
    </w:p>
    <w:p>
      <w:pPr>
        <w:pStyle w:val="Heading3"/>
      </w:pPr>
      <w:r>
        <w:t>Section 3.7B (Second Addendum): Banked Performance Enforcement [NEW: v15.0]</w:t>
      </w:r>
    </w:p>
    <w:p>
      <w:r>
        <w:t>(e) Upon a Member's notification of withdrawal under Section 3.7B, the following applies: (i) all banked performance under Annex 25, Article 2.2 undergoes a one-time reconciliation audit; (ii) the Member repays to the Fund any net benefits received during the preceding 36-month period that exceed the Member's total contributions for that period; (iii) the repayment amount does not exceed 50% of net benefits received; and (iv) the repayment falls due within 12 months of the withdrawal effective date.</w:t>
      </w:r>
    </w:p>
    <w:p>
      <w:r>
        <w:t>(f) During the 12-month notice period: (i) the withdrawing Member remains bound by all existing decisions and assumes no new obligations; (ii) all SFI access, intelligence-sharing privileges, and Dashboard access continue at standard rates until the withdrawal effective date; and (iii) the Member holds no eligibility for new Fund disbursements during the notice period.</w:t>
      </w:r>
    </w:p>
    <w:p>
      <w:r>
        <w:t>(g) Upon the withdrawal effective date: (i) the Fund returns the Member's contributions on a pro rata basis, net of any outstanding claims under subsection (e); (ii) SFI access continues at commercial rates for 24 months for orderly transition; (iii) intelligence-sharing obligations cease while confidentiality obligations survive for 10 years, extended from 5 years; and (iv) the Member's banked performance record is archived and remains citable for purposes of assessing future accession applications.</w:t>
      </w:r>
    </w:p>
    <w:p>
      <w:r>
        <w:t>Rationale: This makes defection financially costly. A departing Member cannot walk away with its banked benefits: it repays net benefits received, and its confidentiality obligations extend for a decade.</w:t>
      </w:r>
    </w:p>
    <w:p>
      <w:pPr>
        <w:pStyle w:val="Heading3"/>
      </w:pPr>
      <w:r>
        <w:t>Section 3.7B (Third Addendum): Exit and Re-Entry Distinctions [NEW: v15.0]</w:t>
      </w:r>
    </w:p>
    <w:p>
      <w:r>
        <w:t>(g2) A Member that has been permanently excluded under Section 6.11(h) holds no right to re-enter the Instrument under this Section or any other provision.</w:t>
      </w:r>
    </w:p>
    <w:p>
      <w:r>
        <w:t>(h) A Member that has withdrawn voluntarily under Section 3.7B: (i) holds the right to re-enter the Instrument after 24 months from the withdrawal effective date; (ii) re-enters at Tier 0 (Observer) status; (iii) demonstrates 12 months of clean compliance before progressing to higher tiers; and (iv) repays any outstanding Fund obligations from the previous membership period.</w:t>
      </w:r>
    </w:p>
    <w:p>
      <w:r>
        <w:t>(i) A Member that has been expelled for Non-Existential Misconduct under Section 6.11(d)(ii)(A): (i) holds the right to re-enter through the Rehabilitation Review process in Section 6.11(g); and (ii) holds no right to re-enter through voluntary accession procedures.</w:t>
      </w:r>
    </w:p>
    <w:p>
      <w:r>
        <w:t>(j) The distinctions in this Section: (i) apply automatically upon determination of the Member's status; (ii) are non-waivable by any Member or group of Members; and (iii) operate subject to the Nofade Protocol (Annex 25).</w:t>
      </w:r>
    </w:p>
    <w:p>
      <w:pPr>
        <w:pStyle w:val="Heading3"/>
      </w:pPr>
      <w:r>
        <w:t>Section 3.7B (Fourth Addendum): Recent Member Exit Accountability [NEW: v15.0]</w:t>
      </w:r>
    </w:p>
    <w:p>
      <w:r>
        <w:t>(k) A Member that has been a Party to this Instrument for less than 36 months and notifies withdrawal under Section 3.7B: (i) repays 100% of net benefits received, rather than the standard 50% cap under Section 3.7B (Second Addendum); (ii) loses all SFI access immediately upon withdrawal, rather than the standard 24-month transition period; and (iii) faces a 5-year moratorium on re-accession, rather than the standard 24 months.</w:t>
      </w:r>
    </w:p>
    <w:p>
      <w:r>
        <w:t>(l) The calculation of net benefits under subsection (k)(i) includes: (i) documented procurement savings; (ii) Fund disbursements received; (iii) estimated intelligence value under a classified methodology; and (iv) supply chain assistance received.</w:t>
      </w:r>
    </w:p>
    <w:p>
      <w:r>
        <w:t>(m) A Member that has been a Party for 36 months or more remains subject to the standard 50% cap on repayment and the standard transition provisions.</w:t>
      </w:r>
    </w:p>
    <w:p>
      <w:r>
        <w:t>(n) This Section is non-waivable and operates under the Nofade Protocol (Annex 25).</w:t>
      </w:r>
    </w:p>
    <w:p>
      <w:r>
        <w:t>Rationale: This closes the join-extract-leave loophole. Recent members face full clawback, immediate SFI loss, and a longer moratorium. Exit is never costless.</w:t>
      </w:r>
    </w:p>
    <w:p>
      <w:pPr>
        <w:pStyle w:val="Heading2"/>
      </w:pPr>
      <w:r>
        <w:t>Section 3.7C: State Succession Protocol [NEW: v15.0]</w:t>
      </w:r>
    </w:p>
    <w:p>
      <w:r>
        <w:t>(a) Where a Member state dissolves, merges, or is absorbed by another state: (i) the successor state or states notify the Secretariat within 30 days of the succession event; and (ii) the successor state or states indicate whether they intend to continue, modify, or terminate IMESI membership.</w:t>
      </w:r>
    </w:p>
    <w:p>
      <w:r>
        <w:t>(b) Where a successor state continues IMESI membership: (i) all obligations and rights of the predecessor state transfer to the successor state; (ii) the successor state is subject to the same tier status and contribution obligations as the predecessor state; and (iii) the successor state is subject to the same Nofade Protocol obligations (Annex 25).</w:t>
      </w:r>
    </w:p>
    <w:p>
      <w:r>
        <w:t>(c) Where a successor state modifies IMESI membership: (i) the modification is subject to standard accession procedures under Article III; (ii) the successor state holds the right to apply for a different tier; and (iii) the successor state is not subject to retroactive penalties for the predecessor state's conduct.</w:t>
      </w:r>
    </w:p>
    <w:p>
      <w:r>
        <w:t>(d) Where a successor state terminates IMESI membership: (i) the termination is subject to Section 3.7B withdrawal provisions; (ii) the successor state is subject to the Banked Performance clawback under Section 3.7B (Second Addendum); and (iii) the termination takes effect 12 months from notification, unless accelerated by mutual agreement.</w:t>
      </w:r>
    </w:p>
    <w:p>
      <w:r>
        <w:t>(e) Where a Member state dissolves into multiple successor states: (i) each successor state holds the right to apply for separate membership; (ii) the aggregate contribution obligation of all successor states does not exceed the predecessor state's obligation for the first 24 months; and (iii) after 24 months, each successor state is subject to standard contribution calculations.</w:t>
      </w:r>
    </w:p>
    <w:p>
      <w:r>
        <w:t>(f) This Section operates without prejudice to the law of state succession under customary international law.</w:t>
      </w:r>
    </w:p>
    <w:p>
      <w:r>
        <w:t>Rationale: This closes the succession gap. A clear protocol now governs state dissolution, merger, or absorption.</w:t>
      </w:r>
    </w:p>
    <w:p>
      <w:pPr>
        <w:pStyle w:val="Heading2"/>
      </w:pPr>
      <w:r>
        <w:rPr>
          <w:rFonts w:ascii="Calibri" w:hAnsi="Calibri" w:eastAsia="Microsoft YaHei" w:cs="Calibri"/>
          <w:b/>
          <w:color w:val="263238"/>
          <w:sz w:val="25"/>
          <w:szCs w:val="25"/>
        </w:rPr>
        <w:t>Section 3.7A: Differentiated Review and Evergreening</w:t>
      </w:r>
    </w:p>
    <w:p>
      <w:pPr>
        <w:pStyle w:val="Normal"/>
      </w:pPr>
      <w:r>
        <w:rPr>
          <w:rFonts w:ascii="Calibri" w:hAnsi="Calibri" w:eastAsia="Microsoft YaHei" w:cs="Calibri"/>
          <w:color w:val="263238"/>
          <w:sz w:val="21"/>
          <w:szCs w:val="21"/>
        </w:rPr>
        <w:t>Provision Categorisation: All IMESI provisions classified at founding:</w:t>
      </w:r>
    </w:p>
    <w:p>
      <w:pPr>
        <w:pStyle w:val="Normal"/>
      </w:pPr>
      <w:r>
        <w:rPr>
          <w:rFonts w:ascii="Calibri" w:hAnsi="Calibri" w:eastAsia="Microsoft YaHei" w:cs="Calibri"/>
          <w:color w:val="263238"/>
          <w:sz w:val="21"/>
          <w:szCs w:val="21"/>
        </w:rPr>
        <w:t>Category</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Amendment Threshold</w:t>
      </w:r>
    </w:p>
    <w:p>
      <w:pPr>
        <w:pStyle w:val="Normal"/>
      </w:pPr>
      <w:r>
        <w:rPr>
          <w:rFonts w:ascii="Calibri" w:hAnsi="Calibri" w:eastAsia="Microsoft YaHei" w:cs="Calibri"/>
          <w:color w:val="263238"/>
          <w:sz w:val="21"/>
          <w:szCs w:val="21"/>
        </w:rPr>
        <w:t>Core (Permanent)</w:t>
      </w:r>
    </w:p>
    <w:p>
      <w:pPr>
        <w:pStyle w:val="Normal"/>
      </w:pPr>
      <w:r>
        <w:rPr>
          <w:rFonts w:ascii="Calibri" w:hAnsi="Calibri" w:eastAsia="Microsoft YaHei" w:cs="Calibri"/>
          <w:color w:val="263238"/>
          <w:sz w:val="21"/>
          <w:szCs w:val="21"/>
        </w:rPr>
        <w:t>Collective security doctrine; non-alignment; escalation ceilings; humanitarian floor; de-escalation default</w:t>
      </w:r>
    </w:p>
    <w:p>
      <w:pPr>
        <w:pStyle w:val="Normal"/>
      </w:pPr>
      <w:r>
        <w:rPr>
          <w:rFonts w:ascii="Calibri" w:hAnsi="Calibri" w:eastAsia="Microsoft YaHei" w:cs="Calibri"/>
          <w:color w:val="263238"/>
          <w:sz w:val="21"/>
          <w:szCs w:val="21"/>
        </w:rPr>
        <w:t>80% weighted vote</w:t>
      </w:r>
    </w:p>
    <w:p>
      <w:pPr>
        <w:pStyle w:val="Normal"/>
      </w:pPr>
      <w:r>
        <w:rPr>
          <w:rFonts w:ascii="Calibri" w:hAnsi="Calibri" w:eastAsia="Microsoft YaHei" w:cs="Calibri"/>
          <w:color w:val="263238"/>
          <w:sz w:val="21"/>
          <w:szCs w:val="21"/>
        </w:rPr>
        <w:t>Operational (Renewable)</w:t>
      </w:r>
    </w:p>
    <w:p>
      <w:pPr>
        <w:pStyle w:val="Normal"/>
      </w:pPr>
      <w:r>
        <w:rPr>
          <w:rFonts w:ascii="Calibri" w:hAnsi="Calibri" w:eastAsia="Microsoft YaHei" w:cs="Calibri"/>
          <w:color w:val="263238"/>
          <w:sz w:val="21"/>
          <w:szCs w:val="21"/>
        </w:rPr>
        <w:t>Governance procedures; burden-sharing formulas; tier obligations, automatically renew for 10-year terms unless 60% vote to modify</w:t>
      </w:r>
    </w:p>
    <w:p>
      <w:pPr>
        <w:pStyle w:val="Normal"/>
      </w:pPr>
      <w:r>
        <w:rPr>
          <w:rFonts w:ascii="Calibri" w:hAnsi="Calibri" w:eastAsia="Microsoft YaHei" w:cs="Calibri"/>
          <w:color w:val="263238"/>
          <w:sz w:val="21"/>
          <w:szCs w:val="21"/>
        </w:rPr>
        <w:t>60% to modify</w:t>
      </w:r>
    </w:p>
    <w:p>
      <w:pPr>
        <w:pStyle w:val="Normal"/>
      </w:pPr>
      <w:r>
        <w:rPr>
          <w:rFonts w:ascii="Calibri" w:hAnsi="Calibri" w:eastAsia="Microsoft YaHei" w:cs="Calibri"/>
          <w:color w:val="263238"/>
          <w:sz w:val="21"/>
          <w:szCs w:val="21"/>
        </w:rPr>
        <w:t>Experimental (Time-Limited)</w:t>
      </w:r>
    </w:p>
    <w:p>
      <w:pPr>
        <w:pStyle w:val="Normal"/>
      </w:pPr>
      <w:r>
        <w:rPr>
          <w:rFonts w:ascii="Calibri" w:hAnsi="Calibri" w:eastAsia="Microsoft YaHei" w:cs="Calibri"/>
          <w:color w:val="263238"/>
          <w:sz w:val="21"/>
          <w:szCs w:val="21"/>
        </w:rPr>
        <w:t>ADAI; Coercion Forecast Market; novel stabilisation measure types, mandatory evaluation at terminus; 60% to extend, modify, or retire</w:t>
      </w:r>
    </w:p>
    <w:p>
      <w:pPr>
        <w:pStyle w:val="Normal"/>
      </w:pPr>
      <w:r>
        <w:rPr>
          <w:rFonts w:ascii="Calibri" w:hAnsi="Calibri" w:eastAsia="Microsoft YaHei" w:cs="Calibri"/>
          <w:color w:val="263238"/>
          <w:sz w:val="21"/>
          <w:szCs w:val="21"/>
        </w:rPr>
        <w:t>60% to extend</w:t>
      </w:r>
    </w:p>
    <w:p>
      <w:pPr>
        <w:pStyle w:val="Normal"/>
      </w:pPr>
      <w:r>
        <w:rPr>
          <w:rFonts w:ascii="Calibri" w:hAnsi="Calibri" w:eastAsia="Microsoft YaHei" w:cs="Calibri"/>
          <w:color w:val="263238"/>
          <w:sz w:val="21"/>
          <w:szCs w:val="21"/>
        </w:rPr>
        <w:t>Technical amendments (data updates, procedural refinements) require 55%; substantive amendments 70%.</w:t>
      </w:r>
    </w:p>
    <w:p>
      <w:pPr>
        <w:pStyle w:val="Heading2"/>
      </w:pPr>
      <w:r>
        <w:rPr>
          <w:rFonts w:ascii="Calibri" w:hAnsi="Calibri" w:eastAsia="Microsoft YaHei" w:cs="Calibri"/>
          <w:b/>
          <w:color w:val="263238"/>
          <w:sz w:val="25"/>
          <w:szCs w:val="25"/>
        </w:rPr>
        <w:t>Section 3.8: Domestic Continuity Mechanisms</w:t>
      </w:r>
    </w:p>
    <w:p>
      <w:pPr>
        <w:pStyle w:val="Heading3"/>
      </w:pPr>
      <w:r>
        <w:rPr>
          <w:rFonts w:ascii="Calibri" w:hAnsi="Calibri" w:eastAsia="Microsoft YaHei" w:cs="Calibri"/>
          <w:b/>
          <w:color w:val="546E7A"/>
          <w:sz w:val="22"/>
          <w:szCs w:val="22"/>
        </w:rPr>
        <w:t>Section 3.8 (Addendum): Transition Period Protection [NEW: v12.0]</w:t>
      </w:r>
    </w:p>
    <w:p>
      <w:pPr>
        <w:pStyle w:val="Normal"/>
      </w:pPr>
      <w:r>
        <w:rPr>
          <w:rFonts w:ascii="Calibri" w:hAnsi="Calibri" w:eastAsia="Microsoft YaHei" w:cs="Calibri"/>
          <w:color w:val="263238"/>
          <w:sz w:val="21"/>
          <w:szCs w:val="21"/>
        </w:rPr>
        <w:t>Members notify the Secretariat of impending leadership transitions, elections, or constitutional deadlines within their domestic calendar. During a transition period, defined as 90 days before and 90 days after a change of government, IMESI pre-positions stabilisation measures and deploys Track A stabilisation within 12 hours of AESI certification.</w:t>
      </w:r>
    </w:p>
    <w:p>
      <w:pPr>
        <w:pStyle w:val="Normal"/>
      </w:pPr>
      <w:r>
        <w:rPr>
          <w:rFonts w:ascii="Calibri" w:hAnsi="Calibri" w:eastAsia="Microsoft YaHei" w:cs="Calibri"/>
          <w:color w:val="263238"/>
          <w:sz w:val="21"/>
          <w:szCs w:val="21"/>
        </w:rPr>
        <w:t>To prevent coercers from timing economic pressure around electoral cycles or political transitions, Tier 2+</w:t>
      </w:r>
    </w:p>
    <w:p>
      <w:pPr>
        <w:pStyle w:val="Normal"/>
      </w:pPr>
      <w:r>
        <w:rPr>
          <w:rFonts w:ascii="Calibri" w:hAnsi="Calibri" w:eastAsia="Microsoft YaHei" w:cs="Calibri"/>
          <w:color w:val="263238"/>
          <w:sz w:val="21"/>
          <w:szCs w:val="21"/>
        </w:rPr>
        <w:t>members adopt domestic institutional safeguards:</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Design</w:t>
      </w:r>
    </w:p>
    <w:p>
      <w:pPr>
        <w:pStyle w:val="Normal"/>
      </w:pPr>
      <w:r>
        <w:rPr>
          <w:rFonts w:ascii="Calibri" w:hAnsi="Calibri" w:eastAsia="Microsoft YaHei" w:cs="Calibri"/>
          <w:color w:val="263238"/>
          <w:sz w:val="21"/>
          <w:szCs w:val="21"/>
        </w:rPr>
        <w:t>Pre-commitment legislation</w:t>
      </w:r>
    </w:p>
    <w:p>
      <w:pPr>
        <w:pStyle w:val="Normal"/>
      </w:pPr>
      <w:r>
        <w:rPr>
          <w:rFonts w:ascii="Calibri" w:hAnsi="Calibri" w:eastAsia="Microsoft YaHei" w:cs="Calibri"/>
          <w:color w:val="263238"/>
          <w:sz w:val="21"/>
          <w:szCs w:val="21"/>
        </w:rPr>
        <w:t>Members deposit domestic statutes mandating IMESI participation; repeal requires 12-month notice and +50% Fund contribution during notice period</w:t>
      </w:r>
    </w:p>
    <w:p>
      <w:pPr>
        <w:pStyle w:val="Normal"/>
      </w:pPr>
      <w:r>
        <w:rPr>
          <w:rFonts w:ascii="Calibri" w:hAnsi="Calibri" w:eastAsia="Microsoft YaHei" w:cs="Calibri"/>
          <w:color w:val="263238"/>
          <w:sz w:val="21"/>
          <w:szCs w:val="21"/>
        </w:rPr>
        <w:t>Sub-national declarations</w:t>
      </w:r>
    </w:p>
    <w:p>
      <w:pPr>
        <w:pStyle w:val="Normal"/>
      </w:pPr>
      <w:r>
        <w:rPr>
          <w:rFonts w:ascii="Calibri" w:hAnsi="Calibri" w:eastAsia="Microsoft YaHei" w:cs="Calibri"/>
          <w:color w:val="263238"/>
          <w:sz w:val="21"/>
          <w:szCs w:val="21"/>
        </w:rPr>
        <w:t>solidarity</w:t>
      </w:r>
    </w:p>
    <w:p>
      <w:pPr>
        <w:pStyle w:val="Normal"/>
      </w:pPr>
      <w:r>
        <w:rPr>
          <w:rFonts w:ascii="Calibri" w:hAnsi="Calibri" w:eastAsia="Microsoft YaHei" w:cs="Calibri"/>
          <w:color w:val="263238"/>
          <w:sz w:val="21"/>
          <w:szCs w:val="21"/>
        </w:rPr>
        <w:t>States, provinces, Länder, or prefectures sign non-binding solidarity declarations raising the domestic political cost of federal defection</w:t>
      </w:r>
    </w:p>
    <w:p>
      <w:pPr>
        <w:pStyle w:val="Normal"/>
      </w:pPr>
      <w:r>
        <w:rPr>
          <w:rFonts w:ascii="Calibri" w:hAnsi="Calibri" w:eastAsia="Microsoft YaHei" w:cs="Calibri"/>
          <w:color w:val="263238"/>
          <w:sz w:val="21"/>
          <w:szCs w:val="21"/>
        </w:rPr>
        <w:t>Withdrawal requirement</w:t>
      </w:r>
    </w:p>
    <w:p>
      <w:pPr>
        <w:pStyle w:val="Normal"/>
      </w:pPr>
      <w:r>
        <w:rPr>
          <w:rFonts w:ascii="Calibri" w:hAnsi="Calibri" w:eastAsia="Microsoft YaHei" w:cs="Calibri"/>
          <w:color w:val="263238"/>
          <w:sz w:val="21"/>
          <w:szCs w:val="21"/>
        </w:rPr>
        <w:t>referendum</w:t>
      </w:r>
    </w:p>
    <w:p>
      <w:pPr>
        <w:pStyle w:val="Normal"/>
      </w:pPr>
      <w:r>
        <w:rPr>
          <w:rFonts w:ascii="Calibri" w:hAnsi="Calibri" w:eastAsia="Microsoft YaHei" w:cs="Calibri"/>
          <w:color w:val="263238"/>
          <w:sz w:val="21"/>
          <w:szCs w:val="21"/>
        </w:rPr>
        <w:t>Any government proposing IMESI withdrawal holds public referendum within 90 days; Fund disbursements frozen pending result</w:t>
      </w:r>
    </w:p>
    <w:p>
      <w:pPr>
        <w:pStyle w:val="Normal"/>
      </w:pPr>
      <w:r>
        <w:rPr>
          <w:rFonts w:ascii="Calibri" w:hAnsi="Calibri" w:eastAsia="Microsoft YaHei" w:cs="Calibri"/>
          <w:color w:val="263238"/>
          <w:sz w:val="21"/>
          <w:szCs w:val="21"/>
        </w:rPr>
        <w:t>Cross-party briefings</w:t>
      </w:r>
    </w:p>
    <w:p>
      <w:pPr>
        <w:pStyle w:val="Normal"/>
      </w:pPr>
      <w:r>
        <w:rPr>
          <w:rFonts w:ascii="Calibri" w:hAnsi="Calibri" w:eastAsia="Microsoft YaHei" w:cs="Calibri"/>
          <w:color w:val="263238"/>
          <w:sz w:val="21"/>
          <w:szCs w:val="21"/>
        </w:rPr>
        <w:t>continuity</w:t>
      </w:r>
    </w:p>
    <w:p>
      <w:pPr>
        <w:pStyle w:val="Normal"/>
      </w:pPr>
      <w:r>
        <w:rPr>
          <w:rFonts w:ascii="Calibri" w:hAnsi="Calibri" w:eastAsia="Microsoft YaHei" w:cs="Calibri"/>
          <w:color w:val="263238"/>
          <w:sz w:val="21"/>
          <w:szCs w:val="21"/>
        </w:rPr>
        <w:t>IEWC provides classified briefings to opposition leaders in all member states, ensuring commitment continuity across electoral change</w:t>
      </w:r>
    </w:p>
    <w:p>
      <w:pPr>
        <w:pStyle w:val="Normal"/>
      </w:pPr>
      <w:r>
        <w:rPr>
          <w:rFonts w:ascii="Calibri" w:hAnsi="Calibri" w:eastAsia="Microsoft YaHei" w:cs="Calibri"/>
          <w:color w:val="263238"/>
          <w:sz w:val="21"/>
          <w:szCs w:val="21"/>
        </w:rPr>
        <w:t>These mechanisms are recommended, not mandatory, respecting constitutional diversity across member states. However, members adopting three or more mechanisms receive a 10% reduction in their Fund contribution rate, creating a financial incentive for domestic lock-in.</w:t>
      </w:r>
    </w:p>
    <w:p>
      <w:pPr>
        <w:pStyle w:val="Heading3"/>
      </w:pPr>
      <w:r>
        <w:rPr>
          <w:rFonts w:ascii="Calibri" w:hAnsi="Calibri" w:eastAsia="Microsoft YaHei" w:cs="Calibri"/>
          <w:b/>
          <w:color w:val="546E7A"/>
          <w:sz w:val="22"/>
          <w:szCs w:val="22"/>
        </w:rPr>
        <w:t>Section 3.8 (Second Addendum): Election-Timing Aggravation Standard [NEW: v13.0]</w:t>
      </w:r>
    </w:p>
    <w:p>
      <w:pPr>
        <w:pStyle w:val="Normal"/>
      </w:pPr>
      <w:r>
        <w:rPr>
          <w:rFonts w:ascii="Calibri" w:hAnsi="Calibri" w:eastAsia="Microsoft YaHei" w:cs="Calibri"/>
          <w:color w:val="263238"/>
          <w:sz w:val="21"/>
          <w:szCs w:val="21"/>
        </w:rPr>
        <w:t>Where the IEWC certifies that a coercive measure or offer is timed to influence an electoral cycle or leadership transition in an IMESI Member, the timing constitutes an aggravating factor in severity classification, elevating the classification by one level. The offer receives treatment as a bilateral offer under Section 6.3, triggering automatic ACE expansion and a Coordination Committee vote on countermeasures within 48 hours, regardless of the Member's internal transition timeline. The affected Member's National IMESI Authority (Section 4.1B) briefs all major political parties on the coercion during the transition period, ensuring continuity of awareness regardless of electoral outcome.</w:t>
      </w:r>
    </w:p>
    <w:p>
      <w:pPr>
        <w:pStyle w:val="Heading2"/>
      </w:pPr>
      <w:r>
        <w:rPr>
          <w:rFonts w:ascii="Calibri" w:hAnsi="Calibri" w:eastAsia="Microsoft YaHei" w:cs="Calibri"/>
          <w:b/>
          <w:color w:val="263238"/>
          <w:sz w:val="25"/>
          <w:szCs w:val="25"/>
        </w:rPr>
        <w:t>Section 3.8A: Mandatory Democratic Safeguards</w:t>
      </w:r>
    </w:p>
    <w:p>
      <w:pPr>
        <w:pStyle w:val="Normal"/>
      </w:pPr>
      <w:r>
        <w:rPr>
          <w:rFonts w:ascii="Calibri" w:hAnsi="Calibri" w:eastAsia="Microsoft YaHei" w:cs="Calibri"/>
          <w:color w:val="263238"/>
          <w:sz w:val="21"/>
          <w:szCs w:val="21"/>
        </w:rPr>
        <w:t>Tier 2+ Requirement: Members achieve equivalent domestic political lock-in through nationally appropriate means by Year 3 of membership. The outcome (domestic commitment resilience) matters more than the mechanism. Compliance Options: Members implement at least 2 mechanisms from the following expanded menu: (a) Pre-commitment legislation (Section 3.8) (b) Sub-national solidarity declarations (Section 3.8) (c) Withdrawal referendum requirement (Section 3.8) (d) Cross-party continuity briefings (Section 3.8) (e) Public annual IMESI impact report tabled before the relevant legislative committee (f) Judicial review protocol: national court with jurisdiction to review withdrawal decisions for procedural compliance (g) Independent fiscal council certification: annual attestation that IMESI participation is consistent with national fiscal framework (h) Sunset clauses in bilateral trade agreements requiring IMESI consistency review (i) Ombudsman oversight: designated parliamentary or independent body with IMESI compliance monitoring authority Constitutional Court Certification: If a member's constitutional structure prevents implementation of any listed mechanism, a national constitutional court or equivalent body certifies that an alternative mechanism achieves equivalent effect. Certification accepted as full compliance; waives the non-compliance surcharge. Enforcement: Non-compliance after Year 3 triggers 10% Fund surcharge (reduced from 15%) and suspension from Enhanced Solidarity benefits until compliance achieved. Managed Learning Amnesty (v9.2): Within the first 5 years from entry into force, a member executes a one-time, one-tier downgrade within 12 months of any case closure without financial penalty or</w:t>
      </w:r>
    </w:p>
    <w:p>
      <w:pPr>
        <w:pStyle w:val="Normal"/>
      </w:pPr>
      <w:r>
        <w:rPr>
          <w:rFonts w:ascii="Calibri" w:hAnsi="Calibri" w:eastAsia="Microsoft YaHei" w:cs="Calibri"/>
          <w:color w:val="263238"/>
          <w:sz w:val="21"/>
          <w:szCs w:val="21"/>
        </w:rPr>
        <w:t>reputational stigma. Previous Fund contributions are fully credited; fast-track re-upgrade available upon demonstrated readiness. This provision recognises that real-world activation reveals gaps between pre-commitment and operational capacity, and that managed adjustment is preferable to coalition fracture. Emergency Exception: During active coercion cases, mandatory safeguard implementation timelines are temporarily paused for speed; 30-day retroactive ratification requirement after case closure. Rolling Parliamentary Consent (v8.5): Stabilisation Measures exceeding 0.5% GDP in any active case require affirmative parliamentary resolution (or equivalent legislative action). Measures exceeding 1% GDP require quarterly parliamentary review. Non-approval triggers automatic MOAR opt-out (Section 3.5) for the relevant sector, not coalition exit. This embeds democratic accountability without fragmentation.</w:t>
      </w:r>
    </w:p>
    <w:p>
      <w:pPr>
        <w:pStyle w:val="Heading3"/>
      </w:pPr>
      <w:r>
        <w:rPr>
          <w:rFonts w:ascii="Calibri" w:hAnsi="Calibri" w:eastAsia="Microsoft YaHei" w:cs="Calibri"/>
          <w:b/>
          <w:color w:val="546E7A"/>
          <w:sz w:val="22"/>
          <w:szCs w:val="22"/>
        </w:rPr>
        <w:t>Section 3.8A (Addendum): Crisis Communication Mandate [NEW: v12.1]</w:t>
      </w:r>
    </w:p>
    <w:p>
      <w:pPr>
        <w:pStyle w:val="Normal"/>
      </w:pPr>
      <w:r>
        <w:rPr>
          <w:rFonts w:ascii="Calibri" w:hAnsi="Calibri" w:eastAsia="Microsoft YaHei" w:cs="Calibri"/>
          <w:color w:val="263238"/>
          <w:sz w:val="21"/>
          <w:szCs w:val="21"/>
        </w:rPr>
        <w:t>Where a Tier 2 or higher Member faces a certified High Political Volatility coercer (Section 4.2X), the Member's National IMESI Authority convenes a special closed-door briefing for parliamentary opposition leaders on the nature of the coercion and the Member's response posture. This mandate builds cross-party resilience against externally engineered chaos and prevents the coercer's contradictory threats from destabilising the Member's government from within. Briefing content remains consistent with the Narrative Neutrality Rule (Annex 16).</w:t>
      </w:r>
    </w:p>
    <w:p>
      <w:pPr>
        <w:pStyle w:val="Heading2"/>
      </w:pPr>
      <w:r>
        <w:rPr>
          <w:rFonts w:ascii="Calibri" w:hAnsi="Calibri" w:eastAsia="Microsoft YaHei" w:cs="Calibri"/>
          <w:b/>
          <w:color w:val="263238"/>
          <w:sz w:val="25"/>
          <w:szCs w:val="25"/>
        </w:rPr>
        <w:t>Section 3.8B: Sub-National Democratic Safeguard</w:t>
      </w:r>
    </w:p>
    <w:p>
      <w:pPr>
        <w:pStyle w:val="Heading3"/>
      </w:pPr>
      <w:r>
        <w:rPr>
          <w:rFonts w:ascii="Calibri" w:hAnsi="Calibri" w:eastAsia="Microsoft YaHei" w:cs="Calibri"/>
          <w:b/>
          <w:color w:val="546E7A"/>
          <w:sz w:val="22"/>
          <w:szCs w:val="22"/>
        </w:rPr>
        <w:t>Section 3.8B (Addendum): Anti-Veto for Federal Objections [NEW: v11.0]</w:t>
      </w:r>
    </w:p>
    <w:p>
      <w:pPr>
        <w:pStyle w:val="Normal"/>
      </w:pPr>
      <w:r>
        <w:rPr>
          <w:rFonts w:ascii="Calibri" w:hAnsi="Calibri" w:eastAsia="Microsoft YaHei" w:cs="Calibri"/>
          <w:color w:val="263238"/>
          <w:sz w:val="21"/>
          <w:szCs w:val="21"/>
        </w:rPr>
        <w:t>Federal states’ rights objections to stabilisation measures carry no consent requirement where the federal government itself applies the coercive tariffs. Sub-national cooperation proceeds under the existing framework without federal approval in such cases.</w:t>
      </w:r>
    </w:p>
    <w:p>
      <w:pPr>
        <w:pStyle w:val="Normal"/>
      </w:pPr>
      <w:r>
        <w:rPr>
          <w:rFonts w:ascii="Calibri" w:hAnsi="Calibri" w:eastAsia="Microsoft YaHei" w:cs="Calibri"/>
          <w:color w:val="263238"/>
          <w:sz w:val="21"/>
          <w:szCs w:val="21"/>
        </w:rPr>
        <w:t>Scope: Federal systems obtain formal consultation with affected sub-national governments (states, provinces, Länder) before stabilisation measures targeting their primary economic sectors. Process: Sub-national governments receive 14-day advance notice of proposed stabilisation measures affecting their sectors. Written response is required; non-response is treated as consent. Sub-National Opposition: If an affected sub-national government formally declares opposition, the federal member receives automatic 15% burden-sharing relief for that sector, funded from Resilience Fund (Section 8.3). This creates incentive for federal-subnational negotiation rather than override. Principle: Respects constitutional diversity in federal systems. Sub-national opposition does not veto implementation but creates fiscal relief that acknowledges political reality.</w:t>
      </w:r>
    </w:p>
    <w:p>
      <w:pPr>
        <w:pStyle w:val="Heading2"/>
      </w:pPr>
      <w:r>
        <w:rPr>
          <w:rFonts w:ascii="Calibri" w:hAnsi="Calibri" w:eastAsia="Microsoft YaHei" w:cs="Calibri"/>
          <w:b/>
          <w:color w:val="263238"/>
          <w:sz w:val="25"/>
          <w:szCs w:val="25"/>
        </w:rPr>
        <w:t>Section 3.8C: Non-Interference with Domestic Constitutional Processes</w:t>
      </w:r>
    </w:p>
    <w:p>
      <w:pPr>
        <w:pStyle w:val="Normal"/>
      </w:pPr>
      <w:r>
        <w:rPr>
          <w:rFonts w:ascii="Calibri" w:hAnsi="Calibri" w:eastAsia="Microsoft YaHei" w:cs="Calibri"/>
          <w:color w:val="263238"/>
          <w:sz w:val="21"/>
          <w:szCs w:val="21"/>
        </w:rPr>
        <w:t>Nothing in this Instrument is interpreted to require any member to act contrary to its domestic constitutional requirements. Where such requirements necessitate delay in implementation, the member: (a) notifies the Director-General immediately upon becoming aware of the constitutional constraint (b) Propose an alternative timeline not exceeding 30 days beyond the standard requirement (c) Accept enhanced burden-sharing of 150% standard rate for the delay period Adjustment Mechanism: Repeated invocation (&gt;2 per 5-year cycle) triggers automatic tier review. This prevents the constitutional clause from becoming a unilateral veto while respecting genuine constitutional constraints. Constitutional Compliance Panel: Three jurists from member states (rotating) assess good faith. Members designate constitutional requirements at accession via standardised certification template.</w:t>
      </w:r>
    </w:p>
    <w:p>
      <w:pPr>
        <w:pStyle w:val="Heading2"/>
      </w:pPr>
      <w:r>
        <w:rPr>
          <w:rFonts w:ascii="Calibri" w:hAnsi="Calibri" w:eastAsia="Microsoft YaHei" w:cs="Calibri"/>
          <w:b/>
          <w:color w:val="263238"/>
          <w:sz w:val="25"/>
          <w:szCs w:val="25"/>
        </w:rPr>
        <w:t>Section 3.8D: Continuity Facilitation</w:t>
      </w:r>
    </w:p>
    <w:p>
      <w:pPr>
        <w:pStyle w:val="Normal"/>
      </w:pPr>
      <w:r>
        <w:rPr>
          <w:rFonts w:ascii="Calibri" w:hAnsi="Calibri" w:eastAsia="Microsoft YaHei" w:cs="Calibri"/>
          <w:color w:val="263238"/>
          <w:sz w:val="21"/>
          <w:szCs w:val="21"/>
        </w:rPr>
        <w:t>Non-Binding Support: Upon member request following a government change, the Secretariat provides: technical briefings to new officials (at host government invitation); public information materials on IMESI benefits; liaison with predecessor government officials (with consent). No Intervention: The Secretariat is not permitted to: engage with opposition parties without government consent; support sub-national actors against national government; or publicise internal assessments of political stability.</w:t>
      </w:r>
    </w:p>
    <w:p>
      <w:pPr>
        <w:pStyle w:val="Normal"/>
      </w:pPr>
      <w:r>
        <w:rPr>
          <w:rFonts w:ascii="Calibri" w:hAnsi="Calibri" w:eastAsia="Microsoft YaHei" w:cs="Calibri"/>
          <w:color w:val="263238"/>
          <w:sz w:val="21"/>
          <w:szCs w:val="21"/>
        </w:rPr>
        <w:t>Peer Network: Former IMESI officials from previous governments participate in a voluntary alumni network for knowledge transfer, subject to confidentiality protocols.</w:t>
      </w:r>
    </w:p>
    <w:p>
      <w:pPr>
        <w:pStyle w:val="Heading2"/>
      </w:pPr>
      <w:r>
        <w:rPr>
          <w:rFonts w:ascii="Calibri" w:hAnsi="Calibri" w:eastAsia="Microsoft YaHei" w:cs="Calibri"/>
          <w:b/>
          <w:color w:val="263238"/>
          <w:sz w:val="25"/>
          <w:szCs w:val="25"/>
        </w:rPr>
        <w:t>Section 3.8E: Democratic Review of Domestic Lock-Ins</w:t>
      </w:r>
    </w:p>
    <w:p>
      <w:pPr>
        <w:pStyle w:val="Normal"/>
      </w:pPr>
      <w:r>
        <w:rPr>
          <w:rFonts w:ascii="Calibri" w:hAnsi="Calibri" w:eastAsia="Microsoft YaHei" w:cs="Calibri"/>
          <w:color w:val="263238"/>
          <w:sz w:val="21"/>
          <w:szCs w:val="21"/>
        </w:rPr>
        <w:t>Democratic Review: Any mechanism from Section 3.8 (Domestic Continuity Mechanisms) undergoes democratic review at the earlier of: (a) a post-case parliamentary vote within 18 months of case closure, OR (b) the next general election (national or supranational). Review Procedure: Standard parliamentary majority (no supermajority). Simple notification to the Secretariat suffices. Under the Nofade rule the mechanism persists at full strength across the review point; only an affirmative parliamentary vote modifies or retires it, and the member re-adopts under standard procedures at any time. Crisis Exception: During active coercion cases, review timelines suspend for speed. 30-day retroactive ratification required after case closure. Failure to ratify triggers automatic MOAR opt-out for relevant sector (Section 3.5), not coalition exit. Principle: No 'crisis constitution' entrenchment. IMESI participation requires ongoing democratic mandate, not one-time lock-in. Negotiation status: Tier 3 protected secondary priority. Timelines negotiable. Core: sunset concept exists.</w:t>
      </w:r>
    </w:p>
    <w:p>
      <w:pPr>
        <w:pStyle w:val="Heading2"/>
      </w:pPr>
      <w:r>
        <w:t>Section 3.8G: Lame Duck and Transition Period Protections [NEW: v15.0]</w:t>
      </w:r>
    </w:p>
    <w:p>
      <w:r>
        <w:t>(a) A Member notifies the Secretariat of any impending national election, leadership transition, or constitutional deadline at least 90 days in advance, or as soon as such notification is constitutionally permissible.</w:t>
      </w:r>
    </w:p>
    <w:p>
      <w:r>
        <w:t>(b) During a Transition Period, defined as the 90 days preceding and 90 days following a national election or leadership transition: (i) Section 5.0F Track A stabilisation measures deploy within 12 hours of AESI certification, rather than the standard 24-48 hours; (ii) the Member's National IMESI Authority (Section 4.1B) provides a continuity briefing to all incoming officials within 7 days of the transition; (iii) the Secretariat maintains a dedicated Transition Liaison Officer to ensure institutional memory transfer; and (iv) no Member faces penalties for delayed implementation during a Transition Period, provided the delay does not exceed 30 days and the Member provides a transition plan within 14 days of the transition.</w:t>
      </w:r>
    </w:p>
    <w:p>
      <w:r>
        <w:t>(c) Where the IEWC certifies that a coercive measure is timed to influence a Transition Period, the measure: (i) is classified at least one severity level higher than its GDP-impact classification; (ii) is subject to the compressed consultation track under Section 5.0K; and (iii) is treated as an aggravating factor for burden-sharing relief under Section 8.4.</w:t>
      </w:r>
    </w:p>
    <w:p>
      <w:r>
        <w:t>Rationale: This explicitly protects the government transition period, making it a structurally defended period rather than a vulnerability window.</w:t>
      </w:r>
    </w:p>
    <w:p>
      <w:pPr>
        <w:pStyle w:val="Heading2"/>
      </w:pPr>
      <w:r>
        <w:rPr>
          <w:rFonts w:ascii="Calibri" w:hAnsi="Calibri" w:eastAsia="Microsoft YaHei" w:cs="Calibri"/>
          <w:b/>
          <w:color w:val="263238"/>
          <w:sz w:val="25"/>
          <w:szCs w:val="25"/>
        </w:rPr>
        <w:t>Section 3.9: Protective Association and Strategic Supplier Partnership</w:t>
      </w:r>
    </w:p>
    <w:p>
      <w:pPr>
        <w:pStyle w:val="Normal"/>
      </w:pPr>
      <w:r>
        <w:rPr>
          <w:rFonts w:ascii="Calibri" w:hAnsi="Calibri" w:eastAsia="Microsoft YaHei" w:cs="Calibri"/>
          <w:color w:val="263238"/>
          <w:sz w:val="21"/>
          <w:szCs w:val="21"/>
        </w:rPr>
        <w:t>Non-member states supplying critical inputs to member economies are vulnerable to coercion that cascades into member supply chains. This section creates a two-tier buffer zone of protected non-members without requiring full accession.</w:t>
      </w:r>
    </w:p>
    <w:p>
      <w:pPr>
        <w:pStyle w:val="Normal"/>
      </w:pPr>
      <w:r>
        <w:rPr>
          <w:rFonts w:ascii="Calibri" w:hAnsi="Calibri" w:eastAsia="Microsoft YaHei" w:cs="Calibri"/>
          <w:color w:val="263238"/>
          <w:sz w:val="21"/>
          <w:szCs w:val="21"/>
        </w:rPr>
        <w:t>Two-Tier Architecture:</w:t>
      </w:r>
    </w:p>
    <w:p>
      <w:pPr>
        <w:pStyle w:val="Normal"/>
      </w:pPr>
      <w:r>
        <w:rPr>
          <w:rFonts w:ascii="Calibri" w:hAnsi="Calibri" w:eastAsia="Microsoft YaHei" w:cs="Calibri"/>
          <w:color w:val="263238"/>
          <w:sz w:val="21"/>
          <w:szCs w:val="21"/>
        </w:rPr>
        <w:t>Tier</w:t>
      </w:r>
    </w:p>
    <w:p>
      <w:pPr>
        <w:pStyle w:val="Normal"/>
      </w:pPr>
      <w:r>
        <w:rPr>
          <w:rFonts w:ascii="Calibri" w:hAnsi="Calibri" w:eastAsia="Microsoft YaHei" w:cs="Calibri"/>
          <w:color w:val="263238"/>
          <w:sz w:val="21"/>
          <w:szCs w:val="21"/>
        </w:rPr>
        <w:t>Eligibility</w:t>
      </w:r>
    </w:p>
    <w:p>
      <w:pPr>
        <w:pStyle w:val="Normal"/>
      </w:pPr>
      <w:r>
        <w:rPr>
          <w:rFonts w:ascii="Calibri" w:hAnsi="Calibri" w:eastAsia="Microsoft YaHei" w:cs="Calibri"/>
          <w:color w:val="263238"/>
          <w:sz w:val="21"/>
          <w:szCs w:val="21"/>
        </w:rPr>
        <w:t>Cap</w:t>
      </w:r>
    </w:p>
    <w:p>
      <w:pPr>
        <w:pStyle w:val="Normal"/>
      </w:pPr>
      <w:r>
        <w:rPr>
          <w:rFonts w:ascii="Calibri" w:hAnsi="Calibri" w:eastAsia="Microsoft YaHei" w:cs="Calibri"/>
          <w:color w:val="263238"/>
          <w:sz w:val="21"/>
          <w:szCs w:val="21"/>
        </w:rPr>
        <w:t>Fund Access</w:t>
      </w:r>
    </w:p>
    <w:p>
      <w:pPr>
        <w:pStyle w:val="Normal"/>
      </w:pPr>
      <w:r>
        <w:rPr>
          <w:rFonts w:ascii="Calibri" w:hAnsi="Calibri" w:eastAsia="Microsoft YaHei" w:cs="Calibri"/>
          <w:color w:val="263238"/>
          <w:sz w:val="21"/>
          <w:szCs w:val="21"/>
        </w:rPr>
        <w:t>Protective Association (PA)</w:t>
      </w:r>
    </w:p>
    <w:p>
      <w:pPr>
        <w:pStyle w:val="Normal"/>
      </w:pPr>
      <w:r>
        <w:rPr>
          <w:rFonts w:ascii="Calibri" w:hAnsi="Calibri" w:eastAsia="Microsoft YaHei" w:cs="Calibri"/>
          <w:color w:val="263238"/>
          <w:sz w:val="21"/>
          <w:szCs w:val="21"/>
        </w:rPr>
        <w:t>Non-member supplying &gt;5% of any Tier 1 strategic sector to IMESI members</w:t>
      </w:r>
    </w:p>
    <w:p>
      <w:r>
        <w:t>Maximum 8 at any time; 2-year renewable terms</w:t>
      </w:r>
    </w:p>
    <w:p>
      <w:r>
        <w:t>50% of member rates</w:t>
      </w:r>
    </w:p>
    <w:p>
      <w:r>
        <w:t>Strategic Supplier Partnership (SSP)</w:t>
      </w:r>
    </w:p>
    <w:p>
      <w:r>
        <w:t>Non-member supplying &gt;10% of global supply of any Tier 1 strategic sector</w:t>
      </w:r>
    </w:p>
    <w:p>
      <w:r>
        <w:t>No numerical cap; phased entry based on supply security contribution</w:t>
      </w:r>
    </w:p>
    <w:p>
      <w:r>
        <w:t>75% of member rates</w:t>
      </w:r>
    </w:p>
    <w:p>
      <w:r>
        <w:t>PA Rights:</w:t>
      </w:r>
    </w:p>
    <w:p>
      <w:r>
        <w:t>(a) IEWC intelligence sharing on coercion threats affecting their sectors (b) Automatic SFI access for settlement during coercion events (c) Resilience Fund access at 50% of member rates for supply chain diversification (d) Presumptive Observer+ accession pathway SSP Additional Rights: All PA rights plus: Resilience Fund access at 75% member rates; joint procurement consortium participation (Section 3.13 OFTP terms); automatic Tier 0 accession pathway; IEWC technology vulnerability assessment.</w:t>
      </w:r>
    </w:p>
    <w:p>
      <w:r>
        <w:t>Obligations (both tiers):</w:t>
      </w:r>
    </w:p>
    <w:p>
      <w:r>
        <w:t>(a) 48-hour notification to IEWC of any coercion threat received (b) Non-circumvention commitment: no substitute trade with coercer during active IMESI cases (c) Supply chain data sharing with IEWC on strategic sector flows SSP Additional Obligations: Exclusive supply contract negotiation with IMESI joint procurement consortium; technology transfer cooperation in coercion-critical categories per Annex 11. Activation: If a PA or SSP state faces coercion, the Coordination Committee votes (55%) to extend provisional stabilisation measure coverage, with burden-sharing at 25% of standard member rates (PA) or 35% (SSP).</w:t>
      </w:r>
    </w:p>
    <w:p>
      <w:r>
        <w:t>Anti-Circumvention Enforcement:</w:t>
      </w:r>
    </w:p>
    <w:p>
      <w:r>
        <w:t>Monitoring: PA and SSP states subject to IEWC trade flow monitoring identical to Tier 0 members. Anomalous trade flow &gt;30% month-on-month with the coercing state during active IMESI cases triggers automatic inquiry. Violation Tier</w:t>
      </w:r>
    </w:p>
    <w:p>
      <w:r>
        <w:t>Conduct</w:t>
      </w:r>
    </w:p>
    <w:p>
      <w:r>
        <w:t>Consequence</w:t>
      </w:r>
    </w:p>
    <w:p>
      <w:r>
        <w:t>Tier 1</w:t>
      </w:r>
    </w:p>
    <w:p>
      <w:r>
        <w:t>Substitute trade with coercer &gt;USD 100M during active case; or circumvention of IMESI stabilisation measures</w:t>
      </w:r>
    </w:p>
    <w:p>
      <w:r>
        <w:t>Immediate status revocation; 24-month SFI exclusion; public naming; rebuttable presumption against future accession</w:t>
      </w:r>
    </w:p>
    <w:p>
      <w:r>
        <w:t>Tier 2</w:t>
      </w:r>
    </w:p>
    <w:p>
      <w:r>
        <w:t>Delayed notification (&gt;72 hours) of coercion threat; incomplete supply chain data</w:t>
      </w:r>
    </w:p>
    <w:p>
      <w:r>
        <w:t>Warning; 12-month monitoring</w:t>
      </w:r>
    </w:p>
    <w:p>
      <w:r>
        <w:t>probationary</w:t>
      </w:r>
    </w:p>
    <w:p>
      <w:r>
        <w:t>status;</w:t>
      </w:r>
    </w:p>
    <w:p>
      <w:r>
        <w:t>enhanced</w:t>
      </w:r>
    </w:p>
    <w:p>
      <w:r>
        <w:t>Dispute Resolution: PA/SSP states challenge Tier 1 findings before the Coordination Committee within 14 days. Burden of proof on the state to demonstrate: trade was pre-contracted before the coercion event; goods were in transit before IMESI activation; or the transaction was humanitarian-exempt per Section 1.1. TSR Extension: Section 6.4 TSR requirements apply: PA/SSP states disclose trade negotiations &gt;USD 500M with coercing states within 30 days; undisclosed negotiations create rebuttable presumption of Tier 1 violation.</w:t>
      </w:r>
    </w:p>
    <w:p>
      <w:r>
        <w:t>Section 3.9(b): Strategic Partner Designation (v8.8)</w:t>
      </w:r>
    </w:p>
    <w:p>
      <w:r>
        <w:t>Non-member states with: (i) mutual defence treaties with &gt;3 IMESI members; (ii) integrated supply chains exceeding 15% of any Tier 1 sector; or (iii) shared intelligence arrangements, are designated Strategic</w:t>
      </w:r>
    </w:p>
    <w:p>
      <w:r>
        <w:t>Partners by 60% Coordination Committee vote. Such partners receive:</w:t>
      </w:r>
    </w:p>
    <w:p>
      <w:pPr>
        <w:pStyle w:val="Normal"/>
        <w:numPr>
          <w:ilvl w:val="0"/>
          <w:numId w:val="1"/>
        </w:numPr>
      </w:pPr>
      <w:r>
        <w:t>Automatic IAC access (Section 6.9) for coercion complaints against members</w:t>
      </w:r>
    </w:p>
    <w:p>
      <w:pPr>
        <w:pStyle w:val="Normal"/>
        <w:numPr>
          <w:ilvl w:val="0"/>
          <w:numId w:val="1"/>
        </w:numPr>
      </w:pPr>
      <w:r>
        <w:t>SFI humanitarian window access</w:t>
      </w:r>
    </w:p>
    <w:p>
      <w:pPr>
        <w:pStyle w:val="Normal"/>
        <w:numPr>
          <w:ilvl w:val="0"/>
          <w:numId w:val="1"/>
        </w:numPr>
      </w:pPr>
      <w:r>
        <w:t>IEWC intelligence sharing on third-party coercion threats Strategic Partners are not subject to IMESI-authorised stabilisation measures absent 75% supermajority with independent legal review.</w:t>
      </w:r>
    </w:p>
    <w:p>
      <w:pPr>
        <w:pStyle w:val="Heading2"/>
      </w:pPr>
      <w:r>
        <w:t>Section 3.10: Mutual Recognition of Supply Chain Due Diligence</w:t>
      </w:r>
    </w:p>
    <w:p>
      <w:r>
        <w:t>Core Principle: IMESI members mutually recognise national supply chain due diligence certifications as satisfying common standards, reducing compliance duplication across competing national regimes. IMESI Due Diligence Standard: Secretariat maintains a harmonised benchmark incorporating: OECD Due Diligence Guidance; ILO core conventions; UN Guiding Principles on Business and Human Rights.</w:t>
      </w:r>
    </w:p>
    <w:p>
      <w:r>
        <w:t>Certification: Members seek an IMESI Due Diligence Passport through independent audit; recognised by all members for procurement, investment screening, and trade facilitation. Anti-Coercion Shield: Third-country suppliers with IMESI Due Diligence Passport is not excluded from member supply chains based on unilateral national due diligence requirements, exclusion cites specific, material deficiency. Collective Defence: If a non-member coercer targets an IMESI-certified supplier with discriminatory due diligence demands, automatic consultation and potential stabilisation measure authorisation under standard procedures.</w:t>
      </w:r>
    </w:p>
    <w:p>
      <w:pPr>
        <w:pStyle w:val="Heading2"/>
      </w:pPr>
      <w:r>
        <w:t>Section 3.11: Preferred Alternative Status (PAS)</w:t>
      </w:r>
    </w:p>
    <w:p>
      <w:r>
        <w:t>Non-binding institutional recognition that rewards members for deepening IMESI-internal economic ties, creating positive incentives for loyalty rather than punishment for defection. Eligibility: Any Tier 1+ member demonstrating &gt;15% increase in IMESI-internal trade (imports + exports) over a 24-month rolling period, or &gt;10% supply chain diversification away from non-member Tier 1 strategic sources.</w:t>
      </w:r>
    </w:p>
    <w:p>
      <w:r>
        <w:t>Benefits:</w:t>
      </w:r>
    </w:p>
    <w:p>
      <w:r>
        <w:t>(a) Priority access to Resilience Fund project finance (25% faster disbursement) (b) Enhanced voting weight in burden-sharing disputes (+10% for calculation only, not total cap) (c) First right of refusal in joint procurement consortiums (d) Public Preferred Alternative designation in Institutional Readiness Dashboard Verification: IEWC certifies trade flow data; independent audit available on request; false certification = automatic PAS revocation + 12-month exclusion. Duration: 24 months; renewable upon continued eligibility; lapse creates 12-month cooling period before reapplication. PAS is non-exclusive, members hold PAS and maintain non-member trade. Tangible Domestic Wins (v9.1): PAS members gain: priority queueing in all IMESI joint procurement rounds (first consideration before general pool); public PAS Scoreboard placement ranking PAS members by diversification achievement (ministers cite a concrete, visible ranking in domestic communications); and automatic eligibility for co-investment matching from the Resilience Fund for supply chain diversification projects (up to 25% co-financing). Coalition Procurement Preference Points (v8.4): Members achieving PAS status gain 5% price advantage in IMESI joint procurement competitive bidding (Section 3.13 OFTP scope). Points apply only to IMESI-internal procurement, not national procurement laws. This directly operationalises PAS benefits, reinforces mutual insurance framing, and creates visible, quantifiable reward for deepening internal economic ties.</w:t>
      </w:r>
    </w:p>
    <w:p>
      <w:pPr>
        <w:pStyle w:val="Heading2"/>
      </w:pPr>
      <w:r>
        <w:t>Section 3.12: Strategic Entity Pre-Certification (SEPC)</w:t>
      </w:r>
    </w:p>
    <w:p>
      <w:r>
        <w:t>Before any coercion occurs, IMESI certifies critical firms and infrastructure as strategic entities entitled to automatic protection if targeted. Application: Any Tier 0+ member nominates up to 50 entities (firms, universities, infrastructure operators) in Tier 1 strategic sectors. Review: IEWC validates vulnerability to coercion (supply chain concentration, technology dependence, data exposure).</w:t>
      </w:r>
    </w:p>
    <w:p>
      <w:r>
        <w:t>Certification: Public designation as IMESI Strategic Entity; published in Institutional Readiness Dashboard. Protection Trigger: If any certified entity faces coercion (supply denial, service restriction, data access demand), automatic Phase 1 activation within 48 hours without full case investigation. Cost: Free for Tier 0/1; nominal fee (0.001% GDP) for certification maintenance.</w:t>
      </w:r>
    </w:p>
    <w:p>
      <w:pPr>
        <w:pStyle w:val="Heading2"/>
      </w:pPr>
      <w:r>
        <w:t>Section 3.13: Observer+ Fast-Track Procurement (OFTP)</w:t>
      </w:r>
    </w:p>
    <w:p>
      <w:r>
        <w:t>Immediate access to joint IMESI procurement consortiums for critical goods, buying collectively at scale prices without full membership obligations. Eligibility: Tier 0 (Observer+) members only; 90-day waiting period after accession. Scope: Green technology inputs (solar, batteries, electrolysers); strategic minerals; pharmaceutical APIs; semiconductor manufacturing equipment. Mechanism: IMESI aggregates demand, negotiates master contracts, and offers members opt-in at negotiated prices. Expected discount: 8–15% below market. Obligation: None, members purchase or not; no volume commitment; no exclusivity. Duration: Available for 24 months; conversion to Tier 1+ required for continued access.</w:t>
      </w:r>
    </w:p>
    <w:p>
      <w:pPr>
        <w:pStyle w:val="Heading3"/>
      </w:pPr>
      <w:r>
        <w:rPr>
          <w:rFonts w:ascii="Calibri" w:hAnsi="Calibri" w:eastAsia="Microsoft YaHei" w:cs="Calibri"/>
          <w:b/>
          <w:color w:val="546E7A"/>
          <w:sz w:val="22"/>
          <w:szCs w:val="22"/>
        </w:rPr>
        <w:t xml:space="preserve">Section 3.13 (Addendum): Certified Supplier Price Preference Protocol [NEW: v14.0]</w:t>
      </w:r>
    </w:p>
    <w:p>
      <w:pPr>
        <w:pStyle w:val="Normal"/>
      </w:pPr>
      <w:r>
        <w:rPr>
          <w:rFonts w:ascii="Calibri" w:hAnsi="Calibri" w:eastAsia="Microsoft YaHei" w:cs="Calibri"/>
          <w:color w:val="263238"/>
          <w:sz w:val="21"/>
          <w:szCs w:val="21"/>
        </w:rPr>
        <w:t xml:space="preserve">In IMESI Joint Procurement Consortium tenders, firms with IMESI Resilience Certified supply chains receive a 5% price evaluation preference over non-certified firms, in addition to the existing Preferred Alternative Status price preference. The preference operates as a procurement rule internal to the Consortium rather than a subsidy, applies identically to certified firms of every member origin, and aligns with GPA Article V technical specifications and general exceptions.</w:t>
      </w:r>
    </w:p>
    <w:p>
      <w:pPr>
        <w:pStyle w:val="Heading3"/>
      </w:pPr>
      <w:r>
        <w:t>Section 3.13 (Second Addendum): Joint Procurement Price Advantage (JPPA) [NEW: v15.0]</w:t>
      </w:r>
    </w:p>
    <w:p>
      <w:r>
        <w:t>(a) The Joint Procurement Consortium expands to cover 20 or more strategic product categories: energy, pharmaceuticals, critical minerals, semiconductors, green technology, agricultural inputs, and defence-adjacent supplies. Members purchase at pooled volumes, securing pricing that individual countries cannot achieve, with documented savings of 10-18% across covered categories.</w:t>
      </w:r>
    </w:p>
    <w:p>
      <w:r>
        <w:t>(b) Pooled-volume pricing extends to every participating purchaser on objective, published terms. No member-origin priority pricing applies: participation in the pool, not state membership, determines pricing access. Non-member purchasers join individual pools on identical terms where the Consortium admits them by 55% CC vote. This design preserves consistency with the Agreement on Government Procurement for GPA-party Members.</w:t>
      </w:r>
    </w:p>
    <w:p>
      <w:r>
        <w:t>(c) The procurement savings are retained by members. The Fund covers administrative costs through a 0.5% fee on procurement transactions.</w:t>
      </w:r>
    </w:p>
    <w:p>
      <w:r>
        <w:t>(d) The Consortium reviews procurement categories annually and expands them by 55% CC vote.</w:t>
      </w:r>
    </w:p>
    <w:p>
      <w:r>
        <w:t>Rationale: The benefit is immediate, tangible, and visible. Finance ministers point to concrete savings on energy imports, drug procurement, and infrastructure projects. Any government that leaves IMESI explains to its citizens why it is giving up measurable savings.</w:t>
      </w:r>
    </w:p>
    <w:p>
      <w:pPr>
        <w:pStyle w:val="Heading2"/>
      </w:pPr>
      <w:r>
        <w:t>Section 3.14: Technology Solidarity Pledge (TSP)</w:t>
      </w:r>
    </w:p>
    <w:p>
      <w:r>
        <w:t>Core Commitment (v8.6): Tier 2+ members presume licensing of coercion-critical technologies upon</w:t>
      </w:r>
    </w:p>
    <w:p>
      <w:r>
        <w:t>request, subject to:</w:t>
      </w:r>
    </w:p>
    <w:p>
      <w:r>
        <w:t>(a) National security necessity certified by the member's designated authority (b) Competition law compliance verified by independent assessment (c) Structured mediation if the requesting member disputes refusal Scope: Advanced node semiconductors; quantum-resistant cryptography; sovereign AI models; green hydrogen electrolysis. Additional categories are designated by 60% weighted vote. Compensation: Licensor receives 150% of cost-recovery from the Resilience Fund. Compensation is automatic upon IEWC certification that technology denial constitutes coercion. Mediation-First Resolution (v8.6): Refusal triggers mandatory structured mediation within 14 days (per</w:t>
      </w:r>
    </w:p>
    <w:p>
      <w:r>
        <w:t>Annex 11A Technology Licensing Mediation Protocol). Technical expert panel assesses the refusal; 30-day</w:t>
      </w:r>
    </w:p>
    <w:p>
      <w:r>
        <w:t>mediation timeline with cost-recovery formulas regardless of outcome. If mediation fails, the matter is referred to the Coordination Committee for case-by-case assessment. VCI downgrade and Tier 2 violation proceedings require a Committee finding of bad faith, not automatic upon refusal. Safeguard: Recipient demonstrates genuine coercion-driven need through IEWC certification, not commercial convenience.</w:t>
      </w:r>
    </w:p>
    <w:p>
      <w:pPr>
        <w:pStyle w:val="Heading2"/>
      </w:pPr>
      <w:r>
        <w:t>Section 3.15: Emergency Accession Protocol (EAP)</w:t>
      </w:r>
    </w:p>
    <w:p>
      <w:pPr>
        <w:pStyle w:val="Heading3"/>
      </w:pPr>
      <w:r>
        <w:t>Section 3.15 (Addendum): Prospective Member Shield [NEW: v12.0]</w:t>
      </w:r>
    </w:p>
    <w:p>
      <w:r>
        <w:t>Any state considering IMESI membership that faces coercion, including tariffs, sanctions, or threats, because of that consideration invokes the Emergency Accession Protocol immediately, without waiting for ratification. The state receives full Observer+ protections from the date of its membership application.</w:t>
      </w:r>
    </w:p>
    <w:p>
      <w:r>
        <w:t>Trigger: Active Phase 2+ case; non-member state requests accession with IEWC-certified coercion threat against it from the same coercer.</w:t>
      </w:r>
    </w:p>
    <w:p>
      <w:r>
        <w:t>Procedure: 72-hour expedited review; Tier 0 membership immediate upon application; Tier 1 available upon deposit of 0.05% GDP contribution. Full rights after 90 days. Condition: New member implements all stabilisation measures against the active coercer within 7 days of accession. Effect: Transforms potential victims into coalition members; expands economic weight arrayed against the coercer mid-crisis. EAP operates as a parallel track to Section 6.3 (ACE), both activates simultaneously. Limit: EAP accessions during a</w:t>
      </w:r>
    </w:p>
    <w:p>
      <w:r>
        <w:t>single case capped at 5 new members unless the Coordination Committee votes (60%) to expand. Post-crisis, EAP members transition to standard accession procedures within 12 months.</w:t>
      </w:r>
    </w:p>
    <w:p>
      <w:pPr>
        <w:pStyle w:val="Heading2"/>
      </w:pPr>
      <w:r>
        <w:t>Section 3.1D: Emergency Protection Facility (EPF)</w:t>
      </w:r>
    </w:p>
    <w:p>
      <w:r>
        <w:t>Trigger: IEWC certifies the applicant, within the last 14 days, faces at least one of: &gt;10 percentage point tariff increase on &gt;15% of exports; credible financial system exclusion threat; or strategic supply cutoff. Benefits (90 days): SFI humanitarian settlement window access; bridging loans up to 0.1% of GDP; IEWC supply-chain mapping and alternative supplier identification; tariff-free Observer+ status. Obligations: No deliberate circumvention (transparency + no intentional substitution in favour of coercer); full cooperation with IEWC vulnerability assessment. Graduation (Day 90): Enter normal Tier 1 accession with 0.05% GDP deposit; move into Tariff Refugee Window for up to 12 months; or exit EPF with no penalty.</w:t>
      </w:r>
    </w:p>
    <w:p>
      <w:pPr>
        <w:pStyle w:val="Heading2"/>
      </w:pPr>
      <w:r>
        <w:t>Section 3.15A: Crisis Accession Fast-Track</w:t>
      </w:r>
    </w:p>
    <w:p>
      <w:r>
        <w:t>Trigger: IEWC categorises coercion as Critical or Red-Line. Process: 24-hour DG certification + 55% CC telephonic vote. Immediate Tier 0 status + EPF activation. 30-day stabilisation measure preparation period, then phased obligations: Days 31–60 information-sharing; Days 61–90 supply-chain cooperation; Month 4+ financial contributions as per normal Tier 1.</w:t>
      </w:r>
    </w:p>
    <w:p>
      <w:pPr>
        <w:pStyle w:val="Heading3"/>
      </w:pPr>
      <w:r>
        <w:t>Section 3.15 (Addendum): Rapid Coalition Expansion on Systemic Defection [NEW: v15.0]</w:t>
      </w:r>
    </w:p>
    <w:p>
      <w:r>
        <w:t>(d) Upon IEWC certification that a systemic economy has: (i) notified withdrawal under Section 3.7B; or (ii) been certified as a coercer under Article II, the Emergency Accession Protocol (EAP) activates at Rapid Expansion level, with the following modifications: (i) the EAP accession cap of 5 new members per case is suspended; (ii) any WTO member state accedes at Tier 1 (Associate) within 7 days of application; (iii) the 72-hour expedited review compresses to 24 hours; (iv) new members receive a 12-month contribution holiday; and (v) new members receive immediate Track A stabilisation protection (Section 5.0F) from the date of application.</w:t>
      </w:r>
    </w:p>
    <w:p>
      <w:r>
        <w:t>(e) The Rapid Expansion level remains in effect for 180 days from the triggering certification, renewable by 55% CC vote.</w:t>
      </w:r>
    </w:p>
    <w:p>
      <w:r>
        <w:t>Rationale: This turns systemic defection into a recruitment opportunity. The coalition expands rapidly, demonstrating that it stands stronger and more resilient without the defector. Open, non-discriminatory accession for every WTO member state reinforces the Instrument's most-favoured-nation defence.</w:t>
      </w:r>
    </w:p>
    <w:p>
      <w:pPr>
        <w:pStyle w:val="Heading2"/>
      </w:pPr>
      <w:r>
        <w:t>Section 3.15B: Strategic Buffer Accession Fast-Track [NEW: v15.0]</w:t>
      </w:r>
    </w:p>
    <w:p>
      <w:r>
        <w:t>(a) Upon IEWC certification that a non-member state: (i) faces a credible threat of armed force from a state that has been certified as a coercer under Article II; and (ii) is strategically located such that its coercion would threaten the economic security of one or more Members, the state accedes to IMESI through the Strategic Buffer Accession Fast-Track.</w:t>
      </w:r>
    </w:p>
    <w:p>
      <w:r>
        <w:t>(b) The Fast-Track procedure: (i) compresses the standard accession timeline from 12 months to 7 days; (ii) operates on a 55% CC telephonic vote; (iii) grants immediate Tier 0 (Observer) status upon application; and (iv) grants Tier 1 (Associate) status upon deposit of a 0.05% GDP contribution.</w:t>
      </w:r>
    </w:p>
    <w:p>
      <w:r>
        <w:t>(c) Strategic Buffer Accession members receive: (i) immediate Track A stabilisation protection (Section 5.0F); (ii) immediate SFI humanitarian settlement window access; (iii) immediate Joint Procurement Consortium access; and (iv) immediate IEWC intelligence briefings at the unclassified level.</w:t>
      </w:r>
    </w:p>
    <w:p>
      <w:r>
        <w:t>(d) Strategic Buffer Accession members: (i) carry no obligation to implement any stabilisation measures for the first 90 days; (ii) cooperate with IEWC vulnerability assessments; and (iii) maintain transparency on military and economic conditions.</w:t>
      </w:r>
    </w:p>
    <w:p>
      <w:r>
        <w:t>(e) The Strategic Buffer Accession Fast-Track: (i) is limited to states facing immediate military threat; (ii) is reviewed by the CC every 30 days; and (iii) converts to standard membership after 180 days.</w:t>
      </w:r>
    </w:p>
    <w:p>
      <w:r>
        <w:t>Rationale: This allows states on the front line of military coercion to join IMESI immediately, not months later when the window has closed. It expands the coalition precisely when military threats create demand for collective economic shelter.</w:t>
      </w:r>
    </w:p>
    <w:p>
      <w:pPr>
        <w:pStyle w:val="Heading2"/>
      </w:pPr>
      <w:r>
        <w:t>Section 3.16: Crisis-Tested Supplier Certification</w:t>
      </w:r>
    </w:p>
    <w:p>
      <w:r>
        <w:t>Purpose: Formal recognition for private companies (regardless of nationality) that maintain supply commitments to IMESI members during active coercion cases. Certification: Companies maintaining contracted deliveries at &gt;90% volume throughout a Phase 2+ case receive Crisis-Tested designation from the IEWC, published in the Institutional Readiness Dashboard.</w:t>
      </w:r>
    </w:p>
    <w:p>
      <w:r>
        <w:t>Benefits:</w:t>
      </w:r>
    </w:p>
    <w:p>
      <w:r>
        <w:t>(a) Automatic eligibility for IMESI joint procurement contracts for 3 years (Section 3.13 OFTP scope) (b) Expedited customs clearance in all member states for certified product categories (c) Public recognition in the Dashboard, reputational asset surviving political cycles Cost to IMESI: Minimal, uses existing procurement and Dashboard infrastructure. Creates private-sector loyalty without government mandates.</w:t>
      </w:r>
    </w:p>
    <w:p>
      <w:pPr>
        <w:pStyle w:val="Heading2"/>
      </w:pPr>
      <w:r>
        <w:t>Section 3.18: IMESI Trade Preference Margin (ITPM) [NEW: v15.0]</w:t>
      </w:r>
    </w:p>
    <w:p>
      <w:r>
        <w:t>(a) Upon IEWC certification of an emergency in international relations under Section 9.1B, a Member that maintains a clean compliance record (no anti-fragmentation violations, full participation in at least 2 activations, VCI-B or above) applies a 5% tariff preference on goods traded with other compliant IMESI Members as a temporary security measure under GATT Article XXI(b)(iii). The preference rises to 10% for Members that have achieved VCI-A status and participated in at least 3 activations.</w:t>
      </w:r>
    </w:p>
    <w:p>
      <w:r>
        <w:t>(b) The preference: (i) activates only during a certified emergency and for 12 months following its resolution; (ii) is documented in the Proportionality Certification Memo (Section 5.3A.2) as necessary for the protection of essential security interests; (iii) is notified to the WTO under the Section 5.0K protocol; and (iv) applies on identical, objective, non-discriminatory terms to every compliant Member.</w:t>
      </w:r>
    </w:p>
    <w:p>
      <w:r>
        <w:t>(c) Where a Member's WTO obligations do not accommodate the tariff preference, that Member substitutes an equivalent trade facilitation benefit under the Fast-Lane Customs Clearance Protocol (Section 9.8A Second Addendum), preserving the economic value of the preference through authorised-operator treatment consistent with the WTO Trade Facilitation Agreement.</w:t>
      </w:r>
    </w:p>
    <w:p>
      <w:r>
        <w:t>(d) The preference is automatic upon certification. Members apply it through their customs systems. The Secretariat maintains a public registry of compliant members.</w:t>
      </w:r>
    </w:p>
    <w:p>
      <w:r>
        <w:t>(e) The preference operates as revenue foregone, not a Fund expenditure. Increased trade volume generates higher overall economic activity, tax revenues, and political support.</w:t>
      </w:r>
    </w:p>
    <w:p>
      <w:r>
        <w:t>Rationale: This delivers a direct, predictable cost advantage inside the coalition during security emergencies. Exporters gain a structural reason to lobby against any government that threatens to leave and lose this preference. WTO note: the preference carries no standing operation; it activates exclusively as a temporary GATT Article XXI security measure upon Section 9.1B pre-certification, because IMESI constitutes no preferential trade agreement under GATT Article XXIV (Section 1.1B).</w:t>
      </w:r>
    </w:p>
    <w:p>
      <w:pPr>
        <w:pStyle w:val="Heading2"/>
      </w:pPr>
      <w:r>
        <w:t>Section 3.18A: Talent Mobility and Skills Passport (TMSP) [NEW: v15.0]</w:t>
      </w:r>
    </w:p>
    <w:p>
      <w:r>
        <w:t>(a) Certified professionals (engineers, healthcare workers, IT specialists, academics, technicians) holding an IMESI Skills Passport receive 30-day visa-free work authorisation in any IMESI member state, renewable for up to 2 years. National authorities issue the Passport and the Secretariat verifies it.</w:t>
      </w:r>
    </w:p>
    <w:p>
      <w:r>
        <w:t>(b) The Passport operates under Member immigration authority preserved by the GATS Annex on Movement of Natural Persons, which keeps visa and entry measures outside GATS commitments. Where a Member extends GATS Mode 4 commitments, it applies them consistent with its Schedule.</w:t>
      </w:r>
    </w:p>
    <w:p>
      <w:r>
        <w:t>(c) The Passport is issued at a nominal fee (USD 100) covering administrative costs. Professional categories are expanded by 55% CC vote.</w:t>
      </w:r>
    </w:p>
    <w:p>
      <w:r>
        <w:t>Rationale: Labour mobility is a powerful economic benefit. It attracts talent, boosts innovation, and creates a class of citizens with a direct, personal stake in IMESI membership. Leaving IMESI means losing the right to work across the coalition without a visa.</w:t>
      </w:r>
    </w:p>
    <w:p>
      <w:pPr>
        <w:pStyle w:val="Heading1"/>
        <w:pageBreakBefore/>
      </w:pPr>
      <w:r>
        <w:t>ARTICLE IV: GOVERNANCE</w:t>
      </w:r>
      <w:bookmarkStart w:name="_Toc000018" w:id="18"/>
      <w:bookmarkEnd w:id="18"/>
    </w:p>
    <w:p>
      <w:pPr>
        <w:pStyle w:val="Heading3"/>
      </w:pPr>
      <w:r>
        <w:t>Article IV (Addendum): Leader Protection Protocol [NEW: v12.0]</w:t>
      </w:r>
    </w:p>
    <w:p>
      <w:r>
        <w:t>IMESI provides diplomatic and legal support to officials of Member states facing personal sanctions, visa bans, or legal threats for IMESI-related activities. The Secretariat coordinates with Member legal departments to provide defence counsel and to challenge such actions as illegitimate extraterritorial overreach.</w:t>
      </w:r>
    </w:p>
    <w:p>
      <w:pPr>
        <w:pStyle w:val="Heading2"/>
      </w:pPr>
      <w:r>
        <w:t>Section 3.17: Certified Transparent Operator Program [NEW: v9.8 Safe Addition]</w:t>
      </w:r>
    </w:p>
    <w:p>
      <w:r>
        <w:t>Purpose: Positive incentive structure rewarding vulnerability disclosure and supply-chain transparency; creates anti-coercion credibility through voluntary certification.</w:t>
      </w:r>
    </w:p>
    <w:p>
      <w:r>
        <w:t>Certification Criteria</w:t>
      </w:r>
    </w:p>
    <w:p>
      <w:r>
        <w:t>Sovereign states apply for Transparent Operator status by demonstrating to independent auditors (Section 3.17A):</w:t>
      </w:r>
    </w:p>
    <w:p>
      <w:r>
        <w:t>(a) Mandatory vulnerability reporting: all critical infrastructure vulnerabilities disclosed to IEWC within 72 hours of discovery, with remediation timeline;</w:t>
      </w:r>
    </w:p>
    <w:p>
      <w:r>
        <w:t>(b) Supply chain disclosure: public registry of all &gt;5% equity ownership in critical infrastructure entities, updated quarterly;</w:t>
      </w:r>
    </w:p>
    <w:p>
      <w:r>
        <w:t>(c) Non-coercive procurement: published procurement rules prohibiting coercive clauses (political loyalty tests, forced localization, sanctions-compliance conditions); independent ombudsman review of disputes;</w:t>
      </w:r>
    </w:p>
    <w:p>
      <w:r>
        <w:t>(d) Financial transparency: certified public accounting for defense/security spending, with regular third-party audit reports published;</w:t>
      </w:r>
    </w:p>
    <w:p>
      <w:r>
        <w:t>(e) Technology transfer non-coercion pledge: formal commitment not to demand proprietary access or forced JVs as condition of market entry.</w:t>
      </w:r>
    </w:p>
    <w:p>
      <w:r>
        <w:t>Certification Standard</w:t>
      </w:r>
    </w:p>
    <w:p>
      <w:r>
        <w:t>States meet (a)-(e) to 80%+ compliance over prior 24 months, verified by rotating independent auditors (Big Four firms + national CPA bodies). Certification valid for 24 months; annual recertification review.</w:t>
      </w:r>
    </w:p>
    <w:p>
      <w:r>
        <w:t>Benefits of Certification</w:t>
      </w:r>
    </w:p>
    <w:p>
      <w:r>
        <w:t>Certified states receive: Automatic MFN treatment in IMESI procurement; Exemption from Scenario Theta-Tariff triggers (Section 5.4) for 24-month certification period; Priority access in joint R&amp;D programs (Section 3.13).</w:t>
      </w:r>
    </w:p>
    <w:p>
      <w:r>
        <w:t>Revocation</w:t>
      </w:r>
    </w:p>
    <w:p>
      <w:r>
        <w:t>Revocation requires 70% Core Member vote with published evidence of material false certification or breach of (a)-(e) criteria. Revoked states after reapply 12 months.</w:t>
      </w:r>
    </w:p>
    <w:p>
      <w:r>
        <w:t>CTO Status and Coercion Certification [Clarifying Rule]</w:t>
      </w:r>
    </w:p>
    <w:p>
      <w:r>
        <w:t>Shield Rule (Victim): If a CTO-certified state becomes IEWC-certified coercion victim, it retains all CTO benefits (MFN treatment, R&amp;D priority, Theta-Tariff exemption) during coercion response period. CTO status is not revoked due to victimhood.</w:t>
      </w:r>
    </w:p>
    <w:p>
      <w:r>
        <w:t>Revocation Rule (Aggressor): If a CTO-certified state becomes IEWC-certified as coercer (perpetrator), CTO status is immediately suspended (not revoked) upon certification: MFN treatment suspended; R&amp;D priority suspended; Theta-Tariff exemption suspended; SFI settlement fees subject to adjustment (Section 8.10G). Suspension lasts duration of coercion certification + 24 months post-closure. CTO fors reapply certification after 24-month suspension if: (a) all prior victims are offered compensation via Defection Penalty Fund, and (b) 18-month clear record (no new coercion findings).</w:t>
      </w:r>
    </w:p>
    <w:p>
      <w:pPr>
        <w:pStyle w:val="Heading2"/>
      </w:pPr>
      <w:r>
        <w:t>Section 4.1: Coordination Committee Voting</w:t>
      </w:r>
    </w:p>
    <w:p>
      <w:r>
        <w:t>Severity</w:t>
      </w:r>
    </w:p>
    <w:p>
      <w:r>
        <w:t>Threshold</w:t>
      </w:r>
    </w:p>
    <w:p>
      <w:r>
        <w:t>Rationale</w:t>
      </w:r>
    </w:p>
    <w:p>
      <w:r>
        <w:t>Minor</w:t>
      </w:r>
    </w:p>
    <w:p>
      <w:pPr>
        <w:pStyle w:val="Normal"/>
      </w:pPr>
      <w:r>
        <w:rPr>
          <w:rFonts w:ascii="Calibri" w:hAnsi="Calibri" w:eastAsia="Microsoft YaHei" w:cs="Calibri"/>
          <w:color w:val="263238"/>
          <w:sz w:val="21"/>
          <w:szCs w:val="21"/>
        </w:rPr>
        <w:t>55% weighted vote</w:t>
      </w:r>
    </w:p>
    <w:p>
      <w:pPr>
        <w:pStyle w:val="Normal"/>
      </w:pPr>
      <w:r>
        <w:rPr>
          <w:rFonts w:ascii="Calibri" w:hAnsi="Calibri" w:eastAsia="Microsoft YaHei" w:cs="Calibri"/>
          <w:color w:val="263238"/>
          <w:sz w:val="21"/>
          <w:szCs w:val="21"/>
        </w:rPr>
        <w:t>Standard activation</w:t>
      </w:r>
    </w:p>
    <w:p>
      <w:pPr>
        <w:pStyle w:val="Normal"/>
      </w:pPr>
      <w:r>
        <w:rPr>
          <w:rFonts w:ascii="Calibri" w:hAnsi="Calibri" w:eastAsia="Microsoft YaHei" w:cs="Calibri"/>
          <w:color w:val="263238"/>
          <w:sz w:val="21"/>
          <w:szCs w:val="21"/>
        </w:rPr>
        <w:t>Moderate</w:t>
      </w:r>
    </w:p>
    <w:p>
      <w:pPr>
        <w:pStyle w:val="Normal"/>
      </w:pPr>
      <w:r>
        <w:rPr>
          <w:rFonts w:ascii="Calibri" w:hAnsi="Calibri" w:eastAsia="Microsoft YaHei" w:cs="Calibri"/>
          <w:color w:val="263238"/>
          <w:sz w:val="21"/>
          <w:szCs w:val="21"/>
        </w:rPr>
        <w:t>60% weighted vote</w:t>
      </w:r>
    </w:p>
    <w:p>
      <w:pPr>
        <w:pStyle w:val="Normal"/>
      </w:pPr>
      <w:r>
        <w:rPr>
          <w:rFonts w:ascii="Calibri" w:hAnsi="Calibri" w:eastAsia="Microsoft YaHei" w:cs="Calibri"/>
          <w:color w:val="263238"/>
          <w:sz w:val="21"/>
          <w:szCs w:val="21"/>
        </w:rPr>
        <w:t>Elevated consensus</w:t>
      </w:r>
    </w:p>
    <w:p>
      <w:pPr>
        <w:pStyle w:val="Normal"/>
      </w:pPr>
      <w:r>
        <w:rPr>
          <w:rFonts w:ascii="Calibri" w:hAnsi="Calibri" w:eastAsia="Microsoft YaHei" w:cs="Calibri"/>
          <w:color w:val="263238"/>
          <w:sz w:val="21"/>
          <w:szCs w:val="21"/>
        </w:rPr>
        <w:t>Severe</w:t>
      </w:r>
    </w:p>
    <w:p>
      <w:pPr>
        <w:pStyle w:val="Normal"/>
      </w:pPr>
      <w:r>
        <w:rPr>
          <w:rFonts w:ascii="Calibri" w:hAnsi="Calibri" w:eastAsia="Microsoft YaHei" w:cs="Calibri"/>
          <w:color w:val="263238"/>
          <w:sz w:val="21"/>
          <w:szCs w:val="21"/>
        </w:rPr>
        <w:t>60% weighted vote</w:t>
      </w:r>
    </w:p>
    <w:p>
      <w:pPr>
        <w:pStyle w:val="Normal"/>
      </w:pPr>
      <w:r>
        <w:rPr>
          <w:rFonts w:ascii="Calibri" w:hAnsi="Calibri" w:eastAsia="Microsoft YaHei" w:cs="Calibri"/>
          <w:color w:val="263238"/>
          <w:sz w:val="21"/>
          <w:szCs w:val="21"/>
        </w:rPr>
        <w:t>Same threshold, urgency principle</w:t>
      </w:r>
    </w:p>
    <w:p>
      <w:pPr>
        <w:pStyle w:val="Normal"/>
      </w:pPr>
      <w:r>
        <w:rPr>
          <w:rFonts w:ascii="Calibri" w:hAnsi="Calibri" w:eastAsia="Microsoft YaHei" w:cs="Calibri"/>
          <w:color w:val="263238"/>
          <w:sz w:val="21"/>
          <w:szCs w:val="21"/>
        </w:rPr>
        <w:t>Critical</w:t>
      </w:r>
    </w:p>
    <w:p>
      <w:pPr>
        <w:pStyle w:val="Normal"/>
      </w:pPr>
      <w:r>
        <w:rPr>
          <w:rFonts w:ascii="Calibri" w:hAnsi="Calibri" w:eastAsia="Microsoft YaHei" w:cs="Calibri"/>
          <w:color w:val="263238"/>
          <w:sz w:val="21"/>
          <w:szCs w:val="21"/>
        </w:rPr>
        <w:t>55% weighted vote</w:t>
      </w:r>
    </w:p>
    <w:p>
      <w:pPr>
        <w:pStyle w:val="Normal"/>
      </w:pPr>
      <w:r>
        <w:rPr>
          <w:rFonts w:ascii="Calibri" w:hAnsi="Calibri" w:eastAsia="Microsoft YaHei" w:cs="Calibri"/>
          <w:color w:val="263238"/>
          <w:sz w:val="21"/>
          <w:szCs w:val="21"/>
        </w:rPr>
        <w:t>Lower threshold, rapid response</w:t>
      </w:r>
    </w:p>
    <w:p>
      <w:pPr>
        <w:pStyle w:val="Normal"/>
      </w:pPr>
      <w:r>
        <w:rPr>
          <w:rFonts w:ascii="Calibri" w:hAnsi="Calibri" w:eastAsia="Microsoft YaHei" w:cs="Calibri"/>
          <w:color w:val="263238"/>
          <w:sz w:val="21"/>
          <w:szCs w:val="21"/>
        </w:rPr>
        <w:t>Additionally: simple majority in at least 3 geographic regions. Maximum voting cap of 15% per member to prevent single-state dominance.</w:t>
      </w:r>
    </w:p>
    <w:p>
      <w:pPr>
        <w:pStyle w:val="Heading2"/>
      </w:pPr>
      <w:r>
        <w:rPr>
          <w:rFonts w:ascii="Calibri" w:hAnsi="Calibri" w:eastAsia="Microsoft YaHei" w:cs="Calibri"/>
          <w:b/>
          <w:color w:val="263238"/>
          <w:sz w:val="25"/>
          <w:szCs w:val="25"/>
        </w:rPr>
        <w:t>Section 4.1A: Regional Sub-Committees with Delegated Authority</w:t>
      </w:r>
    </w:p>
    <w:p>
      <w:pPr>
        <w:pStyle w:val="Normal"/>
      </w:pPr>
      <w:r>
        <w:rPr>
          <w:rFonts w:ascii="Calibri" w:hAnsi="Calibri" w:eastAsia="Microsoft YaHei" w:cs="Calibri"/>
          <w:color w:val="263238"/>
          <w:sz w:val="21"/>
          <w:szCs w:val="21"/>
        </w:rPr>
        <w:t>Four regional sub-committees, Americas, Europe, Asia-Pacific, and Africa/Middle East, each receive 15% of</w:t>
      </w:r>
    </w:p>
    <w:p>
      <w:pPr>
        <w:pStyle w:val="Normal"/>
      </w:pPr>
      <w:r>
        <w:rPr>
          <w:rFonts w:ascii="Calibri" w:hAnsi="Calibri" w:eastAsia="Microsoft YaHei" w:cs="Calibri"/>
          <w:color w:val="263238"/>
          <w:sz w:val="21"/>
          <w:szCs w:val="21"/>
        </w:rPr>
        <w:t>voting weight on procedural matters. Regional committees: • approve routine implementation decisions within their region • Recommend stabilisation measure adjustments based on regional conditions • Coordinate regional burden-sharing and trade diversion • Manage regional early warning intelligence collection Substantive decisions (coercion findings, stabilisation measure authorisation, Phase escalation) remain with the full Coordination Committee. This speeds routine decisions while preserving collective response integrity.</w:t>
      </w:r>
    </w:p>
    <w:p>
      <w:pPr>
        <w:pStyle w:val="Heading2"/>
      </w:pPr>
      <w:r>
        <w:rPr>
          <w:rFonts w:ascii="Calibri" w:hAnsi="Calibri" w:eastAsia="Microsoft YaHei" w:cs="Calibri"/>
          <w:b/>
          <w:color w:val="263238"/>
          <w:sz w:val="25"/>
          <w:szCs w:val="25"/>
        </w:rPr>
        <w:t>Section 4.1B: "Coalition of the Willing" Activation</w:t>
      </w:r>
    </w:p>
    <w:p>
      <w:pPr>
        <w:pStyle w:val="Normal"/>
      </w:pPr>
      <w:r>
        <w:rPr>
          <w:rFonts w:ascii="Calibri" w:hAnsi="Calibri" w:eastAsia="Microsoft YaHei" w:cs="Calibri"/>
          <w:color w:val="263238"/>
          <w:sz w:val="21"/>
          <w:szCs w:val="21"/>
        </w:rPr>
        <w:t>Stabilisation Measures proceed if 60% of affected members participate, even if others abstain. Non-participating members contribute a 25% surcharge to the Resilience Fund. This prevents a single reluctant member from blocking collective action while preserving the right of non-participation at a cost. The mechanism applies only after the Coordination Committee has authorised stabilisation measures by standard vote. It governs implementation participation, not the decision to authorise. Automatic Activation Trigger: If a member government blocks a CC decision on a case and &gt;60% of affected members are willing to proceed, Coalition-of-the-Willing activation becomes automatic for that case. The blocking member's vote is suspended for that case only (no tier change). For leaks: sanctions are national (criminal referral); IMESI response is suspension of IEWC access, not extra surcharges.</w:t>
      </w:r>
    </w:p>
    <w:p>
      <w:pPr>
        <w:pStyle w:val="Heading2"/>
      </w:pPr>
      <w:r>
        <w:rPr>
          <w:rFonts w:ascii="Calibri" w:hAnsi="Calibri" w:eastAsia="Microsoft YaHei" w:cs="Calibri"/>
          <w:b/>
          <w:color w:val="263238"/>
          <w:sz w:val="25"/>
          <w:szCs w:val="25"/>
        </w:rPr>
        <w:t>Section 4.1C: Emergency Flexibility</w:t>
      </w:r>
    </w:p>
    <w:p>
      <w:pPr>
        <w:pStyle w:val="Normal"/>
      </w:pPr>
      <w:r>
        <w:rPr>
          <w:rFonts w:ascii="Calibri" w:hAnsi="Calibri" w:eastAsia="Microsoft YaHei" w:cs="Calibri"/>
          <w:color w:val="263238"/>
          <w:sz w:val="21"/>
          <w:szCs w:val="21"/>
        </w:rPr>
        <w:t>In recognition of multilateral reform directions on nimbler decision-making, the Coordination Committee designates specific measures as provisional emergency measures requiring only 45% weighted vote for 30-day deployment, subject to 60% ratification for extension.</w:t>
      </w:r>
    </w:p>
    <w:p>
      <w:pPr>
        <w:pStyle w:val="Normal"/>
      </w:pPr>
      <w:r>
        <w:rPr>
          <w:rFonts w:ascii="Calibri" w:hAnsi="Calibri" w:eastAsia="Microsoft YaHei" w:cs="Calibri"/>
          <w:color w:val="263238"/>
          <w:sz w:val="21"/>
          <w:szCs w:val="21"/>
        </w:rPr>
        <w:t>Limited to: strategic stockpile release; SFI activation; procurement acceleration. Does not apply to: tariffs, financial restrictions, technology controls, or public attribution. This maintains the distinction between defensive positioning and stabilisation measures.</w:t>
      </w:r>
    </w:p>
    <w:p>
      <w:pPr>
        <w:pStyle w:val="Heading3"/>
      </w:pPr>
      <w:r>
        <w:rPr>
          <w:rFonts w:ascii="Calibri" w:hAnsi="Calibri" w:eastAsia="Microsoft YaHei" w:cs="Calibri"/>
          <w:b/>
          <w:color w:val="546E7A"/>
          <w:sz w:val="22"/>
          <w:szCs w:val="22"/>
        </w:rPr>
        <w:t>Section 4.1C (Addendum): Quiet Absentee Protocol [NEW: v13.0]</w:t>
      </w:r>
    </w:p>
    <w:p>
      <w:pPr>
        <w:pStyle w:val="Normal"/>
      </w:pPr>
      <w:r>
        <w:rPr>
          <w:rFonts w:ascii="Calibri" w:hAnsi="Calibri" w:eastAsia="Microsoft YaHei" w:cs="Calibri"/>
          <w:color w:val="263238"/>
          <w:sz w:val="21"/>
          <w:szCs w:val="21"/>
        </w:rPr>
        <w:t>A Member that fails to attend three consecutive Coordination Committee sessions, or fails to respond to three consecutive IEWC notifications, without a documented constitutional or force-majeure justification, receives a Quiet Absentee determination from the Secretariat. Upon determination, the Member loses its voting rights for the next two Committee sessions or 90 days, whichever is longer, and becomes ineligible for Fund disbursements for the duration of its absenteeism. Where a Quiet Absentee Member's non-participation affects a vote outcome, the Committee, by 60% weighted vote, re-runs the vote with the absentee Member excluded from quorum calculations. Documented inducement of absenteeism by a coercing state constitutes a Tier 1 anti-fragmentation violation against that state and a Tier 2 violation against the absentee Member for passive complicity.</w:t>
      </w:r>
    </w:p>
    <w:p>
      <w:pPr>
        <w:pStyle w:val="Heading2"/>
      </w:pPr>
      <w:r>
        <w:rPr>
          <w:rFonts w:ascii="Calibri" w:hAnsi="Calibri" w:eastAsia="Microsoft YaHei" w:cs="Calibri"/>
          <w:b/>
          <w:color w:val="263238"/>
          <w:sz w:val="25"/>
          <w:szCs w:val="25"/>
        </w:rPr>
        <w:t>Section 4.1D: Development Balance Mechanism</w:t>
      </w:r>
    </w:p>
    <w:p>
      <w:pPr>
        <w:pStyle w:val="Normal"/>
      </w:pPr>
      <w:r>
        <w:rPr>
          <w:rFonts w:ascii="Calibri" w:hAnsi="Calibri" w:eastAsia="Microsoft YaHei" w:cs="Calibri"/>
          <w:color w:val="263238"/>
          <w:sz w:val="21"/>
          <w:szCs w:val="21"/>
        </w:rPr>
        <w:t>Enhanced Weight: LDC and developing country members receive 1.5x voting weight on measures affecting &gt;1% of their GDP, capped at 20% of total coalition voting weight. Development Veto: Decisions affecting development finance, technology transfer, or climate adaptation require separate 55% approval from developing country members. Secretariat Mandate: IEWC achieves minimum 30% analyst representation from developing member states by Year 3.</w:t>
      </w:r>
    </w:p>
    <w:p>
      <w:pPr>
        <w:pStyle w:val="Heading2"/>
      </w:pPr>
      <w:r>
        <w:rPr>
          <w:rFonts w:ascii="Calibri" w:hAnsi="Calibri" w:eastAsia="Microsoft YaHei" w:cs="Calibri"/>
          <w:b/>
          <w:color w:val="263238"/>
          <w:sz w:val="25"/>
          <w:szCs w:val="25"/>
        </w:rPr>
        <w:t>Section 4.2: Integrated Early Warning Cell (IEWC)</w:t>
      </w:r>
    </w:p>
    <w:p>
      <w:pPr>
        <w:pStyle w:val="Normal"/>
      </w:pPr>
      <w:r>
        <w:rPr>
          <w:rFonts w:ascii="Calibri" w:hAnsi="Calibri" w:eastAsia="Microsoft YaHei" w:cs="Calibri"/>
          <w:color w:val="263238"/>
          <w:sz w:val="21"/>
          <w:szCs w:val="21"/>
        </w:rPr>
        <w:t>Tariff Intelligence Unit (v9.3): Dedicated tariff monitoring capacity within IEWC: Years 1–2: +2 tariff policy analysts and real-time tariff impact dashboard; Years 3–4: +3 trade flow modellers with HS-code-level vulnerability scoring; Year 5+: +5 tariff scenario specialists with predictive modelling for tariff announcement effects. Products: Tariff Vulnerability Scores by HS code; Tariff Cascade Simulator for rapid impact assessment; Tariff Risk Dashboard (public layer) integrated into Coercion Risk Dashboard. IMESI establishes a permanent Integrated Early Warning Cell within the Secretariat to transform the institution from reactive to anticipatory posture.</w:t>
      </w:r>
    </w:p>
    <w:p>
      <w:pPr>
        <w:pStyle w:val="Normal"/>
      </w:pPr>
      <w:r>
        <w:rPr>
          <w:rFonts w:ascii="Calibri" w:hAnsi="Calibri" w:eastAsia="Microsoft YaHei" w:cs="Calibri"/>
          <w:color w:val="263238"/>
          <w:sz w:val="21"/>
          <w:szCs w:val="21"/>
        </w:rPr>
        <w:t>Coercive Signal Monitoring:</w:t>
      </w:r>
    </w:p>
    <w:p>
      <w:pPr>
        <w:pStyle w:val="Normal"/>
        <w:numPr>
          <w:ilvl w:val="0"/>
          <w:numId w:val="1"/>
        </w:numPr>
      </w:pPr>
      <w:r>
        <w:rPr>
          <w:rFonts w:ascii="Calibri" w:hAnsi="Calibri" w:eastAsia="Microsoft YaHei" w:cs="Calibri"/>
          <w:color w:val="263238"/>
          <w:sz w:val="21"/>
          <w:szCs w:val="21"/>
        </w:rPr>
        <w:t>Trade policy announcements suggesting restrictive measures</w:t>
      </w:r>
    </w:p>
    <w:p>
      <w:pPr>
        <w:pStyle w:val="Normal"/>
        <w:numPr>
          <w:ilvl w:val="0"/>
          <w:numId w:val="1"/>
        </w:numPr>
      </w:pPr>
      <w:r>
        <w:rPr>
          <w:rFonts w:ascii="Calibri" w:hAnsi="Calibri" w:eastAsia="Microsoft YaHei" w:cs="Calibri"/>
          <w:color w:val="263238"/>
          <w:sz w:val="21"/>
          <w:szCs w:val="21"/>
        </w:rPr>
        <w:t>Regulatory changes with discriminatory implications</w:t>
      </w:r>
    </w:p>
    <w:p>
      <w:pPr>
        <w:pStyle w:val="Normal"/>
        <w:numPr>
          <w:ilvl w:val="0"/>
          <w:numId w:val="1"/>
        </w:numPr>
      </w:pPr>
      <w:r>
        <w:rPr>
          <w:rFonts w:ascii="Calibri" w:hAnsi="Calibri" w:eastAsia="Microsoft YaHei" w:cs="Calibri"/>
          <w:color w:val="263238"/>
          <w:sz w:val="21"/>
          <w:szCs w:val="21"/>
        </w:rPr>
        <w:t>Diplomatic statements linking economic and political issues</w:t>
      </w:r>
    </w:p>
    <w:p>
      <w:pPr>
        <w:pStyle w:val="Normal"/>
        <w:numPr>
          <w:ilvl w:val="0"/>
          <w:numId w:val="1"/>
        </w:numPr>
      </w:pPr>
      <w:r>
        <w:rPr>
          <w:rFonts w:ascii="Calibri" w:hAnsi="Calibri" w:eastAsia="Microsoft YaHei" w:cs="Calibri"/>
          <w:color w:val="263238"/>
          <w:sz w:val="21"/>
          <w:szCs w:val="21"/>
        </w:rPr>
        <w:t>Legislative proposals for sanctions or export controls</w:t>
      </w:r>
    </w:p>
    <w:p>
      <w:pPr>
        <w:pStyle w:val="Normal"/>
        <w:numPr>
          <w:ilvl w:val="0"/>
          <w:numId w:val="1"/>
        </w:numPr>
      </w:pPr>
      <w:r>
        <w:rPr>
          <w:rFonts w:ascii="Calibri" w:hAnsi="Calibri" w:eastAsia="Microsoft YaHei" w:cs="Calibri"/>
          <w:color w:val="263238"/>
          <w:sz w:val="21"/>
          <w:szCs w:val="21"/>
        </w:rPr>
        <w:t>Market indicators suggesting economic pressure</w:t>
      </w:r>
    </w:p>
    <w:p>
      <w:pPr>
        <w:pStyle w:val="Normal"/>
        <w:numPr>
          <w:ilvl w:val="0"/>
          <w:numId w:val="1"/>
        </w:numPr>
      </w:pPr>
      <w:r>
        <w:rPr>
          <w:rFonts w:ascii="Calibri" w:hAnsi="Calibri" w:eastAsia="Microsoft YaHei" w:cs="Calibri"/>
          <w:color w:val="263238"/>
          <w:sz w:val="21"/>
          <w:szCs w:val="21"/>
        </w:rPr>
        <w:t>Intelligence reporting from member states on coercive intentions</w:t>
      </w:r>
    </w:p>
    <w:p>
      <w:pPr>
        <w:pStyle w:val="Normal"/>
      </w:pPr>
      <w:r>
        <w:rPr>
          <w:rFonts w:ascii="Calibri" w:hAnsi="Calibri" w:eastAsia="Microsoft YaHei" w:cs="Calibri"/>
          <w:color w:val="263238"/>
          <w:sz w:val="21"/>
          <w:szCs w:val="21"/>
        </w:rPr>
        <w:t>Analytical Products:</w:t>
      </w:r>
    </w:p>
    <w:p>
      <w:pPr>
        <w:pStyle w:val="Normal"/>
      </w:pPr>
      <w:r>
        <w:rPr>
          <w:rFonts w:ascii="Calibri" w:hAnsi="Calibri" w:eastAsia="Microsoft YaHei" w:cs="Calibri"/>
          <w:color w:val="263238"/>
          <w:sz w:val="21"/>
          <w:szCs w:val="21"/>
        </w:rPr>
        <w:t>Real-Time Coercion Risk Dashboard (Tier 2+ access): active cases, developing situations, risk indicators by sector and state, member vulnerability assessments, alternative supply availability, stabilisation measure preparedness status. Quarterly Coercion Risk Reports (all members): global trends, state-specific profiles, sectoral vulnerabilities, emerging tactics, preparedness gaps, and recommendations. Urgent Threat Assessments (as needed): rapid analysis within 24–48 hours, preliminary stabilisation measure options, emergency consultation activation. Scenario Planning: Biannual coercion scenario exercises testing pre-authorised response packages, identifying coordination gaps, and building crisis-response capability.</w:t>
      </w:r>
    </w:p>
    <w:p>
      <w:pPr>
        <w:pStyle w:val="Normal"/>
      </w:pPr>
      <w:r>
        <w:rPr>
          <w:rFonts w:ascii="Calibri" w:hAnsi="Calibri" w:eastAsia="Microsoft YaHei" w:cs="Calibri"/>
          <w:color w:val="263238"/>
          <w:sz w:val="21"/>
          <w:szCs w:val="21"/>
        </w:rPr>
        <w:t>Staffing, Phased Ramp:</w:t>
      </w:r>
    </w:p>
    <w:p>
      <w:pPr>
        <w:pStyle w:val="Normal"/>
      </w:pPr>
      <w:r>
        <w:rPr>
          <w:rFonts w:ascii="Calibri" w:hAnsi="Calibri" w:eastAsia="Microsoft YaHei" w:cs="Calibri"/>
          <w:color w:val="263238"/>
          <w:sz w:val="21"/>
          <w:szCs w:val="21"/>
        </w:rPr>
        <w:t>Phase</w:t>
      </w:r>
    </w:p>
    <w:p>
      <w:pPr>
        <w:pStyle w:val="Normal"/>
      </w:pPr>
      <w:r>
        <w:rPr>
          <w:rFonts w:ascii="Calibri" w:hAnsi="Calibri" w:eastAsia="Microsoft YaHei" w:cs="Calibri"/>
          <w:color w:val="263238"/>
          <w:sz w:val="21"/>
          <w:szCs w:val="21"/>
        </w:rPr>
        <w:t>Staff</w:t>
      </w:r>
    </w:p>
    <w:p>
      <w:pPr>
        <w:pStyle w:val="Normal"/>
      </w:pPr>
      <w:r>
        <w:rPr>
          <w:rFonts w:ascii="Calibri" w:hAnsi="Calibri" w:eastAsia="Microsoft YaHei" w:cs="Calibri"/>
          <w:color w:val="263238"/>
          <w:sz w:val="21"/>
          <w:szCs w:val="21"/>
        </w:rPr>
        <w:t>Budget</w:t>
      </w:r>
    </w:p>
    <w:p>
      <w:pPr>
        <w:pStyle w:val="Normal"/>
      </w:pPr>
      <w:r>
        <w:rPr>
          <w:rFonts w:ascii="Calibri" w:hAnsi="Calibri" w:eastAsia="Microsoft YaHei" w:cs="Calibri"/>
          <w:color w:val="263238"/>
          <w:sz w:val="21"/>
          <w:szCs w:val="21"/>
        </w:rPr>
        <w:t>Composition</w:t>
      </w:r>
    </w:p>
    <w:p>
      <w:pPr>
        <w:pStyle w:val="Normal"/>
      </w:pPr>
      <w:r>
        <w:rPr>
          <w:rFonts w:ascii="Calibri" w:hAnsi="Calibri" w:eastAsia="Microsoft YaHei" w:cs="Calibri"/>
          <w:color w:val="263238"/>
          <w:sz w:val="21"/>
          <w:szCs w:val="21"/>
        </w:rPr>
        <w:t>Years 1–2</w:t>
      </w:r>
    </w:p>
    <w:p>
      <w:pPr>
        <w:pStyle w:val="Normal"/>
      </w:pPr>
      <w:r>
        <w:rPr>
          <w:rFonts w:ascii="Calibri" w:hAnsi="Calibri" w:eastAsia="Microsoft YaHei" w:cs="Calibri"/>
          <w:color w:val="263238"/>
          <w:sz w:val="21"/>
          <w:szCs w:val="21"/>
        </w:rPr>
        <w:t>6–8 core analysts</w:t>
      </w:r>
    </w:p>
    <w:p>
      <w:pPr>
        <w:pStyle w:val="Normal"/>
      </w:pPr>
      <w:r>
        <w:rPr>
          <w:rFonts w:ascii="Calibri" w:hAnsi="Calibri" w:eastAsia="Microsoft YaHei" w:cs="Calibri"/>
          <w:color w:val="263238"/>
          <w:sz w:val="21"/>
          <w:szCs w:val="21"/>
        </w:rPr>
        <w:t>USD 3–5M/year</w:t>
      </w:r>
    </w:p>
    <w:p>
      <w:pPr>
        <w:pStyle w:val="Normal"/>
      </w:pPr>
      <w:r>
        <w:rPr>
          <w:rFonts w:ascii="Calibri" w:hAnsi="Calibri" w:eastAsia="Microsoft YaHei" w:cs="Calibri"/>
          <w:color w:val="263238"/>
          <w:sz w:val="21"/>
          <w:szCs w:val="21"/>
        </w:rPr>
        <w:t>Chief Economist (full-time), 2–3 regional geopolitical analysts (seconded from member agencies), 1–2 trade specialists, 1 data/IT (shared infrastructure)</w:t>
      </w:r>
    </w:p>
    <w:p>
      <w:pPr>
        <w:pStyle w:val="Normal"/>
      </w:pPr>
      <w:r>
        <w:rPr>
          <w:rFonts w:ascii="Calibri" w:hAnsi="Calibri" w:eastAsia="Microsoft YaHei" w:cs="Calibri"/>
          <w:color w:val="263238"/>
          <w:sz w:val="21"/>
          <w:szCs w:val="21"/>
        </w:rPr>
        <w:t>Years 3–4</w:t>
      </w:r>
    </w:p>
    <w:p>
      <w:pPr>
        <w:pStyle w:val="Normal"/>
      </w:pPr>
      <w:r>
        <w:rPr>
          <w:rFonts w:ascii="Calibri" w:hAnsi="Calibri" w:eastAsia="Microsoft YaHei" w:cs="Calibri"/>
          <w:color w:val="263238"/>
          <w:sz w:val="21"/>
          <w:szCs w:val="21"/>
        </w:rPr>
        <w:t>12–15</w:t>
      </w:r>
    </w:p>
    <w:p>
      <w:pPr>
        <w:pStyle w:val="Normal"/>
      </w:pPr>
      <w:r>
        <w:rPr>
          <w:rFonts w:ascii="Calibri" w:hAnsi="Calibri" w:eastAsia="Microsoft YaHei" w:cs="Calibri"/>
          <w:color w:val="263238"/>
          <w:sz w:val="21"/>
          <w:szCs w:val="21"/>
        </w:rPr>
        <w:t>USD 8–12M/year</w:t>
      </w:r>
    </w:p>
    <w:p>
      <w:pPr>
        <w:pStyle w:val="Normal"/>
      </w:pPr>
      <w:r>
        <w:rPr>
          <w:rFonts w:ascii="Calibri" w:hAnsi="Calibri" w:eastAsia="Microsoft YaHei" w:cs="Calibri"/>
          <w:color w:val="263238"/>
          <w:sz w:val="21"/>
          <w:szCs w:val="21"/>
        </w:rPr>
        <w:t>Expanded as first cases climate/transition analyst added</w:t>
      </w:r>
    </w:p>
    <w:p>
      <w:pPr>
        <w:pStyle w:val="Normal"/>
      </w:pPr>
      <w:r>
        <w:rPr>
          <w:rFonts w:ascii="Calibri" w:hAnsi="Calibri" w:eastAsia="Microsoft YaHei" w:cs="Calibri"/>
          <w:color w:val="263238"/>
          <w:sz w:val="21"/>
          <w:szCs w:val="21"/>
        </w:rPr>
        <w:t>Year 5+</w:t>
      </w:r>
    </w:p>
    <w:p>
      <w:pPr>
        <w:pStyle w:val="Normal"/>
      </w:pPr>
      <w:r>
        <w:rPr>
          <w:rFonts w:ascii="Calibri" w:hAnsi="Calibri" w:eastAsia="Microsoft YaHei" w:cs="Calibri"/>
          <w:color w:val="263238"/>
          <w:sz w:val="21"/>
          <w:szCs w:val="21"/>
        </w:rPr>
        <w:t>20–25</w:t>
      </w:r>
    </w:p>
    <w:p>
      <w:pPr>
        <w:pStyle w:val="Normal"/>
      </w:pPr>
      <w:r>
        <w:rPr>
          <w:rFonts w:ascii="Calibri" w:hAnsi="Calibri" w:eastAsia="Microsoft YaHei" w:cs="Calibri"/>
          <w:color w:val="263238"/>
          <w:sz w:val="21"/>
          <w:szCs w:val="21"/>
        </w:rPr>
        <w:t>USD 15–20M/year</w:t>
      </w:r>
    </w:p>
    <w:p>
      <w:pPr>
        <w:pStyle w:val="Normal"/>
      </w:pPr>
      <w:r>
        <w:rPr>
          <w:rFonts w:ascii="Calibri" w:hAnsi="Calibri" w:eastAsia="Microsoft YaHei" w:cs="Calibri"/>
          <w:color w:val="263238"/>
          <w:sz w:val="21"/>
          <w:szCs w:val="21"/>
        </w:rPr>
        <w:t>Full institutional capacity; secure facilities with classified data handling</w:t>
      </w:r>
    </w:p>
    <w:p>
      <w:r>
        <w:t>demonstrate</w:t>
      </w:r>
    </w:p>
    <w:p>
      <w:r>
        <w:t>need;</w:t>
      </w:r>
    </w:p>
    <w:p>
      <w:r>
        <w:t>dedicated</w:t>
      </w:r>
    </w:p>
    <w:p>
      <w:r>
        <w:t>Member intelligence sharing serves as force-multiplier, the IEWC supplements rather than duplicates existing member agency collection. Annual budget reviewed and voted on by the Coordination Committee (not automatic).</w:t>
      </w:r>
    </w:p>
    <w:p>
      <w:pPr>
        <w:pStyle w:val="Heading2"/>
      </w:pPr>
      <w:r>
        <w:t>Section 4.2A: Transparent Institutional Readiness Dashboard</w:t>
      </w:r>
    </w:p>
    <w:p>
      <w:pPr>
        <w:pStyle w:val="Heading3"/>
      </w:pPr>
      <w:r>
        <w:t>Section 4.2A (Addendum): Transparency by Default [NEW: v12.0]</w:t>
      </w:r>
    </w:p>
    <w:p>
      <w:r>
        <w:t>All IEWC determinations, Proportionality Certifications, and Economic Impact Assessments enter publication within 14 days of issuance, with redactions only for specific, documented national security or commercial confidentiality concerns.</w:t>
      </w:r>
    </w:p>
    <w:p>
      <w:pPr>
        <w:pStyle w:val="Heading3"/>
      </w:pPr>
      <w:r>
        <w:t>Section 4.2A (Second Addendum): Transparency Dashboard Early Activation [NEW: v12.0]</w:t>
      </w:r>
    </w:p>
    <w:p>
      <w:r>
        <w:t>The Institutional Readiness Dashboard operates during the pre-formation phase, displaying the benefits of IMESI participation: joint procurement savings, intelligence sharing, supply-chain diversification, and Fund access.</w:t>
      </w:r>
    </w:p>
    <w:p>
      <w:r>
        <w:t>IMESI maintains a public-facing website displaying institutional vitality indicators without revealing classified</w:t>
      </w:r>
    </w:p>
    <w:p>
      <w:r>
        <w:t>details:</w:t>
      </w:r>
    </w:p>
    <w:p>
      <w:pPr>
        <w:pStyle w:val="Normal"/>
        <w:numPr>
          <w:ilvl w:val="0"/>
          <w:numId w:val="1"/>
        </w:numPr>
      </w:pPr>
      <w:r>
        <w:t>Active monitoring cases (number and severity, no state names until public phase)</w:t>
      </w:r>
    </w:p>
    <w:p>
      <w:pPr>
        <w:pStyle w:val="Normal"/>
        <w:numPr>
          <w:ilvl w:val="0"/>
          <w:numId w:val="1"/>
        </w:numPr>
      </w:pPr>
      <w:r>
        <w:t>Pre-authorised scenario readiness status (green/amber/red by category)</w:t>
      </w:r>
    </w:p>
    <w:p>
      <w:pPr>
        <w:pStyle w:val="Normal"/>
        <w:numPr>
          <w:ilvl w:val="0"/>
          <w:numId w:val="1"/>
        </w:numPr>
      </w:pPr>
      <w:r>
        <w:t>Resilience Fund liquidity and capitalisation level</w:t>
      </w:r>
    </w:p>
    <w:p>
      <w:pPr>
        <w:pStyle w:val="Normal"/>
        <w:numPr>
          <w:ilvl w:val="0"/>
          <w:numId w:val="1"/>
        </w:numPr>
      </w:pPr>
      <w:r>
        <w:t>Member participation rates and tier distribution</w:t>
      </w:r>
    </w:p>
    <w:p>
      <w:pPr>
        <w:pStyle w:val="Normal"/>
        <w:numPr>
          <w:ilvl w:val="0"/>
          <w:numId w:val="1"/>
        </w:numPr>
      </w:pPr>
      <w:r>
        <w:t>Supply chain resilience metrics (aggregate dependency reduction progress)</w:t>
      </w:r>
    </w:p>
    <w:p>
      <w:pPr>
        <w:pStyle w:val="Normal"/>
        <w:numPr>
          <w:ilvl w:val="0"/>
          <w:numId w:val="1"/>
        </w:numPr>
      </w:pPr>
      <w:r>
        <w:t>Time since last activation (demonstrating both preparedness and restraint) The Dashboard builds confidence among members and their publics, signals institutional seriousness to potential coercers, and demonstrates defensive intent to the international community. No operational details, intelligence sources, or classified vulnerability data are disclosed.</w:t>
      </w:r>
    </w:p>
    <w:p>
      <w:pPr>
        <w:pStyle w:val="Heading2"/>
      </w:pPr>
      <w:r>
        <w:t>Section 4.2A.3: Restraint Indicators</w:t>
      </w:r>
    </w:p>
    <w:p>
      <w:r>
        <w:t>The Institutional Readiness Dashboard displays four public restraint metrics: (a) days since last activation; (b) number of IEWC coercion/AESI findings that did not lead to activation, with anonymised resolution summaries; (c) average time from certification to activation (by severity tier); (d) share of cases resolved at Phase 0 or 1 without escalation. Purpose: to demonstrate that activation and escalation are deliberate choices, not automatic.</w:t>
      </w:r>
    </w:p>
    <w:p>
      <w:pPr>
        <w:pStyle w:val="Heading2"/>
      </w:pPr>
      <w:r>
        <w:t>Section 4.2A.1: Early-Warning and Transparency Platform</w:t>
      </w:r>
    </w:p>
    <w:p>
      <w:r>
        <w:t>Members participate, on a voluntary and protected basis, in an Early-Warning and Transparency Platform for the sharing of aggregate and appropriately anonymised data relevant to the detection of AESIs. The</w:t>
      </w:r>
    </w:p>
    <w:p>
      <w:r>
        <w:t>Platform is operated by the IEWC with the following safeguards:</w:t>
      </w:r>
    </w:p>
    <w:p>
      <w:r>
        <w:t>(a) Confidentiality: Raw national data is not shared with other Members or third parties; only aggregate indicators and anonymised trend analyses are published (b) Data Protection: All data handling complies with the highest applicable international data protection standards; Members retain sovereign control over submission scope</w:t>
      </w:r>
    </w:p>
    <w:p>
      <w:r>
        <w:t>(c) Permitted Uses: Platform data is used exclusively for AESI early-warning, resilience assessment, and stress-test design; commercial or intelligence use is prohibited (d) Opt-Out: Any Member suspends temporarily data submissions for specified categories with 30 days' notice; suspension carries no penalty but reduces the precision of that Member's early-warning coverage</w:t>
      </w:r>
    </w:p>
    <w:p>
      <w:pPr>
        <w:pStyle w:val="Heading2"/>
      </w:pPr>
      <w:r>
        <w:t>Section 4.2B: Adaptive Early Warning System (ADAI)</w:t>
      </w:r>
    </w:p>
    <w:p>
      <w:r>
        <w:t>Pilot Status (v8.6): ADAI operates as an optional pilot programme pursuant to Annex 4A (Algorithmic Assistance Pilot Protocol). Members accede to the ADAI pilot by separate protocol. Non-participating members receive human-only IEWC assessment with equivalent timeline protections, the three-person expert panel (Section 2.10) serves as the default verification pathway for all coercion designations affecting non-pilot members. A machine-learning augmentation layer for the IEWC, ensuring that simultaneous multi-domain threats cannot</w:t>
      </w:r>
    </w:p>
    <w:p>
      <w:r>
        <w:t>overwhelm human analytical capacity:</w:t>
      </w:r>
    </w:p>
    <w:p>
      <w:r>
        <w:t>Function</w:t>
      </w:r>
    </w:p>
    <w:p>
      <w:r>
        <w:t>Human IEWC</w:t>
      </w:r>
    </w:p>
    <w:p>
      <w:r>
        <w:t>ADAI Augmentation</w:t>
      </w:r>
    </w:p>
    <w:p>
      <w:r>
        <w:t>Signal detection</w:t>
      </w:r>
    </w:p>
    <w:p>
      <w:r>
        <w:t>Manual monitoring of trade and diplomatic sources</w:t>
      </w:r>
    </w:p>
    <w:p>
      <w:r>
        <w:t>Real-time processing of 10,000+ sources; anomaly detection for coercion signatures</w:t>
      </w:r>
    </w:p>
    <w:p>
      <w:r>
        <w:t>Scenario matching</w:t>
      </w:r>
    </w:p>
    <w:p>
      <w:r>
        <w:t>Pre-authorised (Alpha–Pi)</w:t>
      </w:r>
    </w:p>
    <w:p>
      <w:r>
        <w:t>Dynamic scenario generation modelling coercer behaviour and optimal IMESI response mix</w:t>
      </w:r>
    </w:p>
    <w:p>
      <w:r>
        <w:t>Burden-sharing</w:t>
      </w:r>
    </w:p>
    <w:p>
      <w:r>
        <w:t>Quarterly reassessment</w:t>
      </w:r>
    </w:p>
    <w:p>
      <w:r>
        <w:t>Real-time optimisation: which members absorb more cost without political fracture</w:t>
      </w:r>
    </w:p>
    <w:p>
      <w:r>
        <w:t>Cohesion prediction</w:t>
      </w:r>
    </w:p>
    <w:p>
      <w:r>
        <w:t>Analyst judgement</w:t>
      </w:r>
    </w:p>
    <w:p>
      <w:r>
        <w:t>Sentiment analysis of member political systems; defection risk scoring; pre-emptive Fund allocation</w:t>
      </w:r>
    </w:p>
    <w:p>
      <w:r>
        <w:t>De-escalation timing</w:t>
      </w:r>
    </w:p>
    <w:p>
      <w:r>
        <w:t>Mediator certification</w:t>
      </w:r>
    </w:p>
    <w:p>
      <w:r>
        <w:t>Game-theoretic modelling of coercer type; optimal off-ramp sequencing</w:t>
      </w:r>
    </w:p>
    <w:p>
      <w:r>
        <w:t>library</w:t>
      </w:r>
    </w:p>
    <w:p>
      <w:r>
        <w:t>Tiered Authority with Hard Stops:</w:t>
      </w:r>
    </w:p>
    <w:p>
      <w:r>
        <w:t>Phase 1: ADAI recommends, human confirms within 4 hours. No auto-approval. If no confirmation received, Phase 1 deploys at 25% intensity only (signalling, not pressure), with full activation pending 12-hour human vote</w:t>
      </w:r>
    </w:p>
    <w:p>
      <w:r>
        <w:t>Phase 2/3: Human-gated with affirmative requirement. Reverse veto eliminated. Silence equals maintaining current phase, not escalation. 55% weighted vote required for Phase 2; 60% for Phase 3</w:t>
      </w:r>
    </w:p>
    <w:p>
      <w:pPr>
        <w:pStyle w:val="Normal"/>
        <w:numPr>
          <w:ilvl w:val="0"/>
          <w:numId w:val="1"/>
        </w:numPr>
      </w:pPr>
      <w:r>
        <w:t>Algorithmic transparency: Member states receive full source code access, not just output summaries</w:t>
      </w:r>
    </w:p>
    <w:p>
      <w:pPr>
        <w:pStyle w:val="Normal"/>
        <w:numPr>
          <w:ilvl w:val="0"/>
          <w:numId w:val="1"/>
        </w:numPr>
      </w:pPr>
      <w:r>
        <w:t>Annual independent audit of model performance, bias, and manipulation resistance</w:t>
      </w:r>
    </w:p>
    <w:p>
      <w:r>
        <w:t>Circuit Breakers, ADAI suspends all recommendations if:</w:t>
      </w:r>
    </w:p>
    <w:p>
      <w:r>
        <w:t>(a) Confidence score falls below 85% on coercion finding (b) Anomalous data patterns suggesting manipulation (IEWC-certified) (c) Discrepancy between ADAI signal and human intelligence assessments from 2+ member agencies Annual Red-Team: External experts attempt ADAI manipulation; successful exploits trigger 90-day suspension of ADAI recommendations, reverting to human-only IEWC assessment. No autonomous escalation to Phase 2 or above is permitted under any circumstance.</w:t>
      </w:r>
    </w:p>
    <w:p>
      <w:r>
        <w:t>Human Panel Gate (v8.5): Before any ADAI recommendation above Phase 1 is acted upon, a mandatory 24-hour human panel review is required. The panel comprises the IEWC Director, two senior analysts, and one member-state representative (rotating). The panel endorses, modify, or reject the ADAI recommendation. This preserves speed for initial detection while reserving human judgment for escalation</w:t>
      </w:r>
    </w:p>
    <w:p>
      <w:r>
        <w:t>decisions.</w:t>
      </w:r>
    </w:p>
    <w:p>
      <w:pPr>
        <w:pStyle w:val="Heading2"/>
      </w:pPr>
      <w:r>
        <w:t>Section 4.2C: Coercion Forecast Market (CFM)</w:t>
      </w:r>
    </w:p>
    <w:p>
      <w:r>
        <w:t>Pilot Status (v8.6): CFM operates as an optional pilot programme alongside ADAI. Pilot participants accept: annual independent audit, 90-day suspension if red-team exploitation successful, and position limits with circuit breakers as specified below. A permissioned prediction market (blockchain-settled, IMU-denominated) aggregating collective intelligence on geopolitical coercion risk. The CFM produces public, priced credibility, solving the problem that intelligence agencies produce classified assessments while coalition partners need transparent signals.</w:t>
      </w:r>
    </w:p>
    <w:p>
      <w:r>
        <w:t>Market Types:</w:t>
      </w:r>
    </w:p>
    <w:p>
      <w:r>
        <w:t>Market Type</w:t>
      </w:r>
    </w:p>
    <w:p>
      <w:r>
        <w:t>Function</w:t>
      </w:r>
    </w:p>
    <w:p>
      <w:pPr>
        <w:pStyle w:val="Normal"/>
      </w:pPr>
      <w:r>
        <w:rPr>
          <w:rFonts w:ascii="Calibri" w:hAnsi="Calibri" w:eastAsia="Microsoft YaHei" w:cs="Calibri"/>
          <w:color w:val="263238"/>
          <w:sz w:val="21"/>
          <w:szCs w:val="21"/>
        </w:rPr>
        <w:t>Event Markets</w:t>
      </w:r>
    </w:p>
    <w:p>
      <w:pPr>
        <w:pStyle w:val="Normal"/>
      </w:pPr>
      <w:r>
        <w:rPr>
          <w:rFonts w:ascii="Calibri" w:hAnsi="Calibri" w:eastAsia="Microsoft YaHei" w:cs="Calibri"/>
          <w:color w:val="263238"/>
          <w:sz w:val="21"/>
          <w:szCs w:val="21"/>
        </w:rPr>
        <w:t>Binary contracts on coercion probability within 90 days, weighted by member intelligence assessments and ADAI signal detection</w:t>
      </w:r>
    </w:p>
    <w:p>
      <w:pPr>
        <w:pStyle w:val="Normal"/>
      </w:pPr>
      <w:r>
        <w:rPr>
          <w:rFonts w:ascii="Calibri" w:hAnsi="Calibri" w:eastAsia="Microsoft YaHei" w:cs="Calibri"/>
          <w:color w:val="263238"/>
          <w:sz w:val="21"/>
          <w:szCs w:val="21"/>
        </w:rPr>
        <w:t>Response Markets</w:t>
      </w:r>
    </w:p>
    <w:p>
      <w:pPr>
        <w:pStyle w:val="Normal"/>
      </w:pPr>
      <w:r>
        <w:rPr>
          <w:rFonts w:ascii="Calibri" w:hAnsi="Calibri" w:eastAsia="Microsoft YaHei" w:cs="Calibri"/>
          <w:color w:val="263238"/>
          <w:sz w:val="21"/>
          <w:szCs w:val="21"/>
        </w:rPr>
        <w:t>Probability that IMESI activates if coercion occurs, revealing genuine coalition credibility</w:t>
      </w:r>
    </w:p>
    <w:p>
      <w:pPr>
        <w:pStyle w:val="Normal"/>
      </w:pPr>
      <w:r>
        <w:rPr>
          <w:rFonts w:ascii="Calibri" w:hAnsi="Calibri" w:eastAsia="Microsoft YaHei" w:cs="Calibri"/>
          <w:color w:val="263238"/>
          <w:sz w:val="21"/>
          <w:szCs w:val="21"/>
        </w:rPr>
        <w:t>Resolution Markets</w:t>
      </w:r>
    </w:p>
    <w:p>
      <w:pPr>
        <w:pStyle w:val="Normal"/>
      </w:pPr>
      <w:r>
        <w:rPr>
          <w:rFonts w:ascii="Calibri" w:hAnsi="Calibri" w:eastAsia="Microsoft YaHei" w:cs="Calibri"/>
          <w:color w:val="263238"/>
          <w:sz w:val="21"/>
          <w:szCs w:val="21"/>
        </w:rPr>
        <w:t>Probability that coercion is withdrawn within 180 days, aggregating de-escalation expectations</w:t>
      </w:r>
    </w:p>
    <w:p>
      <w:pPr>
        <w:pStyle w:val="Normal"/>
      </w:pPr>
      <w:r>
        <w:rPr>
          <w:rFonts w:ascii="Calibri" w:hAnsi="Calibri" w:eastAsia="Microsoft YaHei" w:cs="Calibri"/>
          <w:color w:val="263238"/>
          <w:sz w:val="21"/>
          <w:szCs w:val="21"/>
        </w:rPr>
        <w:t>Advisory Integration (no automatic triggers):</w:t>
      </w:r>
    </w:p>
    <w:p>
      <w:pPr>
        <w:pStyle w:val="Normal"/>
        <w:numPr>
          <w:ilvl w:val="0"/>
          <w:numId w:val="1"/>
        </w:numPr>
      </w:pPr>
      <w:r>
        <w:rPr>
          <w:rFonts w:ascii="Calibri" w:hAnsi="Calibri" w:eastAsia="Microsoft YaHei" w:cs="Calibri"/>
          <w:color w:val="263238"/>
          <w:sz w:val="21"/>
          <w:szCs w:val="21"/>
        </w:rPr>
        <w:t>Market prices feed into IEWC risk dashboards as advisory input only, supplementing ADAI anomaly detection, CFM does not mechanically trigger institutional responses</w:t>
      </w:r>
    </w:p>
    <w:p>
      <w:pPr>
        <w:pStyle w:val="Normal"/>
        <w:numPr>
          <w:ilvl w:val="0"/>
          <w:numId w:val="1"/>
        </w:numPr>
      </w:pPr>
      <w:r>
        <w:rPr>
          <w:rFonts w:ascii="Calibri" w:hAnsi="Calibri" w:eastAsia="Microsoft YaHei" w:cs="Calibri"/>
          <w:color w:val="263238"/>
          <w:sz w:val="21"/>
          <w:szCs w:val="21"/>
        </w:rPr>
        <w:t>Response Market &gt;70%: IEWC highlights elevated coercion probability in quarterly threat report; flags for early diplomatic engagement</w:t>
      </w:r>
    </w:p>
    <w:p>
      <w:pPr>
        <w:pStyle w:val="Normal"/>
        <w:numPr>
          <w:ilvl w:val="0"/>
          <w:numId w:val="1"/>
        </w:numPr>
      </w:pPr>
      <w:r>
        <w:rPr>
          <w:rFonts w:ascii="Calibri" w:hAnsi="Calibri" w:eastAsia="Microsoft YaHei" w:cs="Calibri"/>
          <w:color w:val="263238"/>
          <w:sz w:val="21"/>
          <w:szCs w:val="21"/>
        </w:rPr>
        <w:t>Response Market &lt;40% for authorised case: Coalition credibility alert raised for Coordination Committee review</w:t>
      </w:r>
    </w:p>
    <w:p>
      <w:pPr>
        <w:pStyle w:val="Normal"/>
      </w:pPr>
      <w:r>
        <w:rPr>
          <w:rFonts w:ascii="Calibri" w:hAnsi="Calibri" w:eastAsia="Microsoft YaHei" w:cs="Calibri"/>
          <w:color w:val="263238"/>
          <w:sz w:val="21"/>
          <w:szCs w:val="21"/>
        </w:rPr>
        <w:t>Credibility scoring: Members whose predictions consistently diverge from actual outcomes face reputational penalties in burden-sharing calculations</w:t>
      </w:r>
    </w:p>
    <w:p>
      <w:pPr>
        <w:pStyle w:val="Normal"/>
      </w:pPr>
      <w:r>
        <w:rPr>
          <w:rFonts w:ascii="Calibri" w:hAnsi="Calibri" w:eastAsia="Microsoft YaHei" w:cs="Calibri"/>
          <w:color w:val="263238"/>
          <w:sz w:val="21"/>
          <w:szCs w:val="21"/>
        </w:rPr>
        <w:t>Markets are permissioned (accredited member-state participants and designated analysts only), preventing manipulation by coercing states or hostile actors</w:t>
      </w:r>
    </w:p>
    <w:p>
      <w:pPr>
        <w:pStyle w:val="Normal"/>
      </w:pPr>
      <w:r>
        <w:rPr>
          <w:rFonts w:ascii="Calibri" w:hAnsi="Calibri" w:eastAsia="Microsoft YaHei" w:cs="Calibri"/>
          <w:color w:val="263238"/>
          <w:sz w:val="21"/>
          <w:szCs w:val="21"/>
        </w:rPr>
        <w:t>Human IEWC analysts make an independent coercion finding before any activation proceeds. CFM is valuable as crowdsourced intelligence, not as an activation mechanism. Full protocols in Annex 14.</w:t>
      </w:r>
    </w:p>
    <w:p>
      <w:pPr>
        <w:pStyle w:val="Heading2"/>
      </w:pPr>
      <w:r>
        <w:rPr>
          <w:rFonts w:ascii="Calibri" w:hAnsi="Calibri" w:eastAsia="Microsoft YaHei" w:cs="Calibri"/>
          <w:b/>
          <w:color w:val="263238"/>
          <w:sz w:val="25"/>
          <w:szCs w:val="25"/>
        </w:rPr>
        <w:t>Section 4.2D: Pre-Positioned Tier 1 Authority</w:t>
      </w:r>
    </w:p>
    <w:p>
      <w:pPr>
        <w:pStyle w:val="Normal"/>
      </w:pPr>
      <w:r>
        <w:rPr>
          <w:rFonts w:ascii="Calibri" w:hAnsi="Calibri" w:eastAsia="Microsoft YaHei" w:cs="Calibri"/>
          <w:color w:val="263238"/>
          <w:sz w:val="21"/>
          <w:szCs w:val="21"/>
        </w:rPr>
        <w:t>The IEWC is authorised to deploy Phase 1-equivalent measures unilaterally for 72 hours upon detection of: (a) Financial system exclusion threats (Category 2 Red-Line precursors) (b) Strategic technology export controls with documented policy linkage (Tier 1 documentation per Section 2.1) (c) Supply chain disruptions affecting &gt;30% of any Tier 1 strategic sector</w:t>
      </w:r>
    </w:p>
    <w:p>
      <w:pPr>
        <w:pStyle w:val="Normal"/>
      </w:pPr>
      <w:r>
        <w:rPr>
          <w:rFonts w:ascii="Calibri" w:hAnsi="Calibri" w:eastAsia="Microsoft YaHei" w:cs="Calibri"/>
          <w:color w:val="263238"/>
          <w:sz w:val="21"/>
          <w:szCs w:val="21"/>
        </w:rPr>
        <w:t>Permitted measures: Strategic stockpile release; SFI activation; alternative supplier procurement acceleration; public readiness signalling. These are defensive positioning measures, not retaliatory stabilisation measures. Ratification: The Coordination Committee ratifies, modify, or terminate within 72 hours. Non-ratification triggers automatic stand-down with full transparency report published to all members.</w:t>
      </w:r>
    </w:p>
    <w:p>
      <w:pPr>
        <w:pStyle w:val="Heading2"/>
      </w:pPr>
      <w:r>
        <w:rPr>
          <w:rFonts w:ascii="Calibri" w:hAnsi="Calibri" w:eastAsia="Microsoft YaHei" w:cs="Calibri"/>
          <w:b/>
          <w:color w:val="263238"/>
          <w:sz w:val="25"/>
          <w:szCs w:val="25"/>
        </w:rPr>
        <w:t>Section 4.2E: Anticipatory Prevention Authority</w:t>
      </w:r>
    </w:p>
    <w:p>
      <w:pPr>
        <w:pStyle w:val="Normal"/>
      </w:pPr>
      <w:r>
        <w:rPr>
          <w:rFonts w:ascii="Calibri" w:hAnsi="Calibri" w:eastAsia="Microsoft YaHei" w:cs="Calibri"/>
          <w:color w:val="263238"/>
          <w:sz w:val="21"/>
          <w:szCs w:val="21"/>
        </w:rPr>
        <w:t>Trigger: IEWC certifies &gt;70% Event Market probability (Section 4.2C) plus Tier 1 strategic sector vulnerability plus diplomatic reporting of coercer intent.</w:t>
      </w:r>
    </w:p>
    <w:p>
      <w:pPr>
        <w:pStyle w:val="Normal"/>
      </w:pPr>
      <w:r>
        <w:rPr>
          <w:rFonts w:ascii="Calibri" w:hAnsi="Calibri" w:eastAsia="Microsoft YaHei" w:cs="Calibri"/>
          <w:color w:val="263238"/>
          <w:sz w:val="21"/>
          <w:szCs w:val="21"/>
        </w:rPr>
        <w:t>Prevention Measures (no coercion finding required):</w:t>
      </w:r>
    </w:p>
    <w:p>
      <w:pPr>
        <w:pStyle w:val="Normal"/>
      </w:pPr>
      <w:r>
        <w:rPr>
          <w:rFonts w:ascii="Calibri" w:hAnsi="Calibri" w:eastAsia="Microsoft YaHei" w:cs="Calibri"/>
          <w:color w:val="263238"/>
          <w:sz w:val="21"/>
          <w:szCs w:val="21"/>
        </w:rPr>
        <w:t>(a) Accelerated stockpiling in vulnerable sectors (b) Pre-emptive alternative supplier contracting (Decoupling Acceleration Reserve activation) (c) SFI stress testing with targeted members (d) Public Coalition Readiness signalling (Dashboard amber status) Rolling Review: Prevention measures persist at full strength through successive 90-day review points under the Nofade rule; where the IEWC certifies that coercion has not materialised, the measures convert to standby status and reactivate by silence upon certification of materialisation.</w:t>
      </w:r>
    </w:p>
    <w:p>
      <w:pPr>
        <w:pStyle w:val="Heading2"/>
      </w:pPr>
      <w:r>
        <w:rPr>
          <w:rFonts w:ascii="Calibri" w:hAnsi="Calibri" w:eastAsia="Microsoft YaHei" w:cs="Calibri"/>
          <w:b/>
          <w:color w:val="263238"/>
          <w:sz w:val="25"/>
          <w:szCs w:val="25"/>
        </w:rPr>
        <w:t>Section 4.2F: Deterrence Signalling Protocol (DSP)</w:t>
      </w:r>
    </w:p>
    <w:p>
      <w:pPr>
        <w:pStyle w:val="Normal"/>
      </w:pPr>
      <w:r>
        <w:rPr>
          <w:rFonts w:ascii="Calibri" w:hAnsi="Calibri" w:eastAsia="Microsoft YaHei" w:cs="Calibri"/>
          <w:color w:val="263238"/>
          <w:sz w:val="21"/>
          <w:szCs w:val="21"/>
        </w:rPr>
        <w:t>Trigger: IEWC certifies &gt;80% Event Market probability (Section 4.2C) for a specific member-sector combination. Mechanism: Public amber alert published on the Institutional Readiness Dashboard with explicit statement: Coercion against [member] in [sector] would trigger Scenario [X] response. Alert distributed to all member diplomatic networks and published through pre-positioned media partnerships. Follow-Through: If coercion materialises, the pre-announced scenario activates automatically without additional consultation, coercer was warned. If no coercion within 90 days, the DSP expires and a public accountability review is conducted by the IEWC. Effect: Coercer faces certainty of response before acting; IMESI demonstrates resolve without actual activation. DSP transforms deterrence from implicit to explicit. Safeguard: DSP issuance requires 55% weighted vote; false positive rate &gt;20% over 12 months triggers Director-General review of IEWC analytical protocols.</w:t>
      </w:r>
    </w:p>
    <w:p>
      <w:pPr>
        <w:pStyle w:val="Heading3"/>
      </w:pPr>
      <w:r>
        <w:rPr>
          <w:rFonts w:ascii="Calibri" w:hAnsi="Calibri" w:eastAsia="Microsoft YaHei" w:cs="Calibri"/>
          <w:b/>
          <w:color w:val="546E7A"/>
          <w:sz w:val="22"/>
          <w:szCs w:val="22"/>
        </w:rPr>
        <w:t>Section 4.2F (Addendum): Silent Prepositioning Track [NEW: v12.1]</w:t>
      </w:r>
    </w:p>
    <w:p>
      <w:pPr>
        <w:pStyle w:val="Normal"/>
      </w:pPr>
      <w:r>
        <w:rPr>
          <w:rFonts w:ascii="Calibri" w:hAnsi="Calibri" w:eastAsia="Microsoft YaHei" w:cs="Calibri"/>
          <w:color w:val="263238"/>
          <w:sz w:val="21"/>
          <w:szCs w:val="21"/>
        </w:rPr>
        <w:t>Where the IEWC certifies a coercer as a High Political Volatility actor (Section 4.2X), the Deterrence Signalling Protocol shifts from public amber signalling to Silent Prepositioning: accelerated stockpiling, alternative supplier contracting, and liquidity pre-positioning proceed without public acknowledgment, since public deterrent signals lose effect against actors who do not process cost signals. Measures activated under this track still satisfy the transparency obligations of Section 4.2V upon activation; silence attaches to preparation, not to implementation.</w:t>
      </w:r>
    </w:p>
    <w:p>
      <w:pPr>
        <w:pStyle w:val="Heading2"/>
      </w:pPr>
      <w:r>
        <w:rPr>
          <w:rFonts w:ascii="Calibri" w:hAnsi="Calibri" w:eastAsia="Microsoft YaHei" w:cs="Calibri"/>
          <w:b/>
          <w:color w:val="263238"/>
          <w:sz w:val="25"/>
          <w:szCs w:val="25"/>
        </w:rPr>
        <w:t>Section 4.2G: Data Governance Protocol</w:t>
      </w:r>
    </w:p>
    <w:p>
      <w:pPr>
        <w:pStyle w:val="Normal"/>
      </w:pPr>
      <w:r>
        <w:rPr>
          <w:rFonts w:ascii="Calibri" w:hAnsi="Calibri" w:eastAsia="Microsoft YaHei" w:cs="Calibri"/>
          <w:color w:val="263238"/>
          <w:sz w:val="21"/>
          <w:szCs w:val="21"/>
        </w:rPr>
        <w:t>IEWC data is:</w:t>
      </w:r>
    </w:p>
    <w:p>
      <w:pPr>
        <w:pStyle w:val="Normal"/>
      </w:pPr>
      <w:r>
        <w:rPr>
          <w:rFonts w:ascii="Calibri" w:hAnsi="Calibri" w:eastAsia="Microsoft YaHei" w:cs="Calibri"/>
          <w:color w:val="263238"/>
          <w:sz w:val="21"/>
          <w:szCs w:val="21"/>
        </w:rPr>
        <w:t>(a) Used solely for purposes specified in this Instrument (b) Minimised to what is necessary for coercion detection and response (c) Subject to 5-year retention limit from date of collection (extendable to 7 years for active case data) (d) Prohibited from commercial use or disclosure to private entities (e) Accessible to member data protection authorities for audit upon 30-day notice Data Protection Officer: An independent Data Protection Officer within the Secretariat reports directly to the Coordination Committee, not the Director-General. The DPO conducts annual data impact assessments</w:t>
      </w:r>
    </w:p>
    <w:p>
      <w:pPr>
        <w:pStyle w:val="Normal"/>
      </w:pPr>
      <w:r>
        <w:rPr>
          <w:rFonts w:ascii="Calibri" w:hAnsi="Calibri" w:eastAsia="Microsoft YaHei" w:cs="Calibri"/>
          <w:color w:val="263238"/>
          <w:sz w:val="21"/>
          <w:szCs w:val="21"/>
        </w:rPr>
        <w:t>published in redacted form on the Institutional Readiness Dashboard. Whistleblower Protection: IEWC staff reporting data misuse receive protection from retaliation under Secretariat employment rules. Reports are made directly to the DPO or the Coordination Committee.</w:t>
      </w:r>
    </w:p>
    <w:p>
      <w:pPr>
        <w:pStyle w:val="Heading2"/>
      </w:pPr>
      <w:r>
        <w:rPr>
          <w:rFonts w:ascii="Calibri" w:hAnsi="Calibri" w:eastAsia="Microsoft YaHei" w:cs="Calibri"/>
          <w:b/>
          <w:color w:val="263238"/>
          <w:sz w:val="25"/>
          <w:szCs w:val="25"/>
        </w:rPr>
        <w:t>Section 4.2H: Systemic Monitoring Unit</w:t>
      </w:r>
    </w:p>
    <w:p>
      <w:pPr>
        <w:pStyle w:val="Normal"/>
      </w:pPr>
      <w:r>
        <w:rPr>
          <w:rFonts w:ascii="Calibri" w:hAnsi="Calibri" w:eastAsia="Microsoft YaHei" w:cs="Calibri"/>
          <w:color w:val="263238"/>
          <w:sz w:val="21"/>
          <w:szCs w:val="21"/>
        </w:rPr>
        <w:t>The IEWC maintains dedicated analytical capacity tracking:</w:t>
      </w:r>
    </w:p>
    <w:p>
      <w:pPr>
        <w:pStyle w:val="Normal"/>
      </w:pPr>
      <w:r>
        <w:rPr>
          <w:rFonts w:ascii="Calibri" w:hAnsi="Calibri" w:eastAsia="Microsoft YaHei" w:cs="Calibri"/>
          <w:color w:val="263238"/>
          <w:sz w:val="21"/>
          <w:szCs w:val="21"/>
        </w:rPr>
        <w:t>(a) Aggregate trade policy changes by major economies (&gt;5% global GDP) (b) Cross-border capital flow anomalies suggesting coordinated restrictions (c) Commodity market concentration risks in Tier 1 strategic sectors Quarterly Systemic Risk Reports assess cumulative impact of non-targeted measures on IMESI collective economic security. The Systemic Monitoring Unit has authority to recommend GSD protocol activation (Section 1.4) by 55% weighted vote even absent documented policy linkage to specific members.</w:t>
      </w:r>
    </w:p>
    <w:p>
      <w:pPr>
        <w:pStyle w:val="Heading2"/>
      </w:pPr>
      <w:r>
        <w:rPr>
          <w:rFonts w:ascii="Calibri" w:hAnsi="Calibri" w:eastAsia="Microsoft YaHei" w:cs="Calibri"/>
          <w:b/>
          <w:color w:val="263238"/>
          <w:sz w:val="25"/>
          <w:szCs w:val="25"/>
        </w:rPr>
        <w:t>Section 4.2I: Intra-Coalition Monitoring</w:t>
      </w:r>
    </w:p>
    <w:p>
      <w:pPr>
        <w:pStyle w:val="Normal"/>
      </w:pPr>
      <w:r>
        <w:rPr>
          <w:rFonts w:ascii="Calibri" w:hAnsi="Calibri" w:eastAsia="Microsoft YaHei" w:cs="Calibri"/>
          <w:color w:val="263238"/>
          <w:sz w:val="21"/>
          <w:szCs w:val="21"/>
        </w:rPr>
        <w:t>IEWC monitors for anomalous economic measures between members: trade remedy petitions, investment screening decisions, data localisation requirements, and procurement exclusions. Pattern detection (&gt;3 measures targeting the same member within 12 months) triggers mandatory IAC consultation (Section 6.9) before further bilateral escalation.</w:t>
      </w:r>
    </w:p>
    <w:p>
      <w:pPr>
        <w:pStyle w:val="Heading2"/>
      </w:pPr>
      <w:r>
        <w:rPr>
          <w:rFonts w:ascii="Calibri" w:hAnsi="Calibri" w:eastAsia="Microsoft YaHei" w:cs="Calibri"/>
          <w:b/>
          <w:color w:val="263238"/>
          <w:sz w:val="25"/>
          <w:szCs w:val="25"/>
        </w:rPr>
        <w:t>Section 4.2J: Rolling Baseline Recalculation</w:t>
      </w:r>
    </w:p>
    <w:p>
      <w:pPr>
        <w:pStyle w:val="Normal"/>
      </w:pPr>
      <w:r>
        <w:rPr>
          <w:rFonts w:ascii="Calibri" w:hAnsi="Calibri" w:eastAsia="Microsoft YaHei" w:cs="Calibri"/>
          <w:color w:val="263238"/>
          <w:sz w:val="21"/>
          <w:szCs w:val="21"/>
        </w:rPr>
        <w:t>IEWC recalculates annually 'normal' trade and investment baselines for each member-coercer relationship. Gradual deviations &gt;10% from trend, sustained &gt;12 months, trigger automatic Gradual Pressure Register entry (Section 2.10(b)) regardless of individual measure documentation. Baselines are published on the Institutional Readiness Dashboard.</w:t>
      </w:r>
    </w:p>
    <w:p>
      <w:pPr>
        <w:pStyle w:val="Heading2"/>
      </w:pPr>
      <w:r>
        <w:rPr>
          <w:rFonts w:ascii="Calibri" w:hAnsi="Calibri" w:eastAsia="Microsoft YaHei" w:cs="Calibri"/>
          <w:b/>
          <w:color w:val="263238"/>
          <w:sz w:val="25"/>
          <w:szCs w:val="25"/>
        </w:rPr>
        <w:t>Section 4.2K: Professional Standards and Data Stewardship</w:t>
      </w:r>
    </w:p>
    <w:p>
      <w:pPr>
        <w:pStyle w:val="Normal"/>
      </w:pPr>
      <w:r>
        <w:rPr>
          <w:rFonts w:ascii="Calibri" w:hAnsi="Calibri" w:eastAsia="Microsoft YaHei" w:cs="Calibri"/>
          <w:color w:val="263238"/>
          <w:sz w:val="21"/>
          <w:szCs w:val="21"/>
        </w:rPr>
        <w:t>Purpose: Ensure IEWC analytical integrity and member confidence in information handling. Classification</w:t>
      </w:r>
    </w:p>
    <w:p>
      <w:pPr>
        <w:pStyle w:val="Normal"/>
      </w:pPr>
      <w:r>
        <w:rPr>
          <w:rFonts w:ascii="Calibri" w:hAnsi="Calibri" w:eastAsia="Microsoft YaHei" w:cs="Calibri"/>
          <w:color w:val="263238"/>
          <w:sz w:val="21"/>
          <w:szCs w:val="21"/>
        </w:rPr>
        <w:t>Access</w:t>
      </w:r>
    </w:p>
    <w:p>
      <w:pPr>
        <w:pStyle w:val="Normal"/>
      </w:pPr>
      <w:r>
        <w:rPr>
          <w:rFonts w:ascii="Calibri" w:hAnsi="Calibri" w:eastAsia="Microsoft YaHei" w:cs="Calibri"/>
          <w:color w:val="263238"/>
          <w:sz w:val="21"/>
          <w:szCs w:val="21"/>
        </w:rPr>
        <w:t>Content</w:t>
      </w:r>
    </w:p>
    <w:p>
      <w:pPr>
        <w:pStyle w:val="Normal"/>
      </w:pPr>
      <w:r>
        <w:rPr>
          <w:rFonts w:ascii="Calibri" w:hAnsi="Calibri" w:eastAsia="Microsoft YaHei" w:cs="Calibri"/>
          <w:color w:val="263238"/>
          <w:sz w:val="21"/>
          <w:szCs w:val="21"/>
        </w:rPr>
        <w:t>Public</w:t>
      </w:r>
    </w:p>
    <w:p>
      <w:pPr>
        <w:pStyle w:val="Normal"/>
      </w:pPr>
      <w:r>
        <w:rPr>
          <w:rFonts w:ascii="Calibri" w:hAnsi="Calibri" w:eastAsia="Microsoft YaHei" w:cs="Calibri"/>
          <w:color w:val="263238"/>
          <w:sz w:val="21"/>
          <w:szCs w:val="21"/>
        </w:rPr>
        <w:t>All tiers</w:t>
      </w:r>
    </w:p>
    <w:p>
      <w:pPr>
        <w:pStyle w:val="Normal"/>
      </w:pPr>
      <w:r>
        <w:rPr>
          <w:rFonts w:ascii="Calibri" w:hAnsi="Calibri" w:eastAsia="Microsoft YaHei" w:cs="Calibri"/>
          <w:color w:val="263238"/>
          <w:sz w:val="21"/>
          <w:szCs w:val="21"/>
        </w:rPr>
        <w:t>Aggregated trends, anonymised risk indicators</w:t>
      </w:r>
    </w:p>
    <w:p>
      <w:pPr>
        <w:pStyle w:val="Normal"/>
      </w:pPr>
      <w:r>
        <w:rPr>
          <w:rFonts w:ascii="Calibri" w:hAnsi="Calibri" w:eastAsia="Microsoft YaHei" w:cs="Calibri"/>
          <w:color w:val="263238"/>
          <w:sz w:val="21"/>
          <w:szCs w:val="21"/>
        </w:rPr>
        <w:t>Coalition</w:t>
      </w:r>
    </w:p>
    <w:p>
      <w:pPr>
        <w:pStyle w:val="Normal"/>
      </w:pPr>
      <w:r>
        <w:rPr>
          <w:rFonts w:ascii="Calibri" w:hAnsi="Calibri" w:eastAsia="Microsoft YaHei" w:cs="Calibri"/>
          <w:color w:val="263238"/>
          <w:sz w:val="21"/>
          <w:szCs w:val="21"/>
        </w:rPr>
        <w:t>Tier 1+</w:t>
      </w:r>
    </w:p>
    <w:p>
      <w:pPr>
        <w:pStyle w:val="Normal"/>
      </w:pPr>
      <w:r>
        <w:rPr>
          <w:rFonts w:ascii="Calibri" w:hAnsi="Calibri" w:eastAsia="Microsoft YaHei" w:cs="Calibri"/>
          <w:color w:val="263238"/>
          <w:sz w:val="21"/>
          <w:szCs w:val="21"/>
        </w:rPr>
        <w:t>Active case summaries, burden-sharing formulas</w:t>
      </w:r>
    </w:p>
    <w:p>
      <w:pPr>
        <w:pStyle w:val="Normal"/>
      </w:pPr>
      <w:r>
        <w:rPr>
          <w:rFonts w:ascii="Calibri" w:hAnsi="Calibri" w:eastAsia="Microsoft YaHei" w:cs="Calibri"/>
          <w:color w:val="263238"/>
          <w:sz w:val="21"/>
          <w:szCs w:val="21"/>
        </w:rPr>
        <w:t>Restricted</w:t>
      </w:r>
    </w:p>
    <w:p>
      <w:pPr>
        <w:pStyle w:val="Normal"/>
      </w:pPr>
      <w:r>
        <w:rPr>
          <w:rFonts w:ascii="Calibri" w:hAnsi="Calibri" w:eastAsia="Microsoft YaHei" w:cs="Calibri"/>
          <w:color w:val="263238"/>
          <w:sz w:val="21"/>
          <w:szCs w:val="21"/>
        </w:rPr>
        <w:t>Tier 2+</w:t>
      </w:r>
    </w:p>
    <w:p>
      <w:pPr>
        <w:pStyle w:val="Normal"/>
      </w:pPr>
      <w:r>
        <w:rPr>
          <w:rFonts w:ascii="Calibri" w:hAnsi="Calibri" w:eastAsia="Microsoft YaHei" w:cs="Calibri"/>
          <w:color w:val="263238"/>
          <w:sz w:val="21"/>
          <w:szCs w:val="21"/>
        </w:rPr>
        <w:t>Source-identified assessments (member-designated recipients only)</w:t>
      </w:r>
    </w:p>
    <w:p>
      <w:pPr>
        <w:pStyle w:val="Normal"/>
      </w:pPr>
      <w:r>
        <w:rPr>
          <w:rFonts w:ascii="Calibri" w:hAnsi="Calibri" w:eastAsia="Microsoft YaHei" w:cs="Calibri"/>
          <w:color w:val="263238"/>
          <w:sz w:val="21"/>
          <w:szCs w:val="21"/>
        </w:rPr>
        <w:t>Safeguards: 5-year data retention; annual audit by member-state nominated panel; Data Protection Officer with independent reporting line to Coordination Committee; staff subject to national security clearance equivalence in home jurisdiction. No Domestic Operations: IEWC is prohibited from conducting intelligence collection within member territories without explicit host government authorisation and liaison officer presence.</w:t>
      </w:r>
    </w:p>
    <w:p>
      <w:pPr>
        <w:pStyle w:val="Heading2"/>
      </w:pPr>
      <w:r>
        <w:rPr>
          <w:rFonts w:ascii="Calibri" w:hAnsi="Calibri" w:eastAsia="Microsoft YaHei" w:cs="Calibri"/>
          <w:b/>
          <w:color w:val="263238"/>
          <w:sz w:val="25"/>
          <w:szCs w:val="25"/>
        </w:rPr>
        <w:t>Section 4.2L: Shared Analysis Protection</w:t>
      </w:r>
    </w:p>
    <w:p>
      <w:pPr>
        <w:pStyle w:val="Normal"/>
      </w:pPr>
      <w:r>
        <w:rPr>
          <w:rFonts w:ascii="Calibri" w:hAnsi="Calibri" w:eastAsia="Microsoft YaHei" w:cs="Calibri"/>
          <w:color w:val="263238"/>
          <w:sz w:val="21"/>
          <w:szCs w:val="21"/>
        </w:rPr>
        <w:t>Purpose: Enable candid intelligence sharing by clarifying limited liability exposure. Good-Faith Shield: Members sharing information with IEWC in documented good faith are protected from: civil liability in home jurisdiction for disclosure; third-party claims based on IEWC analytical products (not raw intelligence). No Source Attribution: IEWC assessments are presented as collective analytical products; no member identified as information source without explicit consent. Correction Protocol: Members request factual review of assessments referencing their territory; corrections published if material error confirmed. Process confidential; no admission of analytical error required for good-faith corrections.</w:t>
      </w:r>
    </w:p>
    <w:p>
      <w:pPr>
        <w:pStyle w:val="Heading2"/>
      </w:pPr>
      <w:r>
        <w:rPr>
          <w:rFonts w:ascii="Calibri" w:hAnsi="Calibri" w:eastAsia="Microsoft YaHei" w:cs="Calibri"/>
          <w:b/>
          <w:color w:val="263238"/>
          <w:sz w:val="25"/>
          <w:szCs w:val="25"/>
        </w:rPr>
        <w:t>Section 4.2M: Coalition Resilience Planning</w:t>
      </w:r>
    </w:p>
    <w:p>
      <w:pPr>
        <w:pStyle w:val="Normal"/>
      </w:pPr>
      <w:r>
        <w:rPr>
          <w:rFonts w:ascii="Calibri" w:hAnsi="Calibri" w:eastAsia="Microsoft YaHei" w:cs="Calibri"/>
          <w:color w:val="263238"/>
          <w:sz w:val="21"/>
          <w:szCs w:val="21"/>
        </w:rPr>
        <w:t>Internal Use Only: IEWC maintains political calendar awareness for operational planning: electoral cycles (public information); parliamentary composition (public record); scheduled leadership transitions (diplomatic notification). Democratic Risk Monitoring: IEWC expands political calendar awareness to include: electoral platforms promising IMESI withdrawal; withdrawal bills; explicit hostile statements by head of government. IEWC response: confidential assessment to CC; no public naming; used for contingency planning only. No Assessment of Domestic Politics: IEWC is prohibited from evaluating: electoral outcomes; party platforms; coalition stability; or public opinion trends. Calendar awareness is solely for logistical contingency (e.g., avoiding stabilisation measure activation during known transition periods). Member Notification: Governments request calendar correction or flag sensitive periods for operational planning purposes.</w:t>
      </w:r>
    </w:p>
    <w:p>
      <w:pPr>
        <w:pStyle w:val="Heading2"/>
      </w:pPr>
      <w:r>
        <w:rPr>
          <w:rFonts w:ascii="Calibri" w:hAnsi="Calibri" w:eastAsia="Microsoft YaHei" w:cs="Calibri"/>
          <w:b/>
          <w:color w:val="263238"/>
          <w:sz w:val="25"/>
          <w:szCs w:val="25"/>
        </w:rPr>
        <w:t>Section 4.1A: Small States Collective Caucus [NEW: v9.8A Small-State Protection]</w:t>
      </w:r>
    </w:p>
    <w:p>
      <w:pPr>
        <w:pStyle w:val="Normal"/>
      </w:pPr>
      <w:r>
        <w:rPr>
          <w:rFonts w:ascii="Calibri" w:hAnsi="Calibri" w:eastAsia="Microsoft YaHei" w:cs="Calibri"/>
          <w:color w:val="263238"/>
          <w:sz w:val="21"/>
          <w:szCs w:val="21"/>
        </w:rPr>
        <w:t>Purpose: Ensure small economies have meaningful collective voice in institutional design decisions.</w:t>
      </w:r>
    </w:p>
    <w:p>
      <w:pPr>
        <w:pStyle w:val="Normal"/>
      </w:pPr>
      <w:r>
        <w:rPr>
          <w:rFonts w:ascii="Calibri" w:hAnsi="Calibri" w:eastAsia="Microsoft YaHei" w:cs="Calibri"/>
          <w:color w:val="263238"/>
          <w:sz w:val="21"/>
          <w:szCs w:val="21"/>
        </w:rPr>
        <w:t>Eligibility and Formation</w:t>
      </w:r>
    </w:p>
    <w:p>
      <w:pPr>
        <w:pStyle w:val="Normal"/>
      </w:pPr>
      <w:r>
        <w:rPr>
          <w:rFonts w:ascii="Calibri" w:hAnsi="Calibri" w:eastAsia="Microsoft YaHei" w:cs="Calibri"/>
          <w:color w:val="263238"/>
          <w:sz w:val="21"/>
          <w:szCs w:val="21"/>
        </w:rPr>
        <w:t>Members below a GDP threshold of USD 100 billion (PPP-adjusted, updated triennially by Secretariat) or population below 10 million elects to join the Small States Collective Caucus. The Caucus elects a rotating Chair (12-month term) and designates spokespersons for CC proceedings.</w:t>
      </w:r>
    </w:p>
    <w:p>
      <w:pPr>
        <w:pStyle w:val="Normal"/>
      </w:pPr>
      <w:r>
        <w:rPr>
          <w:rFonts w:ascii="Calibri" w:hAnsi="Calibri" w:eastAsia="Microsoft YaHei" w:cs="Calibri"/>
          <w:color w:val="263238"/>
          <w:sz w:val="21"/>
          <w:szCs w:val="21"/>
        </w:rPr>
        <w:t>Block Vote Mechanism</w:t>
      </w:r>
    </w:p>
    <w:p>
      <w:pPr>
        <w:pStyle w:val="Normal"/>
      </w:pPr>
      <w:r>
        <w:rPr>
          <w:rFonts w:ascii="Calibri" w:hAnsi="Calibri" w:eastAsia="Microsoft YaHei" w:cs="Calibri"/>
          <w:color w:val="263238"/>
          <w:sz w:val="21"/>
          <w:szCs w:val="21"/>
        </w:rPr>
        <w:t>On burden-sharing formula design (Section 8.4), Fund architecture amendments (Article VIII structural votes), and accession rule changes (Article III amendments), the Caucus casts a single weighted "block vote" calibrated so that the Caucus collectively equals at least the voting weight of one systemic economy Member. Individual members retain the right to vote separately on any issue by notifying the Secretariat 24 hours before the vote.</w:t>
      </w:r>
    </w:p>
    <w:p>
      <w:pPr>
        <w:pStyle w:val="Normal"/>
      </w:pPr>
      <w:r>
        <w:rPr>
          <w:rFonts w:ascii="Calibri" w:hAnsi="Calibri" w:eastAsia="Microsoft YaHei" w:cs="Calibri"/>
          <w:color w:val="263238"/>
          <w:sz w:val="21"/>
          <w:szCs w:val="21"/>
        </w:rPr>
        <w:t>Section 4.1 (Addendum): Anti-Weaponisation Guarantee [NEW: v9.8B]</w:t>
      </w:r>
    </w:p>
    <w:p>
      <w:pPr>
        <w:pStyle w:val="Normal"/>
      </w:pPr>
      <w:r>
        <w:rPr>
          <w:rFonts w:ascii="Calibri" w:hAnsi="Calibri" w:eastAsia="Microsoft YaHei" w:cs="Calibri"/>
          <w:color w:val="263238"/>
          <w:sz w:val="21"/>
          <w:szCs w:val="21"/>
        </w:rPr>
        <w:t>No single country triggers, block, or control coercion certifications. No state sits on the IEWC while it is itself accused of coercion (automatic recusal, Section 1.6B). Certification requires 7-of-10 IEWC majority including 2 independent experts appointed by the IAC, not by member governments. This is designed so that no country, large or small, founding member or late joiner, weaponises the process against rivals or shield allies from scrutiny.</w:t>
      </w:r>
    </w:p>
    <w:p>
      <w:pPr>
        <w:pStyle w:val="Heading2"/>
      </w:pPr>
      <w:r>
        <w:rPr>
          <w:rFonts w:ascii="Calibri" w:hAnsi="Calibri" w:eastAsia="Microsoft YaHei" w:cs="Calibri"/>
          <w:b/>
          <w:color w:val="263238"/>
          <w:sz w:val="25"/>
          <w:szCs w:val="25"/>
        </w:rPr>
        <w:t>Section 4.1B: National IMESI Authority [NEW: v10.0]</w:t>
      </w:r>
    </w:p>
    <w:p>
      <w:pPr>
        <w:pStyle w:val="Normal"/>
      </w:pPr>
      <w:r>
        <w:rPr>
          <w:rFonts w:ascii="Calibri" w:hAnsi="Calibri" w:eastAsia="Microsoft YaHei" w:cs="Calibri"/>
          <w:color w:val="263238"/>
          <w:sz w:val="21"/>
          <w:szCs w:val="21"/>
        </w:rPr>
        <w:t>Each Member designates a National IMESI Authority with a cross-agency coordination mandate and sufficient domestic authority to: (a) coordinate the Member's positions in IMESI bodies; (b) ensure timely implementation of agreed measures within its jurisdiction; and (c) serve as the single national point of contact for the Secretariat on all operational matters. The designation of a National IMESI Authority does not alter domestic constitutional arrangements but is intended to reduce internal fragmentation and improve implementation speed.</w:t>
      </w:r>
    </w:p>
    <w:p>
      <w:pPr>
        <w:pStyle w:val="Normal"/>
      </w:pPr>
      <w:r>
        <w:rPr>
          <w:rFonts w:ascii="Calibri" w:hAnsi="Calibri" w:eastAsia="Microsoft YaHei" w:cs="Calibri"/>
          <w:color w:val="263238"/>
          <w:sz w:val="21"/>
          <w:szCs w:val="21"/>
        </w:rPr>
        <w:t>Section 4.2A (Addendum): Reciprocity Transparency Rule [NEW: v9.8A Institutional Maturity]</w:t>
      </w:r>
    </w:p>
    <w:p>
      <w:pPr>
        <w:pStyle w:val="Normal"/>
      </w:pPr>
      <w:r>
        <w:rPr>
          <w:rFonts w:ascii="Calibri" w:hAnsi="Calibri" w:eastAsia="Microsoft YaHei" w:cs="Calibri"/>
          <w:color w:val="263238"/>
          <w:sz w:val="21"/>
          <w:szCs w:val="21"/>
        </w:rPr>
        <w:t>For each activation, the Secretariat publishes aggregate participation and compliance metrics showing the percentage of Members meeting minimum contribution thresholds, broken down by tier, without naming individual laggards. The Dashboard displays: total Members participating vs. eligible; aggregate compliance score per tier; financial contribution percentage of target met; and measure implementation percentage across all domains. This builds trust that others are contributing, without public shaming that might deter joining.</w:t>
      </w:r>
    </w:p>
    <w:p>
      <w:pPr>
        <w:pStyle w:val="Normal"/>
      </w:pPr>
      <w:r>
        <w:rPr>
          <w:rFonts w:ascii="Calibri" w:hAnsi="Calibri" w:eastAsia="Microsoft YaHei" w:cs="Calibri"/>
          <w:color w:val="263238"/>
          <w:sz w:val="21"/>
          <w:szCs w:val="21"/>
        </w:rPr>
        <w:t>Section 4.2A (Addendum): Success Recognition Mechanism [NEW: v9.8A Institutional Maturity]</w:t>
      </w:r>
    </w:p>
    <w:p>
      <w:pPr>
        <w:pStyle w:val="Normal"/>
      </w:pPr>
      <w:r>
        <w:rPr>
          <w:rFonts w:ascii="Calibri" w:hAnsi="Calibri" w:eastAsia="Microsoft YaHei" w:cs="Calibri"/>
          <w:color w:val="263238"/>
          <w:sz w:val="21"/>
          <w:szCs w:val="21"/>
        </w:rPr>
        <w:t>The Dashboard includes a "Cooperative Resolution" section publicly recognising successful de-escalations, negotiated settlements, and cases where coercion was prevented through IMESI's deterrent effect. For each recognised success: the Secretariat publishes a brief factual summary (with parties' consent); contributing Members are acknowledged for constructive roles (without naming non-cooperators); and the case is archived as institutional precedent with lessons-learned analysis. This supports the "coercion prevented" success metric and provides positive reinforcement with no enforcement cost.</w:t>
      </w:r>
    </w:p>
    <w:p>
      <w:pPr>
        <w:pStyle w:val="Heading2"/>
      </w:pPr>
      <w:r>
        <w:rPr>
          <w:rFonts w:ascii="Calibri" w:hAnsi="Calibri" w:eastAsia="Microsoft YaHei" w:cs="Calibri"/>
          <w:b/>
          <w:color w:val="263238"/>
          <w:sz w:val="25"/>
          <w:szCs w:val="25"/>
        </w:rPr>
        <w:t>Section 4.2N: Intelligence Compartmentalization and Leakage Response Protocol [NEW: v9.8 Structural Fix]</w:t>
      </w:r>
    </w:p>
    <w:p>
      <w:pPr>
        <w:pStyle w:val="Heading3"/>
      </w:pPr>
      <w:r>
        <w:rPr>
          <w:rFonts w:ascii="Calibri" w:hAnsi="Calibri" w:eastAsia="Microsoft YaHei" w:cs="Calibri"/>
          <w:b/>
          <w:color w:val="546E7A"/>
          <w:sz w:val="22"/>
          <w:szCs w:val="22"/>
        </w:rPr>
        <w:t>Section 4.2N (Addendum): Executive Privilege Override [NEW: v11.0]</w:t>
      </w:r>
    </w:p>
    <w:p>
      <w:pPr>
        <w:pStyle w:val="Normal"/>
      </w:pPr>
      <w:r>
        <w:rPr>
          <w:rFonts w:ascii="Calibri" w:hAnsi="Calibri" w:eastAsia="Microsoft YaHei" w:cs="Calibri"/>
          <w:color w:val="263238"/>
          <w:sz w:val="21"/>
          <w:szCs w:val="21"/>
        </w:rPr>
        <w:t>The IEWC draws on publicly available data, including Census Bureau data and industry reports, where an executive branch declines cooperation with IEWC data requests. Non-cooperation does not delay certification timelines.</w:t>
      </w:r>
    </w:p>
    <w:p>
      <w:pPr>
        <w:pStyle w:val="Heading3"/>
      </w:pPr>
      <w:r>
        <w:rPr>
          <w:rFonts w:ascii="Calibri" w:hAnsi="Calibri" w:eastAsia="Microsoft YaHei" w:cs="Calibri"/>
          <w:b/>
          <w:color w:val="546E7A"/>
          <w:sz w:val="22"/>
          <w:szCs w:val="22"/>
        </w:rPr>
        <w:t>Section 4.2N (Second Addendum): Shadow Commissioning [NEW: v11.0]</w:t>
      </w:r>
    </w:p>
    <w:p>
      <w:pPr>
        <w:pStyle w:val="Normal"/>
      </w:pPr>
      <w:r>
        <w:rPr>
          <w:rFonts w:ascii="Calibri" w:hAnsi="Calibri" w:eastAsia="Microsoft YaHei" w:cs="Calibri"/>
          <w:color w:val="263238"/>
          <w:sz w:val="21"/>
          <w:szCs w:val="21"/>
        </w:rPr>
        <w:t>The IEWC commissions independent private sector analysts, including S&amp;P and Oxford Economics, to provide economic impact assessments where a member state’s domestic statistical agencies face discreditation or delay.</w:t>
      </w:r>
    </w:p>
    <w:p>
      <w:pPr>
        <w:pStyle w:val="Normal"/>
      </w:pPr>
      <w:r>
        <w:rPr>
          <w:rFonts w:ascii="Calibri" w:hAnsi="Calibri" w:eastAsia="Microsoft YaHei" w:cs="Calibri"/>
          <w:color w:val="263238"/>
          <w:sz w:val="21"/>
          <w:szCs w:val="21"/>
        </w:rPr>
        <w:t>Compartmentalization Standards</w:t>
      </w:r>
    </w:p>
    <w:p>
      <w:pPr>
        <w:pStyle w:val="Normal"/>
      </w:pPr>
      <w:r>
        <w:rPr>
          <w:rFonts w:ascii="Calibri" w:hAnsi="Calibri" w:eastAsia="Microsoft YaHei" w:cs="Calibri"/>
          <w:color w:val="263238"/>
          <w:sz w:val="21"/>
          <w:szCs w:val="21"/>
        </w:rPr>
        <w:t>IEWC divides intelligence into tiers: Open Tier (Green): Unclassified; shareable with all. Coalition Tier (Blue): Classified to IMESI members only. Restricted Tier (Red): Classified to specific members/teams. Locked Tier (Black): Director-General and IEWC leadership only. Default is Green unless sensitivity justifies restriction.</w:t>
      </w:r>
    </w:p>
    <w:p>
      <w:pPr>
        <w:pStyle w:val="Normal"/>
      </w:pPr>
      <w:r>
        <w:rPr>
          <w:rFonts w:ascii="Calibri" w:hAnsi="Calibri" w:eastAsia="Microsoft YaHei" w:cs="Calibri"/>
          <w:color w:val="263238"/>
          <w:sz w:val="21"/>
          <w:szCs w:val="21"/>
        </w:rPr>
        <w:t>Leakage Detection Protocol</w:t>
      </w:r>
    </w:p>
    <w:p>
      <w:pPr>
        <w:pStyle w:val="Normal"/>
      </w:pPr>
      <w:r>
        <w:rPr>
          <w:rFonts w:ascii="Calibri" w:hAnsi="Calibri" w:eastAsia="Microsoft YaHei" w:cs="Calibri"/>
          <w:color w:val="263238"/>
          <w:sz w:val="21"/>
          <w:szCs w:val="21"/>
        </w:rPr>
        <w:t>Canary Trap Mechanism: IEWC periodically includes variant false information in different versions to narrow down access. Continuous Monitoring via intelligence monitoring services. Rapid Attribution: 48-hour assessment by Leakage Response Team. Provisional Finding: Confirmed / Suspected / No Evidence.</w:t>
      </w:r>
    </w:p>
    <w:p>
      <w:pPr>
        <w:pStyle w:val="Normal"/>
      </w:pPr>
      <w:r>
        <w:rPr>
          <w:rFonts w:ascii="Calibri" w:hAnsi="Calibri" w:eastAsia="Microsoft YaHei" w:cs="Calibri"/>
          <w:color w:val="263238"/>
          <w:sz w:val="21"/>
          <w:szCs w:val="21"/>
        </w:rPr>
        <w:t>Immediate Response (Confirmed Leakage)</w:t>
      </w:r>
    </w:p>
    <w:p>
      <w:pPr>
        <w:pStyle w:val="Normal"/>
      </w:pPr>
      <w:r>
        <w:rPr>
          <w:rFonts w:ascii="Calibri" w:hAnsi="Calibri" w:eastAsia="Microsoft YaHei" w:cs="Calibri"/>
          <w:color w:val="263238"/>
          <w:sz w:val="21"/>
          <w:szCs w:val="21"/>
        </w:rPr>
        <w:t>All higher-tier intelligence distribution to implicated member suspended immediately; Member notified, 7 days to explain; IEWC changes distribution methods and protocols; Director-General recommends whether to open formal investigation.</w:t>
      </w:r>
    </w:p>
    <w:p>
      <w:pPr>
        <w:pStyle w:val="Normal"/>
      </w:pPr>
      <w:r>
        <w:rPr>
          <w:rFonts w:ascii="Calibri" w:hAnsi="Calibri" w:eastAsia="Microsoft YaHei" w:cs="Calibri"/>
          <w:color w:val="263238"/>
          <w:sz w:val="21"/>
          <w:szCs w:val="21"/>
        </w:rPr>
        <w:t>Formal Investigation and Consequences</w:t>
      </w:r>
    </w:p>
    <w:p>
      <w:pPr>
        <w:pStyle w:val="Normal"/>
      </w:pPr>
      <w:r>
        <w:rPr>
          <w:rFonts w:ascii="Calibri" w:hAnsi="Calibri" w:eastAsia="Microsoft YaHei" w:cs="Calibri"/>
          <w:color w:val="263238"/>
          <w:sz w:val="21"/>
          <w:szCs w:val="21"/>
        </w:rPr>
        <w:t>Independent panel conducts 14-day investigation. Confirmed Deliberate Leakage: 12-month intelligence access suspension; tier downgrade possible; USD 10M penalty. Confirmed Accidental: Remediation plan; 3-month suspension; no permanent penalty. No Evidence: Public vindication + USD 1M compensation.</w:t>
      </w:r>
    </w:p>
    <w:p>
      <w:pPr>
        <w:pStyle w:val="Normal"/>
      </w:pPr>
      <w:r>
        <w:rPr>
          <w:rFonts w:ascii="Calibri" w:hAnsi="Calibri" w:eastAsia="Microsoft YaHei" w:cs="Calibri"/>
          <w:color w:val="263238"/>
          <w:sz w:val="21"/>
          <w:szCs w:val="21"/>
        </w:rPr>
        <w:t>Whistleblower Protection</w:t>
      </w:r>
    </w:p>
    <w:p>
      <w:pPr>
        <w:pStyle w:val="Normal"/>
      </w:pPr>
      <w:r>
        <w:rPr>
          <w:rFonts w:ascii="Calibri" w:hAnsi="Calibri" w:eastAsia="Microsoft YaHei" w:cs="Calibri"/>
          <w:color w:val="263238"/>
          <w:sz w:val="21"/>
          <w:szCs w:val="21"/>
        </w:rPr>
        <w:t>Full confidentiality; Protection from retaliation (retaliatory action triggers automatic investigation + potential tier downgrade); USD 250K reward from Secretariat confidential fund if information leads to confirmed finding.</w:t>
      </w:r>
    </w:p>
    <w:p>
      <w:pPr>
        <w:pStyle w:val="Heading3"/>
      </w:pPr>
      <w:r>
        <w:rPr>
          <w:rFonts w:ascii="Calibri" w:hAnsi="Calibri" w:eastAsia="Microsoft YaHei" w:cs="Calibri"/>
          <w:b/>
          <w:color w:val="546E7A"/>
          <w:sz w:val="22"/>
          <w:szCs w:val="22"/>
        </w:rPr>
        <w:t>Section 4.2N (Third Addendum): Institutional Diversity and Rotation Mandate [NEW: v13.0]</w:t>
      </w:r>
    </w:p>
    <w:p>
      <w:pPr>
        <w:pStyle w:val="Normal"/>
      </w:pPr>
      <w:r>
        <w:rPr>
          <w:rFonts w:ascii="Calibri" w:hAnsi="Calibri" w:eastAsia="Microsoft YaHei" w:cs="Calibri"/>
          <w:color w:val="263238"/>
          <w:sz w:val="21"/>
          <w:szCs w:val="21"/>
        </w:rPr>
        <w:t>All IEWC analysts and senior Secretariat staff rotate across different analytical teams, covering trade, finance, digital, and systemic-disruption domains, every 24 months, preventing any single individual from developing excessive influence over a specific policy domain. The IEWC maintains a Blind Review protocol under which all major analytical reports receive review by at least two independent teams with the identity of the lead analyst obscured during the review process. An Annual Institutional Trust Survey, conducted by an independent external auditor, assesses whether any individual or team is perceived by peers as unduly influencing policy outcomes; anomalous findings trigger a confidential IEWC internal review.</w:t>
      </w:r>
    </w:p>
    <w:p>
      <w:pPr>
        <w:pStyle w:val="Heading3"/>
      </w:pPr>
      <w:r>
        <w:rPr>
          <w:rFonts w:ascii="Calibri" w:hAnsi="Calibri" w:eastAsia="Microsoft YaHei" w:cs="Calibri"/>
          <w:b/>
          <w:color w:val="546E7A"/>
          <w:sz w:val="22"/>
          <w:szCs w:val="22"/>
        </w:rPr>
        <w:t>Section 4.2N (Fourth Addendum): Leakage Response Time and Resource Protocol [NEW: v13.0]</w:t>
      </w:r>
    </w:p>
    <w:p>
      <w:pPr>
        <w:pStyle w:val="Normal"/>
      </w:pPr>
      <w:r>
        <w:rPr>
          <w:rFonts w:ascii="Calibri" w:hAnsi="Calibri" w:eastAsia="Microsoft YaHei" w:cs="Calibri"/>
          <w:color w:val="263238"/>
          <w:sz w:val="21"/>
          <w:szCs w:val="21"/>
        </w:rPr>
        <w:t>The IEWC maintains a standing Leakage Response Surge capacity of three full-time analysts, pre-positioned to handle leakage investigations without drawing resources from ongoing coercion cases, ensuring that a leak investigation does not slow the analysis of a concurrent crisis. A leakage investigation unresolved within 30 days receives automatic referral to the Internal Adjudication Chamber for a determination of whether the investigation itself is being weaponised as a distraction; upon such a finding, the investigation is suspended, and the complainant Member faces a 50% Fund surcharge for misuse of the leakage protocol. The IEWC maintains a statistical baseline of normal leak activity; a leak deviating significantly from that baseline receives higher-priority investigation, with resource allocation weighted to avoid interference with active cases.</w:t>
      </w:r>
    </w:p>
    <w:p>
      <w:pPr>
        <w:pStyle w:val="Heading2"/>
      </w:pPr>
      <w:r>
        <w:rPr>
          <w:rFonts w:ascii="Calibri" w:hAnsi="Calibri" w:eastAsia="Microsoft YaHei" w:cs="Calibri"/>
          <w:b/>
          <w:color w:val="263238"/>
          <w:sz w:val="25"/>
          <w:szCs w:val="25"/>
        </w:rPr>
        <w:t>Section 4.2P: IEWC Capacity Management and Surge Protocol [NEW: v9.8 Structural Fix]</w:t>
      </w:r>
    </w:p>
    <w:p>
      <w:pPr>
        <w:pStyle w:val="Normal"/>
      </w:pPr>
      <w:r>
        <w:rPr>
          <w:rFonts w:ascii="Calibri" w:hAnsi="Calibri" w:eastAsia="Microsoft YaHei" w:cs="Calibri"/>
          <w:color w:val="263238"/>
          <w:sz w:val="21"/>
          <w:szCs w:val="21"/>
        </w:rPr>
        <w:t>Permanent Staffing</w:t>
      </w:r>
    </w:p>
    <w:p>
      <w:pPr>
        <w:pStyle w:val="Normal"/>
      </w:pPr>
      <w:r>
        <w:rPr>
          <w:rFonts w:ascii="Calibri" w:hAnsi="Calibri" w:eastAsia="Microsoft YaHei" w:cs="Calibri"/>
          <w:color w:val="263238"/>
          <w:sz w:val="21"/>
          <w:szCs w:val="21"/>
        </w:rPr>
        <w:t>Minimum staffing: 25 FTE analysts (vs. estimated current 12-15). Core Divisions: (a) Coercion Certification (8 analysts); (b) Pattern and Monitoring (5); (c) Hybrid/Digital/Cognitive (4); (d) Compliance and Case Management (4); (e) Leadership and Strategy (2); (f) Data Protection Officer + whistleblower function (1). Salary/benefits budget: 0.1% of annual Fund contributions (non-discretionary).</w:t>
      </w:r>
    </w:p>
    <w:p>
      <w:pPr>
        <w:pStyle w:val="Normal"/>
      </w:pPr>
      <w:r>
        <w:rPr>
          <w:rFonts w:ascii="Calibri" w:hAnsi="Calibri" w:eastAsia="Microsoft YaHei" w:cs="Calibri"/>
          <w:color w:val="263238"/>
          <w:sz w:val="21"/>
          <w:szCs w:val="21"/>
        </w:rPr>
        <w:t>Triage Protocol</w:t>
      </w:r>
    </w:p>
    <w:p>
      <w:pPr>
        <w:pStyle w:val="Normal"/>
      </w:pPr>
      <w:r>
        <w:rPr>
          <w:rFonts w:ascii="Calibri" w:hAnsi="Calibri" w:eastAsia="Microsoft YaHei" w:cs="Calibri"/>
          <w:color w:val="263238"/>
          <w:sz w:val="21"/>
          <w:szCs w:val="21"/>
        </w:rPr>
        <w:t>Upon submission, cases classified as: Critical (Red-Line, Category 2): Goes to Lead Analyst within 2 hours; investigation team assigned within 4 hours. Severe (Moderate+ severity): Goes to team lead within 6 hours; investigation team assigned within 12 hours. Routine (Minor, Amber Pressure): Queued; processed within 7 days.</w:t>
      </w:r>
    </w:p>
    <w:p>
      <w:pPr>
        <w:pStyle w:val="Normal"/>
      </w:pPr>
      <w:r>
        <w:rPr>
          <w:rFonts w:ascii="Calibri" w:hAnsi="Calibri" w:eastAsia="Microsoft YaHei" w:cs="Calibri"/>
          <w:color w:val="263238"/>
          <w:sz w:val="21"/>
          <w:szCs w:val="21"/>
        </w:rPr>
        <w:t>Surge Capacity</w:t>
      </w:r>
    </w:p>
    <w:p>
      <w:r>
        <w:t>If more than 3 Critical cases active simultaneously: Secretariat rotates junior policy staff into IEWC support; Lead analysts compress non-critical work; Redundant functions shift to advisory-only mode during surge; CC authorizes temporary consulting contracts (30-day max, USD 50K cap per contract).</w:t>
      </w:r>
    </w:p>
    <w:p>
      <w:r>
        <w:t>Workload Ceiling</w:t>
      </w:r>
    </w:p>
    <w:p>
      <w:r>
        <w:t>If active case load exceeds 5 Severe+ cases simultaneously for &gt;14 days: Automatic 60% vote triggers "Pace Adjustment Protocol"; No new case investigations for 7 days; CC conducts emergency review of case classification; Director-General empowered to request 7-day investigation timeline extension.</w:t>
      </w:r>
    </w:p>
    <w:p>
      <w:r>
        <w:t>Resilience Backstop</w:t>
      </w:r>
    </w:p>
    <w:p>
      <w:r>
        <w:t>Annual training for 5 member-state analysts as rotational deputies; Pre-positioned 3-analyst reserve pool from academic institutions; Standing relationship with 2 major consulting firms. IEWC capacity utilization reported to CC quarterly. If &gt;80% sustained for &gt;6 months, mandatory external audit triggered.</w:t>
      </w:r>
    </w:p>
    <w:p>
      <w:r>
        <w:t>Section 4.2P (Addendum): IEWC Automated Regulatory Pattern Tracking [NEW: v9.9]</w:t>
      </w:r>
    </w:p>
    <w:p>
      <w:r>
        <w:t>The Integrated Early Warning Cell also tracks anomalous patterns of automated or algorithmic regulatory actions (including AI-driven risk scoring and mass document requests) targeting enterprises from specific Members, and recommend Gradual Pressure Register entries where such patterns appear coercive.</w:t>
      </w:r>
    </w:p>
    <w:p>
      <w:pPr>
        <w:pStyle w:val="Heading2"/>
      </w:pPr>
      <w:r>
        <w:t>Section 4.2Q: Military-Linked Supply Chain Emergency Authority [NEW: v9.8A Military-Economic Nexus]</w:t>
      </w:r>
    </w:p>
    <w:p>
      <w:r>
        <w:t>Purpose: Pre-positions economic stabilisation measures when military threats jeopardise critical supply chains, before traditional economic coercion occurs.</w:t>
      </w:r>
    </w:p>
    <w:p>
      <w:r>
        <w:t>Mechanism</w:t>
      </w:r>
    </w:p>
    <w:p>
      <w:r>
        <w:t>IEWC monitors "Defence-Critical Supply Vulnerabilities" (semiconductors, rare earths, precision manufacturing inputs with &gt;6-month lead times). When military intelligence (from member states, not IMESI collection) indicates threat to these supply routes, Phase 0+ "Anticipatory Positioning" activates: accelerated stockpiling, alternative supplier pre-contracting, SFI settlement drills.</w:t>
      </w:r>
    </w:p>
    <w:p>
      <w:r>
        <w:t>Human Safeguard</w:t>
      </w:r>
    </w:p>
    <w:p>
      <w:pPr>
        <w:pStyle w:val="Normal"/>
      </w:pPr>
      <w:r>
        <w:rPr>
          <w:rFonts w:ascii="Calibri" w:hAnsi="Calibri" w:eastAsia="Microsoft YaHei" w:cs="Calibri"/>
          <w:color w:val="263238"/>
          <w:sz w:val="21"/>
          <w:szCs w:val="21"/>
        </w:rPr>
        <w:t>Member state defence ministries provide written threat assessment; CC has 72-hour veto window; measures are preparatory only (no tariffs/financial restrictions).</w:t>
      </w:r>
    </w:p>
    <w:p>
      <w:pPr>
        <w:pStyle w:val="Normal"/>
      </w:pPr>
      <w:r>
        <w:rPr>
          <w:rFonts w:ascii="Calibri" w:hAnsi="Calibri" w:eastAsia="Microsoft YaHei" w:cs="Calibri"/>
          <w:color w:val="263238"/>
          <w:sz w:val="21"/>
          <w:szCs w:val="21"/>
        </w:rPr>
        <w:t>Political Palatability</w:t>
      </w:r>
    </w:p>
    <w:p>
      <w:pPr>
        <w:pStyle w:val="Normal"/>
      </w:pPr>
      <w:r>
        <w:rPr>
          <w:rFonts w:ascii="Calibri" w:hAnsi="Calibri" w:eastAsia="Microsoft YaHei" w:cs="Calibri"/>
          <w:color w:val="263238"/>
          <w:sz w:val="21"/>
          <w:szCs w:val="21"/>
        </w:rPr>
        <w:t>Framed as "supply chain insurance" not "military response"; requires member state defence input, not IMESI military intelligence gathering; preserves sovereignty by making activation contingent on national military assessment.</w:t>
      </w:r>
    </w:p>
    <w:p>
      <w:pPr>
        <w:pStyle w:val="Heading2"/>
      </w:pPr>
      <w:r>
        <w:rPr>
          <w:rFonts w:ascii="Calibri" w:hAnsi="Calibri" w:eastAsia="Microsoft YaHei" w:cs="Calibri"/>
          <w:b/>
          <w:color w:val="263238"/>
          <w:sz w:val="25"/>
          <w:szCs w:val="25"/>
        </w:rPr>
        <w:t>Section 4.2R: Military Context Registry [NEW: v9.8A Military-Economic Nexus Meta-Safeguard]</w:t>
      </w:r>
    </w:p>
    <w:p>
      <w:pPr>
        <w:pStyle w:val="Normal"/>
      </w:pPr>
      <w:r>
        <w:rPr>
          <w:rFonts w:ascii="Calibri" w:hAnsi="Calibri" w:eastAsia="Microsoft YaHei" w:cs="Calibri"/>
          <w:color w:val="263238"/>
          <w:sz w:val="21"/>
          <w:szCs w:val="21"/>
        </w:rPr>
        <w:t>The Secretariat maintains a public Military Context Registry logging all certifications under Sections 1.5A, 2.12(d), 2.10A Military Nexus, and 2.12A. The Registry includes: date of certification, UN notification reference, CC vote margin, and date of resolution or renewal.</w:t>
      </w:r>
    </w:p>
    <w:p>
      <w:pPr>
        <w:pStyle w:val="Normal"/>
      </w:pPr>
      <w:r>
        <w:rPr>
          <w:rFonts w:ascii="Calibri" w:hAnsi="Calibri" w:eastAsia="Microsoft YaHei" w:cs="Calibri"/>
          <w:color w:val="263238"/>
          <w:sz w:val="21"/>
          <w:szCs w:val="21"/>
        </w:rPr>
        <w:t>Independent Review</w:t>
      </w:r>
    </w:p>
    <w:p>
      <w:pPr>
        <w:pStyle w:val="Normal"/>
      </w:pPr>
      <w:r>
        <w:rPr>
          <w:rFonts w:ascii="Calibri" w:hAnsi="Calibri" w:eastAsia="Microsoft YaHei" w:cs="Calibri"/>
          <w:color w:val="263238"/>
          <w:sz w:val="21"/>
          <w:szCs w:val="21"/>
        </w:rPr>
        <w:t>The Independent Review Commission assesses annually whether military-context activations have: (a) remained strictly economic in implementation; (b) respected humanitarian floors; (c) de-escalated appropriately upon military threat resolution. Findings published to Grand Review Convention.</w:t>
      </w:r>
    </w:p>
    <w:p>
      <w:pPr>
        <w:pStyle w:val="Normal"/>
      </w:pPr>
      <w:r>
        <w:rPr>
          <w:rFonts w:ascii="Calibri" w:hAnsi="Calibri" w:eastAsia="Microsoft YaHei" w:cs="Calibri"/>
          <w:color w:val="263238"/>
          <w:sz w:val="21"/>
          <w:szCs w:val="21"/>
        </w:rPr>
        <w:t>Purpose: Creates institutional memory and accountability for the military-economic nexus domain, critical for political palatability with members wary of mission creep.</w:t>
      </w:r>
    </w:p>
    <w:p>
      <w:pPr>
        <w:pStyle w:val="Heading2"/>
      </w:pPr>
      <w:r>
        <w:rPr>
          <w:rFonts w:ascii="Calibri" w:hAnsi="Calibri" w:eastAsia="Microsoft YaHei" w:cs="Calibri"/>
          <w:b/>
          <w:color w:val="263238"/>
          <w:sz w:val="25"/>
          <w:szCs w:val="25"/>
        </w:rPr>
        <w:t>Section 4.2S: Small-State Legal and Negotiation Support Unit [NEW: v9.8A Small-State Protection]</w:t>
      </w:r>
    </w:p>
    <w:p>
      <w:pPr>
        <w:pStyle w:val="Normal"/>
      </w:pPr>
      <w:r>
        <w:rPr>
          <w:rFonts w:ascii="Calibri" w:hAnsi="Calibri" w:eastAsia="Microsoft YaHei" w:cs="Calibri"/>
          <w:color w:val="263238"/>
          <w:sz w:val="21"/>
          <w:szCs w:val="21"/>
        </w:rPr>
        <w:t>The Secretariat establishes and maintain a Small-State Legal and Negotiation Support Unit, funded from the Peacetime Fund (Section 8.13), providing: WTO/IMF/FTA legal assistance for small-state Members facing coercion; negotiation back-up and technical advisory services during bilateral disputes; template legal filings and economic impact documentation. The Unit is staffed by at least 3 FTE trade lawyers and 2 FTE economists, available on 48-hour notice to any small-state Member that has reported or anticipates an AESI. Small-state Members are prohibited from needing their own deep trade-law capacity to benefit from IMESI protection.</w:t>
      </w:r>
    </w:p>
    <w:p>
      <w:pPr>
        <w:pStyle w:val="Heading2"/>
      </w:pPr>
      <w:r>
        <w:rPr>
          <w:rFonts w:ascii="Calibri" w:hAnsi="Calibri" w:eastAsia="Microsoft YaHei" w:cs="Calibri"/>
          <w:b/>
          <w:color w:val="263238"/>
          <w:sz w:val="25"/>
          <w:szCs w:val="25"/>
        </w:rPr>
        <w:t>Section 4.2T: IEWC Dissent Publication and Borderline Case Review [NEW: v9.8A Operational Accessibility]</w:t>
      </w:r>
    </w:p>
    <w:p>
      <w:pPr>
        <w:pStyle w:val="Normal"/>
      </w:pPr>
      <w:r>
        <w:rPr>
          <w:rFonts w:ascii="Calibri" w:hAnsi="Calibri" w:eastAsia="Microsoft YaHei" w:cs="Calibri"/>
          <w:color w:val="263238"/>
          <w:sz w:val="21"/>
          <w:szCs w:val="21"/>
        </w:rPr>
        <w:t>Minority Dissent Publication</w:t>
      </w:r>
    </w:p>
    <w:p>
      <w:pPr>
        <w:pStyle w:val="Normal"/>
      </w:pPr>
      <w:r>
        <w:rPr>
          <w:rFonts w:ascii="Calibri" w:hAnsi="Calibri" w:eastAsia="Microsoft YaHei" w:cs="Calibri"/>
          <w:color w:val="263238"/>
          <w:sz w:val="21"/>
          <w:szCs w:val="21"/>
        </w:rPr>
        <w:t>When a coercion or GSD/SND certification passes with between 55-65% support, or with a recorded minority of 3 or more IEWC members dissenting, the dissenting members file a brief written dissent (maximum 5 pages). The Secretariat publishes: (a) a neutral summary of majority reasoning to all CC Members; (b) a neutral summary of minority reasoning to all CC Members; (c) a short anonymised public note describing the range of views without attributing positions to specific members or states.</w:t>
      </w:r>
    </w:p>
    <w:p>
      <w:pPr>
        <w:pStyle w:val="Normal"/>
      </w:pPr>
      <w:r>
        <w:rPr>
          <w:rFonts w:ascii="Calibri" w:hAnsi="Calibri" w:eastAsia="Microsoft YaHei" w:cs="Calibri"/>
          <w:color w:val="263238"/>
          <w:sz w:val="21"/>
          <w:szCs w:val="21"/>
        </w:rPr>
        <w:t>Borderline Case External Review</w:t>
      </w:r>
    </w:p>
    <w:p>
      <w:pPr>
        <w:pStyle w:val="Normal"/>
      </w:pPr>
      <w:r>
        <w:rPr>
          <w:rFonts w:ascii="Calibri" w:hAnsi="Calibri" w:eastAsia="Microsoft YaHei" w:cs="Calibri"/>
          <w:color w:val="263238"/>
          <w:sz w:val="21"/>
          <w:szCs w:val="21"/>
        </w:rPr>
        <w:t>A case is "borderline" if it passed by the minimum required margin OR if the evidentiary basis was assessed as "at threshold" by IEWC analysts. For borderline cases: (a) automatic referral to the Independent Economic Review Panel for a confirmatory or advisory opinion within 7 days; (b) certification stands and measures proceed unless the Panel issues a negative opinion AND a 70% CC supermajority votes to overturn (action is not paralysed pending review); (c) the Panel's opinion is published to all Members and summarised publicly. This signals that IEWC is not an opaque black box and that controversial calls get extra scrutiny.</w:t>
      </w:r>
    </w:p>
    <w:p>
      <w:pPr>
        <w:pStyle w:val="Heading2"/>
      </w:pPr>
      <w:r>
        <w:rPr>
          <w:rFonts w:ascii="Calibri" w:hAnsi="Calibri" w:eastAsia="Microsoft YaHei" w:cs="Calibri"/>
          <w:b/>
          <w:color w:val="263238"/>
          <w:sz w:val="25"/>
          <w:szCs w:val="25"/>
        </w:rPr>
        <w:t>Section 4.2U: Rapid Legitimacy Signal Mechanism (RLSM) [NEW: v9.8B]</w:t>
      </w:r>
    </w:p>
    <w:p>
      <w:pPr>
        <w:pStyle w:val="Normal"/>
      </w:pPr>
      <w:r>
        <w:rPr>
          <w:rFonts w:ascii="Calibri" w:hAnsi="Calibri" w:eastAsia="Microsoft YaHei" w:cs="Calibri"/>
          <w:color w:val="263238"/>
          <w:sz w:val="21"/>
          <w:szCs w:val="21"/>
        </w:rPr>
        <w:t>1. For any activation involving Phase 0 Automatic Stabilisation or Phase 1 stabilisation measures under this Instrument, a Rapid Legitimacy Signal Mechanism operates on a non-binding, advisory basis during the initial 72 hours following IEWC preliminary certification.</w:t>
      </w:r>
    </w:p>
    <w:p>
      <w:pPr>
        <w:pStyle w:val="Normal"/>
      </w:pPr>
      <w:r>
        <w:rPr>
          <w:rFonts w:ascii="Calibri" w:hAnsi="Calibri" w:eastAsia="Microsoft YaHei" w:cs="Calibri"/>
          <w:color w:val="263238"/>
          <w:sz w:val="21"/>
          <w:szCs w:val="21"/>
        </w:rPr>
        <w:t>2. The RLSM consists of a standing Panel of three independent persons of recognised international standing in trade, finance, and economic governance, selected for staggered four-year terms by a two-thirds weighted vote of the Coordination Committee, with due regard to geographical balance and representation of both advanced and developing economies. Sitting government ministers and serving officials of member states are not eligible.</w:t>
      </w:r>
    </w:p>
    <w:p>
      <w:pPr>
        <w:pStyle w:val="Normal"/>
      </w:pPr>
      <w:r>
        <w:rPr>
          <w:rFonts w:ascii="Calibri" w:hAnsi="Calibri" w:eastAsia="Microsoft YaHei" w:cs="Calibri"/>
          <w:color w:val="263238"/>
          <w:sz w:val="21"/>
          <w:szCs w:val="21"/>
        </w:rPr>
        <w:t>3. Within 72 hours of notification by the Secretariat that IEWC has issued preliminary certification in a case and that Phase 0 and/or Phase 1 measures have been initiated, the Panel issues a brief public Legitimacy Note addressed to Members and markets, indicating:</w:t>
      </w:r>
    </w:p>
    <w:p>
      <w:pPr>
        <w:pStyle w:val="Normal"/>
      </w:pPr>
      <w:r>
        <w:rPr>
          <w:rFonts w:ascii="Calibri" w:hAnsi="Calibri" w:eastAsia="Microsoft YaHei" w:cs="Calibri"/>
          <w:color w:val="263238"/>
          <w:sz w:val="21"/>
          <w:szCs w:val="21"/>
        </w:rPr>
        <w:t>(a) whether, on the basis of the information provided, the activation appears consistent, borderline, or inconsistent with the evidentiary standards and definitional thresholds of this Instrument;</w:t>
      </w:r>
    </w:p>
    <w:p>
      <w:pPr>
        <w:pStyle w:val="Normal"/>
      </w:pPr>
      <w:r>
        <w:rPr>
          <w:rFonts w:ascii="Calibri" w:hAnsi="Calibri" w:eastAsia="Microsoft YaHei" w:cs="Calibri"/>
          <w:color w:val="263238"/>
          <w:sz w:val="21"/>
          <w:szCs w:val="21"/>
        </w:rPr>
        <w:t>(b) whether the Phase 0 and Phase 1 measures as described appear proportionate in scope and intensity to the harm identified; and</w:t>
      </w:r>
    </w:p>
    <w:p>
      <w:pPr>
        <w:pStyle w:val="Normal"/>
      </w:pPr>
      <w:r>
        <w:rPr>
          <w:rFonts w:ascii="Calibri" w:hAnsi="Calibri" w:eastAsia="Microsoft YaHei" w:cs="Calibri"/>
          <w:color w:val="263238"/>
          <w:sz w:val="21"/>
          <w:szCs w:val="21"/>
        </w:rPr>
        <w:t>(c) any immediate concerns regarding overreach or systemic financial stability risk that warrant closer review by the IEWC or Coordination Committee.</w:t>
      </w:r>
    </w:p>
    <w:p>
      <w:pPr>
        <w:pStyle w:val="Normal"/>
      </w:pPr>
      <w:r>
        <w:rPr>
          <w:rFonts w:ascii="Calibri" w:hAnsi="Calibri" w:eastAsia="Microsoft YaHei" w:cs="Calibri"/>
          <w:color w:val="263238"/>
          <w:sz w:val="21"/>
          <w:szCs w:val="21"/>
        </w:rPr>
        <w:t>4. The Legitimacy Note is strictly advisory and is prohibited from ining any way delay, suspend, or condition the initiation or continuation of Phase 0 or Phase 1 measures, which proceed in accordance with the timelines and procedures set out elsewhere in this Instrument.</w:t>
      </w:r>
    </w:p>
    <w:p>
      <w:pPr>
        <w:pStyle w:val="Normal"/>
      </w:pPr>
      <w:r>
        <w:rPr>
          <w:rFonts w:ascii="Calibri" w:hAnsi="Calibri" w:eastAsia="Microsoft YaHei" w:cs="Calibri"/>
          <w:color w:val="263238"/>
          <w:sz w:val="21"/>
          <w:szCs w:val="21"/>
        </w:rPr>
        <w:t>5. The Secretariat provides the Panel, on a confidential basis, with the IEWC preliminary certification, the summary evidentiary record, and the authorised Phase 0 and Phase 1 response package, together with any financial stability assessments available at the time. The Panel is prohibited from conducting its own investigation or evidentiary hearings; its role is limited to rapid external signalling on the basis of existing IMESI documentation.</w:t>
      </w:r>
    </w:p>
    <w:p>
      <w:pPr>
        <w:pStyle w:val="Normal"/>
      </w:pPr>
      <w:r>
        <w:rPr>
          <w:rFonts w:ascii="Calibri" w:hAnsi="Calibri" w:eastAsia="Microsoft YaHei" w:cs="Calibri"/>
          <w:color w:val="263238"/>
          <w:sz w:val="21"/>
          <w:szCs w:val="21"/>
        </w:rPr>
        <w:t>6. The Legitimacy Note is published automatically on the public Dashboard maintained by the Secretariat and circulated to relevant international institutions concerned with trade and financial stability. Where the Panel issues a borderline or inconsistent assessment, the Coordination Committee places the case on the agenda of its next scheduled meeting for review, without prejudice to the continuation of authorised measures in the interim.</w:t>
      </w:r>
    </w:p>
    <w:p>
      <w:pPr>
        <w:pStyle w:val="Normal"/>
      </w:pPr>
      <w:r>
        <w:rPr>
          <w:rFonts w:ascii="Calibri" w:hAnsi="Calibri" w:eastAsia="Microsoft YaHei" w:cs="Calibri"/>
          <w:color w:val="263238"/>
          <w:sz w:val="21"/>
          <w:szCs w:val="21"/>
        </w:rPr>
        <w:t>7. Members refrain from treating the Legitimacy Note as a judicial determination or as creating any new legal rights or obligations under this or any other instrument. Its sole purpose is to enhance transparency, provide an early external confidence signal to markets and non-members, and reinforce adherence to the evidentiary and proportionality standards already contained in this Instrument.</w:t>
      </w:r>
    </w:p>
    <w:p>
      <w:pPr>
        <w:pStyle w:val="Heading3"/>
      </w:pPr>
      <w:r>
        <w:rPr>
          <w:rFonts w:ascii="Calibri" w:hAnsi="Calibri" w:eastAsia="Microsoft YaHei" w:cs="Calibri"/>
          <w:b/>
          <w:color w:val="546E7A"/>
          <w:sz w:val="22"/>
          <w:szCs w:val="22"/>
        </w:rPr>
        <w:t>Section 4.2U (Addendum): Market Confidence Rider [NEW: v12.1]</w:t>
      </w:r>
    </w:p>
    <w:p>
      <w:pPr>
        <w:pStyle w:val="Normal"/>
      </w:pPr>
      <w:r>
        <w:rPr>
          <w:rFonts w:ascii="Calibri" w:hAnsi="Calibri" w:eastAsia="Microsoft YaHei" w:cs="Calibri"/>
          <w:color w:val="263238"/>
          <w:sz w:val="21"/>
          <w:szCs w:val="21"/>
        </w:rPr>
        <w:t>The RLSM Panel includes in each assessment a specific, separate finding: whether the activation risks amplifying the coercer's desired market chaos or feeding its domestic political theatre. Where the Panel finds such a risk, it recommends a Strategic Communication Delay, under which the coalition implements measures quietly before public announcement. Any delay remains bounded by the reporting obligations of Section 4.2V and does not exceed 14 days without a further Panel finding.</w:t>
      </w:r>
    </w:p>
    <w:p>
      <w:pPr>
        <w:pStyle w:val="Heading2"/>
      </w:pPr>
      <w:r>
        <w:rPr>
          <w:rFonts w:ascii="Calibri" w:hAnsi="Calibri" w:eastAsia="Microsoft YaHei" w:cs="Calibri"/>
          <w:b/>
          <w:color w:val="263238"/>
          <w:sz w:val="25"/>
          <w:szCs w:val="25"/>
        </w:rPr>
        <w:t>Section 4.2V: IEWC Determination Transparency [NEW: v10.0]</w:t>
      </w:r>
    </w:p>
    <w:p>
      <w:pPr>
        <w:pStyle w:val="Heading3"/>
      </w:pPr>
      <w:r>
        <w:rPr>
          <w:rFonts w:ascii="Calibri" w:hAnsi="Calibri" w:eastAsia="Microsoft YaHei" w:cs="Calibri"/>
          <w:b/>
          <w:color w:val="546E7A"/>
          <w:sz w:val="22"/>
          <w:szCs w:val="22"/>
        </w:rPr>
        <w:t>Section 4.2V (Addendum): Non-Discrimination Certification [NEW: v12.0]</w:t>
      </w:r>
    </w:p>
    <w:p>
      <w:pPr>
        <w:pStyle w:val="Normal"/>
      </w:pPr>
      <w:r>
        <w:rPr>
          <w:rFonts w:ascii="Calibri" w:hAnsi="Calibri" w:eastAsia="Microsoft YaHei" w:cs="Calibri"/>
          <w:color w:val="263238"/>
          <w:sz w:val="21"/>
          <w:szCs w:val="21"/>
        </w:rPr>
        <w:t>IEWC determinations include a Non-Discrimination Certification confirming that the measures respond to documented coercion and do not rest on the identity, geopolitical alignment, or membership status of the coercing state, except insofar as the nature of the coercion dictates differentiation.</w:t>
      </w:r>
    </w:p>
    <w:p>
      <w:pPr>
        <w:pStyle w:val="Normal"/>
      </w:pPr>
      <w:r>
        <w:rPr>
          <w:rFonts w:ascii="Calibri" w:hAnsi="Calibri" w:eastAsia="Microsoft YaHei" w:cs="Calibri"/>
          <w:color w:val="263238"/>
          <w:sz w:val="21"/>
          <w:szCs w:val="21"/>
        </w:rPr>
        <w:t>IEWC determinations include a short methodological summary describing the main evidentiary bases, the use of any applicable thresholds or bands, and key proportionality considerations. Where applicable, determinations note the existence of dissenting views in anonymised form. Nothing in this provision requires disclosure of sensitive sources or methods, nor any information that would compromise national security, commercial confidentiality, or ongoing investigations.</w:t>
      </w:r>
    </w:p>
    <w:p>
      <w:pPr>
        <w:pStyle w:val="Heading3"/>
      </w:pPr>
      <w:r>
        <w:t>Section 4.2V (Addendum): Non-Discrimination Certification Content [NEW: v15.0]</w:t>
      </w:r>
    </w:p>
    <w:p>
      <w:r>
        <w:t>(d) The Non-Discrimination Certification required under this Section states, with specificity: (i) that the certified coercion is objectively identifiable and documented under Section 2.15; (ii) that the response measures are proportionate to the certified coercion and designed to target only the coercing state and its instrumentalities; (iii) that the response measures do not discriminate against any non-coercing state or its trade, investment, or financial flows; and (iv) that the response measures constitute the least trade-restrictive means reasonably available to achieve the stabilisation objective.</w:t>
      </w:r>
    </w:p>
    <w:p>
      <w:r>
        <w:t>(e) The Certification operates as a legal document, admissible in any WTO or other international proceeding, and carries deference as the considered determination of the Member states acting collectively.</w:t>
      </w:r>
    </w:p>
    <w:p>
      <w:r>
        <w:t>Rationale: This creates a formal, legally grounded record that IMESI measures are non-discriminatory, directly rebutting the most-favoured-nation argument at its source.</w:t>
      </w:r>
    </w:p>
    <w:p>
      <w:pPr>
        <w:pStyle w:val="Heading2"/>
      </w:pPr>
      <w:r>
        <w:rPr>
          <w:rFonts w:ascii="Calibri" w:hAnsi="Calibri" w:eastAsia="Microsoft YaHei" w:cs="Calibri"/>
          <w:b/>
          <w:color w:val="263238"/>
          <w:sz w:val="25"/>
          <w:szCs w:val="25"/>
        </w:rPr>
        <w:t>Section 4.2W: Political Theater Immunity Protocol [NEW: v12.1]</w:t>
      </w:r>
    </w:p>
    <w:p>
      <w:pPr>
        <w:pStyle w:val="Normal"/>
      </w:pPr>
      <w:r>
        <w:rPr>
          <w:rFonts w:ascii="Calibri" w:hAnsi="Calibri" w:eastAsia="Microsoft YaHei" w:cs="Calibri"/>
          <w:color w:val="263238"/>
          <w:sz w:val="21"/>
          <w:szCs w:val="21"/>
        </w:rPr>
        <w:t>Where the IEWC certifies that a coercer's actions stand demonstrably disproportionate to any stated policy goal, or that the coercer frames its actions explicitly for domestic political consumption, all standard Phase 1 and Phase 2 timelines double. This deceleration denies the coercer the reactive escalation dynamics that domestic theatre requires and prevents the coalition from entering an escalation trap. The Coordination Committee reverts to standard timelines by 60% weighted vote where the theatrical character subsides.</w:t>
      </w:r>
    </w:p>
    <w:p>
      <w:pPr>
        <w:pStyle w:val="Heading2"/>
      </w:pPr>
      <w:r>
        <w:rPr>
          <w:rFonts w:ascii="Calibri" w:hAnsi="Calibri" w:eastAsia="Microsoft YaHei" w:cs="Calibri"/>
          <w:b/>
          <w:color w:val="263238"/>
          <w:sz w:val="25"/>
          <w:szCs w:val="25"/>
        </w:rPr>
        <w:t>Section 4.2X: Adversarial Policy Signal Decoder [NEW: v12.1]</w:t>
      </w:r>
    </w:p>
    <w:p>
      <w:pPr>
        <w:pStyle w:val="Normal"/>
      </w:pPr>
      <w:r>
        <w:rPr>
          <w:rFonts w:ascii="Calibri" w:hAnsi="Calibri" w:eastAsia="Microsoft YaHei" w:cs="Calibri"/>
          <w:color w:val="263238"/>
          <w:sz w:val="21"/>
          <w:szCs w:val="21"/>
        </w:rPr>
        <w:t>The IEWC maintains and publishes a Policy Noise Index (PNI) for each certified coercer, measuring the frequency and magnitude of contradictory official statements on economic measures. Where the PNI exceeds the critical threshold set under Annex 24, the IEWC certifies a High Political Volatility actor, and the Coordination Committee gains authorisation to implement Track A stabilisation measures of a financial character, including liquidity support and swap-line activation, without awaiting formal AESI certification, treating sustained volatility itself as the harm. PNI findings update weekly during active cases and remain advisory in character.</w:t>
      </w:r>
    </w:p>
    <w:p>
      <w:pPr>
        <w:pStyle w:val="Normal"/>
      </w:pPr>
      <w:r>
        <w:rPr>
          <w:rFonts w:ascii="Calibri" w:hAnsi="Calibri" w:eastAsia="Microsoft YaHei" w:cs="Calibri"/>
          <w:color w:val="263238"/>
          <w:sz w:val="21"/>
          <w:szCs w:val="21"/>
        </w:rPr>
        <w:t>The Policy Noise Index is calculated from: (a) the frequency of contradictory statements on economic measures; (b) the magnitude of divergence from established policy positions; (c) temporal proximity to active coercion cases; (d) the pattern of retreat-and-return behaviour recorded in the Section 5.3C Compliance History Score; and (e) the demonstrable market impact of statements. A PNI score above the critical threshold triggers enhanced monitoring by the Market Signalling and Volatility Monitoring Unit (Section 4.2AD), automatic eligibility for Track A stabilisation for affected Members, and a mandatory Coordination Committee briefing within 48 hours.</w:t>
      </w:r>
    </w:p>
    <w:p>
      <w:pPr>
        <w:pStyle w:val="Heading2"/>
      </w:pPr>
      <w:r>
        <w:rPr>
          <w:rFonts w:ascii="Calibri" w:hAnsi="Calibri" w:eastAsia="Microsoft YaHei" w:cs="Calibri"/>
          <w:b/>
          <w:color w:val="263238"/>
          <w:sz w:val="25"/>
          <w:szCs w:val="25"/>
        </w:rPr>
        <w:t>Section 4.2Y: Coalition Narrative Integrity Cell [NEW: v12.1]</w:t>
      </w:r>
    </w:p>
    <w:p>
      <w:pPr>
        <w:pStyle w:val="Normal"/>
      </w:pPr>
      <w:r>
        <w:rPr>
          <w:rFonts w:ascii="Calibri" w:hAnsi="Calibri" w:eastAsia="Microsoft YaHei" w:cs="Calibri"/>
          <w:color w:val="263238"/>
          <w:sz w:val="21"/>
          <w:szCs w:val="21"/>
        </w:rPr>
        <w:t>The Secretariat establishes a standing Coalition Narrative Integrity Cell (CNIC) within the IEWC, staffed by analysts with expertise in media monitoring, digital forensics, and open-source intelligence. The CNIC's mandate limits strictly to: (a) detecting coordinated disinformation campaigns that demonstrably target IMESI institutions, Member governments, or the economic stability of Members in connection with an active or imminent AESI; (b) assessing the probable origin, methods, and intended effects of such campaigns; and (c) issuing confidential advisory notes to the Coordination Committee and affected Members. The CNIC is prohibited from engaging in offensive counter-propaganda, content creation, or political messaging; from requesting or directing any platform, media outlet, or Member to remove, alter, or suppress content; and from conducting surveillance of domestic political discourse, independent journalism, or lawful civil society advocacy within any Member. All CNIC findings classify as Restricted (Section 4.2K) and follow the data governance, retention, and whistleblower protections of other IEWC analytical products.</w:t>
      </w:r>
    </w:p>
    <w:p>
      <w:pPr>
        <w:pStyle w:val="Heading2"/>
      </w:pPr>
      <w:r>
        <w:rPr>
          <w:rFonts w:ascii="Calibri" w:hAnsi="Calibri" w:eastAsia="Microsoft YaHei" w:cs="Calibri"/>
          <w:b/>
          <w:color w:val="263238"/>
          <w:sz w:val="25"/>
          <w:szCs w:val="25"/>
        </w:rPr>
        <w:t>Section 4.2Z: Rapid Media Integrity Response Protocol [NEW: v12.1]</w:t>
      </w:r>
    </w:p>
    <w:p>
      <w:pPr>
        <w:pStyle w:val="Normal"/>
      </w:pPr>
      <w:r>
        <w:rPr>
          <w:rFonts w:ascii="Calibri" w:hAnsi="Calibri" w:eastAsia="Microsoft YaHei" w:cs="Calibri"/>
          <w:color w:val="263238"/>
          <w:sz w:val="21"/>
          <w:szCs w:val="21"/>
        </w:rPr>
        <w:t>Where the CNIC certifies that a disinformation campaign has caused, or credibly threatens to cause, material market disruption, defined as a price deviation exceeding 5% or a yield spread movement exceeding 100 basis points in an affected Member within 72 hours, the Secretariat activates this Protocol. Upon activation the Secretariat publishes, within 12 hours, a factual Media Integrity Note on the Institutional Readiness Dashboard, identifying the specific false or misleading claims and providing point-by-point correction based on verifiable evidence. The Note remains strictly factual, avoids adversarial or inflammatory language, refers only to publicly available data and IEWC-certified findings, and attributes no intent or origin absent a formal attribution determination under Section 2.9. The Protocol authorises no request for content removal, de-platforming, or restriction of media outlets, and no financial, trade, or regulatory measure against media organisations, platforms, or their home states solely on the basis of disseminating disinformation. A Media Integrity Note carries no legal or procedural effect on any ongoing AESI or stabilisation measure; its sole purpose is market stability and factual integrity.</w:t>
      </w:r>
    </w:p>
    <w:p>
      <w:pPr>
        <w:pStyle w:val="Heading2"/>
      </w:pPr>
      <w:r>
        <w:rPr>
          <w:rFonts w:ascii="Calibri" w:hAnsi="Calibri" w:eastAsia="Microsoft YaHei" w:cs="Calibri"/>
          <w:b/>
          <w:color w:val="263238"/>
          <w:sz w:val="25"/>
          <w:szCs w:val="25"/>
        </w:rPr>
        <w:t>Section 4.2AA: Misinformation-Induced Harm Compensation Eligibility [NEW: v12.1]</w:t>
      </w:r>
    </w:p>
    <w:p>
      <w:pPr>
        <w:pStyle w:val="Normal"/>
      </w:pPr>
      <w:r>
        <w:rPr>
          <w:rFonts w:ascii="Calibri" w:hAnsi="Calibri" w:eastAsia="Microsoft YaHei" w:cs="Calibri"/>
          <w:color w:val="263238"/>
          <w:sz w:val="21"/>
          <w:szCs w:val="21"/>
        </w:rPr>
        <w:t>Where the IEWC certifies that a coordinated disinformation campaign has caused quantifiable economic harm to a Member, including capital flight, sovereign yield spread widening, or supply chain disruption, that Member gains eligibility for compensation from the Anticipatory Damage Facility (Section 8.18) on the same terms as harm caused by trade measures. To establish eligibility the Member demonstrates: (a) the existence of the campaign, as certified by the CNIC; (b) temporal correlation between the campaign and the harm; (c) the absence of other credible explanations; and (d) the use of best efforts to counter the disinformation through domestic communications channels. Compensation caps at 0.25% of the affected Member's GDP per event and disburses under standard accelerated ADF procedures. Eligibility requires no identification or attribution of the campaign to any specific state or actor; the Facility treats the harm as independently compensable.</w:t>
      </w:r>
    </w:p>
    <w:p>
      <w:pPr>
        <w:pStyle w:val="Heading3"/>
      </w:pPr>
      <w:r>
        <w:rPr>
          <w:rFonts w:ascii="Calibri" w:hAnsi="Calibri" w:eastAsia="Microsoft YaHei" w:cs="Calibri"/>
          <w:b/>
          <w:color w:val="546E7A"/>
          <w:sz w:val="22"/>
          <w:szCs w:val="22"/>
        </w:rPr>
        <w:t>Section 4.2AA (Addendum): Regulator-Weaponisation Protocol [NEW: v13.0]</w:t>
      </w:r>
    </w:p>
    <w:p>
      <w:pPr>
        <w:pStyle w:val="Normal"/>
      </w:pPr>
      <w:r>
        <w:rPr>
          <w:rFonts w:ascii="Calibri" w:hAnsi="Calibri" w:eastAsia="Microsoft YaHei" w:cs="Calibri"/>
          <w:color w:val="263238"/>
          <w:sz w:val="21"/>
          <w:szCs w:val="21"/>
        </w:rPr>
        <w:t>The Coalition Narrative Integrity Cell tracks regulatory actions by coercers, including investigations, sanctions, and licence denials, that correlate temporally with known disinformation campaigns. Where the IEWC certifies that a regulatory action serves as a pretextual trigger for a disinformation campaign, the action receives treatment as a Regulatory Weaponisation event under Section 2.1G, and the affected Member gains automatic eligibility for the Anticipatory Damage Facility (Section 8.18) to counter the resulting market panic regardless of the regulatory action's final outcome. The Pre-Authorised Disinformation Counter-Narrative Library (Section 4.2AC) includes pre-drafted responses to regulatory-driven disinformation patterns.</w:t>
      </w:r>
    </w:p>
    <w:p>
      <w:pPr>
        <w:pStyle w:val="Heading2"/>
      </w:pPr>
      <w:r>
        <w:rPr>
          <w:rFonts w:ascii="Calibri" w:hAnsi="Calibri" w:eastAsia="Microsoft YaHei" w:cs="Calibri"/>
          <w:b/>
          <w:color w:val="263238"/>
          <w:sz w:val="25"/>
          <w:szCs w:val="25"/>
        </w:rPr>
        <w:t>Section 4.2AB: Domestic Political Cost Assessment [NEW: v12.1]</w:t>
      </w:r>
    </w:p>
    <w:p>
      <w:pPr>
        <w:pStyle w:val="Normal"/>
      </w:pPr>
      <w:r>
        <w:rPr>
          <w:rFonts w:ascii="Calibri" w:hAnsi="Calibri" w:eastAsia="Microsoft YaHei" w:cs="Calibri"/>
          <w:color w:val="263238"/>
          <w:sz w:val="21"/>
          <w:szCs w:val="21"/>
        </w:rPr>
        <w:t>The IEWC produces, for each certified coercer classified as a systemic economy, a weekly Domestic Political Cost Assessment (DPCA) for the duration of any active case. The DPCA assesses: (a) the electoral and district-level economic impact of stabilisation measures on the coercer's governing coalition; (b) legislative support and opposition to the coercive measures, including identifiable voting blocs and their economic interests; (c) the influence of business community and industry association advocacy on the coercer's decision-making; and (d) the media narrative surrounding the case. The DPCA classifies as Restricted (Section 4.2K), informs stabilisation measure design under Section 10.1, and follows a methodology that remains objective, transparent within the coalition, and subject to independent IAC review upon any Member's request.</w:t>
      </w:r>
    </w:p>
    <w:p>
      <w:pPr>
        <w:pStyle w:val="Heading2"/>
      </w:pPr>
      <w:r>
        <w:rPr>
          <w:rFonts w:ascii="Calibri" w:hAnsi="Calibri" w:eastAsia="Microsoft YaHei" w:cs="Calibri"/>
          <w:b/>
          <w:color w:val="263238"/>
          <w:sz w:val="25"/>
          <w:szCs w:val="25"/>
        </w:rPr>
        <w:t>Section 4.2AC: Pre-Authorised Disinformation Counter-Narrative Library [NEW: v12.1]</w:t>
      </w:r>
    </w:p>
    <w:p>
      <w:pPr>
        <w:pStyle w:val="Normal"/>
      </w:pPr>
      <w:r>
        <w:rPr>
          <w:rFonts w:ascii="Calibri" w:hAnsi="Calibri" w:eastAsia="Microsoft YaHei" w:cs="Calibri"/>
          <w:color w:val="263238"/>
          <w:sz w:val="21"/>
          <w:szCs w:val="21"/>
        </w:rPr>
        <w:t>The Secretariat maintains a Pre-Authorised Disinformation Counter-Narrative Library of pre-drafted, fact-based public statements, media releases, and factual corrections for identified coercion tactics and disinformation patterns, including model responses for each scenario in the Pre-Authorised Scenario Library (Annex 4) and pre-drafted factual corrections for the twenty most common disinformation frames. Upon CNIC detection of a campaign, the Secretariat activates relevant materials, subject to Director-General review within a 4-hour window, compliance with the Narrative Neutrality Rule (Annex 16), and factual accuracy based on IEWC-certified data. The Secretariat maintains the Library in English, French, Spanish, Arabic, Mandarin, and Portuguese, updates it quarterly, and reviews it annually with the CNIC and the Annex 16 oversight body.</w:t>
      </w:r>
    </w:p>
    <w:p>
      <w:pPr>
        <w:pStyle w:val="Heading2"/>
      </w:pPr>
      <w:r>
        <w:rPr>
          <w:rFonts w:ascii="Calibri" w:hAnsi="Calibri" w:eastAsia="Microsoft YaHei" w:cs="Calibri"/>
          <w:b/>
          <w:color w:val="263238"/>
          <w:sz w:val="25"/>
          <w:szCs w:val="25"/>
        </w:rPr>
        <w:t>Section 4.2AD: Market Signalling and Volatility Monitoring Unit [NEW: v12.1]</w:t>
      </w:r>
    </w:p>
    <w:p>
      <w:pPr>
        <w:pStyle w:val="Normal"/>
      </w:pPr>
      <w:r>
        <w:rPr>
          <w:rFonts w:ascii="Calibri" w:hAnsi="Calibri" w:eastAsia="Microsoft YaHei" w:cs="Calibri"/>
          <w:color w:val="263238"/>
          <w:sz w:val="21"/>
          <w:szCs w:val="21"/>
        </w:rPr>
        <w:t>The IEWC maintains a Market Signalling and Volatility Monitoring Unit tracking: (a) public statements by state officials that cause demonstrable market volatility; (b) patterns of threats that precede or accompany economic measures; and (c) market responses to official communications, including currency movements, sovereign yield changes, and equity market reactions. Where the IEWC certifies market-disruptive signalling, the affected Member gains eligibility for immediate Track A stabilisation under Section 5.0F and the Anticipatory Damage Facility activates at its reduced threshold. The Unit produces weekly market-signalling assessments during active cases, available to all Members; its findings remain advisory and create no obligations.</w:t>
      </w:r>
    </w:p>
    <w:p>
      <w:pPr>
        <w:pStyle w:val="Heading2"/>
      </w:pPr>
      <w:r>
        <w:t>Section 4.2AE: Departure Communications Protocol [NEW: v15.0]</w:t>
      </w:r>
    </w:p>
    <w:p>
      <w:r>
        <w:t>(a) The Secretariat maintains a standing Departure Communications Playbook, classified as Restricted (Section 4.2K), containing pre-drafted: (i) public statements for three departure scenarios: coerced departure (where coercer pressure induces withdrawal), principled departure (where genuine constitutional or policy disagreement grounds withdrawal), and procedural departure (where parliamentary rejection or electoral mandate drives withdrawal); (ii) private communications to watching Members addressing their specific vulnerabilities; (iii) narrative frames that distinguish between the exiting government's decision and IMESI's continuing value; and (iv) market-stability communications ensuring that no departure is interpreted as a systemic failure.</w:t>
      </w:r>
    </w:p>
    <w:p>
      <w:r>
        <w:t>(b) Upon any Member's notification of withdrawal under Section 3.7B, the Secretariat: (i) activates the Departure Communications Playbook within 6 hours; (ii) convenes an emergency CC session within 24 hours to approve the public narrative framework; and (iii) issues a public statement within 48 hours that: (A) acknowledges the Member's sovereign right to withdraw; (B) affirms the continued strength and cohesion of the remaining coalition; (C) reaffirms that IMESI obligations apply through the notice period; and (D) assures markets of institutional continuity.</w:t>
      </w:r>
    </w:p>
    <w:p>
      <w:r>
        <w:t>(c) No public statement under this Section: (i) characterises the departure as a betrayal; (ii) speculates on the exiting Member's motivations; or (iii) encourages or discourages other Members from considering withdrawal.</w:t>
      </w:r>
    </w:p>
    <w:p>
      <w:r>
        <w:t>(d) Where the departure involves a systemic economy, the public statement includes: (i) a summary of the institutional swap procedures under Section 4.6F; (ii) an affirmation that the coalition's aggregate GDP remains above 25% of global GDP; and (iii) a confirmation that all Fund commitments remain fully capitalised.</w:t>
      </w:r>
    </w:p>
    <w:p>
      <w:r>
        <w:t>Rationale: This prevents the narrative vacuum that a coercer exploits. The coalition controls the story of a departure, rather than the coercer. Markets see continuity and resilience, not collapse.</w:t>
      </w:r>
    </w:p>
    <w:p>
      <w:pPr>
        <w:pStyle w:val="Heading2"/>
      </w:pPr>
      <w:r>
        <w:t>Section 4.2AF: Member Political Pressure Vulnerability Assessment [NEW: v15.0]</w:t>
      </w:r>
    </w:p>
    <w:p>
      <w:r>
        <w:t>(a) The IEWC maintains, on a standing and confidential basis, a Political Pressure Vulnerability Assessment for each Member, updated quarterly and classified as Restricted (Section 4.2K).</w:t>
      </w:r>
    </w:p>
    <w:p>
      <w:r>
        <w:t>(b) The Assessment includes: (i) electoral cycle calendar and proximity of upcoming elections; (ii) parliamentary composition and the strength of IMESI support across political parties; (iii) bilateral trade concentration with potential coercers, with specific identification of sectors vulnerable to pressure; (iv) fiscal vulnerability metrics, including debt-to-GDP, currency reserves, and current account balance; (v) historical patterns of bilateral exemption offers and the Member's responses; (vi) civil society and media sentiment regarding IMESI participation; and (vii) any known political pressure campaigns targeting the Member's participation.</w:t>
      </w:r>
    </w:p>
    <w:p>
      <w:r>
        <w:t>(c) The Assessment is: (i) provided to the Member concerned in full; (ii) provided to the Coordination Committee in aggregate form; and (iii) used to inform the pre-positioning of solidarity support under Sections 6.12A-6.12C.</w:t>
      </w:r>
    </w:p>
    <w:p>
      <w:r>
        <w:t>(d) No Assessment finding is made public without the affected Member's consent, except in aggregate form that does not identify individual Members.</w:t>
      </w:r>
    </w:p>
    <w:p>
      <w:r>
        <w:t>Rationale: This turns vulnerability identification from a reactive exercise, after coercion starts, into a proactive one, before coercion starts. The coalition pre-positions support for the members most likely to face pressure.</w:t>
      </w:r>
    </w:p>
    <w:p>
      <w:pPr>
        <w:pStyle w:val="Heading2"/>
      </w:pPr>
      <w:r>
        <w:t>Section 4.2AG: Standing Expert Rotation and Independence Protocol [NEW: v15.0]</w:t>
      </w:r>
    </w:p>
    <w:p>
      <w:r>
        <w:t>(a) All IEWC analysts, IAC members, and members of standing expert panels (including the Rapid Evidence Panel, RLSM, SECP, and any other expert body established under this Instrument) serve under the following rotation and independence rules.</w:t>
      </w:r>
    </w:p>
    <w:p>
      <w:r>
        <w:t>(b) Rotation Rules: (i) IEWC analysts: 24-month maximum tenure on any single analytical team, with mandatory rotation to a different team (trade, finance, digital, systemic-disruption) for a minimum of 12 months before returning; (ii) IAC members: 4-year terms, renewable once, with a 2-year cooling-off period before any further appointment; (iii) standing expert panel members: 3-year terms, renewable once, with a 2-year cooling-off period; and (iv) private-sector advisors: 18-month maximum tenure on any single advisory body, with a 12-month cooling-off period before rejoining any IMESI advisory body.</w:t>
      </w:r>
    </w:p>
    <w:p>
      <w:r>
        <w:t>(c) Independence Rules: (i) no IEWC analyst or standing expert panel member has been employed by, or has received significant income from, any Member government or the government of any state certified as a coercer within the preceding 5 years; (ii) no IAC member has been employed by, or has received significant income from, any Member government or the government of any state certified as a coercer within the preceding 10 years; and (iii) all independent experts complete an annual conflict-of-interest declaration, subject to audit.</w:t>
      </w:r>
    </w:p>
    <w:p>
      <w:r>
        <w:t>(d) The Secretariat maintains a public registry of all IEWC analysts, IAC members, and standing expert panel members, including their tenure, rotation status, and conflict-of-interest declarations, redacted for personal information.</w:t>
      </w:r>
    </w:p>
    <w:p>
      <w:r>
        <w:t>Rationale: This prevents any individual or group from becoming indispensable, captured, or fatigued. It ensures fresh perspectives and reduces the risk that a captured or compromised individual leaks or manipulates the process.</w:t>
      </w:r>
    </w:p>
    <w:p>
      <w:pPr>
        <w:pStyle w:val="Heading2"/>
      </w:pPr>
      <w:r>
        <w:t>Section 4.2AH: Military-Economic Intelligence Fusion Unit [NEW: v15.0]</w:t>
      </w:r>
    </w:p>
    <w:p>
      <w:r>
        <w:t>(a) The IEWC establishes a permanent Military-Economic Intelligence Fusion Unit (MEIFU), staffed by: (i) 5 analysts with military intelligence backgrounds; (ii) 5 analysts with economic security backgrounds; (iii) 3 analysts with hybrid warfare expertise; and (iv) 2 analysts with open-source intelligence (OSINT) expertise.</w:t>
      </w:r>
    </w:p>
    <w:p>
      <w:r>
        <w:t>(b) The MEIFU: (i) monitors military deployments, exercises, and mobilisations that could affect Member economic security; (ii) tracks hybrid warfare campaigns (disinformation, cyber, proxy operations) that accompany economic coercion; (iii) assesses the military-economic nexus in all active cases; (iv) produces weekly Military-Economic Threat Assessments; and (v) provides real-time intelligence to affected Members.</w:t>
      </w:r>
    </w:p>
    <w:p>
      <w:r>
        <w:t>(c) The MEIFU operates under: (i) the same classification and confidentiality rules as the IEWC (Section 4.2K); (ii) the same data governance and retention rules (Section 4.2G); and (iii) the same whistleblower protections (Section 4.7B).</w:t>
      </w:r>
    </w:p>
    <w:p>
      <w:r>
        <w:t>(d) The MEIFU coordinates with: (i) Member state defence and intelligence agencies on a voluntary basis; (ii) the Political-Military Liaison Channel (Section 9.7); and (iii) the Military Context Registry (Section 4.2R).</w:t>
      </w:r>
    </w:p>
    <w:p>
      <w:r>
        <w:t>(e) The MEIFU's findings are advisory only. They inform IEWC economic coercion certification and create no military obligations.</w:t>
      </w:r>
    </w:p>
    <w:p>
      <w:r>
        <w:t>Rationale: This ensures IMESI holds the intelligence capability to detect and assess military-economic coercion. Analysts understand the military context, so they certify coercion even when the economic signal runs weak.</w:t>
      </w:r>
    </w:p>
    <w:p>
      <w:pPr>
        <w:pStyle w:val="Heading2"/>
      </w:pPr>
      <w:r>
        <w:rPr>
          <w:rFonts w:ascii="Calibri" w:hAnsi="Calibri" w:eastAsia="Microsoft YaHei" w:cs="Calibri"/>
          <w:b/>
          <w:color w:val="263238"/>
          <w:sz w:val="25"/>
          <w:szCs w:val="25"/>
        </w:rPr>
        <w:t>Section 4.3: Five-Year Institutional Review Clause</w:t>
      </w:r>
    </w:p>
    <w:p>
      <w:pPr>
        <w:pStyle w:val="Heading3"/>
      </w:pPr>
      <w:r>
        <w:rPr>
          <w:rFonts w:ascii="Calibri" w:hAnsi="Calibri" w:eastAsia="Microsoft YaHei" w:cs="Calibri"/>
          <w:b/>
          <w:color w:val="546E7A"/>
          <w:sz w:val="22"/>
          <w:szCs w:val="22"/>
        </w:rPr>
        <w:t>Section 4.3 (Addendum): Member Grievance Procedure [NEW: v12.0]</w:t>
      </w:r>
    </w:p>
    <w:p>
      <w:pPr>
        <w:pStyle w:val="Normal"/>
      </w:pPr>
      <w:r>
        <w:rPr>
          <w:rFonts w:ascii="Calibri" w:hAnsi="Calibri" w:eastAsia="Microsoft YaHei" w:cs="Calibri"/>
          <w:color w:val="263238"/>
          <w:sz w:val="21"/>
          <w:szCs w:val="21"/>
        </w:rPr>
        <w:t>Any Member submits a formal grievance concerning the implementation or interpretation of this Instrument. The Secretariat responds within 30 days. Unresolved grievances route to the Internal Adjudication Chamber.</w:t>
      </w:r>
    </w:p>
    <w:p>
      <w:pPr>
        <w:pStyle w:val="Normal"/>
      </w:pPr>
      <w:r>
        <w:rPr>
          <w:rFonts w:ascii="Calibri" w:hAnsi="Calibri" w:eastAsia="Microsoft YaHei" w:cs="Calibri"/>
          <w:color w:val="263238"/>
          <w:sz w:val="21"/>
          <w:szCs w:val="21"/>
        </w:rPr>
        <w:t>Mandatory comprehensive review every five years. Continuation requires:</w:t>
      </w:r>
    </w:p>
    <w:p>
      <w:pPr>
        <w:pStyle w:val="Normal"/>
      </w:pPr>
      <w:r>
        <w:rPr>
          <w:rFonts w:ascii="Calibri" w:hAnsi="Calibri" w:eastAsia="Microsoft YaHei" w:cs="Calibri"/>
          <w:color w:val="263238"/>
          <w:sz w:val="21"/>
          <w:szCs w:val="21"/>
        </w:rPr>
        <w:t>(a) Domestic mandate renewal: Simple notification by each member that domestic mandate has been renewed through appropriate national procedure (b) Published performance assessment (v8.6): Standardised assessment addressing: coercion cases concluded, burden-sharing equity, anti-fragmentation enforcement, institutional readiness metrics, lessons learned, and recommendations for the next cycle Independent Review Commission (v9.5): An Independent Review Commission of external experts, drawn from international economics, law, security studies, and trade policy, is convened no later than Year 5 from entry into force to assess: (a) proportionality and effectiveness of IMESI operations and activated responses; (b) systemic risk implications for the global trading system; (c) institutional governance performance and Secretariat accountability; (d) burden-sharing equity and member satisfaction. The Commission reports to the Grand Review Convention with binding recommendations for institutional adjustment. Commission members are nominated by member states but serve in an independent personal capacity. External Expertise: The Independent Review Commission, where appropriate, invites experts from non-member states or international organisations to provide non-binding technical assessments in relation to an AESI, Systemic Impact Metric, or any other matter within the Commission's mandate. Such experts serve in a personal capacity, is prohibited from having access to classified IEWC intelligence, and is bound by</w:t>
      </w:r>
    </w:p>
    <w:p>
      <w:pPr>
        <w:pStyle w:val="Normal"/>
      </w:pPr>
      <w:r>
        <w:rPr>
          <w:rFonts w:ascii="Calibri" w:hAnsi="Calibri" w:eastAsia="Microsoft YaHei" w:cs="Calibri"/>
          <w:color w:val="263238"/>
          <w:sz w:val="21"/>
          <w:szCs w:val="21"/>
        </w:rPr>
        <w:t>confidentiality obligations equivalent to those of Commission members. Amendment pathways: technical (55%), substantive (70%), Core (80%) per Section 3.7A. Dissenting members continue under pre-amendment framework, negotiate carve-outs, downgrade tier, or exit without financial penalty.</w:t>
      </w:r>
    </w:p>
    <w:p>
      <w:pPr>
        <w:pStyle w:val="Heading2"/>
      </w:pPr>
      <w:r>
        <w:rPr>
          <w:rFonts w:ascii="Calibri" w:hAnsi="Calibri" w:eastAsia="Microsoft YaHei" w:cs="Calibri"/>
          <w:b/>
          <w:color w:val="263238"/>
          <w:sz w:val="25"/>
          <w:szCs w:val="25"/>
        </w:rPr>
        <w:t>Section 4.3A: Continuous Review Mechanism</w:t>
      </w:r>
    </w:p>
    <w:p>
      <w:pPr>
        <w:pStyle w:val="Normal"/>
      </w:pPr>
      <w:r>
        <w:rPr>
          <w:rFonts w:ascii="Calibri" w:hAnsi="Calibri" w:eastAsia="Microsoft YaHei" w:cs="Calibri"/>
          <w:color w:val="263238"/>
          <w:sz w:val="21"/>
          <w:szCs w:val="21"/>
        </w:rPr>
        <w:t>Annual Thematic Review: Each year, one domain subject to deep evaluation (e.g., Year 1: speed/credibility; Year 2: burden-sharing equity; Year 3: anti-fragmentation effectiveness; Year 4: multilateral alignment; Year 5: comprehensive institutional review). External Validation: Annual review conducted by independent panel of 5 experts (2 from member states, 3 from international institutions or academia). Published within 60 days. Emergency Reform: 30% of members petition for an extraordinary amendment conference; 55% vote to convene, 70% to adopt amendments.</w:t>
      </w:r>
    </w:p>
    <w:p>
      <w:pPr>
        <w:pStyle w:val="Heading2"/>
      </w:pPr>
      <w:r>
        <w:rPr>
          <w:rFonts w:ascii="Calibri" w:hAnsi="Calibri" w:eastAsia="Microsoft YaHei" w:cs="Calibri"/>
          <w:b/>
          <w:color w:val="263238"/>
          <w:sz w:val="25"/>
          <w:szCs w:val="25"/>
        </w:rPr>
        <w:t>Section 4.3C: Periodic Review of Automatic and Presumptive Triggers</w:t>
      </w:r>
    </w:p>
    <w:p>
      <w:pPr>
        <w:pStyle w:val="Normal"/>
      </w:pPr>
      <w:r>
        <w:rPr>
          <w:rFonts w:ascii="Calibri" w:hAnsi="Calibri" w:eastAsia="Microsoft YaHei" w:cs="Calibri"/>
          <w:color w:val="263238"/>
          <w:sz w:val="21"/>
          <w:szCs w:val="21"/>
        </w:rPr>
        <w:t>Scope: All automatic and presumptive triggers in Articles I and V. Within 5 years of entry into force, and every 6 years thereafter, the CC (55% vote) decides for each trigger whether to keep, modify, or retire it, based on: (a) instances of use; (b) human overrides; (c) documented unintended consequences; (d) evidence of coercer adaptation. If no affirmative decision is taken, the trigger lapses and are only re-created via normal amendment procedures.</w:t>
      </w:r>
    </w:p>
    <w:p>
      <w:pPr>
        <w:pStyle w:val="Heading2"/>
      </w:pPr>
      <w:r>
        <w:rPr>
          <w:rFonts w:ascii="Calibri" w:hAnsi="Calibri" w:eastAsia="Microsoft YaHei" w:cs="Calibri"/>
          <w:b/>
          <w:color w:val="263238"/>
          <w:sz w:val="25"/>
          <w:szCs w:val="25"/>
        </w:rPr>
        <w:t>Section 4.3B: Recursive Review Mandate (RRM)</w:t>
      </w:r>
    </w:p>
    <w:p>
      <w:pPr>
        <w:pStyle w:val="Normal"/>
      </w:pPr>
      <w:r>
        <w:rPr>
          <w:rFonts w:ascii="Calibri" w:hAnsi="Calibri" w:eastAsia="Microsoft YaHei" w:cs="Calibri"/>
          <w:color w:val="263238"/>
          <w:sz w:val="21"/>
          <w:szCs w:val="21"/>
        </w:rPr>
        <w:t>Automatic mandatory redesign when specified performance thresholds are breached. RRM operates alongside the five-year comprehensive review (Section 4.3), not as a replacement, it triggers institutional learning when design fails, not merely when a calendar date arrives. Trigger Condition</w:t>
      </w:r>
    </w:p>
    <w:p>
      <w:pPr>
        <w:pStyle w:val="Normal"/>
      </w:pPr>
      <w:r>
        <w:rPr>
          <w:rFonts w:ascii="Calibri" w:hAnsi="Calibri" w:eastAsia="Microsoft YaHei" w:cs="Calibri"/>
          <w:color w:val="263238"/>
          <w:sz w:val="21"/>
          <w:szCs w:val="21"/>
        </w:rPr>
        <w:t>Mandatory Action</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&gt;20% Preliminary Activations fail to obtain Tier 1 documentation within 72 hours (Section 2.6)</w:t>
      </w:r>
    </w:p>
    <w:p>
      <w:pPr>
        <w:pStyle w:val="Normal"/>
      </w:pPr>
      <w:r>
        <w:rPr>
          <w:rFonts w:ascii="Calibri" w:hAnsi="Calibri" w:eastAsia="Microsoft YaHei" w:cs="Calibri"/>
          <w:color w:val="263238"/>
          <w:sz w:val="21"/>
          <w:szCs w:val="21"/>
        </w:rPr>
        <w:t>Director-General review of IEWC verification protocols; ADAI suspension pending external audit</w:t>
      </w:r>
    </w:p>
    <w:p>
      <w:pPr>
        <w:pStyle w:val="Normal"/>
      </w:pPr>
      <w:r>
        <w:rPr>
          <w:rFonts w:ascii="Calibri" w:hAnsi="Calibri" w:eastAsia="Microsoft YaHei" w:cs="Calibri"/>
          <w:color w:val="263238"/>
          <w:sz w:val="21"/>
          <w:szCs w:val="21"/>
        </w:rPr>
        <w:t>30 days</w:t>
      </w:r>
    </w:p>
    <w:p>
      <w:pPr>
        <w:pStyle w:val="Normal"/>
      </w:pPr>
      <w:r>
        <w:rPr>
          <w:rFonts w:ascii="Calibri" w:hAnsi="Calibri" w:eastAsia="Microsoft YaHei" w:cs="Calibri"/>
          <w:color w:val="263238"/>
          <w:sz w:val="21"/>
          <w:szCs w:val="21"/>
        </w:rPr>
        <w:t>&gt;30% Preliminary Activation failure rate over 12 months</w:t>
      </w:r>
    </w:p>
    <w:p>
      <w:pPr>
        <w:pStyle w:val="Normal"/>
      </w:pPr>
      <w:r>
        <w:rPr>
          <w:rFonts w:ascii="Calibri" w:hAnsi="Calibri" w:eastAsia="Microsoft YaHei" w:cs="Calibri"/>
          <w:color w:val="263238"/>
          <w:sz w:val="21"/>
          <w:szCs w:val="21"/>
        </w:rPr>
        <w:t>ADAI 90-day suspension; mandatory external red-team; extraordinary Coordination Committee session to consider IEWC restructuring</w:t>
      </w:r>
    </w:p>
    <w:p>
      <w:pPr>
        <w:pStyle w:val="Normal"/>
      </w:pPr>
      <w:r>
        <w:rPr>
          <w:rFonts w:ascii="Calibri" w:hAnsi="Calibri" w:eastAsia="Microsoft YaHei" w:cs="Calibri"/>
          <w:color w:val="263238"/>
          <w:sz w:val="21"/>
          <w:szCs w:val="21"/>
        </w:rPr>
        <w:t>60 days</w:t>
      </w:r>
    </w:p>
    <w:p>
      <w:pPr>
        <w:pStyle w:val="Normal"/>
      </w:pPr>
      <w:r>
        <w:rPr>
          <w:rFonts w:ascii="Calibri" w:hAnsi="Calibri" w:eastAsia="Microsoft YaHei" w:cs="Calibri"/>
          <w:color w:val="263238"/>
          <w:sz w:val="21"/>
          <w:szCs w:val="21"/>
        </w:rPr>
        <w:t>First actual defection during active case</w:t>
      </w:r>
    </w:p>
    <w:p>
      <w:pPr>
        <w:pStyle w:val="Normal"/>
      </w:pPr>
      <w:r>
        <w:rPr>
          <w:rFonts w:ascii="Calibri" w:hAnsi="Calibri" w:eastAsia="Microsoft YaHei" w:cs="Calibri"/>
          <w:color w:val="263238"/>
          <w:sz w:val="21"/>
          <w:szCs w:val="21"/>
        </w:rPr>
        <w:t>Automatic post-case review of anti-fragmentation enforcement; mandatory amendment conference if defection resulted from design flaw</w:t>
      </w:r>
    </w:p>
    <w:p>
      <w:pPr>
        <w:pStyle w:val="Normal"/>
      </w:pPr>
      <w:r>
        <w:rPr>
          <w:rFonts w:ascii="Calibri" w:hAnsi="Calibri" w:eastAsia="Microsoft YaHei" w:cs="Calibri"/>
          <w:color w:val="263238"/>
          <w:sz w:val="21"/>
          <w:szCs w:val="21"/>
        </w:rPr>
        <w:t>days post-case</w:t>
      </w:r>
    </w:p>
    <w:p>
      <w:pPr>
        <w:pStyle w:val="Normal"/>
      </w:pPr>
      <w:r>
        <w:rPr>
          <w:rFonts w:ascii="Calibri" w:hAnsi="Calibri" w:eastAsia="Microsoft YaHei" w:cs="Calibri"/>
          <w:color w:val="263238"/>
          <w:sz w:val="21"/>
          <w:szCs w:val="21"/>
        </w:rPr>
        <w:t>First CNI exemption cascade members invoke within single case)</w:t>
      </w:r>
    </w:p>
    <w:p>
      <w:pPr>
        <w:pStyle w:val="Normal"/>
      </w:pPr>
      <w:r>
        <w:rPr>
          <w:rFonts w:ascii="Calibri" w:hAnsi="Calibri" w:eastAsia="Microsoft YaHei" w:cs="Calibri"/>
          <w:color w:val="263238"/>
          <w:sz w:val="21"/>
          <w:szCs w:val="21"/>
        </w:rPr>
        <w:t>Emergency review of Member Cost Band; mandatory proposal for graduated ceiling adjustment or enhanced solidarity obligation</w:t>
      </w:r>
    </w:p>
    <w:p>
      <w:pPr>
        <w:pStyle w:val="Normal"/>
      </w:pPr>
      <w:r>
        <w:rPr>
          <w:rFonts w:ascii="Calibri" w:hAnsi="Calibri" w:eastAsia="Microsoft YaHei" w:cs="Calibri"/>
          <w:color w:val="263238"/>
          <w:sz w:val="21"/>
          <w:szCs w:val="21"/>
        </w:rPr>
        <w:t>60 days</w:t>
      </w:r>
    </w:p>
    <w:p>
      <w:pPr>
        <w:pStyle w:val="Normal"/>
      </w:pPr>
      <w:r>
        <w:rPr>
          <w:rFonts w:ascii="Calibri" w:hAnsi="Calibri" w:eastAsia="Microsoft YaHei" w:cs="Calibri"/>
          <w:color w:val="263238"/>
          <w:sz w:val="21"/>
          <w:szCs w:val="21"/>
        </w:rPr>
        <w:t>(&gt;3</w:t>
      </w:r>
    </w:p>
    <w:p>
      <w:pPr>
        <w:pStyle w:val="Normal"/>
      </w:pPr>
      <w:r>
        <w:rPr>
          <w:rFonts w:ascii="Calibri" w:hAnsi="Calibri" w:eastAsia="Microsoft YaHei" w:cs="Calibri"/>
          <w:color w:val="263238"/>
          <w:sz w:val="21"/>
          <w:szCs w:val="21"/>
        </w:rPr>
        <w:t>CFM prediction divergence &gt;40% from actual outcomes for &gt;30% of members over 12 months</w:t>
      </w:r>
    </w:p>
    <w:p>
      <w:pPr>
        <w:pStyle w:val="Normal"/>
      </w:pPr>
      <w:r>
        <w:rPr>
          <w:rFonts w:ascii="Calibri" w:hAnsi="Calibri" w:eastAsia="Microsoft YaHei" w:cs="Calibri"/>
          <w:color w:val="263238"/>
          <w:sz w:val="21"/>
          <w:szCs w:val="21"/>
        </w:rPr>
        <w:t>Mandatory CFM architecture review; consideration of alternative intelligence aggregation mechanisms</w:t>
      </w:r>
    </w:p>
    <w:p>
      <w:pPr>
        <w:pStyle w:val="Normal"/>
      </w:pPr>
      <w:r>
        <w:rPr>
          <w:rFonts w:ascii="Calibri" w:hAnsi="Calibri" w:eastAsia="Microsoft YaHei" w:cs="Calibri"/>
          <w:color w:val="263238"/>
          <w:sz w:val="21"/>
          <w:szCs w:val="21"/>
        </w:rPr>
        <w:t>90 days</w:t>
      </w:r>
    </w:p>
    <w:p>
      <w:pPr>
        <w:pStyle w:val="Normal"/>
      </w:pPr>
      <w:r>
        <w:rPr>
          <w:rFonts w:ascii="Calibri" w:hAnsi="Calibri" w:eastAsia="Microsoft YaHei" w:cs="Calibri"/>
          <w:color w:val="263238"/>
          <w:sz w:val="21"/>
          <w:szCs w:val="21"/>
        </w:rPr>
        <w:t>SFI fails annual target by &gt;50% (e.g., 1% vs. 2% target in Year 4)</w:t>
      </w:r>
    </w:p>
    <w:p>
      <w:pPr>
        <w:pStyle w:val="Normal"/>
      </w:pPr>
      <w:r>
        <w:rPr>
          <w:rFonts w:ascii="Calibri" w:hAnsi="Calibri" w:eastAsia="Microsoft YaHei" w:cs="Calibri"/>
          <w:color w:val="263238"/>
          <w:sz w:val="21"/>
          <w:szCs w:val="21"/>
        </w:rPr>
        <w:t>Automatic</w:t>
      </w:r>
    </w:p>
    <w:p>
      <w:pPr>
        <w:pStyle w:val="Normal"/>
      </w:pPr>
      <w:r>
        <w:rPr>
          <w:rFonts w:ascii="Calibri" w:hAnsi="Calibri" w:eastAsia="Microsoft YaHei" w:cs="Calibri"/>
          <w:color w:val="263238"/>
          <w:sz w:val="21"/>
          <w:szCs w:val="21"/>
        </w:rPr>
        <w:t>acceleration:</w:t>
      </w:r>
    </w:p>
    <w:p>
      <w:pPr>
        <w:pStyle w:val="Normal"/>
      </w:pPr>
      <w:r>
        <w:rPr>
          <w:rFonts w:ascii="Calibri" w:hAnsi="Calibri" w:eastAsia="Microsoft YaHei" w:cs="Calibri"/>
          <w:color w:val="263238"/>
          <w:sz w:val="21"/>
          <w:szCs w:val="21"/>
        </w:rPr>
        <w:t>binding targets advance by one year; non-participation surcharge increases from 5% to 15%</w:t>
      </w:r>
    </w:p>
    <w:p>
      <w:pPr>
        <w:pStyle w:val="Normal"/>
      </w:pPr>
      <w:r>
        <w:rPr>
          <w:rFonts w:ascii="Calibri" w:hAnsi="Calibri" w:eastAsia="Microsoft YaHei" w:cs="Calibri"/>
          <w:color w:val="263238"/>
          <w:sz w:val="21"/>
          <w:szCs w:val="21"/>
        </w:rPr>
        <w:t>Immediate</w:t>
      </w:r>
    </w:p>
    <w:p>
      <w:pPr>
        <w:pStyle w:val="Normal"/>
      </w:pPr>
      <w:r>
        <w:rPr>
          <w:rFonts w:ascii="Calibri" w:hAnsi="Calibri" w:eastAsia="Microsoft YaHei" w:cs="Calibri"/>
          <w:color w:val="263238"/>
          <w:sz w:val="21"/>
          <w:szCs w:val="21"/>
        </w:rPr>
        <w:t>First activation against a systemic-economy coercer as identified by objective exposure and systemic-impact metrics (v9.5)</w:t>
      </w:r>
    </w:p>
    <w:p>
      <w:pPr>
        <w:pStyle w:val="Normal"/>
      </w:pPr>
      <w:r>
        <w:rPr>
          <w:rFonts w:ascii="Calibri" w:hAnsi="Calibri" w:eastAsia="Microsoft YaHei" w:cs="Calibri"/>
          <w:color w:val="263238"/>
          <w:sz w:val="21"/>
          <w:szCs w:val="21"/>
        </w:rPr>
        <w:t>Automatic convening of Founding Period Confidential Review per Section 10A.1A; mandatory burden-sharing recalibration proposal; enhanced parliamentary review for Phase 2+ escalation</w:t>
      </w:r>
    </w:p>
    <w:p>
      <w:pPr>
        <w:pStyle w:val="Normal"/>
      </w:pPr>
      <w:r>
        <w:rPr>
          <w:rFonts w:ascii="Calibri" w:hAnsi="Calibri" w:eastAsia="Microsoft YaHei" w:cs="Calibri"/>
          <w:color w:val="263238"/>
          <w:sz w:val="21"/>
          <w:szCs w:val="21"/>
        </w:rPr>
        <w:t>days post-activation</w:t>
      </w:r>
    </w:p>
    <w:p>
      <w:pPr>
        <w:pStyle w:val="Heading2"/>
      </w:pPr>
      <w:r>
        <w:t>Section 4.3E: Learning Engine Mandate [NEW: v15.0]</w:t>
      </w:r>
    </w:p>
    <w:p>
      <w:r>
        <w:t>(a) Upon IEWC certification of any attack under Section 1.7(a), the Learning Engine Mandate activates automatically.</w:t>
      </w:r>
    </w:p>
    <w:p>
      <w:r>
        <w:t>(b) The Learning Engine Mandate requires: (i) a mandatory post-attack review within 30 days of the attack's resolution; (ii) the Independent Review Commission (Section 4.3) conducts the review, with additional experts appointed specifically to assess the attack vector; and (iii) the review identifies: (A) any vulnerabilities the attack exploited; (B) any provisions that were interpreted inconsistently; (C) any coordination failures; (D) any communication gaps; and (E) any legal or procedural weaknesses.</w:t>
      </w:r>
    </w:p>
    <w:p>
      <w:r>
        <w:t>(c) The review's findings are: (i) published on the Dashboard, redacted for source protection; (ii) presented to the CC within 14 days of completion; and (iii) used to propose specific amendments to close identified gaps.</w:t>
      </w:r>
    </w:p>
    <w:p>
      <w:r>
        <w:t>(d) The CC: (i) votes on proposed amendments within 30 days of presentation; (ii) adopts amendments by 55% weighted vote, reduced from the standard 60% for post-attack strengthening; and (iii) implements amendments within 90 days.</w:t>
      </w:r>
    </w:p>
    <w:p>
      <w:r>
        <w:t>(e) The Learning Engine Mandate operates under the Nofade Protocol (Annex 25). Failure to adopt identified amendments triggers automatic consultation and potential tier review.</w:t>
      </w:r>
    </w:p>
    <w:p>
      <w:r>
        <w:t>Why This Works: Every attack makes the architecture smarter. The institution learns from the attack and closes any gaps. Attackers cannot find a weakness and exploit it again, because the weakness closes within 90 days.</w:t>
      </w:r>
    </w:p>
    <w:p>
      <w:pPr>
        <w:pStyle w:val="Heading2"/>
      </w:pPr>
      <w:r>
        <w:rPr>
          <w:rFonts w:ascii="Calibri" w:hAnsi="Calibri" w:eastAsia="Microsoft YaHei" w:cs="Calibri"/>
          <w:b/>
          <w:color w:val="263238"/>
          <w:sz w:val="25"/>
          <w:szCs w:val="25"/>
        </w:rPr>
        <w:t>Section 4.4A: Institutional Predictability Calendar [NEW: v9.8A Institutional Maturity]</w:t>
      </w:r>
    </w:p>
    <w:p>
      <w:pPr>
        <w:pStyle w:val="Normal"/>
      </w:pPr>
      <w:r>
        <w:rPr>
          <w:rFonts w:ascii="Calibri" w:hAnsi="Calibri" w:eastAsia="Microsoft YaHei" w:cs="Calibri"/>
          <w:color w:val="263238"/>
          <w:sz w:val="21"/>
          <w:szCs w:val="21"/>
        </w:rPr>
        <w:t>The Secretariat publishes, by Q4 of each year, an annual Institutional Calendar for the following year covering: Grand Review Convention dates and agenda deadlines; funding cycle milestones (contribution assessments, Fund rebalancing, audit dates); scheduled stress-test exercises (Annex 13) and VCI assessment windows (Annex 13A); regular CC assessment sessions (quarterly); membership review and tier reassessment dates; and Coercion Forecast Market publication schedule (Annex 14). The Calendar is binding on the Secretariat for scheduling purposes; Members plan domestic legislative and budget cycles accordingly. Builds bureaucratic comfort and operational predictability.</w:t>
      </w:r>
    </w:p>
    <w:p>
      <w:pPr>
        <w:pStyle w:val="Heading2"/>
      </w:pPr>
      <w:r>
        <w:rPr>
          <w:rFonts w:ascii="Calibri" w:hAnsi="Calibri" w:eastAsia="Microsoft YaHei" w:cs="Calibri"/>
          <w:b/>
          <w:color w:val="263238"/>
          <w:sz w:val="25"/>
          <w:szCs w:val="25"/>
        </w:rPr>
        <w:t>Section 4.5A: IMESI Leaders' Meeting [NEW: v9.8B]</w:t>
      </w:r>
    </w:p>
    <w:p>
      <w:pPr>
        <w:pStyle w:val="Normal"/>
      </w:pPr>
      <w:r>
        <w:rPr>
          <w:rFonts w:ascii="Calibri" w:hAnsi="Calibri" w:eastAsia="Microsoft YaHei" w:cs="Calibri"/>
          <w:color w:val="263238"/>
          <w:sz w:val="21"/>
          <w:szCs w:val="21"/>
        </w:rPr>
        <w:t>Every 2 years, Heads of State or Government of Member states convene an IMESI Leaders' Meeting to: (a) review progress on institutional development and operational capability; (b) provide political guidance on strategic priorities for the coming period; (c) signal collective resolve to deter economic coercion; and (d) welcome new members or endorse accession negotiations. The Leaders' Meeting is advisory; it does not replace CC decision-making authority or modify treaty obligations. The Meeting adopts a communique expressing political direction. The format (summit, margins of G7/G20, virtual) is determined by the Provisional Steering Group or, after establishment, by the CC. Specific leadership branding (e.g. naming the meeting after a host city or leader) is a political decision outside the scope of this Instrument.</w:t>
      </w:r>
    </w:p>
    <w:p>
      <w:pPr>
        <w:pStyle w:val="Heading2"/>
      </w:pPr>
      <w:r>
        <w:rPr>
          <w:rFonts w:ascii="Calibri" w:hAnsi="Calibri" w:eastAsia="Microsoft YaHei" w:cs="Calibri"/>
          <w:b/>
          <w:color w:val="263238"/>
          <w:sz w:val="25"/>
          <w:szCs w:val="25"/>
        </w:rPr>
        <w:t>Section 4.4: Protection Against Over-Delegation</w:t>
      </w:r>
    </w:p>
    <w:p>
      <w:pPr>
        <w:pStyle w:val="Normal"/>
      </w:pPr>
      <w:r>
        <w:rPr>
          <w:rFonts w:ascii="Calibri" w:hAnsi="Calibri" w:eastAsia="Microsoft YaHei" w:cs="Calibri"/>
          <w:color w:val="263238"/>
          <w:sz w:val="21"/>
          <w:szCs w:val="21"/>
        </w:rPr>
        <w:t>Secretariat expansion requires 70% amendment vote. Emergency authorities expire after 12 months. Mandatory independent institutional audit every 5 years. Coordination Committee overrides any Secretariat decision by 60% vote.</w:t>
      </w:r>
    </w:p>
    <w:p>
      <w:pPr>
        <w:pStyle w:val="Heading2"/>
      </w:pPr>
      <w:r>
        <w:rPr>
          <w:rFonts w:ascii="Calibri" w:hAnsi="Calibri" w:eastAsia="Microsoft YaHei" w:cs="Calibri"/>
          <w:b/>
          <w:color w:val="263238"/>
          <w:sz w:val="25"/>
          <w:szCs w:val="25"/>
        </w:rPr>
        <w:t>Section 4.5: Inter-Member Dispute Resolution Chamber</w:t>
      </w:r>
    </w:p>
    <w:p>
      <w:pPr>
        <w:pStyle w:val="Heading3"/>
      </w:pPr>
      <w:r>
        <w:rPr>
          <w:rFonts w:ascii="Calibri" w:hAnsi="Calibri" w:eastAsia="Microsoft YaHei" w:cs="Calibri"/>
          <w:b/>
          <w:color w:val="546E7A"/>
          <w:sz w:val="22"/>
          <w:szCs w:val="22"/>
        </w:rPr>
        <w:t>Section 4.5 (Addendum): Dispute Suspension Option [NEW: v12.0]</w:t>
      </w:r>
    </w:p>
    <w:p>
      <w:pPr>
        <w:pStyle w:val="Normal"/>
      </w:pPr>
      <w:r>
        <w:rPr>
          <w:rFonts w:ascii="Calibri" w:hAnsi="Calibri" w:eastAsia="Microsoft YaHei" w:cs="Calibri"/>
          <w:color w:val="263238"/>
          <w:sz w:val="21"/>
          <w:szCs w:val="21"/>
        </w:rPr>
        <w:t>Where a Member initiates WTO dispute settlement proceedings concerning an IMESI measure, the Coordination Committee, by 60% vote, suspends the measure pending WTO resolution, or continues it with enhanced reporting.</w:t>
      </w:r>
    </w:p>
    <w:p>
      <w:pPr>
        <w:pStyle w:val="Heading3"/>
      </w:pPr>
      <w:r>
        <w:rPr>
          <w:rFonts w:ascii="Calibri" w:hAnsi="Calibri" w:eastAsia="Microsoft YaHei" w:cs="Calibri"/>
          <w:b/>
          <w:color w:val="546E7A"/>
          <w:sz w:val="22"/>
          <w:szCs w:val="22"/>
        </w:rPr>
        <w:t>Section 4.5A: Autonomous Execution Default (Human-on-the-Loop) [NEW: v12.0]</w:t>
      </w:r>
    </w:p>
    <w:p>
      <w:pPr>
        <w:pStyle w:val="Normal"/>
      </w:pPr>
      <w:r>
        <w:rPr>
          <w:rFonts w:ascii="Calibri" w:hAnsi="Calibri" w:eastAsia="Microsoft YaHei" w:cs="Calibri"/>
          <w:color w:val="263238"/>
          <w:sz w:val="21"/>
          <w:szCs w:val="21"/>
        </w:rPr>
        <w:t>IMESI operates on a Human-on-the-Loop structure rather than Human-in-the-Loop pre-approval. Trigger verification automatically initiates Phase 1 stabilisation measures. The system executes without pre-approval requirements, preserving real-time deterrence and closing windows for lobbying and delay. Protective measures, including liquidity support and market stabilisation, operate fully autonomously; offensive measures execute on a short, time-boxed countdown.</w:t>
      </w:r>
    </w:p>
    <w:p>
      <w:pPr>
        <w:pStyle w:val="Heading3"/>
      </w:pPr>
      <w:r>
        <w:rPr>
          <w:rFonts w:ascii="Calibri" w:hAnsi="Calibri" w:eastAsia="Microsoft YaHei" w:cs="Calibri"/>
          <w:b/>
          <w:color w:val="546E7A"/>
          <w:sz w:val="22"/>
          <w:szCs w:val="22"/>
        </w:rPr>
        <w:t>Section 4.5B: Supermajority Emergency Abort (Negative Veto) [NEW: v12.0]</w:t>
      </w:r>
    </w:p>
    <w:p>
      <w:pPr>
        <w:pStyle w:val="Normal"/>
      </w:pPr>
      <w:r>
        <w:rPr>
          <w:rFonts w:ascii="Calibri" w:hAnsi="Calibri" w:eastAsia="Microsoft YaHei" w:cs="Calibri"/>
          <w:color w:val="263238"/>
          <w:sz w:val="21"/>
          <w:szCs w:val="21"/>
        </w:rPr>
        <w:t>A recorded two-thirds vote of the Executive Council within a 24-hour verification window executes an immediate emergency pause on retaliatory escalations where a data trigger stems from a reporting error, natural disaster, or verified systemic misunderstanding. Absent a supermajority pause, stabilisation measures execute automatically at the expiration of the 24-hour window.</w:t>
      </w:r>
    </w:p>
    <w:p>
      <w:pPr>
        <w:pStyle w:val="Normal"/>
      </w:pPr>
      <w:r>
        <w:rPr>
          <w:rFonts w:ascii="Calibri" w:hAnsi="Calibri" w:eastAsia="Microsoft YaHei" w:cs="Calibri"/>
          <w:color w:val="263238"/>
          <w:sz w:val="21"/>
          <w:szCs w:val="21"/>
        </w:rPr>
        <w:t>A binding arbitration mechanism resolves conflicts between members, distinct from anti-fragmentation enforcement, which addresses violations of IMESI obligations. Mandatory for Tier 2+; optional for Tier 0–1. Element</w:t>
      </w:r>
    </w:p>
    <w:p>
      <w:pPr>
        <w:pStyle w:val="Normal"/>
      </w:pPr>
      <w:r>
        <w:rPr>
          <w:rFonts w:ascii="Calibri" w:hAnsi="Calibri" w:eastAsia="Microsoft YaHei" w:cs="Calibri"/>
          <w:color w:val="263238"/>
          <w:sz w:val="21"/>
          <w:szCs w:val="21"/>
        </w:rPr>
        <w:t>Design</w:t>
      </w:r>
    </w:p>
    <w:p>
      <w:pPr>
        <w:pStyle w:val="Normal"/>
      </w:pPr>
      <w:r>
        <w:rPr>
          <w:rFonts w:ascii="Calibri" w:hAnsi="Calibri" w:eastAsia="Microsoft YaHei" w:cs="Calibri"/>
          <w:color w:val="263238"/>
          <w:sz w:val="21"/>
          <w:szCs w:val="21"/>
        </w:rPr>
        <w:t>Jurisdiction</w:t>
      </w:r>
    </w:p>
    <w:p>
      <w:pPr>
        <w:pStyle w:val="Normal"/>
      </w:pPr>
      <w:r>
        <w:rPr>
          <w:rFonts w:ascii="Calibri" w:hAnsi="Calibri" w:eastAsia="Microsoft YaHei" w:cs="Calibri"/>
          <w:color w:val="263238"/>
          <w:sz w:val="21"/>
          <w:szCs w:val="21"/>
        </w:rPr>
        <w:t>Burden-sharing calculations; tier downgrade disputes; stabilisation measure implementation disagreements; side letter interpretation</w:t>
      </w:r>
    </w:p>
    <w:p>
      <w:pPr>
        <w:pStyle w:val="Normal"/>
      </w:pPr>
      <w:r>
        <w:rPr>
          <w:rFonts w:ascii="Calibri" w:hAnsi="Calibri" w:eastAsia="Microsoft YaHei" w:cs="Calibri"/>
          <w:color w:val="263238"/>
          <w:sz w:val="21"/>
          <w:szCs w:val="21"/>
        </w:rPr>
        <w:t>Panel composition</w:t>
      </w:r>
    </w:p>
    <w:p>
      <w:pPr>
        <w:pStyle w:val="Normal"/>
      </w:pPr>
      <w:r>
        <w:rPr>
          <w:rFonts w:ascii="Calibri" w:hAnsi="Calibri" w:eastAsia="Microsoft YaHei" w:cs="Calibri"/>
          <w:color w:val="263238"/>
          <w:sz w:val="21"/>
          <w:szCs w:val="21"/>
        </w:rPr>
        <w:t>3 arbitrators: one appointed by each party, one jointly selected (or by Secretariat if no agreement within 14 days)</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90 days to award; emergency 30-day procedure for disputes arising during active coercion cases</w:t>
      </w:r>
    </w:p>
    <w:p>
      <w:pPr>
        <w:pStyle w:val="Normal"/>
      </w:pPr>
      <w:r>
        <w:rPr>
          <w:rFonts w:ascii="Calibri" w:hAnsi="Calibri" w:eastAsia="Microsoft YaHei" w:cs="Calibri"/>
          <w:color w:val="263238"/>
          <w:sz w:val="21"/>
          <w:szCs w:val="21"/>
        </w:rPr>
        <w:t>Enforcement</w:t>
      </w:r>
    </w:p>
    <w:p>
      <w:pPr>
        <w:pStyle w:val="Normal"/>
      </w:pPr>
      <w:r>
        <w:rPr>
          <w:rFonts w:ascii="Calibri" w:hAnsi="Calibri" w:eastAsia="Microsoft YaHei" w:cs="Calibri"/>
          <w:color w:val="263238"/>
          <w:sz w:val="21"/>
          <w:szCs w:val="21"/>
        </w:rPr>
        <w:t>Awards binding; non-compliance triggers automatic Resilience Fund withholding and public transparency review</w:t>
      </w:r>
    </w:p>
    <w:p>
      <w:pPr>
        <w:pStyle w:val="Normal"/>
      </w:pPr>
      <w:r>
        <w:rPr>
          <w:rFonts w:ascii="Calibri" w:hAnsi="Calibri" w:eastAsia="Microsoft YaHei" w:cs="Calibri"/>
          <w:color w:val="263238"/>
          <w:sz w:val="21"/>
          <w:szCs w:val="21"/>
        </w:rPr>
        <w:t>Dispute Mediation Mechanism: A Dispute Mediation Mechanism is hereby established to address disagreements among Members arising from the interpretation or application of this Instrument, including the scope, timing, or calibration of stabilisation and response measures. Mediation is facilitated by a designated mediator drawn from a standing roster maintained by the Secretariat and precedes any</w:t>
      </w:r>
    </w:p>
    <w:p>
      <w:pPr>
        <w:pStyle w:val="Normal"/>
      </w:pPr>
      <w:r>
        <w:rPr>
          <w:rFonts w:ascii="Calibri" w:hAnsi="Calibri" w:eastAsia="Microsoft YaHei" w:cs="Calibri"/>
          <w:color w:val="263238"/>
          <w:sz w:val="21"/>
          <w:szCs w:val="21"/>
        </w:rPr>
        <w:t>recourse to formal arbitration or withdrawal procedures. The mediator has 45 days to facilitate resolution; extensions of up to 30 days are granted by mutual consent. Mediation outcomes are non-binding but is recorded and is cited in subsequent proceedings. Mediation Cascade (prerequisite): Before arbitration, parties complete structured de-escalation, 14 days bilateral negotiation, 21 days Secretariat-facilitated mediation, 14 days Regional Sub-Committee conciliation. During mediation stages, stabilisation measures between the disputing members are frozen and Resilience Fund disbursements are escrowed pending resolution.</w:t>
      </w:r>
    </w:p>
    <w:p>
      <w:pPr>
        <w:pStyle w:val="Heading2"/>
      </w:pPr>
      <w:r>
        <w:rPr>
          <w:rFonts w:ascii="Calibri" w:hAnsi="Calibri" w:eastAsia="Microsoft YaHei" w:cs="Calibri"/>
          <w:b/>
          <w:color w:val="263238"/>
          <w:sz w:val="25"/>
          <w:szCs w:val="25"/>
        </w:rPr>
        <w:t>Section 4.5A: Public-Private Liaison Forum</w:t>
      </w:r>
    </w:p>
    <w:p>
      <w:pPr>
        <w:pStyle w:val="Normal"/>
      </w:pPr>
      <w:r>
        <w:rPr>
          <w:rFonts w:ascii="Calibri" w:hAnsi="Calibri" w:eastAsia="Microsoft YaHei" w:cs="Calibri"/>
          <w:color w:val="263238"/>
          <w:sz w:val="21"/>
          <w:szCs w:val="21"/>
        </w:rPr>
        <w:t>A Public-Private Liaison Forum is established to facilitate structured dialogue and voluntary coordination between competent public authorities and relevant private sector entities in the preparation for, and response to,</w:t>
      </w:r>
    </w:p>
    <w:p>
      <w:pPr>
        <w:pStyle w:val="Normal"/>
      </w:pPr>
      <w:r>
        <w:rPr>
          <w:rFonts w:ascii="Calibri" w:hAnsi="Calibri" w:eastAsia="Microsoft YaHei" w:cs="Calibri"/>
          <w:color w:val="263238"/>
          <w:sz w:val="21"/>
          <w:szCs w:val="21"/>
        </w:rPr>
        <w:t>AESIs. The Forum: (a) convenes at least twice annually and within 7 days of any AESI certification, with standing invitations to sector associations, major infrastructure operators, financial institutions, and logistics providers (b) Develop voluntary business continuity protocols for critical supply chains, payment systems, and essential services that are affected by AESI response measures (c) Provide a confidential channel for private sector entities to report early indicators of economic coercion, administrative obstruction, or supply chain weaponisation without public attribution (d) Operate under Chatham House rules with published summary conclusions; no commercially sensitive information shared with competitors or disclosed publicly Governance: The Forum is chaired by the Director-General or designate, with a rotating private sector co-chair elected by participating entities. The Forum is advisory; its recommendations are non-binding on the Coordination Committee.</w:t>
      </w:r>
    </w:p>
    <w:p>
      <w:pPr>
        <w:pStyle w:val="Heading2"/>
      </w:pPr>
      <w:r>
        <w:rPr>
          <w:rFonts w:ascii="Calibri" w:hAnsi="Calibri" w:eastAsia="Microsoft YaHei" w:cs="Calibri"/>
          <w:b/>
          <w:color w:val="263238"/>
          <w:sz w:val="25"/>
          <w:szCs w:val="25"/>
        </w:rPr>
        <w:t>Section 4.6: Institutional Memory and Continuity Safeguards</w:t>
      </w:r>
    </w:p>
    <w:p>
      <w:pPr>
        <w:pStyle w:val="Normal"/>
      </w:pPr>
      <w:r>
        <w:rPr>
          <w:rFonts w:ascii="Calibri" w:hAnsi="Calibri" w:eastAsia="Microsoft YaHei" w:cs="Calibri"/>
          <w:color w:val="263238"/>
          <w:sz w:val="21"/>
          <w:szCs w:val="21"/>
        </w:rPr>
        <w:t>Knowledge Codification: All IEWC analytical methodologies, scenario libraries, and decision precedents are maintained as open-source documentation within the member community, updated within 30 days of each case closure. Personnel Continuity: IEWC analysts serve 4-year minimum terms; departing analysts enter a 2-year alumni network with consultation obligations and restricted access rights, creating a cross-member expertise web that survives individual departures. Scenario Persistence: Pre-authorised scenarios (Annex 4) remain valid for 24 months regardless of membership changes; new members inherit the existing scenario library upon accession. Minimum Viable Coalition: If membership falls below 12 states or 25% of global GDP, automatic hibernation protocol activates: IEWC continues with reduced staffing; SFI remains operational; Resilience Fund enters preservation mode; reactivation requires only 8 states (not full founding threshold). Accession Fast-Track: States rejoining within 5 years of exit accedes at their previous tier level with 90-day accelerated review.</w:t>
      </w:r>
    </w:p>
    <w:p>
      <w:pPr>
        <w:pStyle w:val="Normal"/>
      </w:pPr>
      <w:r>
        <w:rPr>
          <w:rFonts w:ascii="Calibri" w:hAnsi="Calibri" w:eastAsia="Microsoft YaHei" w:cs="Calibri"/>
          <w:color w:val="263238"/>
          <w:sz w:val="21"/>
          <w:szCs w:val="21"/>
        </w:rPr>
        <w:t>Distributed Institutional Memory (DIM):</w:t>
      </w:r>
    </w:p>
    <w:p>
      <w:pPr>
        <w:pStyle w:val="Normal"/>
      </w:pPr>
      <w:r>
        <w:rPr>
          <w:rFonts w:ascii="Calibri" w:hAnsi="Calibri" w:eastAsia="Microsoft YaHei" w:cs="Calibri"/>
          <w:color w:val="263238"/>
          <w:sz w:val="21"/>
          <w:szCs w:val="21"/>
        </w:rPr>
        <w:t>Architecture: All IEWC methodologies, scenario libraries, and decision precedents replicated in encrypted form across 5+ member state locations; quarterly synchronisation ensures consistency. No single point of failure. Access: Tier 2+ members maintain read-only nodes; write access requires 3-of-5 multi-signature from designated national representatives. Activation: If IEWC headquarters is non-operational for &gt;72 hours (cyber compromise, physical disruption, or personnel mass departure), distributed nodes enable minimum viable coalition decision-making under hibernation protocol procedures. Security: Blockchain-anchored integrity verification; annual penetration testing by member state red teams. Compromised node automatically isolated; replacement node provisioned within 48 hours.</w:t>
      </w:r>
    </w:p>
    <w:p>
      <w:pPr>
        <w:pStyle w:val="Heading3"/>
      </w:pPr>
      <w:r>
        <w:rPr>
          <w:rFonts w:ascii="Calibri" w:hAnsi="Calibri" w:eastAsia="Microsoft YaHei" w:cs="Calibri"/>
          <w:b/>
          <w:color w:val="546E7A"/>
          <w:sz w:val="22"/>
          <w:szCs w:val="22"/>
        </w:rPr>
        <w:t>Section 4.6 (Addendum): Alumni Network Security Protocol [NEW: v13.0]</w:t>
      </w:r>
    </w:p>
    <w:p>
      <w:pPr>
        <w:pStyle w:val="Normal"/>
      </w:pPr>
      <w:r>
        <w:rPr>
          <w:rFonts w:ascii="Calibri" w:hAnsi="Calibri" w:eastAsia="Microsoft YaHei" w:cs="Calibri"/>
          <w:color w:val="263238"/>
          <w:sz w:val="21"/>
          <w:szCs w:val="21"/>
        </w:rPr>
        <w:t>All former IEWC analysts and senior Secretariat staff remain subject to a lifetime confidentiality obligation covering IEWC methodologies, case data, and intelligence sources. The alumni network operates with clearance tiers identical to those of serving analysts. A former analyst who leaks classified information faces a lifetime ban from all IMESI-related activities, and the Member employing them, or their home state, faces a 50% Fund surcharge for a 12-month period. An annual Security Awareness Briefing for alumni is mandatory, covering updated security protocols and known coercer targeting methods; non-participation results in placement on a Limited Access list, restricting receipt of any future IMESI-related information.</w:t>
      </w:r>
    </w:p>
    <w:p>
      <w:pPr>
        <w:pStyle w:val="Heading3"/>
      </w:pPr>
      <w:r>
        <w:t>Section 4.6 (Second Addendum): Alumni Obligations After Permanent Exclusion [NEW: v15.0]</w:t>
      </w:r>
    </w:p>
    <w:p>
      <w:r>
        <w:t>(d) For purposes of this Section, former officials of a Member that has been permanently excluded under Section 6.11(h) remain subject to: (i) lifetime confidentiality obligations covering IEWC methodologies, case data, and intelligence sources; (ii) the same clearance tiers as serving analysts; and (iii) annual Security Awareness Briefings, with non-participation resulting in a Limited Access designation.</w:t>
      </w:r>
    </w:p>
    <w:p>
      <w:r>
        <w:t>(e) A former analyst who leaks classified information after their Member's permanent exclusion: (i) faces a lifetime ban from all IMESI-related activities; (ii) the Member employing them, or their home state, faces a 50% Fund surcharge for a 12-month period; and (iii) is subject to criminal referral in member states with jurisdiction.</w:t>
      </w:r>
    </w:p>
    <w:p>
      <w:r>
        <w:t>(f) The obligations in this Section survive the permanent exclusion of any Member and are non-derogable.</w:t>
      </w:r>
    </w:p>
    <w:p>
      <w:pPr>
        <w:pStyle w:val="Heading2"/>
      </w:pPr>
      <w:r>
        <w:rPr>
          <w:rFonts w:ascii="Calibri" w:hAnsi="Calibri" w:eastAsia="Microsoft YaHei" w:cs="Calibri"/>
          <w:b/>
          <w:color w:val="263238"/>
          <w:sz w:val="25"/>
          <w:szCs w:val="25"/>
        </w:rPr>
        <w:t>Section 4.6A: Peer Learning Exchange Program</w:t>
      </w:r>
    </w:p>
    <w:p>
      <w:pPr>
        <w:pStyle w:val="Normal"/>
      </w:pPr>
      <w:r>
        <w:rPr>
          <w:rFonts w:ascii="Calibri" w:hAnsi="Calibri" w:eastAsia="Microsoft YaHei" w:cs="Calibri"/>
          <w:color w:val="263238"/>
          <w:sz w:val="21"/>
          <w:szCs w:val="21"/>
        </w:rPr>
        <w:t>Purpose: Structured mechanism for members to learn from each other's implementation successes, building interpersonal networks that strengthen coalition cohesion. Eligibility: Members achieving VCI-A status (Annex 13A) or successful case participation receive Peer Learning Credits, funded slots to host officials from lower-tier members for 2-week immersion programmes. Scope: Programmes cover stabilisation measure implementation, regulatory enforcement, customs system operation, SFI settlement procedures, and burden-sharing administration. Funding: Fund covers travel and per diem from existing Peacetime Fund allocation; host country provides programme content and facilities. No new allocation required. Effect: Spreads best practices organically; builds cross-member expertise networks that survive personnel turnover; accelerates VCI progression for participating members (completion counts toward micro-exercise participation credit per Section 8.3A).</w:t>
      </w:r>
    </w:p>
    <w:p>
      <w:pPr>
        <w:pStyle w:val="Heading2"/>
      </w:pPr>
      <w:r>
        <w:rPr>
          <w:rFonts w:ascii="Calibri" w:hAnsi="Calibri" w:eastAsia="Microsoft YaHei" w:cs="Calibri"/>
          <w:b/>
          <w:color w:val="263238"/>
          <w:sz w:val="25"/>
          <w:szCs w:val="25"/>
        </w:rPr>
        <w:t>Section 4.6D: Distributed Institutional Memory and Resilience</w:t>
      </w:r>
    </w:p>
    <w:p>
      <w:pPr>
        <w:pStyle w:val="Normal"/>
      </w:pPr>
      <w:r>
        <w:rPr>
          <w:rFonts w:ascii="Calibri" w:hAnsi="Calibri" w:eastAsia="Microsoft YaHei" w:cs="Calibri"/>
          <w:color w:val="263238"/>
          <w:sz w:val="21"/>
          <w:szCs w:val="21"/>
        </w:rPr>
        <w:t>Seven-Node Distributed Architecture (5-node minimum viable): All IEWC methodologies, scenario libraries, and decision precedents replicated in encrypted form across 7 member state locations with quarterly synchronisation. Minimum 2 nodes each in Europe, Asia-Pacific, and Americas; minimum 1 in Africa-Middle East region. No single state hosts &gt;2 nodes. Cyber-Sovereignty Provisions: Any host state blocking IEWC or SFI operations triggers: automatic node relocation to pre-designated alternative host; cost-sharing adjustment at 150% of standard rate (12-month phase-in for first breach, with cooperative remediation presumed); 'digital sanctuary' guarantee activation from other members. Institutional Cognitive Defence: Rapid response team for information attacks: 24/7 monitoring for disinformation targeting Secretariat operations; pre-positioned media partnerships for rapid rebuttal; coordinated platform takedown requests with documented attribution; annual red-team exercise testing institutional manipulation resistance. Failover and Continuity: If IEWC headquarters non-operational for &gt;72 hours: distributed nodes enable minimum viable coalition decision-making; 3-of-7 multi-signature required for emergency measures; blockchain-anchored integrity verification prevents compromised-node participation; replacement node provisioned within 48 hours of isolation. Institutional Cyber Defence (Annex 11B, Year 1 Implementation): Four threat tiers: Infrastructure (15-min response), Data (1-hour), Personnel (4-hour), Reputational (24-hour). Member states designate national points of contact for institutional cyber incidents and maintain forensic analysis support capability. Negotiation status: Tier 3 protected secondary priority. Core Section 4.6D in founding; Annex 11B operational Year 1. Node count and surcharge rates negotiable within bands.</w:t>
      </w:r>
    </w:p>
    <w:p>
      <w:pPr>
        <w:pStyle w:val="Heading2"/>
      </w:pPr>
      <w:r>
        <w:rPr>
          <w:rFonts w:ascii="Calibri" w:hAnsi="Calibri" w:eastAsia="Microsoft YaHei" w:cs="Calibri"/>
          <w:b/>
          <w:color w:val="263238"/>
          <w:sz w:val="25"/>
          <w:szCs w:val="25"/>
        </w:rPr>
        <w:t>Section 4.6E: Legacy Case Archive</w:t>
      </w:r>
    </w:p>
    <w:p>
      <w:pPr>
        <w:pStyle w:val="Normal"/>
      </w:pPr>
      <w:r>
        <w:rPr>
          <w:rFonts w:ascii="Calibri" w:hAnsi="Calibri" w:eastAsia="Microsoft YaHei" w:cs="Calibri"/>
          <w:color w:val="263238"/>
          <w:sz w:val="21"/>
          <w:szCs w:val="21"/>
        </w:rPr>
        <w:t>Public Archive: Coercion Case Archive established as searchable database: full documentation of all concluded cases (redacted for classified information); stabilisation measure effectiveness assessments; burden-sharing outcomes; settlement terms and compliance verification. Member Veto on Classification: Member vetoes release of specific classified information. Veto subject to 14-day IEWC review for bad faith. CC overrides by 70% vote with published justification. Default: release with redaction rather than suppression. Lessons Learned Integration: Mandatory within 90 days of case closure: IEWC analytical report (what worked, what failed); CC institutional adaptations required; scenario library update with new pre-authorised packages if warranted. Archive analysis feeds Recursive Review Mandate (Section 4.3B): &gt;2 cases with similar failure pattern triggers mandatory amendment conference. Research Access: Academic researchers from member states apply for non-classified dataset access, aggregated statistical analysis, and interview protocol with former officials (voluntary alumni network). Negotiation status: Tier 3 protected secondary priority. Core: archive exists with member veto protection.</w:t>
      </w:r>
    </w:p>
    <w:p>
      <w:pPr>
        <w:pStyle w:val="Heading2"/>
      </w:pPr>
      <w:r>
        <w:rPr>
          <w:rFonts w:ascii="Calibri" w:hAnsi="Calibri" w:eastAsia="Microsoft YaHei" w:cs="Calibri"/>
          <w:b/>
          <w:color w:val="263238"/>
          <w:sz w:val="25"/>
          <w:szCs w:val="25"/>
        </w:rPr>
        <w:t>Section 4.3A: Compliance Audit and Transparency Protocol [NEW: v9.8 Red Team Fix]</w:t>
      </w:r>
    </w:p>
    <w:p>
      <w:pPr>
        <w:pStyle w:val="Normal"/>
      </w:pPr>
      <w:r>
        <w:rPr>
          <w:rFonts w:ascii="Calibri" w:hAnsi="Calibri" w:eastAsia="Microsoft YaHei" w:cs="Calibri"/>
          <w:color w:val="263238"/>
          <w:sz w:val="21"/>
          <w:szCs w:val="21"/>
        </w:rPr>
        <w:t>Mandatory Reporting (Phase 1+)</w:t>
      </w:r>
    </w:p>
    <w:p>
      <w:pPr>
        <w:pStyle w:val="Normal"/>
      </w:pPr>
      <w:r>
        <w:rPr>
          <w:rFonts w:ascii="Calibri" w:hAnsi="Calibri" w:eastAsia="Microsoft YaHei" w:cs="Calibri"/>
          <w:color w:val="263238"/>
          <w:sz w:val="21"/>
          <w:szCs w:val="21"/>
        </w:rPr>
        <w:t>Members submit monthly compliance reports to Secretariat detailing: (a) Financial restrictions implemented: SFI fee adjustments actually applied, volumes, affected counterparties, dates; (b) Trade enforcement actions: Tariffs imposed, licenses denied, service restrictions activated; (c) Regulatory actions: Banking restrictions, sanctions blocking, asset freezes; (d) Exceptions and deviations: Any authorized deviations from Phase X floor, filed in advance or within 5 days (not retroactively).</w:t>
      </w:r>
    </w:p>
    <w:p>
      <w:pPr>
        <w:pStyle w:val="Normal"/>
      </w:pPr>
      <w:r>
        <w:rPr>
          <w:rFonts w:ascii="Calibri" w:hAnsi="Calibri" w:eastAsia="Microsoft YaHei" w:cs="Calibri"/>
          <w:color w:val="263238"/>
          <w:sz w:val="21"/>
          <w:szCs w:val="21"/>
        </w:rPr>
        <w:t>Reports are submitted to Secretariat only (confidential); summary aggregates published to Dashboard: Total volume of measures implemented per member (no names, just compliance bars); Aggregate compliance score (0-100%).</w:t>
      </w:r>
    </w:p>
    <w:p>
      <w:pPr>
        <w:pStyle w:val="Normal"/>
      </w:pPr>
      <w:r>
        <w:rPr>
          <w:rFonts w:ascii="Calibri" w:hAnsi="Calibri" w:eastAsia="Microsoft YaHei" w:cs="Calibri"/>
          <w:color w:val="263238"/>
          <w:sz w:val="21"/>
          <w:szCs w:val="21"/>
        </w:rPr>
        <w:t>Non-Compliance Trigger</w:t>
      </w:r>
    </w:p>
    <w:p>
      <w:pPr>
        <w:pStyle w:val="Normal"/>
      </w:pPr>
      <w:r>
        <w:rPr>
          <w:rFonts w:ascii="Calibri" w:hAnsi="Calibri" w:eastAsia="Microsoft YaHei" w:cs="Calibri"/>
          <w:color w:val="263238"/>
          <w:sz w:val="21"/>
          <w:szCs w:val="21"/>
        </w:rPr>
        <w:t>If member compliance score falls below 70% for 2 consecutive months: Secretariat issues private "Compliance Consultation Notice"; Member has 7 days to explain gaps; If unexplained: Secretariat publishes notice on Dashboard; CC votes (55%) on extending timeline, reducing burden-sharing, or triggering MOAR opt-out offer; If member opts out: Compliance Surcharge (25% on discretionary fund access) for 12 months.</w:t>
      </w:r>
    </w:p>
    <w:p>
      <w:pPr>
        <w:pStyle w:val="Normal"/>
      </w:pPr>
      <w:r>
        <w:rPr>
          <w:rFonts w:ascii="Calibri" w:hAnsi="Calibri" w:eastAsia="Microsoft YaHei" w:cs="Calibri"/>
          <w:color w:val="263238"/>
          <w:sz w:val="21"/>
          <w:szCs w:val="21"/>
        </w:rPr>
        <w:t>Confidentiality and Fairness</w:t>
      </w:r>
    </w:p>
    <w:p>
      <w:pPr>
        <w:pStyle w:val="Normal"/>
      </w:pPr>
      <w:r>
        <w:rPr>
          <w:rFonts w:ascii="Calibri" w:hAnsi="Calibri" w:eastAsia="Microsoft YaHei" w:cs="Calibri"/>
          <w:color w:val="263238"/>
          <w:sz w:val="21"/>
          <w:szCs w:val="21"/>
        </w:rPr>
        <w:t>Individual member reports not published (only aggregates); Member disputes Dashboard notice within 14 days; No permanent record (entries expire 12 months after case closes); Genuine operational constraints explicitly excused with evidence.</w:t>
      </w:r>
    </w:p>
    <w:p>
      <w:r>
        <w:t>Section 4.3A (Addendum): Small-State Compliance Safe Harbour [NEW: v9.8A Small-State Protection]</w:t>
      </w:r>
    </w:p>
    <w:p>
      <w:r>
        <w:t>Small-state Members (as defined in Section 4.1A) is assessed against a lenient compliance band of 60-100% (vs. standard 70-100%), recognising limited administrative capacity, provided they implement core measures in at least one domain (trade, finance, or regulatory). The Compliance Consultation Notice threshold (Section 4.3A) is adjusted to below 50% for 3 consecutive months for small states. This ensures small economies are assessed on willingness, not capacity.</w:t>
      </w:r>
    </w:p>
    <w:p>
      <w:pPr>
        <w:pStyle w:val="Heading2"/>
      </w:pPr>
      <w:r>
        <w:t>Section 4.3B: Public Legitimacy and Independent Case Review [NEW: v9.8A Adoption Readiness]</w:t>
      </w:r>
    </w:p>
    <w:p>
      <w:r>
        <w:t>For any activation reaching Phase 2 or above, the Secretariat commissions an Independent Case Review, published within 30 days of Phase 2 authorisation:</w:t>
      </w:r>
    </w:p>
    <w:p>
      <w:r>
        <w:t>(a) The review is conducted by a panel of 3 independent experts (trade economists, international lawyers, former diplomats) selected from a pre-approved roster maintained by the IAC;</w:t>
      </w:r>
    </w:p>
    <w:p>
      <w:r>
        <w:t>(b) The review is written in plain, non-technical language accessible to media, non-member governments, and general public audiences;</w:t>
      </w:r>
    </w:p>
    <w:p>
      <w:r>
        <w:t>(c) The review covers: factual summary of certified coercion; proportionality assessment of IMESI response; humanitarian impact assessment; and comparison with multilateral precedents (WTO, UN, IMF actions in similar circumstances);</w:t>
      </w:r>
    </w:p>
    <w:p>
      <w:r>
        <w:t>(d) The review is published separately from IEWC technical findings and clearly labelled as an independent assessment.</w:t>
      </w:r>
    </w:p>
    <w:p>
      <w:r>
        <w:t>This improves global legitimacy, reduces the "shadow cartel" narrative, and makes IMESI actions publicly defensible to non-member audiences and international markets.</w:t>
      </w:r>
    </w:p>
    <w:p>
      <w:pPr>
        <w:pStyle w:val="Heading2"/>
      </w:pPr>
      <w:r>
        <w:t>Section 4.3C: Implementation Proportionality and Administrative Capacity [NEW: v9.9]</w:t>
      </w:r>
    </w:p>
    <w:p>
      <w:r>
        <w:t>The Secretariat calibrates reporting templates, audit intensity, and implementation support to the administrative capacity and tier of each Member. As a default, small states and LDCs receive light-touch, standardised reporting and capacity-building assistance, with more intensive audit and data requirements activated only upon their request or where material implementation gaps are independently documented. Compliance tools prioritise remediation and technical assistance over penalties, especially for Members with constrained administrative resources.</w:t>
      </w:r>
    </w:p>
    <w:p>
      <w:pPr>
        <w:pStyle w:val="Heading2"/>
      </w:pPr>
      <w:r>
        <w:t>Section 4.3D: Impact and Deterrence Note [NEW: v10.0]</w:t>
      </w:r>
    </w:p>
    <w:p>
      <w:r>
        <w:t>Following each activation, the Secretariat prepares and publish a consolidated Impact and Deterrence Note in aggregated, non-sensitive form, summarising: (a) stabilisation effects achieved; (b) estimated losses avoided for affected Members; and (c) indicative costs imposed on coercive measures. The Note is prohibited from disclosing confidential intelligence, commercially sensitive information, or Member-specific implementation details.</w:t>
      </w:r>
    </w:p>
    <w:p>
      <w:pPr>
        <w:pStyle w:val="Heading2"/>
      </w:pPr>
      <w:r>
        <w:t>Section 4.6F: SFI Node Hosting Agreements and Infrastructure Resilience [NEW: v9.8 Structural Fix]</w:t>
      </w:r>
    </w:p>
    <w:p>
      <w:r>
        <w:t>Pre-Negotiated Hosting Contracts</w:t>
      </w:r>
    </w:p>
    <w:p>
      <w:r>
        <w:t>At Year 1, Secretariat negotiates binding 10-year hosting agreements with all 7 node host states covering: Non-Interference Clause (no conditioning access on IMESI decisions); Regulatory Stability (90-day advance notice of new regulations); Security Standards (military-grade protection; Secretariat reimburses costs); Dispute Resolution (ICC arbitration, 30-day expedited process); Continuity Guarantee (180-day transition period if hosting cannot continue).</w:t>
      </w:r>
    </w:p>
    <w:p>
      <w:r>
        <w:t>Blackmail Safeguard</w:t>
      </w:r>
    </w:p>
    <w:p>
      <w:r>
        <w:t>If hosting state threatens revocation for policy concessions: Classified as Institutional Coercion (Red-Line I-2); Secretariat activates node failover to backup location (48-hour window); CC votes (60%) on: suspending voting rights, 150% surcharge, or initiating removal proceedings.</w:t>
      </w:r>
    </w:p>
    <w:p>
      <w:r>
        <w:t>Backup Infrastructure</w:t>
      </w:r>
    </w:p>
    <w:p>
      <w:r>
        <w:t>Secretariat maintains 2 standby node facilities (pre-configured, 72-hour activation) in countries selected for political stability, no recent disputes, advanced cybersecurity, and willingness to host without strings. Funded by 0.05% of annual Fund contributions. Core SFI settlement algorithms replicated across all 7 nodes in real-time; no single host state is essential.</w:t>
      </w:r>
    </w:p>
    <w:p>
      <w:pPr>
        <w:pStyle w:val="Heading3"/>
      </w:pPr>
      <w:r>
        <w:t>Section 4.6F (Addendum): Institutional Swap on Defection Notice [NEW: v15.0]</w:t>
      </w:r>
    </w:p>
    <w:p>
      <w:r>
        <w:t>(e) Upon a Member's notification of withdrawal under Section 3.7B, or upon suspension of implementation under Section 1.0A, the following institutional swap procedures activate automatically: (i) any IMESI node, facility, or institution hosted within the withdrawing Member's territory initiates failover to pre-designated backup facilities within 24 hours; (ii) the 7-node distributed architecture (Section 4.6D) activates the 3-of-7 multi-signature emergency procedure for any critical decision requiring the withdrawing Member's participation; (iii) the withdrawing Member's central bank swap lines under Section 4.6H transfer to backup central banks within 7 days; and (iv) the withdrawing Member's voting rights are suspended immediately upon notification, subject to reinstatement only upon written withdrawal of the notification.</w:t>
      </w:r>
    </w:p>
    <w:p>
      <w:r>
        <w:t>(f) The Institutional Swap completes within 30 days of the withdrawal notification.</w:t>
      </w:r>
    </w:p>
    <w:p>
      <w:r>
        <w:t>Rationale: This removes hosting leverage. The moment a Member threatens to leave, its nodes, swap lines, and voting rights transfer to backup jurisdictions.</w:t>
      </w:r>
    </w:p>
    <w:p>
      <w:pPr>
        <w:pStyle w:val="Heading2"/>
      </w:pPr>
      <w:r>
        <w:t>Section 4.6H: Central Bank Swap Coordination and Binding Framework [NEW: v9.8 Structural Fix]</w:t>
      </w:r>
    </w:p>
    <w:p>
      <w:r>
        <w:t>Pre-Negotiated Standing Swaps</w:t>
      </w:r>
    </w:p>
    <w:p>
      <w:r>
        <w:t>At Year 1, Secretariat negotiates binding 5-year Central Bank Liquidity Framework with all Tier 2+ member central banks: Standby Swap Line Size: Minimum USD 10B per major economy (scaled by GDP); Activation Trigger: Upon CC Phase 2+ or GSD/SND certification, swap lines activate within 4 hours; Terms: LIBOR/SOFR + 50bps, 6-month rollover; Sovereign Immunity: Participating central banks commit not to invoke sovereign immunity.</w:t>
      </w:r>
    </w:p>
    <w:p>
      <w:r>
        <w:t>Fallback Mechanism</w:t>
      </w:r>
    </w:p>
    <w:p>
      <w:r>
        <w:t>If major central bank declines: Activate pre-positioned Emergency Liquidity Reserve (0.5% of Fund in SDR/gold); Convene Standing Monetary Coordination Panel; Authorized alternative sources substitute for missing swap line liquidity.</w:t>
      </w:r>
    </w:p>
    <w:p>
      <w:r>
        <w:t>Enforcement</w:t>
      </w:r>
    </w:p>
    <w:p>
      <w:r>
        <w:t>If Tier 2+ central bank refuses to honour commitment: Automatic downgrade to Tier 1 for 12 months; 50% Fund contribution increase during non-compliance; Priority access to future Resilience Fund facilities lost; Incident reported to IMF and BIS.</w:t>
      </w:r>
    </w:p>
    <w:p>
      <w:r>
        <w:t>Non-Member Central Bank Participation</w:t>
      </w:r>
    </w:p>
    <w:p>
      <w:r>
        <w:t>Federal Reserve and ECB invited as "Reserve Participant" status: Bind swap lines; Receive quarterly IEWC briefings (unclassified); Participate in annual monetary coordination stress tests; No other IMESI obligations.</w:t>
      </w:r>
    </w:p>
    <w:p>
      <w:pPr>
        <w:pStyle w:val="Heading2"/>
      </w:pPr>
      <w:r>
        <w:t>Section 4.7: Integrity and Anti-Corruption Protocol [NEW: v15.0]</w:t>
      </w:r>
    </w:p>
    <w:p>
      <w:r>
        <w:t>(a) All IMESI officials, including: (i) IEWC analysts and leadership; (ii) IAC members and staff; (iii) the Secretariat Director-General and senior staff; (iv) CC members and their designated representatives; (v) members of all standing expert panels; (vi) Private Sector Advisory Board members; and (vii) any person with access to Restricted or Locked Tier intelligence, file a comprehensive Beneficial Ownership Disclosure with the Secretariat within 30 days of appointment and annually thereafter.</w:t>
      </w:r>
    </w:p>
    <w:p>
      <w:r>
        <w:t>(b) The Disclosure includes: (i) all assets exceeding USD 100,000 in value, held directly or indirectly; (ii) all sources of income exceeding USD 10,000 annually; (iii) all trusts, foundations, or corporate entities in which the official holds a beneficial interest exceeding 10%; (iv) all family members' assets and income exceeding USD 50,000, where the official holds knowledge of such assets; and (v) all gifts, hospitality, or travel funded by any non-IMESI source exceeding USD 500 in value.</w:t>
      </w:r>
    </w:p>
    <w:p>
      <w:r>
        <w:t>(c) The Secretariat: (i) verifies all Disclosures through independent third-party audit; (ii) publishes a summary of all Disclosures on the Dashboard, redacting personal identifying information; and (iii) refers any material discrepancy to the Internal Adjudication Chamber for investigation.</w:t>
      </w:r>
    </w:p>
    <w:p>
      <w:r>
        <w:t>(d) Failure to file, or filing a materially false Disclosure, constitutes: (i) immediate suspension from all IMESI functions; (ii) a Tier 2 anti-fragmentation violation by the Member employing the official; and (iii) a 50% Fund surcharge on the employing Member for 12 months.</w:t>
      </w:r>
    </w:p>
    <w:p>
      <w:r>
        <w:t>(e) The IEWC maintains a standing Financial Intelligence Unit (FIU) of 5 analysts with expertise in forensic accounting, beneficial ownership tracing, and offshore financial structures. The FIU: (i) monitors Disclosures for anomalies; (ii) tracks known coercer-state financial networks; and (iii) reports quarterly to the CC on integrity risks.</w:t>
      </w:r>
    </w:p>
    <w:p>
      <w:r>
        <w:t>Rationale: This makes bribery nearly impossible. Every official's financial life stands transparent. A coercer cannot pay a bribe without detection by the Financial Intelligence Unit and disclosure to the entire coalition.</w:t>
      </w:r>
    </w:p>
    <w:p>
      <w:pPr>
        <w:pStyle w:val="Heading2"/>
      </w:pPr>
      <w:r>
        <w:t>Section 4.7A: Revolving Door Restrictions [NEW: v15.0]</w:t>
      </w:r>
    </w:p>
    <w:p>
      <w:r>
        <w:t>(a) All IMESI officials with access to Restricted or Locked Tier intelligence (Section 4.2K) are subject to a 36-month cooling-off period following departure from IMESI service.</w:t>
      </w:r>
    </w:p>
    <w:p>
      <w:r>
        <w:t>(b) During the cooling-off period, the framework prohibits former officials from: (i) accepting employment, consulting contracts, or board positions with any state or state-adjoined entity certified as a coercer within the preceding 60 months; (ii) accepting employment, consulting contracts, or board positions with any entity that derives more than 30% of its revenue from a state certified as a coercer within the preceding 60 months; (iii) providing advice, analysis, or intelligence of any kind relating to IMESI operations to any such entity; and (iv) testifying in any proceeding against IMESI or its Members.</w:t>
      </w:r>
    </w:p>
    <w:p>
      <w:r>
        <w:t>(c) Former officials remain subject to: (i) lifetime confidentiality obligations (Section 4.6); (ii) the Alumni Network Security Protocol (Section 4.6 Addendum); and (iii) the same data governance and retention obligations as serving officials (Section 4.2G).</w:t>
      </w:r>
    </w:p>
    <w:p>
      <w:r>
        <w:t>(d) Violation of the cooling-off period: (i) triggers a lifetime ban from all IMESI-related activities; (ii) triggers a 50% Fund surcharge on the former official's home Member for 12 months; and (iii) triggers a mandatory IAC investigation of the employing entity and its home state.</w:t>
      </w:r>
    </w:p>
    <w:p>
      <w:r>
        <w:t>(e) The Secretariat maintains a public Registry of Former Officials, listing their departure date, last position, and cooling-off period expiry date.</w:t>
      </w:r>
    </w:p>
    <w:p>
      <w:r>
        <w:t>Rationale: This removes the incentive for officials to cash out by selling IMESI knowledge to a coercer. The 36-month cooling-off period blocks any departing official from immediately monetising access.</w:t>
      </w:r>
    </w:p>
    <w:p>
      <w:pPr>
        <w:pStyle w:val="Heading3"/>
      </w:pPr>
      <w:r>
        <w:t>Section 4.7A (Addendum): Permanent Revolving Door Restrictions [NEW: v15.0]</w:t>
      </w:r>
    </w:p>
    <w:p>
      <w:r>
        <w:t>(f) For purposes of this Section, the 36-month cooling-off period under Section 4.7A extends to 10 years for: (i) IEWC analysts with access to Locked Tier intelligence; (ii) IAC members; and (iii) the Director-General and Deputy Directors-General.</w:t>
      </w:r>
    </w:p>
    <w:p>
      <w:r>
        <w:t>(g) During the 10-year cooling-off period, former officials subject to subsection (f): (i) are prohibited from accepting employment, consulting contracts, or board positions with any state or state-adjoined entity that has been certified as a coercer within the preceding 60 months; (ii) are prohibited from providing advice, analysis, or intelligence of any kind relating to IMESI operations to any such entity; and (iii) remain subject to lifetime confidentiality obligations (Section 4.6).</w:t>
      </w:r>
    </w:p>
    <w:p>
      <w:r>
        <w:t>(h) Violation of the 10-year cooling-off period: (i) triggers a lifetime ban from all IMESI-related activities; (ii) triggers a 100% Fund surcharge, rather than 50%, on the former official's home Member for 24 months; and (iii) triggers a mandatory IAC investigation of the employing entity and its home state.</w:t>
      </w:r>
    </w:p>
    <w:p>
      <w:r>
        <w:t>(i) The Secretariat maintains a public Registry of Former Officials subject to the 10-year cooling-off period, listing their departure date, last position, and cooling-off period expiry date.</w:t>
      </w:r>
    </w:p>
    <w:p>
      <w:r>
        <w:t>Rationale: This closes the wait-it-out loophole. The most sensitive officials face a 10-year cooling-off period. A coercer cannot simply wait three years and then acquire insider knowledge.</w:t>
      </w:r>
    </w:p>
    <w:p>
      <w:pPr>
        <w:pStyle w:val="Heading2"/>
      </w:pPr>
      <w:r>
        <w:t>Section 4.7B: Whistleblower Fortress Protocol [NEW: v15.0]</w:t>
      </w:r>
    </w:p>
    <w:p>
      <w:r>
        <w:t>(a) The Secretariat establishes a Whistleblower Fortress Unit, independent of the Director-General and reporting directly to the Coordination Committee.</w:t>
      </w:r>
    </w:p>
    <w:p>
      <w:r>
        <w:t>(b) The Whistleblower Fortress Unit: (i) receives and investigates reports of corruption, bribery, sabotage, or misuse of IMESI resources; (ii) protects the identity of whistleblowers from all IMESI bodies and Member states; (iii) provides legal defence funding up to USD 500,000 to whistleblowers facing retaliation; (iv) provides relocation assistance to whistleblowers facing credible threats; and (v) investigates all reports within 14 days and reports findings to the IAC.</w:t>
      </w:r>
    </w:p>
    <w:p>
      <w:r>
        <w:t>(c) Any person providing information leading to a confirmed corruption finding under Section 6.1(h), a confirmed sabotage finding under Section 6.11, or a confirmed bad-faith claim under Section 6.12, receives: (i) a reward of 25% of any Defection Penalty Fund allocation arising from the finding, capped at USD 5 million; (ii) guaranteed anonymity through Secretariat-protected channels; and (iii) immunity from retaliation under Member state whistleblower laws.</w:t>
      </w:r>
    </w:p>
    <w:p>
      <w:r>
        <w:t>(d) Retaliation against a whistleblower constitutes: (i) a Tier 1 anti-fragmentation violation by the retaliating Member; (ii) automatic suspension of the retaliating Member's voting rights for 12 months; and (iii) a mandatory IAC investigation and potential tier downgrade.</w:t>
      </w:r>
    </w:p>
    <w:p>
      <w:r>
        <w:t>(e) The Whistleblower Fortress Unit publishes an annual report on its activities, redacting all identifying information.</w:t>
      </w:r>
    </w:p>
    <w:p>
      <w:r>
        <w:t>Rationale: This creates a powerful incentive to expose corruption. Whistleblowers stand protected, funded, and rewarded. A coercer cannot operate in the shadows, because too many eyes watch and too much reward attaches to speaking up.</w:t>
      </w:r>
    </w:p>
    <w:p>
      <w:pPr>
        <w:pStyle w:val="Heading2"/>
      </w:pPr>
      <w:r>
        <w:t>Section 4.7C: Voting Integrity and Anti-Coercion Verification [NEW: v15.0]</w:t>
      </w:r>
    </w:p>
    <w:p>
      <w:r>
        <w:t>(a) For any CC vote on: (i) coercion certification (Article II); (ii) Phase 2+ activation (Article V); (iii) tier status changes (Article III); or (iv) Fund disbursements exceeding USD 1 billion (Article VIII), the Secretariat conducts a mandatory Voting Integrity Verification within 7 days of the vote.</w:t>
      </w:r>
    </w:p>
    <w:p>
      <w:r>
        <w:t>(b) The Verification assesses: (i) whether any Member's vote was cast under duress, inducement, or coercion by a state or non-state actor; (ii) whether any Member's abstention was coerced or induced; and (iii) whether any Member's vote was cast by an official who had received a significant financial or political benefit from a certified coercer within the preceding 24 months.</w:t>
      </w:r>
    </w:p>
    <w:p>
      <w:r>
        <w:t>(c) The Verification is conducted by: (i) the IEWC Financial Intelligence Unit (Section 4.7); (ii) the Internal Adjudication Chamber; and (iii) an independent third-party auditor selected by the CC.</w:t>
      </w:r>
    </w:p>
    <w:p>
      <w:r>
        <w:t>(d) Where the Verification finds evidence of coerced or induced voting: (i) the vote is automatically nullified and re-run; (ii) the coercing actor faces a Tier 1 anti-fragmentation violation; (iii) the coerced Member faces a Tier 2 violation and a 25% Fund surcharge for 12 months; and (iv) where the coercing actor is a Member, Section 6.11 suspension procedures trigger automatically.</w:t>
      </w:r>
    </w:p>
    <w:p>
      <w:r>
        <w:t>(e) The Verification findings are: (i) published on the Dashboard, redacted for source protection; (ii) archived in the Legacy Case Archive (Section 4.6E); and (iii) citable as precedent in future Verification proceedings.</w:t>
      </w:r>
    </w:p>
    <w:p>
      <w:r>
        <w:t>Rationale: This makes vote-buying institutionally impossible. Every critical vote faces audit for coercion. A bribed vote is automatically nullified, and the bribing state stands exposed and sanctioned.</w:t>
      </w:r>
    </w:p>
    <w:p>
      <w:pPr>
        <w:pStyle w:val="Heading2"/>
      </w:pPr>
      <w:r>
        <w:t>Section 4.7D: Systemic Decision Golden Share [NEW: v15.0]</w:t>
      </w:r>
    </w:p>
    <w:p>
      <w:r>
        <w:t>(a) For any decision under this Instrument that: (i) certifies a systemic economy as a coercer (Article II); (ii) authorises Phase 3 measures against a systemic economy (Article V); (iii) authorises Fund disbursements exceeding 5% of total Fund size (Article VIII); (iv) amends any Core provision (Section 3.7A); or (v) imposes anti-fragmentation penalties on a systemic economy, the following additional voting requirements apply.</w:t>
      </w:r>
    </w:p>
    <w:p>
      <w:r>
        <w:t>(b) Golden Share Requirement: in addition to the standard weighted vote threshold, the decision receives affirmative votes from: (A) at least 60% of Tier 3 (Enhanced Solidarity) members; (B) at least 50% of Tier 2 (Full) members; and (C) at least 50% of Small State Collective Caucus members (Section 4.1A).</w:t>
      </w:r>
    </w:p>
    <w:p>
      <w:r>
        <w:t>(c) The Golden Share requirement ensures that: (i) no single group of members blocks a systemic decision; (ii) no single group of members forces a systemic decision against the collective position of the broader coalition; and (iii) small states hold a collective voice in decisions affecting their protection. The requirement is automatic, non-waivable by any Member or group of Members, and subject to the Nofade Protocol (Annex 25).</w:t>
      </w:r>
    </w:p>
    <w:p>
      <w:r>
        <w:t>(d) Any attempt to waive, circumvent, or avoid the Golden Share requirement: (i) constitutes a Tier 1 anti-fragmentation violation; (ii) results in automatic suspension of the proposing Member's voting rights for 12 months; and (iii) triggers a mandatory IAC investigation.</w:t>
      </w:r>
    </w:p>
    <w:p>
      <w:r>
        <w:t>(e) The Golden Share requirement does not: (i) create a veto for any individual Member; (ii) alter the weighted vote threshold for standard decisions; or (iii) apply to Phase 0 or Phase 1 decisions.</w:t>
      </w:r>
    </w:p>
    <w:p>
      <w:r>
        <w:t>Rationale: This makes it impossible for a coercer to bribe a blocking minority. A systemic decision requires broad support across all tiers and regions. Bribing a handful of small states fails when the decision also needs 60% of Tier 3 members and 50% of the Small State Caucus.</w:t>
      </w:r>
    </w:p>
    <w:p>
      <w:pPr>
        <w:pStyle w:val="Heading2"/>
      </w:pPr>
      <w:r>
        <w:t>Section 4.7E: Crisis Continuity Mandate [NEW: v15.0]</w:t>
      </w:r>
    </w:p>
    <w:p>
      <w:r>
        <w:t>(a) Upon IEWC certification of a Continuity Crisis, defined as: (i) two or more Members simultaneously invoking Section 1.0A (Domestic Sovereignty) to block implementation; (ii) two or more Members notifying withdrawal under Section 3.7B within a 7-day window; (iii) a change of government in three or more Members within a 30-day period; or (iv) a certified coercer engaging in a coordinated campaign to induce Members to suspend implementation, the following continuity measures activate automatically.</w:t>
      </w:r>
    </w:p>
    <w:p>
      <w:r>
        <w:t>(b) The Secretariat: (i) convenes an emergency CC session within 24 hours; (ii) activates the Distributed Institutional Memory (Section 4.6D) to ensure operational continuity; (iii) activates the Institutional Swap Framework (Section 4.6F) to transfer any compromised functions to backup locations; and (iv) activates the Departure Communications Playbook (Section 4.2AE).</w:t>
      </w:r>
    </w:p>
    <w:p>
      <w:r>
        <w:t>(c) During a Continuity Crisis: (i) all existing Phase 2+ measures persist at full strength under the Nofade Protocol (Annex 25); (ii) no new escalations occur without a 60% CC vote; (iii) the Secretariat provides daily briefings to all Members on crisis status; and (iv) the IEWC provides weekly threat assessments.</w:t>
      </w:r>
    </w:p>
    <w:p>
      <w:r>
        <w:t>(d) A Continuity Crisis automatically extends for 90 days, renewable by 55% CC vote.</w:t>
      </w:r>
    </w:p>
    <w:p>
      <w:r>
        <w:t>Rationale: This ensures IMESI cannot be paralysed by a coordinated political attack. The institution continues functioning even during political transitions, leadership changes, or coercer-induced chaos.</w:t>
      </w:r>
    </w:p>
    <w:p>
      <w:pPr>
        <w:pStyle w:val="Heading2"/>
      </w:pPr>
      <w:r>
        <w:t>Section 4.7F: Intelligence Integrity Canary Protocol [NEW: v15.0]</w:t>
      </w:r>
    </w:p>
    <w:p>
      <w:r>
        <w:t>(a) The IEWC maintains a standing Intelligence Integrity Canary Protocol, designed to detect and isolate manipulated intelligence.</w:t>
      </w:r>
    </w:p>
    <w:p>
      <w:r>
        <w:t>(b) The Protocol includes: (i) Canary Data: small, plausible, false data points injected into the intelligence environment, known only to the IEWC Director and two designated analysts; (ii) Integrity Checks: random, unannounced audits of intelligence sources and methodology; and (iii) Source Verification: mandatory verification of all intelligence sources through at least two independent channels before use in certification decisions.</w:t>
      </w:r>
    </w:p>
    <w:p>
      <w:r>
        <w:t>(c) Where the IEWC detects that Canary Data has been submitted as authentic intelligence by a Member, used in an analytical product, or leaked to a non-member state, the following consequences apply: (i) immediate investigation by the Leakage Response Team (Section 4.2N); (ii) mandatory 14-day review by the IAC; (iii) automatic suspension of the implicated Member's intelligence access for 12 months; and (iv) a 25% Fund surcharge on the implicated Member for 24 months.</w:t>
      </w:r>
    </w:p>
    <w:p>
      <w:r>
        <w:t>(d) The IEWC publishes an annual Intelligence Integrity Report, summarising all integrity checks and canary data activations, without revealing operational details.</w:t>
      </w:r>
    </w:p>
    <w:p>
      <w:r>
        <w:t>(e) The IAC reviews the Canary Protocol annually and updates it as necessary.</w:t>
      </w:r>
    </w:p>
    <w:p>
      <w:r>
        <w:t>Rationale: This makes intelligence manipulation catastrophically risky. A coercer cannot plant false intelligence without risking exposure through the Canary Protocol. The cost of detection is suspension and financial penalty.</w:t>
      </w:r>
    </w:p>
    <w:p>
      <w:pPr>
        <w:pStyle w:val="Heading2"/>
      </w:pPr>
      <w:r>
        <w:t>Section 4.7G: Solidarity Audit Protocol [NEW: v15.0]</w:t>
      </w:r>
    </w:p>
    <w:p>
      <w:r>
        <w:t>(a) The IEWC conducts a mandatory Solidarity Audit for: (i) every Tier 2+ Member, annually; (ii) any Member that has received a bilateral exemption offer from a certified coercer; (iii) any Member that has invoked MOAR (Section 3.5) more than twice in a 12-month period; and (iv) any Member that has abstained from more than 30% of activation votes in a 12-month period.</w:t>
      </w:r>
    </w:p>
    <w:p>
      <w:r>
        <w:t>(b) The Solidarity Audit assesses: (i) the Member's compliance with all IMESI obligations; (ii) the Member's participation in all activations and exercises; (iii) the Member's transparency and disclosure compliance; (iv) the Member's voting patterns for evidence of coercion or inducement; and (v) the Member's domestic political environment for evidence of coercer pressure.</w:t>
      </w:r>
    </w:p>
    <w:p>
      <w:r>
        <w:t>(c) The Solidarity Audit is conducted by: (i) the IEWC Compliance Unit; (ii) the Internal Adjudication Chamber; and (iii) an independent third-party auditor selected by the CC.</w:t>
      </w:r>
    </w:p>
    <w:p>
      <w:r>
        <w:t>(d) Audit findings are: (i) provided to the audited Member confidentially; (ii) provided to the CC in aggregate form; and (iii) used to inform burden-sharing adjustments and tier reviews.</w:t>
      </w:r>
    </w:p>
    <w:p>
      <w:r>
        <w:t>(e) Where the Audit finds evidence of material non-compliance, coerced or induced non-participation, or systematic evasion of obligations, the Member faces: (i) a mandatory 30-day remediation plan; (ii) automatic VCI downgrade (Annex 13A); (iii) a 25% Fund surcharge for 12 months; and (iv) potential tier downgrade under Section 3.4.</w:t>
      </w:r>
    </w:p>
    <w:p>
      <w:r>
        <w:t>(f) The Solidarity Audit is proactive, not reactive. Its purpose is to detect and remedy pressure before it leads to defection.</w:t>
      </w:r>
    </w:p>
    <w:p>
      <w:r>
        <w:t>Rationale: This makes quiet pressure impossible. The Solidarity Audit proactively detects signs of coercion, induced non-compliance, and silent sabotage. Members know audits run continuously, which deters them from accepting bribes or pressure.</w:t>
      </w:r>
    </w:p>
    <w:p>
      <w:pPr>
        <w:pStyle w:val="Heading2"/>
      </w:pPr>
      <w:r>
        <w:t>Section 4.7H: Nuclear Umbrella and Security Guarantee Neutrality [NEW: v15.0]</w:t>
      </w:r>
    </w:p>
    <w:p>
      <w:r>
        <w:t>(a) IMESI recognises that Members rely on nuclear umbrella arrangements, collective security guarantees, or bilateral defence treaties for their national security.</w:t>
      </w:r>
    </w:p>
    <w:p>
      <w:r>
        <w:t>(b) Nothing in this Instrument is interpreted as requiring or encouraging any Member to alter: (i) its nuclear umbrella arrangements; (ii) its collective security commitments; or (iii) its bilateral defence treaties.</w:t>
      </w:r>
    </w:p>
    <w:p>
      <w:r>
        <w:t>(c) Where a coercing state explicitly or implicitly conditions economic treatment on a Member's nuclear umbrella arrangements, collective security commitments, or bilateral defence treaties, such conduct constitutes: (i) Security-Alliance Linked Coercion (Section 2.12B); (ii) automatic activation of the Military-Economic Nexus provisions (Section 2.12A); and (iii) automatic elevation to Critical severity classification (Section 2.3).</w:t>
      </w:r>
    </w:p>
    <w:p>
      <w:r>
        <w:t>(d) The Secretariat: (i) maintains a confidential registry of Members' nuclear umbrella and collective security arrangements; (ii) uses the registry only for assessing coercion severity; and (iii) discloses no registry information without Member consent.</w:t>
      </w:r>
    </w:p>
    <w:p>
      <w:r>
        <w:t>(e) This Section operates without prejudice to Members' obligations under: (i) the Treaty on the Non-Proliferation of Nuclear Weapons; (ii) the Charter of the United Nations; and (iii) any regional or bilateral defence treaty.</w:t>
      </w:r>
    </w:p>
    <w:p>
      <w:r>
        <w:t>Rationale: This removes the coercer's ability to use security guarantees as economic leverage. No Member faces economic coercion because of its defence arrangements. The coercer's threat to withdraw security coverage itself constitutes coercion.</w:t>
      </w:r>
    </w:p>
    <w:p>
      <w:pPr>
        <w:pStyle w:val="Heading2"/>
      </w:pPr>
      <w:r>
        <w:t>Section 4.8: Secretariat Hosting and Depositary [NEW: v15.0]</w:t>
      </w:r>
    </w:p>
    <w:p>
      <w:r>
        <w:t>(a) A Member state selected by the Coordination Committee by 60% weighted vote hosts the Secretariat.</w:t>
      </w:r>
    </w:p>
    <w:p>
      <w:r>
        <w:t>(b) The hosting agreement: (i) specifies the location of the Secretariat; (ii) ensures the Secretariat's independence and immunity; (iii) provides for secure facilities and operations; and (iv) is subject to a 10-year review and renewal process.</w:t>
      </w:r>
    </w:p>
    <w:p>
      <w:r>
        <w:t>(c) The Depositary of this Instrument is: (i) the host state of the Secretariat; or (ii) a neutral state designated by the Coordination Committee by 60% weighted vote.</w:t>
      </w:r>
    </w:p>
    <w:p>
      <w:r>
        <w:t>(d) The Depositary: (i) receives and communicates notifications under this Instrument; (ii) maintains the official text of this Instrument; (iii) certifies copies of this Instrument; and (iv) discharges other functions customary for treaty depositaries.</w:t>
      </w:r>
    </w:p>
    <w:p>
      <w:r>
        <w:t>(e) The hosting agreement and Depositary designation: (i) the Parties negotiate them within 12 months of entry into force; (ii) they are subject to the Nofade Protocol (Annex 25); and (iii) the Coordination Committee amends them by 60% weighted vote.</w:t>
      </w:r>
    </w:p>
    <w:p>
      <w:r>
        <w:t>(f) The Founding Conference establishes a Provisional Hosting Arrangement pending the final hosting agreement.</w:t>
      </w:r>
    </w:p>
    <w:p>
      <w:r>
        <w:t>Rationale: This closes the hosting gap. A clear process now governs host state selection and Depositary designation.</w:t>
      </w:r>
    </w:p>
    <w:p>
      <w:pPr>
        <w:pStyle w:val="Heading1"/>
        <w:pageBreakBefore/>
      </w:pPr>
      <w:r>
        <w:t>ARTICLE V: ACTIVATION PROCEDURES</w:t>
      </w:r>
      <w:bookmarkStart w:name="_Toc000019" w:id="19"/>
      <w:bookmarkEnd w:id="19"/>
    </w:p>
    <w:p>
      <w:pPr>
        <w:pStyle w:val="Heading3"/>
      </w:pPr>
      <w:r>
        <w:t>Section 5.13: Emergency Vote Consolidation [NEW: v11.0]</w:t>
      </w:r>
    </w:p>
    <w:p>
      <w:r>
        <w:t>To prevent veto through procedural delay, the Director-General consolidates multiple related tariff actions into a single AESI and puts the package to a single, unified Coordination Committee vote, replacing individual votes per HS code.</w:t>
      </w:r>
    </w:p>
    <w:p>
      <w:pPr>
        <w:pStyle w:val="Heading2"/>
      </w:pPr>
      <w:r>
        <w:t>Section 5.0: Phase 0, Mandatory Consultation Window</w:t>
      </w:r>
    </w:p>
    <w:p>
      <w:pPr>
        <w:pStyle w:val="Heading3"/>
      </w:pPr>
      <w:r>
        <w:t>Section 5.0K: WTO Notification and Consultation Protocol [NEW: v12.0]</w:t>
      </w:r>
    </w:p>
    <w:p>
      <w:r>
        <w:t>The Secretariat notifies the WTO Director-General and the coercing state within 48 hours of IEWC certification. The coercing state holds 14 days to engage in good-faith consultations at the WTO. Where consultations fail or the coercing state declines engagement, Phase 1 activates automatically. For Red-Line events, pre-formation attacks, and emergency classifications, the framework operates a compressed track: 48-hour notification and a 72-hour expedited consultation window, after which activation proceeds. Protective measures that carry no trade-restrictive character, including liquidity support and market stabilisation, execute immediately in all tracks.</w:t>
      </w:r>
    </w:p>
    <w:p>
      <w:pPr>
        <w:pStyle w:val="Heading3"/>
      </w:pPr>
      <w:r>
        <w:t>Section 5.0L: Binding WTO Compatibility Certification [NEW: v12.0]</w:t>
      </w:r>
    </w:p>
    <w:p>
      <w:r>
        <w:t>Before any Phase 1 activation, the Secretariat issues a formal WTO Compatibility Certification. Where the certification finds the proposed measures incompatible, the Coordination Committee authorises them only through a 75% supermajority override with published justification. The Secretariat publishes every certification and makes it available to any WTO member.</w:t>
      </w:r>
    </w:p>
    <w:p>
      <w:pPr>
        <w:pStyle w:val="Heading3"/>
      </w:pPr>
      <w:r>
        <w:t>Section 5.0 (Addendum): Good-Faith Engagement Requirement [NEW: v12.0]</w:t>
      </w:r>
    </w:p>
    <w:p>
      <w:r>
        <w:t>Before activating any stabilisation measures, Members engage in good-faith efforts to resolve the dispute through consultation, mediation, or other peaceful means. The Secretariat documents these efforts as part of the Proportionality Certification.</w:t>
      </w:r>
    </w:p>
    <w:p>
      <w:r>
        <w:t>Before any escalation tier activates, IMESI observes a mandatory consultation window: Severity</w:t>
      </w:r>
    </w:p>
    <w:p>
      <w:r>
        <w:t>Standard Phase 0</w:t>
      </w:r>
    </w:p>
    <w:p>
      <w:r>
        <w:t>Provisional Phase 0 (parallel)</w:t>
      </w:r>
    </w:p>
    <w:p>
      <w:r>
        <w:t>Minor / Moderate</w:t>
      </w:r>
    </w:p>
    <w:p>
      <w:r>
        <w:t>14 days, confirm assessment, explore quiet resolution</w:t>
      </w:r>
    </w:p>
    <w:p>
      <w:r>
        <w:t>72-hour quiet confirmation: IEWC notifies members, silence = preliminary assessment accepted; formal Phase 0 runs in parallel</w:t>
      </w:r>
    </w:p>
    <w:p>
      <w:r>
        <w:t>Severe</w:t>
      </w:r>
    </w:p>
    <w:p>
      <w:r>
        <w:t>7 days, expedited confirmation, offer dialogue</w:t>
      </w:r>
    </w:p>
    <w:p>
      <w:r>
        <w:t>48-hour rapid verification: telephonic Coordination Committee vote permitted; written ratification within 72 hours</w:t>
      </w:r>
    </w:p>
    <w:p>
      <w:r>
        <w:t>48 hours, rapid verification, DG contacts coercer</w:t>
      </w:r>
    </w:p>
    <w:p>
      <w:r>
        <w:t>Unchanged, already optimal</w:t>
      </w:r>
    </w:p>
    <w:p>
      <w:r>
        <w:t>Critical Red-Line</w:t>
      </w:r>
    </w:p>
    <w:p>
      <w:r>
        <w:t>/</w:t>
      </w:r>
    </w:p>
    <w:p>
      <w:r>
        <w:t>Provisional Phase 0 allows the IEWC to begin mobilisation (stockpile positioning, SFI settlement drills, burden-sharing pre-calculation) while formal consultation completes in parallel. This splits the difference between speed and deliberation, standard consultation proceeds normally, but defensive preparation does</w:t>
      </w:r>
    </w:p>
    <w:p>
      <w:r>
        <w:t>not wait for its completion. If the coercing state ceases measures during Phase 0, activation pauses. Pre-authorised scenario triggers (Red-Line categories) proceed on the 48-hour track, not bypassing Phase 0 entirely. Mediation-First Mandate (v8.5): Before any Phase 1 activation for Minor or Moderate severity cases, a 14-day mandatory mediation window opens. An independent mediator (selected from a rotating pool: ICJ nominees, WTO Director-General, or regional organisation heads) convenes confidential sessions. Stabilisation Measures are authorised only if the mediator certifies absence of constructive engagement by either party. Mediator selection requires mutual consent; either party rejects up to 2 candidates. For Severe and above, mediation runs in parallel with Phase 0 preparation rather than delaying it. First-Use Calibration Protocol (v9.2): For first activations during the founding period (first 5 years or first 3 cases, whichever is later): (a) initial deployment is capped at Phase 1 modules only for the first 60 days; (b) Phase 2 escalation requires enhanced parliamentary review in addition to standard CC vote; (c) 60-day mandatory assessment before any further escalation. This ensures founding-period activations are bounded, reversible, and subject to intensified democratic oversight, building institutional credibility through demonstrated competence rather than maximum force. Automatic Phase 1 Baseline (v9.1): For Moderate severity cases, once IEWC certification is complete and the standard CC vote is met, a defined subset of Phase 1 measures deploys automatically without additional political discretion to delay: IEWC public attribution; Dashboard status upgrade; SFI settlement preference activation; and SEPC protection orders for pre-certified entities in affected sectors. Remaining Phase 1 measures proceed through standard political channels. This ensures credible minimum response at the most common severity level.</w:t>
      </w:r>
    </w:p>
    <w:p>
      <w:pPr>
        <w:pStyle w:val="Heading3"/>
      </w:pPr>
      <w:r>
        <w:t>Section 5.0 (Second Addendum): First Activation Accountability Protocol [NEW: v15.0]</w:t>
      </w:r>
    </w:p>
    <w:p>
      <w:r>
        <w:t>(h) For the first activation under this Instrument, the following additional procedural safeguards apply: (i) the Secretariat prepares an enhanced Proportionality Certification Memo, including: (A) a detailed historical analysis of similar coercion events; (B) a comparative assessment of potential response options; (C) a third-country spillover analysis; and (D) a humanitarian impact assessment; (ii) the Rapid Legitimacy Signal Mechanism (Section 4.2U) issues a Legitimacy Note within 48 hours rather than 72 hours; (iii) the CC holds a public session, open to observers, on the activation within 14 days; (iv) the first activation does not exceed Phase 1 intensity for the first 30 days, unless the CC votes (60%) to escalate earlier; and (v) the Independent Review Commission conducts a comprehensive review of the first activation and reports to the Grand Review Convention.</w:t>
      </w:r>
    </w:p>
    <w:p>
      <w:r>
        <w:t>(i) The enhanced safeguards under subsection (h) apply only to the first activation under this Instrument. Subsequent activations follow the standard procedures.</w:t>
      </w:r>
    </w:p>
    <w:p>
      <w:r>
        <w:t>(j) The Secretariat prepares a First Activation Lessons Learned report within 90 days of case closure, published on the Dashboard and archived in the Legacy Case Archive.</w:t>
      </w:r>
    </w:p>
    <w:p>
      <w:r>
        <w:t>Rationale: This ensures that the first activation is subject to enhanced scrutiny and accountability. It demonstrates IMESI's commitment to responsible use, building trust and legitimacy. The 30-day Phase 1 intensity cap and humanitarian impact assessment strengthen the proportionality and least-restrictive-means record under Section 4.2V.</w:t>
      </w:r>
    </w:p>
    <w:p>
      <w:pPr>
        <w:pStyle w:val="Heading2"/>
      </w:pPr>
      <w:r>
        <w:t>Section 5.0A: Fast-Track Activation Override (FTA-O)</w:t>
      </w:r>
    </w:p>
    <w:p>
      <w:pPr>
        <w:pStyle w:val="Heading3"/>
      </w:pPr>
      <w:r>
        <w:t>Section 5.0A (Addendum): Lame Duck Acceleration [NEW: v11.0]</w:t>
      </w:r>
    </w:p>
    <w:p>
      <w:r>
        <w:t>Where the coercing state enters a political transition period following an election, IMESI timelines compress by 50% to pre-empt last-minute tariff actions during the transition.</w:t>
      </w:r>
    </w:p>
    <w:p>
      <w:pPr>
        <w:pStyle w:val="Heading3"/>
      </w:pPr>
      <w:r>
        <w:t>Section 5.0M: Midnight Tariff Protocol [NEW: v12.0]</w:t>
      </w:r>
    </w:p>
    <w:p>
      <w:r>
        <w:t>Tariffs announced or implemented outside normal business hours, including weekends, holidays, or after 6pm local time of the affected Member, trigger a Presumptive Emergency classification, reducing the Phase 0 consultation window to 12 hours and enabling immediate Track A stabilisation activation upon IEWC preliminary certification.</w:t>
      </w:r>
    </w:p>
    <w:p>
      <w:pPr>
        <w:pStyle w:val="Heading3"/>
      </w:pPr>
      <w:r>
        <w:t>Section 5.0A (Second Addendum): Import Detention Acceleration [NEW: v12.0]</w:t>
      </w:r>
    </w:p>
    <w:p>
      <w:r>
        <w:t>Where a state imposes import alerts, detention orders, or refusal of admission on goods from IMESI Members on grounds unsupported by credible scientific evidence, or on pretextual grounds, the action triggers the Fast-Track Activation Override. The affected Member requests emergency activation within 24 hours of the detention order.</w:t>
      </w:r>
    </w:p>
    <w:p>
      <w:pPr>
        <w:pStyle w:val="Heading3"/>
      </w:pPr>
      <w:r>
        <w:t>Section 5.0A (Third Addendum): Pre-Formation Attack Standing Authority [NEW: v12.0]</w:t>
      </w:r>
    </w:p>
    <w:p>
      <w:r>
        <w:t>Upon certification of pre-emptive tariffs against a founding member or pledge signatory, the Coordination Committee authorises Phase 1 stabilisation measures by simple majority telephonic vote within 24 hours. Execution proceeds under the compressed consultation track (Section 5.0K): 48-hour notification and a 72-hour expedited consultation window.</w:t>
      </w:r>
    </w:p>
    <w:p>
      <w:r>
        <w:t>Trigger: If the IEWC assesses that standard timeline response would cause irreversible economic or political</w:t>
      </w:r>
    </w:p>
    <w:p>
      <w:r>
        <w:t>harm, defined as:</w:t>
      </w:r>
    </w:p>
    <w:p>
      <w:r>
        <w:t>(a) Sovereign debt market closure exceeding 48 hours (b) Critical infrastructure operational failure (c) Humanitarian supply chain collapse (d) Democratic institutional destabilisation (e) Tariff rate increases &gt;20 percentage points with &lt;7 days notice threatening &gt;30% of member export sectors (v9.3) the Coordination Committee invokes FTA-O by 55% weighted vote. Effect: Any severity tier is accelerated up to two levels, with activation timelines compressed to the next-fastest category. Minor cases activate in 48–72 hours; Moderate in 24–48 hours; Severe in 12–24 hours. Safeguard: FTA-O activation requires immediate notification to all members with a 4-hour response window. Silence equals assent. Any Tier 2+ member blocks within 4 hours with written justification, triggering automatic 24-hour consultation and standard timeline restoration.</w:t>
      </w:r>
    </w:p>
    <w:p>
      <w:pPr>
        <w:pStyle w:val="Heading2"/>
      </w:pPr>
      <w:r>
        <w:t>Section 5.0B: Confirmatory Consultation for Fast-Track Activation [Pilot Status, 24 Months]</w:t>
      </w:r>
    </w:p>
    <w:p>
      <w:r>
        <w:t>Scope: Applies to cases activated under: Fast-Track Activation Override (FTA-O, Section 5.0A); Existential Speed Protocol (ESP, Section 5.5C); Systemic-Economy Fast-Track (SFT, Section 5.1A). Timeline: Within 60 days of fast-track activation: (a) non-binding public consultation in each affected member state via online platform with 14-day open period and standardised questions; (b) &gt;50% opposition in any member triggers mandatory CC review within 14 days, public report addressing specific concerns, and 30-day reconsideration opportunity. Reversal requires 60% vote (not automatic). Democratic Buy-In Without Veto: Consultation results are advisory only. No automatic reversal from popular opposition. CC responds but need not comply. Repeated opposition (&gt;60% in 2+ consultations) triggers mandatory IAC review of proportionality. Review for Contested Measures: Where opposition exceeds 50% in 3+ members with CC support for continuation below 60%: the measure reduces by one phase level and routes to mediator-facilitated settlement acceleration; the measure continues at reduced intensity pending review rather than expiring; no stigma attaches to popularly constrained de-escalation. Negotiation status: Tier 3 protected secondary priority. All thresholds and timelines negotiable. Pilot status explicit. Core: consultation mechanism exists with CC override.</w:t>
      </w:r>
    </w:p>
    <w:p>
      <w:pPr>
        <w:pStyle w:val="Heading2"/>
      </w:pPr>
      <w:r>
        <w:t>Section 5.0A: Expedited Phase 1 Standing Authority [NEW: v9.8 Revision]</w:t>
      </w:r>
    </w:p>
    <w:p>
      <w:r>
        <w:t>Annual Authorization</w:t>
      </w:r>
    </w:p>
    <w:p>
      <w:r>
        <w:t>Upon affirmative 60% Core Member vote (held annually in Q1), the Coercion Compliance Committee is granted "Expedited Phase 1 Standing Authority." This authorization permits Phase 1 activation within 24 hours of IEWC coercion certification, subject to the conditions below, without requiring a separate parliamentary vote for Phase 1 deployment.</w:t>
      </w:r>
    </w:p>
    <w:p>
      <w:r>
        <w:t>Activation Timeline</w:t>
      </w:r>
    </w:p>
    <w:p>
      <w:r>
        <w:t>IEWC issues certification of coercion (all supporting documentation); Secretariat disseminates certification notice to all CC members and affected member state's parliament within 4 hours; 24-hour parliamentary review window: Member state parliament reviews certification and supporting evidence; Upon expiry of 24 hours (or earlier if member affirmatively consents), Phase 1 measures activate automatically; CC deliberation on Phase 1 intensity (Section 5.1A: 15%, 22%, or 30% measures) occurs in parallel with activation, with recommendations published within 48 hours.</w:t>
      </w:r>
    </w:p>
    <w:p>
      <w:r>
        <w:t>Parliamentary Objection Mechanism</w:t>
      </w:r>
    </w:p>
    <w:p>
      <w:r>
        <w:t>If affected member state parliament formally objects within 24-hour window, Phase 1 does not activate. Instead: Objection is logged with Secretariat; CC votes (55% threshold) within 48 hours on whether to override parliamentary objection; If CC votes to override: Phase 1 activates; member state invokes MOAR opt-out (Section 7.4) without penalty; If CC votes to sustain objection: Phase 1 remains paused; standard parliamentary authorization process applies.</w:t>
      </w:r>
    </w:p>
    <w:p>
      <w:r>
        <w:t>Phase 2+ Requirement</w:t>
      </w:r>
    </w:p>
    <w:p>
      <w:r>
        <w:t>Phase 2 and all higher-intensity measures (economic sanctions, asset freezes, etc.) still require affirmative parliamentary authorization per existing Section 5.0 (unchanged).</w:t>
      </w:r>
    </w:p>
    <w:p>
      <w:r>
        <w:t>Circuit-Breaker: Frequency Limit</w:t>
      </w:r>
    </w:p>
    <w:p>
      <w:r>
        <w:t>Phase 1 auto-activation occurs no more than once per 30-day window against the same target state. If a second coercion certification against the same target occurs within 30 days: Secretariat treats it as escalation/intensification (not new activation); Standard CC deliberation (60% vote) required to authorize Phase 1 escalation; Does not trigger auto-activation pathway.</w:t>
      </w:r>
    </w:p>
    <w:p>
      <w:r>
        <w:t>Rolling Review and Annual Re-authorisation</w:t>
      </w:r>
    </w:p>
    <w:p>
      <w:r>
        <w:t>Expedited Phase 1 Standing Authority expires automatically 12 months after annual authorization vote. Is re-authorized annually by 60% Core Member vote. If not re-authorized, Phase 1 activation reverts to existing Section 5.0 process (parliamentary approval before activation).</w:t>
      </w:r>
    </w:p>
    <w:p>
      <w:pPr>
        <w:pStyle w:val="Heading2"/>
      </w:pPr>
      <w:r>
        <w:t>Section 5.0B: Small-State First Activation Presumption [NEW: v9.8A Small-State Protection]</w:t>
      </w:r>
    </w:p>
    <w:p>
      <w:r>
        <w:t>If a small-state Member (as defined in Section 4.1A) reports an AESI and IEWC finds prima facie evidence of coercion, Phase 0 protective measures are presumed activated unless a 55% weighted vote of the Coordination Committee votes against within 24 hours. This flips the procedural burden so that small states receive early stabilisation support by default, rather than needing to win a diplomatic campaign for activation.</w:t>
      </w:r>
    </w:p>
    <w:p>
      <w:pPr>
        <w:pStyle w:val="Heading2"/>
      </w:pPr>
      <w:r>
        <w:t>Section 5.0C: Small-State Non-Abandonment Clause [NEW: v9.8A Small-State Protection]</w:t>
      </w:r>
    </w:p>
    <w:p>
      <w:r>
        <w:t>Any activation where a small-state Member (as defined in Section 4.1A) is the primary target cannot be fully de-activated (reduced to zero measures) without the explicit written consent of that Member, unless: (a) 75% weighted CC vote approves de-activation; AND (b) the Secretariat publishes a written finding that continuation would severely harm other vulnerable Members. This prevents large Members from trading away a small country's protection in a great-power accommodation. The affected small-state Member waives this protection at any time by written notification to the Secretariat.</w:t>
      </w:r>
    </w:p>
    <w:p>
      <w:pPr>
        <w:pStyle w:val="Heading2"/>
      </w:pPr>
      <w:r>
        <w:t>Section 5.0D: Pre-Activation Quiet Consultation Window [NEW: v9.8A Adoption Readiness]</w:t>
      </w:r>
    </w:p>
    <w:p>
      <w:r>
        <w:t>Before Phase 1 activation (except in cases qualifying as Red-Line Category 2 or Intensity-Compressed Coercion under Section 2.10A), the Secretariat facilitates a 48-72 hour confidential consultation window:</w:t>
      </w:r>
    </w:p>
    <w:p>
      <w:r>
        <w:t>(a) The Secretariat notifies the coercing state through confidential diplomatic channels that an IEWC certification is pending, without disclosing specific stabilisation measure packages;</w:t>
      </w:r>
    </w:p>
    <w:p>
      <w:r>
        <w:t>(b) Backchannel diplomacy is facilitated by the Director-General or designated mediator, providing the coercing state an opportunity to modify, suspend, or explain the measures in question;</w:t>
      </w:r>
    </w:p>
    <w:p>
      <w:r>
        <w:t>(c) If the coercing state provides credible assurances of modification within the consultation window, Phase 1 activation is deferred by up to 14 days pending verification;</w:t>
      </w:r>
    </w:p>
    <w:p>
      <w:r>
        <w:t>(d) The consultation window does not delay Phase 0 protective measures (which activate immediately upon IEWC certification) and does not apply to cases where the affected Member requests immediate Phase 1 activation.</w:t>
      </w:r>
    </w:p>
    <w:p>
      <w:r>
        <w:t>All consultation communications are logged and available to the CC but are not published to the Dashboard until the consultation window closes. This gives governments political cover to de-escalate without public loss of face.</w:t>
      </w:r>
    </w:p>
    <w:p>
      <w:pPr>
        <w:pStyle w:val="Heading2"/>
      </w:pPr>
      <w:r>
        <w:t>Section 5.0E: Coalition-of-the-Willing Activation Under IMESI Principles [NEW: v9.8A Institutional Maturity]</w:t>
      </w:r>
    </w:p>
    <w:p>
      <w:r>
        <w:t>Where the full CC declines to authorise Phase 1+ activation but a subset of at least 5 Members (representing at least 15% of aggregate IMESI GDP) wishes to respond, that subset activates measures under IMESI rules, provided: (a) all IMESI proportionality, humanitarian, and de-escalation principles apply in full; (b) the activation is clearly labelled as "coalition-of-the-willing under IMESI principles," not a full IMESI activation; (c) participants bear their own costs (no Fund access for the subset activation); (d) the Secretariat provides logistical support (legal templates, Dashboard tracking) but does not endorse or oppose the subset action; (e) any Member joins or leave the subset activation at any time. This preserves collective flexibility without forcing unanimity or abandoning attacked Members.</w:t>
      </w:r>
    </w:p>
    <w:p>
      <w:pPr>
        <w:pStyle w:val="Heading2"/>
      </w:pPr>
      <w:r>
        <w:t>Section 5.0F: Dual-Track Crisis Response Framework [NEW: v9.8A Institutional Maturity]</w:t>
      </w:r>
    </w:p>
    <w:p>
      <w:r>
        <w:t>In cases of certified economic coercion or systemic disruption, IMESI operates on a dual-track basis: Track A (Immediate Stabilisation) and Track B (Escalation Measures).</w:t>
      </w:r>
    </w:p>
    <w:p>
      <w:r>
        <w:t>Track A: Immediate Stabilisation</w:t>
      </w:r>
    </w:p>
    <w:p>
      <w:r>
        <w:t>Consists of time-critical measures designed solely to preserve economic and financial stability: (a) activation of pre-negotiated liquidity and swap-line arrangements; (b) emergency deployment of supply-chain rerouting and joint procurement mechanisms; (c) activation of alternative payment channels and settlement preferences for affected trade flows; (d) public market-stability communications by designated authorities. Track A measures are initiated by the IEWC or Secretariat under previously authorised mandates without requiring prior CC vote and is strictly limited to stabilisation functions.</w:t>
      </w:r>
    </w:p>
    <w:p>
      <w:r>
        <w:t>Track B: Escalation Measures</w:t>
      </w:r>
    </w:p>
    <w:p>
      <w:r>
        <w:t>Comprises trade, financial, investment, and regulatory stabilisation measures intended to impose costs on the coercing state. Activation, modification, and termination of Track B measures remain subject to the voting thresholds, proportionality safeguards, and de-escalation procedures established in this Instrument.</w:t>
      </w:r>
    </w:p>
    <w:p>
      <w:r>
        <w:t>Scenario Design</w:t>
      </w:r>
    </w:p>
    <w:p>
      <w:r>
        <w:t>Pre-authorised scenario modules specify, for each scenario, the Track A measures that deploy automatically upon certification and the Track B measures requiring explicit political authorisation. The default design objective: Track A deploys within hours to prevent irreversible harm; Track B proceeds on the standard deliberative timetable. This answers both "too slow" and "too trigger-happy" concerns.</w:t>
      </w:r>
    </w:p>
    <w:p>
      <w:pPr>
        <w:pStyle w:val="Heading2"/>
      </w:pPr>
      <w:r>
        <w:t>Section 5.0G: Harmonised Review Cycles [NEW: v9.8B Structural Simplification]</w:t>
      </w:r>
    </w:p>
    <w:p>
      <w:r>
        <w:t>All case-related reviews under this Instrument follow three default cycles unless a specific section provides otherwise:</w:t>
      </w:r>
    </w:p>
    <w:p>
      <w:r>
        <w:t>First Check, 30 Days</w:t>
      </w:r>
    </w:p>
    <w:p>
      <w:r>
        <w:t>Purpose: initial effectiveness assessment. Applies to: Phase 1 measures (are they having the intended effect?); Track A stabilisation (is the affected member's economy stabilising?); compliance monitoring (are members implementing?); diplomatic consultation outcomes. If coercion has ceased, case transitions to de-escalation. If continuing, CC is briefed and adjusts intensity.</w:t>
      </w:r>
    </w:p>
    <w:p>
      <w:r>
        <w:t>Deep Review, 90 Days</w:t>
      </w:r>
    </w:p>
    <w:p>
      <w:r>
        <w:t>Purpose: comprehensive reassessment. Applies to: Phase 2+ continuation (Renewal Assessment published, Section 5.4A); Escalation Review (if Phase 1 persists without resolution, Section 5.2A); humanitarian and third-country impact review; Fund expenditure and solvency check. CC makes an active decision: escalate, maintain, de-escalate, or close.</w:t>
      </w:r>
    </w:p>
    <w:p>
      <w:r>
        <w:t>Continuation/Closure, 180 Days</w:t>
      </w:r>
    </w:p>
    <w:p>
      <w:r>
        <w:t>Purpose: definitive case disposition. Applies to: mandatory case review by IAC if still active; GRC-level assessment if case has systemic implications; full cost accounting and lessons-learned report; archival or renewal decision requiring fresh CC vote. Cases undergo mandatory review at the 180-day boundary; a case continues by silence on a clean record and closes only through an explicit CC determination (55% threshold). This replaces the patchwork of 45/60/90/120-day review triggers with a coherent three-stage rhythm. Specific mechanisms that require tighter timing (e.g. Escalation Review at Day 45, Phase 2+ review at 120 days) are preserved as intermediate checkpoints within the 30/90/180 framework.</w:t>
      </w:r>
    </w:p>
    <w:p>
      <w:pPr>
        <w:pStyle w:val="Heading2"/>
      </w:pPr>
      <w:r>
        <w:t>Section 5.0H: Non-Coordination Implementation Safe Harbour [NEW: v9.9]</w:t>
      </w:r>
    </w:p>
    <w:p>
      <w:r>
        <w:t>Members fulfil their obligations under any authorised response package through functionally equivalent, but not necessarily identical, national measures. There is no requirement that Members adopt identical tariffs, synchronised timing, or mirrored instruments, provided that: (a) the overall intensity band and proportionality limits established for the case are respected; and (b) the Member accepts the corresponding burden-sharing assessment for the measures it has chosen to implement. Coordination on specific instruments is permitted but not required. This Safe Harbour preserves Members' freedom to use their own domestic policy tools while contributing to collective stabilisation.</w:t>
      </w:r>
    </w:p>
    <w:p>
      <w:pPr>
        <w:pStyle w:val="Heading2"/>
      </w:pPr>
      <w:r>
        <w:t>Section 5.0I: Implementation Flexibility Menu [NEW: v9.9]</w:t>
      </w:r>
    </w:p>
    <w:p>
      <w:r>
        <w:t>For each authorised response package, Members choose one or more implementation channels from the following menu, consistent with their tier and domestic legal framework:</w:t>
      </w:r>
    </w:p>
    <w:p>
      <w:r>
        <w:t>(a) Trade-based measures (tariff or quota adjustments within the authorised band);</w:t>
      </w:r>
    </w:p>
    <w:p>
      <w:r>
        <w:t>(b) Procurement-based measures (shifts in public procurement away from coercer-linked suppliers);</w:t>
      </w:r>
    </w:p>
    <w:p>
      <w:r>
        <w:t>(c) Financial-lite measures (fee adjustments, eligibility changes, or liquidity support without mandatory sanctions);</w:t>
      </w:r>
    </w:p>
    <w:p>
      <w:r>
        <w:t>(d) Regulatory measures (enhanced scrutiny of coercer-linked investments and licences); and</w:t>
      </w:r>
    </w:p>
    <w:p>
      <w:pPr>
        <w:pStyle w:val="Normal"/>
      </w:pPr>
      <w:r>
        <w:rPr>
          <w:rFonts w:ascii="Calibri" w:hAnsi="Calibri" w:eastAsia="Microsoft YaHei" w:cs="Calibri"/>
          <w:color w:val="263238"/>
          <w:sz w:val="21"/>
          <w:szCs w:val="21"/>
        </w:rPr>
        <w:t>(e) Pure stabilisation contribution (financial and in-kind support to the Fund and affected Members, with no direct trade or financial restrictions).</w:t>
      </w:r>
    </w:p>
    <w:p>
      <w:pPr>
        <w:pStyle w:val="Normal"/>
      </w:pPr>
      <w:r>
        <w:rPr>
          <w:rFonts w:ascii="Calibri" w:hAnsi="Calibri" w:eastAsia="Microsoft YaHei" w:cs="Calibri"/>
          <w:color w:val="263238"/>
          <w:sz w:val="21"/>
          <w:szCs w:val="21"/>
        </w:rPr>
        <w:t>Members at a given tier are expected to select at least one channel in each activation for which they participate, but are not required to use all channels. The Secretariat provides standardised templates for each channel to reduce administrative burden.</w:t>
      </w:r>
    </w:p>
    <w:p>
      <w:pPr>
        <w:pStyle w:val="Heading2"/>
      </w:pPr>
      <w:r>
        <w:rPr>
          <w:rFonts w:ascii="Calibri" w:hAnsi="Calibri" w:eastAsia="Microsoft YaHei" w:cs="Calibri"/>
          <w:b/>
          <w:color w:val="263238"/>
          <w:sz w:val="25"/>
          <w:szCs w:val="25"/>
        </w:rPr>
        <w:t>Section 5.0N: Deliberative-Process Acceleration Protocol [NEW: v12.1]</w:t>
      </w:r>
    </w:p>
    <w:p>
      <w:pPr>
        <w:pStyle w:val="Normal"/>
      </w:pPr>
      <w:r>
        <w:rPr>
          <w:rFonts w:ascii="Calibri" w:hAnsi="Calibri" w:eastAsia="Microsoft YaHei" w:cs="Calibri"/>
          <w:color w:val="263238"/>
          <w:sz w:val="21"/>
          <w:szCs w:val="21"/>
        </w:rPr>
        <w:t>Where the IEWC determines under Section 2.1K that a state imposed a tariff or other economic measure in a manner materially inconsistent with the imposing state's established legislative processes or treaty obligations, and absent retroactive legislative approval within 30 days of imposition: the standard Phase 0 consultation window reduces to 72 hours; Track A stabilisation deploys within 12 hours of the determination; Phase 1 activation proceeds upon expiry of the 72-hour window without a separate Coordination Committee vote; and the affected Member gains expedited access to the Tariff Stabilisation Sub-Fund (Section 8.6A) at 150% of standard allocation rates. This Protocol addresses process-derived unpredictability; it treats no particular domestic allocation of trade authority as illegitimate, and it does not apply to measures implementing treaty obligations ratified by the competent legislative body.</w:t>
      </w:r>
    </w:p>
    <w:p>
      <w:pPr>
        <w:pStyle w:val="Heading2"/>
      </w:pPr>
      <w:r>
        <w:rPr>
          <w:rFonts w:ascii="Calibri" w:hAnsi="Calibri" w:eastAsia="Microsoft YaHei" w:cs="Calibri"/>
          <w:b/>
          <w:color w:val="263238"/>
          <w:sz w:val="25"/>
          <w:szCs w:val="25"/>
        </w:rPr>
        <w:t>Section 5.0O: Unannounced Trade Action Protocol [NEW: v12.1]</w:t>
      </w:r>
    </w:p>
    <w:p>
      <w:pPr>
        <w:pStyle w:val="Normal"/>
      </w:pPr>
      <w:r>
        <w:rPr>
          <w:rFonts w:ascii="Calibri" w:hAnsi="Calibri" w:eastAsia="Microsoft YaHei" w:cs="Calibri"/>
          <w:color w:val="263238"/>
          <w:sz w:val="21"/>
          <w:szCs w:val="21"/>
        </w:rPr>
        <w:t>Unannounced Trade Action exists where a state imposes tariffs, quotas, export restrictions, or other economic measures on goods or services from one or more Members without prior public notification or diplomatic communication of any kind, with less than 48 hours between announcement and implementation. Upon IEWC certification the action receives Category 4 Red-Line treatment (Rapid Tariff Escalation) irrespective of magnitude; the affected Member gains immediate Track A stabilisation within 6 hours; IMESI waives the Phase 0 consultation window and Phase 1 proceeds on the 48-hour compressed consultation track (Section 5.0K); and the action enters the Unannounced Trade Action Registry, maintained by the IEWC for use in Pattern-of-Conduct findings (Section 1.4I) and repeat-coercer designations (Section 5.3C).</w:t>
      </w:r>
    </w:p>
    <w:p>
      <w:pPr>
        <w:pStyle w:val="Heading2"/>
      </w:pPr>
      <w:r>
        <w:rPr>
          <w:rFonts w:ascii="Calibri" w:hAnsi="Calibri" w:eastAsia="Microsoft YaHei" w:cs="Calibri"/>
          <w:b/>
          <w:color w:val="263238"/>
          <w:sz w:val="25"/>
          <w:szCs w:val="25"/>
        </w:rPr>
        <w:t>Section 5.0P: Aggressive Negotiation Tactics Protocol [NEW: v12.1]</w:t>
      </w:r>
    </w:p>
    <w:p>
      <w:pPr>
        <w:pStyle w:val="Normal"/>
      </w:pPr>
      <w:r>
        <w:rPr>
          <w:rFonts w:ascii="Calibri" w:hAnsi="Calibri" w:eastAsia="Microsoft YaHei" w:cs="Calibri"/>
          <w:color w:val="263238"/>
          <w:sz w:val="21"/>
          <w:szCs w:val="21"/>
        </w:rPr>
        <w:t>Where a state issues an ultimatum demanding policy concessions within a specified timeframe, threatens immediate and significant economic measures if the ultimatum is not met, and has previously engaged in the same pattern with other Members, the IEWC certifies Coercive Negotiation Tactics. Upon certification the Phase 0 consultation window reduces to 72 hours; the affected Member gains immediate Track A stabilisation; and the ultimatum counts as an escalation act for purposes of the Cumulative Escalation Pause (Section 5.6). The IEWC maintains a Negotiation Tactics Registry tracking patterns of ultimatums, threats, and coercive demands; a state with three or more entries within 24 months faces enhanced monitoring and presumptive Phase 2 activation for any further measure.</w:t>
      </w:r>
    </w:p>
    <w:p>
      <w:pPr>
        <w:pStyle w:val="Heading2"/>
      </w:pPr>
      <w:r>
        <w:rPr>
          <w:rFonts w:ascii="Calibri" w:hAnsi="Calibri" w:eastAsia="Microsoft YaHei" w:cs="Calibri"/>
          <w:b/>
          <w:color w:val="263238"/>
          <w:sz w:val="25"/>
          <w:szCs w:val="25"/>
        </w:rPr>
        <w:t>Section 5.0Q: No-Pretext Tariff Protocol [NEW: v12.1]</w:t>
      </w:r>
    </w:p>
    <w:p>
      <w:pPr>
        <w:pStyle w:val="Normal"/>
      </w:pPr>
      <w:r>
        <w:rPr>
          <w:rFonts w:ascii="Calibri" w:hAnsi="Calibri" w:eastAsia="Microsoft YaHei" w:cs="Calibri"/>
          <w:color w:val="263238"/>
          <w:sz w:val="21"/>
          <w:szCs w:val="21"/>
        </w:rPr>
        <w:t>Where a state imposes a tariff increase exceeding 5 percentage points on goods from one or more Members and fails to provide, within 14 days of imposition, a detailed publicly available justification, an assessment of the measure's economic impact, and an explanation of its consistency with the state's WTO obligations, the failure carries a rebuttable presumption of coercion under Section 2.1. Where a provided justification conflicts with publicly available economic data, correlates temporally with a policy dispute, or differs materially from justifications offered for similar past measures, the IEWC certifies the justification as pretextual. Certification of pretextual justification triggers automatic Phase 1 activation under the compressed consultation track (Section 5.0K). This Protocol operationalises the transparency principles of GATT Article X as an evidentiary standard; it imposes no obligation on any non-Member state.</w:t>
      </w:r>
    </w:p>
    <w:p>
      <w:pPr>
        <w:pStyle w:val="Heading2"/>
      </w:pPr>
      <w:r>
        <w:rPr>
          <w:rFonts w:ascii="Calibri" w:hAnsi="Calibri" w:eastAsia="Microsoft YaHei" w:cs="Calibri"/>
          <w:b/>
          <w:color w:val="263238"/>
          <w:sz w:val="25"/>
          <w:szCs w:val="25"/>
        </w:rPr>
        <w:t>Section 5.0J: Standard Response Templates [NEW: v10.0]</w:t>
      </w:r>
    </w:p>
    <w:p>
      <w:pPr>
        <w:pStyle w:val="Normal"/>
      </w:pPr>
      <w:r>
        <w:rPr>
          <w:rFonts w:ascii="Calibri" w:hAnsi="Calibri" w:eastAsia="Microsoft YaHei" w:cs="Calibri"/>
          <w:color w:val="263238"/>
          <w:sz w:val="21"/>
          <w:szCs w:val="21"/>
        </w:rPr>
        <w:t>The Coordination Committee pre-authorises Standard Response Templates for recurring coercion patterns, including but not limited to critical import disruption, financial exclusion, and chronic tariff pressure. Each Template specifies parameter ranges for Phase 0 and Phase 1 measures, applicable proportionality bands, and legal compatibility safeguards.</w:t>
      </w:r>
    </w:p>
    <w:p>
      <w:pPr>
        <w:pStyle w:val="Normal"/>
      </w:pPr>
      <w:r>
        <w:rPr>
          <w:rFonts w:ascii="Calibri" w:hAnsi="Calibri" w:eastAsia="Microsoft YaHei" w:cs="Calibri"/>
          <w:color w:val="263238"/>
          <w:sz w:val="21"/>
          <w:szCs w:val="21"/>
        </w:rPr>
        <w:t>Where an activation meets the factual pattern and parameter ranges of a pre-authorised Template, the Coordination Committee, by simplified procedure, confirms use of that Template in lieu of designing a bespoke response package, provided that all standard voting thresholds and review safeguards remain satisfied.</w:t>
      </w:r>
    </w:p>
    <w:p>
      <w:pPr>
        <w:pStyle w:val="Heading2"/>
      </w:pPr>
      <w:r>
        <w:t>Section 5.0R: Pre-Authorised Evidentiary Packages [NEW: v15.0]</w:t>
      </w:r>
    </w:p>
    <w:p>
      <w:r>
        <w:t>(a) The IEWC maintains, and updates annually, a library of Pre-Authorised Evidentiary Packages (PAEPs) for common coercion patterns, including: (i) PAEP-TariffShock: discriminatory tariff increases exceeding 10% on at least 15% of bilateral trade; (ii) PAEP-PaymentExclusion: exclusion from payment or settlement systems, including proprietary platforms; (iii) PAEP-SupplyDisruption: export restrictions on critical minerals or strategic inputs; (iv) PAEP-RegulatorySurprise: abrupt regulatory changes imposing compliance costs equivalent to 10% or higher tariffs; (v) PAEP-Extraterritorial: secondary sanctions or tariffs over third-state trade; (vi) PAEP-Disinformation: coordinated disinformation campaigns causing market disruption; and (vii) PAEP-Compound: any combination of the above in a compound emergency context.</w:t>
      </w:r>
    </w:p>
    <w:p>
      <w:r>
        <w:t>(b) Each PAEP specifies: (i) the evidentiary elements required for certification; (ii) the standard sources of such evidence, including trade data, financial flows, and diplomatic signals; (iii) the threshold values for each element; (iv) the IEWC analytical methodology to be applied; and (v) a template certification memorandum pre-drafted with placeholder data.</w:t>
      </w:r>
    </w:p>
    <w:p>
      <w:r>
        <w:t>(c) Where an AESI matches a PAEP: (i) the IEWC applies the PAEP's evidentiary elements and thresholds; (ii) the preliminary certification timeline compresses from 48 hours to 24 hours; (iii) the full certification timeline compresses from 14 days to 7 days; and (iv) the IEWC uses the PAEP template certification memorandum, with placeholder data replaced by actual evidence.</w:t>
      </w:r>
    </w:p>
    <w:p>
      <w:r>
        <w:t>(d) PAEPs are: (i) reviewed and updated annually by the IEWC; (ii) subject to the same evidentiary and procedural safeguards as standard certifications; and (iii) available to Members for planning and preparedness purposes.</w:t>
      </w:r>
    </w:p>
    <w:p>
      <w:r>
        <w:t>Rationale: This directly addresses detection-to-response latency by pre-packaging the evidence for the most common coercion patterns. It cuts certification time in half for routine patterns, freeing IEWC capacity for novel attacks.</w:t>
      </w:r>
    </w:p>
    <w:p>
      <w:pPr>
        <w:pStyle w:val="Heading2"/>
      </w:pPr>
      <w:r>
        <w:rPr>
          <w:rFonts w:ascii="Calibri" w:hAnsi="Calibri" w:eastAsia="Microsoft YaHei" w:cs="Calibri"/>
          <w:b/>
          <w:color w:val="263238"/>
          <w:sz w:val="25"/>
          <w:szCs w:val="25"/>
        </w:rPr>
        <w:t>Section 5.1: Systemic-Economy Scenario Protocol</w:t>
      </w:r>
    </w:p>
    <w:p>
      <w:pPr>
        <w:pStyle w:val="Normal"/>
      </w:pPr>
      <w:r>
        <w:rPr>
          <w:rFonts w:ascii="Calibri" w:hAnsi="Calibri" w:eastAsia="Microsoft YaHei" w:cs="Calibri"/>
          <w:color w:val="263238"/>
          <w:sz w:val="21"/>
          <w:szCs w:val="21"/>
        </w:rPr>
        <w:t>Purpose: The Systemic-Economy Protocol ensures heightened transparency and due process where measures could have systemic consequences for the global economy. It is not special protection for large states but enhanced procedural rigour proportional to the systemic implications of the response. When investigation or stabilisation measure activation targets any state representing &gt;5% of global GDP, &gt;15% of members' combined trade volume, or holding reserve-currency status, enhanced procedures apply. Default engagement norm (v9.2): As a default and subject to urgency and humanitarian constraints, the Director-General initiates quiet senior-level consultations with the systemic economy's designated representative before public attribution, providing opportunity for early resolution without escalation.</w:t>
      </w:r>
    </w:p>
    <w:p>
      <w:pPr>
        <w:pStyle w:val="Normal"/>
      </w:pPr>
      <w:r>
        <w:rPr>
          <w:rFonts w:ascii="Calibri" w:hAnsi="Calibri" w:eastAsia="Microsoft YaHei" w:cs="Calibri"/>
          <w:color w:val="263238"/>
          <w:sz w:val="21"/>
          <w:szCs w:val="21"/>
        </w:rPr>
        <w:t>Dual-Majority for Coercion Finding: 60% weighted votes plus simple majority in at least 4 geographic regions. Triple-Lock for Stabilisation Measure Authorisation: 65% weighted votes, majority in 4 regions, and support from</w:t>
      </w:r>
    </w:p>
    <w:p>
      <w:pPr>
        <w:pStyle w:val="Normal"/>
      </w:pPr>
      <w:r>
        <w:rPr>
          <w:rFonts w:ascii="Calibri" w:hAnsi="Calibri" w:eastAsia="Microsoft YaHei" w:cs="Calibri"/>
          <w:color w:val="263238"/>
          <w:sz w:val="21"/>
          <w:szCs w:val="21"/>
        </w:rPr>
        <w:t>at least 3 Enhanced Solidarity members.</w:t>
      </w:r>
    </w:p>
    <w:p>
      <w:pPr>
        <w:pStyle w:val="Normal"/>
      </w:pPr>
      <w:r>
        <w:rPr>
          <w:rFonts w:ascii="Calibri" w:hAnsi="Calibri" w:eastAsia="Microsoft YaHei" w:cs="Calibri"/>
          <w:color w:val="263238"/>
          <w:sz w:val="21"/>
          <w:szCs w:val="21"/>
        </w:rPr>
        <w:t>Heightened Evidence Standard:</w:t>
      </w:r>
    </w:p>
    <w:p>
      <w:pPr>
        <w:pStyle w:val="Normal"/>
      </w:pPr>
      <w:r>
        <w:rPr>
          <w:rFonts w:ascii="Calibri" w:hAnsi="Calibri" w:eastAsia="Microsoft YaHei" w:cs="Calibri"/>
          <w:color w:val="263238"/>
          <w:sz w:val="21"/>
          <w:szCs w:val="21"/>
        </w:rPr>
        <w:t>(a) Explicit policy linkage: clear documentation, not merely circumstantial correlation (b) Pattern analysis: demonstration that current case fits established pattern of coercive behaviour (c) Alternative explanation rebuttal: thorough analysis dismissing legitimate trade remedy or security justifications (d) Independent expert validation: at least two external subject matter experts validate finding (e) Strategic impact assessment: analysis of precedent-setting implications and systemic risks Presumed Diplomatic Outreach: Upon investigation initiation, the Director-General contacts the target state within 48 hours, proposing negotiation and third-party mediation. However, the Coordination Committee votes by simple majority to compress the extended engagement period from 45 to 21 days if the coercing state has engaged in similar coercion against any member within the previous 24 months. Pattern Presumption: Where the IEWC certifies that the coercing state has previously been the subject of an IMESI coercion finding within 36 months, the heightened evidence standard is relaxed: elements (b) pattern analysis and (d) independent expert validation are presumed satisfied based on the prior finding. This accelerates activation for repeat offenders while preserving procedural rigour for first cases. Pattern Presumption Rolling Review (v8.5): The Pattern Presumption undergoes review at each 24-month boundary without a new coercion finding against the same state. It persists on a clean record under the Nofade rule and steps down to advisory status only through a written IEWC determination; full reactivation follows a fresh 60% weighted vote, not automatic continuation. This prevents historical grievance from permanently lowering procedural protections for any state.</w:t>
      </w:r>
    </w:p>
    <w:p>
      <w:pPr>
        <w:pStyle w:val="Normal"/>
      </w:pPr>
      <w:r>
        <w:rPr>
          <w:rFonts w:ascii="Calibri" w:hAnsi="Calibri" w:eastAsia="Microsoft YaHei" w:cs="Calibri"/>
          <w:color w:val="263238"/>
          <w:sz w:val="21"/>
          <w:szCs w:val="21"/>
        </w:rPr>
        <w:t>Dual-Use Neutrality Clause:</w:t>
      </w:r>
    </w:p>
    <w:p>
      <w:pPr>
        <w:pStyle w:val="Normal"/>
      </w:pPr>
      <w:r>
        <w:rPr>
          <w:rFonts w:ascii="Calibri" w:hAnsi="Calibri" w:eastAsia="Microsoft YaHei" w:cs="Calibri"/>
          <w:color w:val="263238"/>
          <w:sz w:val="21"/>
          <w:szCs w:val="21"/>
        </w:rPr>
        <w:t>IMESI maintains two pre-authorised scenario libraries with differentiated thresholds: Category</w:t>
      </w:r>
    </w:p>
    <w:p>
      <w:pPr>
        <w:pStyle w:val="Normal"/>
      </w:pPr>
      <w:r>
        <w:rPr>
          <w:rFonts w:ascii="Calibri" w:hAnsi="Calibri" w:eastAsia="Microsoft YaHei" w:cs="Calibri"/>
          <w:color w:val="263238"/>
          <w:sz w:val="21"/>
          <w:szCs w:val="21"/>
        </w:rPr>
        <w:t>GDP Threshold</w:t>
      </w:r>
    </w:p>
    <w:p>
      <w:pPr>
        <w:pStyle w:val="Normal"/>
      </w:pPr>
      <w:r>
        <w:rPr>
          <w:rFonts w:ascii="Calibri" w:hAnsi="Calibri" w:eastAsia="Microsoft YaHei" w:cs="Calibri"/>
          <w:color w:val="263238"/>
          <w:sz w:val="21"/>
          <w:szCs w:val="21"/>
        </w:rPr>
        <w:t>Authorisation Threshold</w:t>
      </w:r>
    </w:p>
    <w:p>
      <w:pPr>
        <w:pStyle w:val="Normal"/>
      </w:pPr>
      <w:r>
        <w:rPr>
          <w:rFonts w:ascii="Calibri" w:hAnsi="Calibri" w:eastAsia="Microsoft YaHei" w:cs="Calibri"/>
          <w:color w:val="263238"/>
          <w:sz w:val="21"/>
          <w:szCs w:val="21"/>
        </w:rPr>
        <w:t>Rationale</w:t>
      </w:r>
    </w:p>
    <w:p>
      <w:pPr>
        <w:pStyle w:val="Normal"/>
      </w:pPr>
      <w:r>
        <w:rPr>
          <w:rFonts w:ascii="Calibri" w:hAnsi="Calibri" w:eastAsia="Microsoft YaHei" w:cs="Calibri"/>
          <w:color w:val="263238"/>
          <w:sz w:val="21"/>
          <w:szCs w:val="21"/>
        </w:rPr>
        <w:t>Systemic coercer</w:t>
      </w:r>
    </w:p>
    <w:p>
      <w:pPr>
        <w:pStyle w:val="Normal"/>
      </w:pPr>
      <w:r>
        <w:rPr>
          <w:rFonts w:ascii="Calibri" w:hAnsi="Calibri" w:eastAsia="Microsoft YaHei" w:cs="Calibri"/>
          <w:color w:val="263238"/>
          <w:sz w:val="21"/>
          <w:szCs w:val="21"/>
        </w:rPr>
        <w:t>&gt;10% global GDP or reserve-currency status</w:t>
      </w:r>
    </w:p>
    <w:p>
      <w:pPr>
        <w:pStyle w:val="Normal"/>
      </w:pPr>
      <w:r>
        <w:rPr>
          <w:rFonts w:ascii="Calibri" w:hAnsi="Calibri" w:eastAsia="Microsoft YaHei" w:cs="Calibri"/>
          <w:color w:val="263238"/>
          <w:sz w:val="21"/>
          <w:szCs w:val="21"/>
        </w:rPr>
        <w:t>65% weighted vote</w:t>
      </w:r>
    </w:p>
    <w:p>
      <w:pPr>
        <w:pStyle w:val="Normal"/>
      </w:pPr>
      <w:r>
        <w:rPr>
          <w:rFonts w:ascii="Calibri" w:hAnsi="Calibri" w:eastAsia="Microsoft YaHei" w:cs="Calibri"/>
          <w:color w:val="263238"/>
          <w:sz w:val="21"/>
          <w:szCs w:val="21"/>
        </w:rPr>
        <w:t>Systemic risk requires higher consensus</w:t>
      </w:r>
    </w:p>
    <w:p>
      <w:pPr>
        <w:pStyle w:val="Normal"/>
      </w:pPr>
      <w:r>
        <w:rPr>
          <w:rFonts w:ascii="Calibri" w:hAnsi="Calibri" w:eastAsia="Microsoft YaHei" w:cs="Calibri"/>
          <w:color w:val="263238"/>
          <w:sz w:val="21"/>
          <w:szCs w:val="21"/>
        </w:rPr>
        <w:t>Non-systemic coercer</w:t>
      </w:r>
    </w:p>
    <w:p>
      <w:pPr>
        <w:pStyle w:val="Normal"/>
      </w:pPr>
      <w:r>
        <w:rPr>
          <w:rFonts w:ascii="Calibri" w:hAnsi="Calibri" w:eastAsia="Microsoft YaHei" w:cs="Calibri"/>
          <w:color w:val="263238"/>
          <w:sz w:val="21"/>
          <w:szCs w:val="21"/>
        </w:rPr>
        <w:t>Below threshold</w:t>
      </w:r>
    </w:p>
    <w:p>
      <w:pPr>
        <w:pStyle w:val="Normal"/>
      </w:pPr>
      <w:r>
        <w:rPr>
          <w:rFonts w:ascii="Calibri" w:hAnsi="Calibri" w:eastAsia="Microsoft YaHei" w:cs="Calibri"/>
          <w:color w:val="263238"/>
          <w:sz w:val="21"/>
          <w:szCs w:val="21"/>
        </w:rPr>
        <w:t>55% weighted vote</w:t>
      </w:r>
    </w:p>
    <w:p>
      <w:pPr>
        <w:pStyle w:val="Normal"/>
      </w:pPr>
      <w:r>
        <w:rPr>
          <w:rFonts w:ascii="Calibri" w:hAnsi="Calibri" w:eastAsia="Microsoft YaHei" w:cs="Calibri"/>
          <w:color w:val="263238"/>
          <w:sz w:val="21"/>
          <w:szCs w:val="21"/>
        </w:rPr>
        <w:t>Standard coercion</w:t>
      </w:r>
    </w:p>
    <w:p>
      <w:pPr>
        <w:pStyle w:val="Normal"/>
      </w:pPr>
      <w:r>
        <w:rPr>
          <w:rFonts w:ascii="Calibri" w:hAnsi="Calibri" w:eastAsia="Microsoft YaHei" w:cs="Calibri"/>
          <w:color w:val="263238"/>
          <w:sz w:val="21"/>
          <w:szCs w:val="21"/>
        </w:rPr>
        <w:t>systemic</w:t>
      </w:r>
    </w:p>
    <w:p>
      <w:pPr>
        <w:pStyle w:val="Normal"/>
      </w:pPr>
      <w:r>
        <w:rPr>
          <w:rFonts w:ascii="Calibri" w:hAnsi="Calibri" w:eastAsia="Microsoft YaHei" w:cs="Calibri"/>
          <w:color w:val="263238"/>
          <w:sz w:val="21"/>
          <w:szCs w:val="21"/>
        </w:rPr>
        <w:t>activation</w:t>
      </w:r>
    </w:p>
    <w:p>
      <w:pPr>
        <w:pStyle w:val="Normal"/>
      </w:pPr>
      <w:r>
        <w:rPr>
          <w:rFonts w:ascii="Calibri" w:hAnsi="Calibri" w:eastAsia="Microsoft YaHei" w:cs="Calibri"/>
          <w:color w:val="263238"/>
          <w:sz w:val="21"/>
          <w:szCs w:val="21"/>
        </w:rPr>
        <w:t>for</w:t>
      </w:r>
    </w:p>
    <w:p>
      <w:pPr>
        <w:pStyle w:val="Normal"/>
      </w:pPr>
      <w:r>
        <w:rPr>
          <w:rFonts w:ascii="Calibri" w:hAnsi="Calibri" w:eastAsia="Microsoft YaHei" w:cs="Calibri"/>
          <w:color w:val="263238"/>
          <w:sz w:val="21"/>
          <w:szCs w:val="21"/>
        </w:rPr>
        <w:t>smaller-scale</w:t>
      </w:r>
    </w:p>
    <w:p>
      <w:pPr>
        <w:pStyle w:val="Normal"/>
      </w:pPr>
      <w:r>
        <w:rPr>
          <w:rFonts w:ascii="Calibri" w:hAnsi="Calibri" w:eastAsia="Microsoft YaHei" w:cs="Calibri"/>
          <w:color w:val="263238"/>
          <w:sz w:val="21"/>
          <w:szCs w:val="21"/>
        </w:rPr>
        <w:t>The Secretariat publishes an anonymised annual review of which scenario library would have activated for each verified coercion event in the prior year, making the structural distinction transparent rather than denying it exists. Deeply Integrated Neighbour Coordination (v9.2): Where a member's economy is deeply integrated with a single neighbour (&gt;30% bilateral trade share) that is also a potential coercer, the Secretariat facilitates a structured bilateral dialogue channel, separate from the systemic-economy cooperation track (Section 9.5), to ensure IMESI defensive measures are not misread as hostile action and to explore bilateral de-escalation before multilateral activation. This applies to any qualifying bilateral relationship (Canada–U.S., Korea–China, Australia–China, etc.) and is framed as procedural enhancement,</w:t>
      </w:r>
    </w:p>
    <w:p>
      <w:pPr>
        <w:pStyle w:val="Normal"/>
      </w:pPr>
      <w:r>
        <w:rPr>
          <w:rFonts w:ascii="Calibri" w:hAnsi="Calibri" w:eastAsia="Microsoft YaHei" w:cs="Calibri"/>
          <w:color w:val="263238"/>
          <w:sz w:val="21"/>
          <w:szCs w:val="21"/>
        </w:rPr>
        <w:t>not special exemption.</w:t>
      </w:r>
    </w:p>
    <w:p>
      <w:pPr>
        <w:pStyle w:val="Normal"/>
      </w:pPr>
      <w:r>
        <w:rPr>
          <w:rFonts w:ascii="Calibri" w:hAnsi="Calibri" w:eastAsia="Microsoft YaHei" w:cs="Calibri"/>
          <w:color w:val="263238"/>
          <w:sz w:val="21"/>
          <w:szCs w:val="21"/>
        </w:rPr>
        <w:t>Symmetry Note (v9.2): Systemic-economy designation simultaneously raises both activation thresholds and evidentiary standards. This dual effect ensures IMESI does not casually label a major power a coercer, while preserving credible protective capacity when evidence meets the heightened bar. The Systemic-Economy Protocol does NOT create a veto. Systemic economies face still stabilisation measures if they meet the heightened standards. The protective capacity remains credible, just more carefully deployed.</w:t>
      </w:r>
    </w:p>
    <w:p>
      <w:pPr>
        <w:pStyle w:val="Heading2"/>
      </w:pPr>
      <w:r>
        <w:rPr>
          <w:rFonts w:ascii="Calibri" w:hAnsi="Calibri" w:eastAsia="Microsoft YaHei" w:cs="Calibri"/>
          <w:b/>
          <w:color w:val="263238"/>
          <w:sz w:val="25"/>
          <w:szCs w:val="25"/>
        </w:rPr>
        <w:t>Section 5.1A: Systemic-Economy Fast-Track (SFT)</w:t>
      </w:r>
    </w:p>
    <w:p>
      <w:pPr>
        <w:pStyle w:val="Normal"/>
      </w:pPr>
      <w:r>
        <w:rPr>
          <w:rFonts w:ascii="Calibri" w:hAnsi="Calibri" w:eastAsia="Microsoft YaHei" w:cs="Calibri"/>
          <w:color w:val="263238"/>
          <w:sz w:val="21"/>
          <w:szCs w:val="21"/>
        </w:rPr>
        <w:t>Gap Addressed: For systemic coercers (&gt;10% global GDP), the heightened evidence standards in Section 5.1 create 48–72 hour delays. A rapid financial system exclusion (Category 2 Red-Line) from a systemic coercer inflicts irreversible damage before the standard Systemic-Economy Protocol completes. Trigger: IEWC certifies Category 2 Red-Line against a systemic coercer (Section 5.1 definition). Mechanism: Pre-authorised Phase 2 measures deploy within 4 hours. Triple-lock required only for Phase 3 escalation: 65% weighted vote plus 4 regional sub-committee approvals plus 3 Tier 3 Enhanced Solidarity members. Safeguard: Post-hoc review within 72 hours. If the IEWC certification is overturned by the Coordination Committee, measures revert to Phase 1 intensity and member governments indemnify affected parties through the Resilience Fund. Interaction with ESP: SFT operates as a parallel track to Section 5.5C (Existential Speed Protocol). Where ESP provides general pre-authorisation, SFT provides systemic-economy-specific fast-track that bypasses the heightened Section 5.1 evidence burden for the most time-critical scenarios.</w:t>
      </w:r>
    </w:p>
    <w:p>
      <w:pPr>
        <w:pStyle w:val="Heading2"/>
      </w:pPr>
      <w:r>
        <w:rPr>
          <w:rFonts w:ascii="Calibri" w:hAnsi="Calibri" w:eastAsia="Microsoft YaHei" w:cs="Calibri"/>
          <w:b/>
          <w:color w:val="263238"/>
          <w:sz w:val="25"/>
          <w:szCs w:val="25"/>
        </w:rPr>
        <w:t>Section 5.2: Formalised Reinstatement Mechanism</w:t>
      </w:r>
    </w:p>
    <w:p>
      <w:pPr>
        <w:pStyle w:val="Heading3"/>
      </w:pPr>
      <w:r>
        <w:rPr>
          <w:rFonts w:ascii="Calibri" w:hAnsi="Calibri" w:eastAsia="Microsoft YaHei" w:cs="Calibri"/>
          <w:b/>
          <w:color w:val="546E7A"/>
          <w:sz w:val="22"/>
          <w:szCs w:val="22"/>
        </w:rPr>
        <w:t>Section 5.2 (Addendum): Anti-Reprisal Protocol [NEW: v12.0]</w:t>
      </w:r>
    </w:p>
    <w:p>
      <w:pPr>
        <w:pStyle w:val="Normal"/>
      </w:pPr>
      <w:r>
        <w:rPr>
          <w:rFonts w:ascii="Calibri" w:hAnsi="Calibri" w:eastAsia="Microsoft YaHei" w:cs="Calibri"/>
          <w:color w:val="263238"/>
          <w:sz w:val="21"/>
          <w:szCs w:val="21"/>
        </w:rPr>
        <w:t>Any reprisal, including tariff, sanction, procurement exclusion, or visa ban, imposed on a Member for joining IMESI triggers automatic Anti-Reprisal escalation. The Member invokes Phase 2 stabilisation measures through a Coordination Committee vote within 48 hours of the reprisal, executed under the compressed consultation track, and the Coalition treats the reprisal as a separate coercion event.</w:t>
      </w:r>
    </w:p>
    <w:p>
      <w:pPr>
        <w:pStyle w:val="Normal"/>
      </w:pPr>
      <w:r>
        <w:rPr>
          <w:rFonts w:ascii="Calibri" w:hAnsi="Calibri" w:eastAsia="Microsoft YaHei" w:cs="Calibri"/>
          <w:color w:val="263238"/>
          <w:sz w:val="21"/>
          <w:szCs w:val="21"/>
        </w:rPr>
        <w:t>If a coercing state violates resolution terms within 24 months (Minor/Moderate) or 36 months (Severe/Critical),</w:t>
      </w:r>
    </w:p>
    <w:p>
      <w:pPr>
        <w:pStyle w:val="Normal"/>
      </w:pPr>
      <w:r>
        <w:rPr>
          <w:rFonts w:ascii="Calibri" w:hAnsi="Calibri" w:eastAsia="Microsoft YaHei" w:cs="Calibri"/>
          <w:color w:val="263238"/>
          <w:sz w:val="21"/>
          <w:szCs w:val="21"/>
        </w:rPr>
        <w:t>reinstatement automatically activates:</w:t>
      </w:r>
    </w:p>
    <w:p>
      <w:pPr>
        <w:pStyle w:val="Normal"/>
      </w:pPr>
      <w:r>
        <w:rPr>
          <w:rFonts w:ascii="Calibri" w:hAnsi="Calibri" w:eastAsia="Microsoft YaHei" w:cs="Calibri"/>
          <w:color w:val="263238"/>
          <w:sz w:val="21"/>
          <w:szCs w:val="21"/>
        </w:rPr>
        <w:t>(a) Previously authorised stabilisation measures resume at 100% within 7 days (b) Engagement period waived (c) Escalation to Phase 2 authorised immediately Serial Coercer Designation: Upon third violation within 10 years, permanent enhanced monitoring, presumptive stabilisation measures (threshold reduced to 50%), no engagement period, required reparations. Public Label (v9.1): Designated serial coercers are publicly listed on the Coercion Risk Dashboard as 'Persistent Coercion Risk, Enhanced Vigilance'. Future cases against a designated serial coercer start at one severity level higher than the standard GDP-impact classification (e.g. a Moderate-impact case from a serial coercer is automatically classified Severe). This increases deterrence through reputation effects.</w:t>
      </w:r>
    </w:p>
    <w:p>
      <w:pPr>
        <w:pStyle w:val="Heading3"/>
      </w:pPr>
      <w:r>
        <w:rPr>
          <w:rFonts w:ascii="Calibri" w:hAnsi="Calibri" w:eastAsia="Microsoft YaHei" w:cs="Calibri"/>
          <w:b/>
          <w:color w:val="546E7A"/>
          <w:sz w:val="22"/>
          <w:szCs w:val="22"/>
        </w:rPr>
        <w:t>Section 5.2 (Second Addendum): Reinstatement Triggers and Backstop Principle [NEW: v13.0]</w:t>
      </w:r>
    </w:p>
    <w:p>
      <w:pPr>
        <w:pStyle w:val="Normal"/>
      </w:pPr>
      <w:r>
        <w:rPr>
          <w:rFonts w:ascii="Calibri" w:hAnsi="Calibri" w:eastAsia="Microsoft YaHei" w:cs="Calibri"/>
          <w:color w:val="263238"/>
          <w:sz w:val="21"/>
          <w:szCs w:val="21"/>
        </w:rPr>
        <w:t>Reinstatement activates automatically only upon: (a) failure of Tier 3 earn-back under Section 5.4C; (b) a verified Tier 3 Deliberate Hostile Violation where the IEWC certifies that the violation poses an immediate and ongoing threat to the stability of this Instrument; (c) Resolution Voidance under Section 5.3K; or (d) violation of resolution terms within 24 months (Minor/Moderate) or 36 months (Severe/Critical) as provided in this Section. Reinstatement constitutes the exception, not the default: in all cases not falling under this Section, the Step-Back/Earn-Back Protocol (Sections 5.4B-5.4F) governs all compliance events and benefit adjustments. Every reinstatement operates subject to the review and sunset safeguards of Section 5.4G and transitions to the earn-back pathway upon cessation of the triggering violation.</w:t>
      </w:r>
    </w:p>
    <w:p>
      <w:pPr>
        <w:pStyle w:val="Heading2"/>
      </w:pPr>
      <w:r>
        <w:rPr>
          <w:rFonts w:ascii="Calibri" w:hAnsi="Calibri" w:eastAsia="Microsoft YaHei" w:cs="Calibri"/>
          <w:b/>
          <w:color w:val="263238"/>
          <w:sz w:val="25"/>
          <w:szCs w:val="25"/>
        </w:rPr>
        <w:t>Section 5.2E: Reinstatement Suspension Option</w:t>
      </w:r>
    </w:p>
    <w:p>
      <w:pPr>
        <w:pStyle w:val="Normal"/>
      </w:pPr>
      <w:r>
        <w:rPr>
          <w:rFonts w:ascii="Calibri" w:hAnsi="Calibri" w:eastAsia="Microsoft YaHei" w:cs="Calibri"/>
          <w:color w:val="263238"/>
          <w:sz w:val="21"/>
          <w:szCs w:val="21"/>
        </w:rPr>
        <w:t>The CC, by 60% weighted vote, suspends reinstatement for a specific coercer for up to 12 months, citing at least one: (a) verified technical/administrative implementation difficulties, certified by IEWC or mediator; (b) mediator-certified constructive ambiguity or good-faith engagement; (c) pattern of de-escalatory behaviour and no new coercive acts. Suspension and rationale recorded in the Proportionality Memo. Review at least every 6 months; if not renewed by 60% vote, reinstatement automatically resumes. Reinstatement suspension does not affect the Step-Back/Earn-Back Protocol's ongoing compliance monitoring or earn-back timelines.</w:t>
      </w:r>
    </w:p>
    <w:p>
      <w:pPr>
        <w:pStyle w:val="Heading2"/>
      </w:pPr>
      <w:r>
        <w:rPr>
          <w:rFonts w:ascii="Calibri" w:hAnsi="Calibri" w:eastAsia="Microsoft YaHei" w:cs="Calibri"/>
          <w:b/>
          <w:color w:val="263238"/>
          <w:sz w:val="25"/>
          <w:szCs w:val="25"/>
        </w:rPr>
        <w:t>Section 5.2A: Escalation Review Protocol (Phase Progression Forcing) [NEW: v9.8 Red Team Fix]</w:t>
      </w:r>
    </w:p>
    <w:p>
      <w:pPr>
        <w:pStyle w:val="Normal"/>
      </w:pPr>
      <w:r>
        <w:rPr>
          <w:rFonts w:ascii="Calibri" w:hAnsi="Calibri" w:eastAsia="Microsoft YaHei" w:cs="Calibri"/>
          <w:color w:val="263238"/>
          <w:sz w:val="21"/>
          <w:szCs w:val="21"/>
        </w:rPr>
        <w:t>Purpose: Force explicit deliberation if Phase 1 persists without escalation or case resolution; prevents indefinite stalemate.</w:t>
      </w:r>
    </w:p>
    <w:p>
      <w:pPr>
        <w:pStyle w:val="Normal"/>
      </w:pPr>
      <w:r>
        <w:rPr>
          <w:rFonts w:ascii="Calibri" w:hAnsi="Calibri" w:eastAsia="Microsoft YaHei" w:cs="Calibri"/>
          <w:color w:val="263238"/>
          <w:sz w:val="21"/>
          <w:szCs w:val="21"/>
        </w:rPr>
        <w:t>Trigger Conditions</w:t>
      </w:r>
    </w:p>
    <w:p>
      <w:pPr>
        <w:pStyle w:val="Normal"/>
      </w:pPr>
      <w:r>
        <w:rPr>
          <w:rFonts w:ascii="Calibri" w:hAnsi="Calibri" w:eastAsia="Microsoft YaHei" w:cs="Calibri"/>
          <w:color w:val="263238"/>
          <w:sz w:val="21"/>
          <w:szCs w:val="21"/>
        </w:rPr>
        <w:t>If Phase 1 remains active for 45 days without: (a) Coercing state ceasing coercion; (b) CC voting to escalate to Phase 2+; or (c) Affected member invoking MOAR opt-out; Then automatic "Escalation Review" is triggered.</w:t>
      </w:r>
    </w:p>
    <w:p>
      <w:pPr>
        <w:pStyle w:val="Normal"/>
      </w:pPr>
      <w:r>
        <w:rPr>
          <w:rFonts w:ascii="Calibri" w:hAnsi="Calibri" w:eastAsia="Microsoft YaHei" w:cs="Calibri"/>
          <w:color w:val="263238"/>
          <w:sz w:val="21"/>
          <w:szCs w:val="21"/>
        </w:rPr>
        <w:t>Escalation Review Process</w:t>
      </w:r>
    </w:p>
    <w:p>
      <w:pPr>
        <w:pStyle w:val="Normal"/>
      </w:pPr>
      <w:r>
        <w:rPr>
          <w:rFonts w:ascii="Calibri" w:hAnsi="Calibri" w:eastAsia="Microsoft YaHei" w:cs="Calibri"/>
          <w:color w:val="263238"/>
          <w:sz w:val="21"/>
          <w:szCs w:val="21"/>
        </w:rPr>
        <w:t>Day 45: Secretariat convenes Emergency CC Consultation; Day 46-48: CC deliberates on three options: Option A (Upgrade): Escalate to Phase 2 (60% vote required); Option B (Extend and Intensify Phase 1): Increase intensity (22% to 30%) without Phase 2 sanctions (55% vote); Option C (Negotiate): Suspend Phase 1 temporarily for 30-day diplomatic window (no vote; default if others fail).</w:t>
      </w:r>
    </w:p>
    <w:p>
      <w:pPr>
        <w:pStyle w:val="Normal"/>
      </w:pPr>
      <w:r>
        <w:rPr>
          <w:rFonts w:ascii="Calibri" w:hAnsi="Calibri" w:eastAsia="Microsoft YaHei" w:cs="Calibri"/>
          <w:color w:val="263238"/>
          <w:sz w:val="21"/>
          <w:szCs w:val="21"/>
        </w:rPr>
        <w:t>Day 49: CC votes. First vote on escalation (60%); if fails, vote on intensification (55%); if both fail, automatic 30-day diplomatic suspension.</w:t>
      </w:r>
    </w:p>
    <w:p>
      <w:pPr>
        <w:pStyle w:val="Normal"/>
      </w:pPr>
      <w:r>
        <w:rPr>
          <w:rFonts w:ascii="Calibri" w:hAnsi="Calibri" w:eastAsia="Microsoft YaHei" w:cs="Calibri"/>
          <w:color w:val="263238"/>
          <w:sz w:val="21"/>
          <w:szCs w:val="21"/>
        </w:rPr>
        <w:t>De-Escalation Path</w:t>
      </w:r>
    </w:p>
    <w:p>
      <w:pPr>
        <w:pStyle w:val="Normal"/>
      </w:pPr>
      <w:r>
        <w:rPr>
          <w:rFonts w:ascii="Calibri" w:hAnsi="Calibri" w:eastAsia="Microsoft YaHei" w:cs="Calibri"/>
          <w:color w:val="263238"/>
          <w:sz w:val="21"/>
          <w:szCs w:val="21"/>
        </w:rPr>
        <w:t>If diplomatic window selected: Phase 1 paused (not terminated); Secretariat facilitates talks; At 30-day mark: if coercion ceased, case closes; if persists, return to Escalation Review.</w:t>
      </w:r>
    </w:p>
    <w:p>
      <w:pPr>
        <w:pStyle w:val="Normal"/>
      </w:pPr>
      <w:r>
        <w:rPr>
          <w:rFonts w:ascii="Calibri" w:hAnsi="Calibri" w:eastAsia="Microsoft YaHei" w:cs="Calibri"/>
          <w:color w:val="263238"/>
          <w:sz w:val="21"/>
          <w:szCs w:val="21"/>
        </w:rPr>
        <w:t>Constraints</w:t>
      </w:r>
    </w:p>
    <w:p>
      <w:pPr>
        <w:pStyle w:val="Normal"/>
      </w:pPr>
      <w:r>
        <w:rPr>
          <w:rFonts w:ascii="Calibri" w:hAnsi="Calibri" w:eastAsia="Microsoft YaHei" w:cs="Calibri"/>
          <w:color w:val="263238"/>
          <w:sz w:val="21"/>
          <w:szCs w:val="21"/>
        </w:rPr>
        <w:t>Escalation Review occurs no more than 2 times per 90-day window; After 2 reviews without escalation, case moves to "Stalled Coercion Protocol"; Phase 1 is not permitted to persist longer than 120 days without escalation or resolution; after 120 days, automatic IAC case review.</w:t>
      </w:r>
    </w:p>
    <w:p>
      <w:pPr>
        <w:pStyle w:val="Heading2"/>
      </w:pPr>
      <w:r>
        <w:rPr>
          <w:rFonts w:ascii="Calibri" w:hAnsi="Calibri" w:eastAsia="Microsoft YaHei" w:cs="Calibri"/>
          <w:b/>
          <w:color w:val="263238"/>
          <w:sz w:val="25"/>
          <w:szCs w:val="25"/>
        </w:rPr>
        <w:t>Section 5.2B: Enhanced Consultation for Systemic Economies [NEW: v9.9]</w:t>
      </w:r>
    </w:p>
    <w:p>
      <w:pPr>
        <w:pStyle w:val="Normal"/>
      </w:pPr>
      <w:r>
        <w:rPr>
          <w:rFonts w:ascii="Calibri" w:hAnsi="Calibri" w:eastAsia="Microsoft YaHei" w:cs="Calibri"/>
          <w:color w:val="263238"/>
          <w:sz w:val="21"/>
          <w:szCs w:val="21"/>
        </w:rPr>
        <w:t>Where a proposed Phase 2 or higher response package is assessed by the Secretariat to have significant systemic impact on one or more systemic economies (whether as affected Members or as coercers), the following additional procedural safeguards apply:</w:t>
      </w:r>
    </w:p>
    <w:p>
      <w:pPr>
        <w:pStyle w:val="Normal"/>
      </w:pPr>
      <w:r>
        <w:rPr>
          <w:rFonts w:ascii="Calibri" w:hAnsi="Calibri" w:eastAsia="Microsoft YaHei" w:cs="Calibri"/>
          <w:color w:val="263238"/>
          <w:sz w:val="21"/>
          <w:szCs w:val="21"/>
        </w:rPr>
        <w:t>(a) an enhanced consultation window of at least seven additional days, within the standard escalation timelines, to allow affected systemic economies to provide written views on proportionality, financial stability, and spillover effects; and</w:t>
      </w:r>
    </w:p>
    <w:p>
      <w:pPr>
        <w:pStyle w:val="Normal"/>
      </w:pPr>
      <w:r>
        <w:rPr>
          <w:rFonts w:ascii="Calibri" w:hAnsi="Calibri" w:eastAsia="Microsoft YaHei" w:cs="Calibri"/>
          <w:color w:val="263238"/>
          <w:sz w:val="21"/>
          <w:szCs w:val="21"/>
        </w:rPr>
        <w:t>(b) a published Proportionality and Systemic Risk Note from the Secretariat, circulated to all Members before the vote, summarising expected cross-border impacts and mitigation measures.</w:t>
      </w:r>
    </w:p>
    <w:p>
      <w:pPr>
        <w:pStyle w:val="Normal"/>
      </w:pPr>
      <w:r>
        <w:rPr>
          <w:rFonts w:ascii="Calibri" w:hAnsi="Calibri" w:eastAsia="Microsoft YaHei" w:cs="Calibri"/>
          <w:color w:val="263238"/>
          <w:sz w:val="21"/>
          <w:szCs w:val="21"/>
        </w:rPr>
        <w:t>These safeguards do not create a veto and do not alter voting thresholds. They are intended to increase predictability and transparency in cases involving systemic economies.</w:t>
      </w:r>
    </w:p>
    <w:p>
      <w:pPr>
        <w:pStyle w:val="Heading2"/>
      </w:pPr>
      <w:r>
        <w:rPr>
          <w:rFonts w:ascii="Calibri" w:hAnsi="Calibri" w:eastAsia="Microsoft YaHei" w:cs="Calibri"/>
          <w:b/>
          <w:color w:val="263238"/>
          <w:sz w:val="25"/>
          <w:szCs w:val="25"/>
        </w:rPr>
        <w:t>Section 5.1B: No Surprise Escalation Rule [NEW: v9.8A Institutional Maturity]</w:t>
      </w:r>
    </w:p>
    <w:p>
      <w:pPr>
        <w:pStyle w:val="Heading3"/>
      </w:pPr>
      <w:r>
        <w:rPr>
          <w:rFonts w:ascii="Calibri" w:hAnsi="Calibri" w:eastAsia="Microsoft YaHei" w:cs="Calibri"/>
          <w:b/>
          <w:color w:val="546E7A"/>
          <w:sz w:val="22"/>
          <w:szCs w:val="22"/>
        </w:rPr>
        <w:t>Section 5.1C: Election Cycle Acceleration [NEW: v12.0]</w:t>
      </w:r>
    </w:p>
    <w:p>
      <w:pPr>
        <w:pStyle w:val="Normal"/>
      </w:pPr>
      <w:r>
        <w:rPr>
          <w:rFonts w:ascii="Calibri" w:hAnsi="Calibri" w:eastAsia="Microsoft YaHei" w:cs="Calibri"/>
          <w:color w:val="263238"/>
          <w:sz w:val="21"/>
          <w:szCs w:val="21"/>
        </w:rPr>
        <w:t>Where the IEWC certifies that tariff coercion is timed to influence an electoral cycle, leadership transition, or constitutional process in an IMESI Member, the coordination timeline compresses by 50%. The No Surprise Escalation Rule (Section 5.1B) suspends for such cases.</w:t>
      </w:r>
    </w:p>
    <w:p>
      <w:pPr>
        <w:pStyle w:val="Heading3"/>
      </w:pPr>
      <w:r>
        <w:rPr>
          <w:rFonts w:ascii="Calibri" w:hAnsi="Calibri" w:eastAsia="Microsoft YaHei" w:cs="Calibri"/>
          <w:b/>
          <w:color w:val="546E7A"/>
          <w:sz w:val="22"/>
          <w:szCs w:val="22"/>
        </w:rPr>
        <w:t>Section 5.1B (Addendum): Cumulative Notice Provision [NEW: v12.0]</w:t>
      </w:r>
    </w:p>
    <w:p>
      <w:pPr>
        <w:pStyle w:val="Normal"/>
      </w:pPr>
      <w:r>
        <w:rPr>
          <w:rFonts w:ascii="Calibri" w:hAnsi="Calibri" w:eastAsia="Microsoft YaHei" w:cs="Calibri"/>
          <w:color w:val="263238"/>
          <w:sz w:val="21"/>
          <w:szCs w:val="21"/>
        </w:rPr>
        <w:t>The 48-hour advance notification expectation applies to any announced tariff change, regardless of whether the announcement is framed as under consideration, preliminary, or negotiating position. Non-binding framing does not defeat the notification analysis.</w:t>
      </w:r>
    </w:p>
    <w:p>
      <w:pPr>
        <w:pStyle w:val="Normal"/>
      </w:pPr>
      <w:r>
        <w:rPr>
          <w:rFonts w:ascii="Calibri" w:hAnsi="Calibri" w:eastAsia="Microsoft YaHei" w:cs="Calibri"/>
          <w:color w:val="263238"/>
          <w:sz w:val="21"/>
          <w:szCs w:val="21"/>
        </w:rPr>
        <w:t>Before any phase escalation (Phase 1 to Phase 2, Phase 2 to Phase 3, etc.), the Secretariat provides all CC Members a minimum 48-hour advance notification detailing: proposed escalation level; measure categories to be added; updated Impact Assessment; and de-escalation conditions under which the escalation would be reversed. Carve-outs from the 48-hour notification requirement apply only to: Red-Line Category 2 cases (Section 2.2); certified Compound Emergencies (Section 1.6); and Intensity-Compressed Coercion with military nexus (Section 2.10A with Military Nexus Fast-Lane). Even in carve-out cases, the Secretariat notifies Members as soon as operationally feasible and no later than 12 hours after escalation.</w:t>
      </w:r>
    </w:p>
    <w:p>
      <w:pPr>
        <w:pStyle w:val="Heading3"/>
      </w:pPr>
      <w:r>
        <w:t>Section 5.1B (Second Addendum): Challenge Discipline and Frivolous Challenge Penalties [NEW: v15.0]</w:t>
      </w:r>
    </w:p>
    <w:p>
      <w:r>
        <w:t>(f) Challenges to the 48-hour notification requirement: (i) are filed within 12 hours of the notification; (ii) rest on specific, documented, verifiable grounds; (iii) undergo expedited review by the IEWC within 24 hours; and (iv) where the IEWC finds the challenge lacks merit, the challenger faces a 25% Fund surcharge for the duration of the case.</w:t>
      </w:r>
    </w:p>
    <w:p>
      <w:r>
        <w:t>(g) Carve-outs from the 48-hour notification requirement (Red-Line Category 2, Compound Emergencies, Military Nexus): (i) stand outside challenge; (ii) any Member that challenges a carve-out classification faces automatic suspension of voting rights for 90 days; and (iii) the IEWC's classification is presumptively valid, with the challenger bearing the burden of rebuttal.</w:t>
      </w:r>
    </w:p>
    <w:p>
      <w:r>
        <w:t>(h) The Secretariat: (i) maintains a public Frivolous Challenge Registry; (ii) reports quarterly to the CC on challenge patterns; and (iii) recommends sanctions for Members that engage in pattern challenges.</w:t>
      </w:r>
    </w:p>
    <w:p>
      <w:r>
        <w:t>(i) A Member that files more than three unsuccessful challenges in any 12-month period: (i) faces a 50% Fund surcharge for 24 months; (ii) is subject to automatic VCI downgrade; and (iii) loses the right to file further challenges for 12 months.</w:t>
      </w:r>
    </w:p>
    <w:p>
      <w:r>
        <w:t>Rationale: Frivolous challenges now carry real cost. Carve-outs stand beyond challenge. Pattern challengers face escalating penalties. The filibuster is dead.</w:t>
      </w:r>
    </w:p>
    <w:p>
      <w:pPr>
        <w:pStyle w:val="Heading2"/>
      </w:pPr>
      <w:r>
        <w:rPr>
          <w:rFonts w:ascii="Calibri" w:hAnsi="Calibri" w:eastAsia="Microsoft YaHei" w:cs="Calibri"/>
          <w:b/>
          <w:color w:val="263238"/>
          <w:sz w:val="25"/>
          <w:szCs w:val="25"/>
        </w:rPr>
        <w:t>Section 5.3: Sustained Stabilisation Measures and Verification</w:t>
      </w:r>
    </w:p>
    <w:p>
      <w:pPr>
        <w:pStyle w:val="Heading3"/>
      </w:pPr>
      <w:r>
        <w:rPr>
          <w:rFonts w:ascii="Calibri" w:hAnsi="Calibri" w:eastAsia="Microsoft YaHei" w:cs="Calibri"/>
          <w:b/>
          <w:color w:val="546E7A"/>
          <w:sz w:val="22"/>
          <w:szCs w:val="22"/>
        </w:rPr>
        <w:t>Section 5.3 (Addendum): Cessation Condition Linkage [NEW: v12.0]</w:t>
      </w:r>
    </w:p>
    <w:p>
      <w:pPr>
        <w:pStyle w:val="Normal"/>
      </w:pPr>
      <w:r>
        <w:rPr>
          <w:rFonts w:ascii="Calibri" w:hAnsi="Calibri" w:eastAsia="Microsoft YaHei" w:cs="Calibri"/>
          <w:color w:val="263238"/>
          <w:sz w:val="21"/>
          <w:szCs w:val="21"/>
        </w:rPr>
        <w:t>Stabilisation measures carry automatic reversibility upon verified cessation of the coercive conduct. The IEWC publishes a Cessation Assessment within 14 days of any claimed withdrawal.</w:t>
      </w:r>
    </w:p>
    <w:p>
      <w:pPr>
        <w:pStyle w:val="Normal"/>
      </w:pPr>
      <w:r>
        <w:rPr>
          <w:rFonts w:ascii="Calibri" w:hAnsi="Calibri" w:eastAsia="Microsoft YaHei" w:cs="Calibri"/>
          <w:color w:val="263238"/>
          <w:sz w:val="21"/>
          <w:szCs w:val="21"/>
        </w:rPr>
        <w:t>IMESI rejects automatic stabilisation measure removal upon immediate harm cessation. Stabilisation Measures continue until coercive measures are fully withdrawn, credible non-repetition mechanisms are established, and a verification period is successfully completed.</w:t>
      </w:r>
    </w:p>
    <w:p>
      <w:pPr>
        <w:pStyle w:val="Normal"/>
      </w:pPr>
      <w:r>
        <w:rPr>
          <w:rFonts w:ascii="Calibri" w:hAnsi="Calibri" w:eastAsia="Microsoft YaHei" w:cs="Calibri"/>
          <w:color w:val="263238"/>
          <w:sz w:val="21"/>
          <w:szCs w:val="21"/>
        </w:rPr>
        <w:t>Gradual Rollback Structure:</w:t>
      </w:r>
    </w:p>
    <w:p>
      <w:pPr>
        <w:pStyle w:val="Normal"/>
      </w:pPr>
      <w:r>
        <w:rPr>
          <w:rFonts w:ascii="Calibri" w:hAnsi="Calibri" w:eastAsia="Microsoft YaHei" w:cs="Calibri"/>
          <w:color w:val="263238"/>
          <w:sz w:val="21"/>
          <w:szCs w:val="21"/>
        </w:rPr>
        <w:t>Period</w:t>
      </w:r>
    </w:p>
    <w:p>
      <w:pPr>
        <w:pStyle w:val="Normal"/>
      </w:pPr>
      <w:r>
        <w:rPr>
          <w:rFonts w:ascii="Calibri" w:hAnsi="Calibri" w:eastAsia="Microsoft YaHei" w:cs="Calibri"/>
          <w:color w:val="263238"/>
          <w:sz w:val="21"/>
          <w:szCs w:val="21"/>
        </w:rPr>
        <w:t>Stabilisation Measure Level</w:t>
      </w:r>
    </w:p>
    <w:p>
      <w:pPr>
        <w:pStyle w:val="Normal"/>
      </w:pPr>
      <w:r>
        <w:rPr>
          <w:rFonts w:ascii="Calibri" w:hAnsi="Calibri" w:eastAsia="Microsoft YaHei" w:cs="Calibri"/>
          <w:color w:val="263238"/>
          <w:sz w:val="21"/>
          <w:szCs w:val="21"/>
        </w:rPr>
        <w:t>Condition</w:t>
      </w:r>
    </w:p>
    <w:p>
      <w:pPr>
        <w:pStyle w:val="Normal"/>
      </w:pPr>
      <w:r>
        <w:rPr>
          <w:rFonts w:ascii="Calibri" w:hAnsi="Calibri" w:eastAsia="Microsoft YaHei" w:cs="Calibri"/>
          <w:color w:val="263238"/>
          <w:sz w:val="21"/>
          <w:szCs w:val="21"/>
        </w:rPr>
        <w:t>Month 0–3</w:t>
      </w:r>
    </w:p>
    <w:p>
      <w:pPr>
        <w:pStyle w:val="Normal"/>
      </w:pPr>
      <w:r>
        <w:rPr>
          <w:rFonts w:ascii="Calibri" w:hAnsi="Calibri" w:eastAsia="Microsoft YaHei" w:cs="Calibri"/>
          <w:color w:val="263238"/>
          <w:sz w:val="21"/>
          <w:szCs w:val="21"/>
        </w:rPr>
        <w:t>Reduce to 70%</w:t>
      </w:r>
    </w:p>
    <w:p>
      <w:pPr>
        <w:pStyle w:val="Normal"/>
      </w:pPr>
      <w:r>
        <w:rPr>
          <w:rFonts w:ascii="Calibri" w:hAnsi="Calibri" w:eastAsia="Microsoft YaHei" w:cs="Calibri"/>
          <w:color w:val="263238"/>
          <w:sz w:val="21"/>
          <w:szCs w:val="21"/>
        </w:rPr>
        <w:t>Upon verified full coercion withdrawal</w:t>
      </w:r>
    </w:p>
    <w:p>
      <w:pPr>
        <w:pStyle w:val="Normal"/>
      </w:pPr>
      <w:r>
        <w:rPr>
          <w:rFonts w:ascii="Calibri" w:hAnsi="Calibri" w:eastAsia="Microsoft YaHei" w:cs="Calibri"/>
          <w:color w:val="263238"/>
          <w:sz w:val="21"/>
          <w:szCs w:val="21"/>
        </w:rPr>
        <w:t>Month 3–6</w:t>
      </w:r>
    </w:p>
    <w:p>
      <w:pPr>
        <w:pStyle w:val="Normal"/>
      </w:pPr>
      <w:r>
        <w:rPr>
          <w:rFonts w:ascii="Calibri" w:hAnsi="Calibri" w:eastAsia="Microsoft YaHei" w:cs="Calibri"/>
          <w:color w:val="263238"/>
          <w:sz w:val="21"/>
          <w:szCs w:val="21"/>
        </w:rPr>
        <w:t>Reduce to 40%</w:t>
      </w:r>
    </w:p>
    <w:p>
      <w:pPr>
        <w:pStyle w:val="Normal"/>
      </w:pPr>
      <w:r>
        <w:rPr>
          <w:rFonts w:ascii="Calibri" w:hAnsi="Calibri" w:eastAsia="Microsoft YaHei" w:cs="Calibri"/>
          <w:color w:val="263238"/>
          <w:sz w:val="21"/>
          <w:szCs w:val="21"/>
        </w:rPr>
        <w:t>Continued compliance verified</w:t>
      </w:r>
    </w:p>
    <w:p>
      <w:pPr>
        <w:pStyle w:val="Normal"/>
      </w:pPr>
      <w:r>
        <w:rPr>
          <w:rFonts w:ascii="Calibri" w:hAnsi="Calibri" w:eastAsia="Microsoft YaHei" w:cs="Calibri"/>
          <w:color w:val="263238"/>
          <w:sz w:val="21"/>
          <w:szCs w:val="21"/>
        </w:rPr>
        <w:t>Month 6–12</w:t>
      </w:r>
    </w:p>
    <w:p>
      <w:pPr>
        <w:pStyle w:val="Normal"/>
      </w:pPr>
      <w:r>
        <w:rPr>
          <w:rFonts w:ascii="Calibri" w:hAnsi="Calibri" w:eastAsia="Microsoft YaHei" w:cs="Calibri"/>
          <w:color w:val="263238"/>
          <w:sz w:val="21"/>
          <w:szCs w:val="21"/>
        </w:rPr>
        <w:t>Reduce to 10%</w:t>
      </w:r>
    </w:p>
    <w:p>
      <w:pPr>
        <w:pStyle w:val="Normal"/>
      </w:pPr>
      <w:r>
        <w:rPr>
          <w:rFonts w:ascii="Calibri" w:hAnsi="Calibri" w:eastAsia="Microsoft YaHei" w:cs="Calibri"/>
          <w:color w:val="263238"/>
          <w:sz w:val="21"/>
          <w:szCs w:val="21"/>
        </w:rPr>
        <w:t>Monitoring confirms behaviour change</w:t>
      </w:r>
    </w:p>
    <w:p>
      <w:pPr>
        <w:pStyle w:val="Normal"/>
      </w:pPr>
      <w:r>
        <w:rPr>
          <w:rFonts w:ascii="Calibri" w:hAnsi="Calibri" w:eastAsia="Microsoft YaHei" w:cs="Calibri"/>
          <w:color w:val="263238"/>
          <w:sz w:val="21"/>
          <w:szCs w:val="21"/>
        </w:rPr>
        <w:t>Month 12+</w:t>
      </w:r>
    </w:p>
    <w:p>
      <w:pPr>
        <w:pStyle w:val="Normal"/>
      </w:pPr>
      <w:r>
        <w:rPr>
          <w:rFonts w:ascii="Calibri" w:hAnsi="Calibri" w:eastAsia="Microsoft YaHei" w:cs="Calibri"/>
          <w:color w:val="263238"/>
          <w:sz w:val="21"/>
          <w:szCs w:val="21"/>
        </w:rPr>
        <w:t>Complete removal</w:t>
      </w:r>
    </w:p>
    <w:p>
      <w:pPr>
        <w:pStyle w:val="Normal"/>
      </w:pPr>
      <w:r>
        <w:rPr>
          <w:rFonts w:ascii="Calibri" w:hAnsi="Calibri" w:eastAsia="Microsoft YaHei" w:cs="Calibri"/>
          <w:color w:val="263238"/>
          <w:sz w:val="21"/>
          <w:szCs w:val="21"/>
        </w:rPr>
        <w:t>Verification period successful</w:t>
      </w:r>
    </w:p>
    <w:p>
      <w:pPr>
        <w:pStyle w:val="Normal"/>
      </w:pPr>
      <w:r>
        <w:rPr>
          <w:rFonts w:ascii="Calibri" w:hAnsi="Calibri" w:eastAsia="Microsoft YaHei" w:cs="Calibri"/>
          <w:color w:val="263238"/>
          <w:sz w:val="21"/>
          <w:szCs w:val="21"/>
        </w:rPr>
        <w:t>Verification Periods: Standard, 12 months (Minor/Moderate). Extended, 24 months (Severe/Critical). Perpetual, ongoing monitoring for repeated offenders (3+ cases).</w:t>
      </w:r>
    </w:p>
    <w:p>
      <w:pPr>
        <w:pStyle w:val="Heading2"/>
      </w:pPr>
      <w:r>
        <w:rPr>
          <w:rFonts w:ascii="Calibri" w:hAnsi="Calibri" w:eastAsia="Microsoft YaHei" w:cs="Calibri"/>
          <w:b/>
          <w:color w:val="263238"/>
          <w:sz w:val="25"/>
          <w:szCs w:val="25"/>
        </w:rPr>
        <w:t>Section 5.3A: Automatic De-Escalation Triggers</w:t>
      </w:r>
    </w:p>
    <w:p>
      <w:pPr>
        <w:pStyle w:val="Heading3"/>
      </w:pPr>
      <w:r>
        <w:rPr>
          <w:rFonts w:ascii="Calibri" w:hAnsi="Calibri" w:eastAsia="Microsoft YaHei" w:cs="Calibri"/>
          <w:b/>
          <w:color w:val="546E7A"/>
          <w:sz w:val="22"/>
          <w:szCs w:val="22"/>
        </w:rPr>
        <w:t>Section 5.3A (Addendum): No Grace Period for Serial Coercers [NEW: v11.0]</w:t>
      </w:r>
    </w:p>
    <w:p>
      <w:pPr>
        <w:pStyle w:val="Normal"/>
      </w:pPr>
      <w:r>
        <w:rPr>
          <w:rFonts w:ascii="Calibri" w:hAnsi="Calibri" w:eastAsia="Microsoft YaHei" w:cs="Calibri"/>
          <w:color w:val="263238"/>
          <w:sz w:val="21"/>
          <w:szCs w:val="21"/>
        </w:rPr>
        <w:t>Where the Coordination Committee has certified a state as a Serial Coercer under Section 5.3C, the automatic 10% monthly de-escalation for good-faith dialogue suspends entirely until full compliance verification completes.</w:t>
      </w:r>
    </w:p>
    <w:p>
      <w:pPr>
        <w:pStyle w:val="Heading3"/>
      </w:pPr>
      <w:r>
        <w:rPr>
          <w:rFonts w:ascii="Calibri" w:hAnsi="Calibri" w:eastAsia="Microsoft YaHei" w:cs="Calibri"/>
          <w:b/>
          <w:color w:val="546E7A"/>
          <w:sz w:val="22"/>
          <w:szCs w:val="22"/>
        </w:rPr>
        <w:t>Section 5.3A.2 (Addendum): Alternative Measures Consideration [NEW: v12.0]</w:t>
      </w:r>
    </w:p>
    <w:p>
      <w:pPr>
        <w:pStyle w:val="Normal"/>
      </w:pPr>
      <w:r>
        <w:rPr>
          <w:rFonts w:ascii="Calibri" w:hAnsi="Calibri" w:eastAsia="Microsoft YaHei" w:cs="Calibri"/>
          <w:color w:val="263238"/>
          <w:sz w:val="21"/>
          <w:szCs w:val="21"/>
        </w:rPr>
        <w:t>The Proportionality Certification includes a statement of alternative measures considered and the reasons for their rejection, demonstrating that the chosen measures constitute the least trade-restrictive means reasonably available to achieve the stabilisation objective.</w:t>
      </w:r>
    </w:p>
    <w:p>
      <w:pPr>
        <w:pStyle w:val="Heading3"/>
      </w:pPr>
      <w:r>
        <w:rPr>
          <w:rFonts w:ascii="Calibri" w:hAnsi="Calibri" w:eastAsia="Microsoft YaHei" w:cs="Calibri"/>
          <w:b/>
          <w:color w:val="546E7A"/>
          <w:sz w:val="22"/>
          <w:szCs w:val="22"/>
        </w:rPr>
        <w:t>Section 5.3A (Second Addendum): Phased Withdrawal De-Escalation [NEW: v12.0]</w:t>
      </w:r>
    </w:p>
    <w:p>
      <w:pPr>
        <w:pStyle w:val="Normal"/>
      </w:pPr>
      <w:r>
        <w:rPr>
          <w:rFonts w:ascii="Calibri" w:hAnsi="Calibri" w:eastAsia="Microsoft YaHei" w:cs="Calibri"/>
          <w:color w:val="263238"/>
          <w:sz w:val="21"/>
          <w:szCs w:val="21"/>
        </w:rPr>
        <w:t>During a phased withdrawal, the coercing state reduces tariffs by a minimum of 10 percentage points or 25% of the initial tariff, whichever is greater, per month to qualify for proportional IMESI reduction. Token reductions below 2 percentage points do not trigger automatic de-escalation.</w:t>
      </w:r>
    </w:p>
    <w:p>
      <w:pPr>
        <w:pStyle w:val="Normal"/>
      </w:pPr>
      <w:r>
        <w:rPr>
          <w:rFonts w:ascii="Calibri" w:hAnsi="Calibri" w:eastAsia="Microsoft YaHei" w:cs="Calibri"/>
          <w:color w:val="263238"/>
          <w:sz w:val="21"/>
          <w:szCs w:val="21"/>
        </w:rPr>
        <w:t>Stabilisation Measures reduce 10% monthly if the coercing state engages in good-faith dialogue, as certified by an independent mediator. No political concessions are required, engagement in substantive negotiations suffices.</w:t>
      </w:r>
    </w:p>
    <w:p>
      <w:pPr>
        <w:pStyle w:val="Normal"/>
      </w:pPr>
      <w:r>
        <w:rPr>
          <w:rFonts w:ascii="Calibri" w:hAnsi="Calibri" w:eastAsia="Microsoft YaHei" w:cs="Calibri"/>
          <w:color w:val="263238"/>
          <w:sz w:val="21"/>
          <w:szCs w:val="21"/>
        </w:rPr>
        <w:t>This mechanism:</w:t>
      </w:r>
    </w:p>
    <w:p>
      <w:pPr>
        <w:pStyle w:val="Normal"/>
        <w:numPr>
          <w:ilvl w:val="0"/>
          <w:numId w:val="1"/>
        </w:numPr>
      </w:pPr>
      <w:r>
        <w:rPr>
          <w:rFonts w:ascii="Calibri" w:hAnsi="Calibri" w:eastAsia="Microsoft YaHei" w:cs="Calibri"/>
          <w:color w:val="263238"/>
          <w:sz w:val="21"/>
          <w:szCs w:val="21"/>
        </w:rPr>
        <w:t>Demonstrates IMESI's defensive intent (not indefinite escalation)</w:t>
      </w:r>
    </w:p>
    <w:p>
      <w:pPr>
        <w:pStyle w:val="Normal"/>
        <w:numPr>
          <w:ilvl w:val="0"/>
          <w:numId w:val="1"/>
        </w:numPr>
      </w:pPr>
      <w:r>
        <w:rPr>
          <w:rFonts w:ascii="Calibri" w:hAnsi="Calibri" w:eastAsia="Microsoft YaHei" w:cs="Calibri"/>
          <w:color w:val="263238"/>
          <w:sz w:val="21"/>
          <w:szCs w:val="21"/>
        </w:rPr>
        <w:t>Reduces coercer fear of open-ended humiliation</w:t>
      </w:r>
    </w:p>
    <w:p>
      <w:pPr>
        <w:pStyle w:val="Normal"/>
        <w:numPr>
          <w:ilvl w:val="0"/>
          <w:numId w:val="1"/>
        </w:numPr>
      </w:pPr>
      <w:r>
        <w:rPr>
          <w:rFonts w:ascii="Calibri" w:hAnsi="Calibri" w:eastAsia="Microsoft YaHei" w:cs="Calibri"/>
          <w:color w:val="263238"/>
          <w:sz w:val="21"/>
          <w:szCs w:val="21"/>
        </w:rPr>
        <w:t>Creates incentives for dialogue even before resolution</w:t>
      </w:r>
    </w:p>
    <w:p>
      <w:pPr>
        <w:pStyle w:val="Normal"/>
        <w:numPr>
          <w:ilvl w:val="0"/>
          <w:numId w:val="1"/>
        </w:numPr>
      </w:pPr>
      <w:r>
        <w:rPr>
          <w:rFonts w:ascii="Calibri" w:hAnsi="Calibri" w:eastAsia="Microsoft YaHei" w:cs="Calibri"/>
          <w:color w:val="263238"/>
          <w:sz w:val="21"/>
          <w:szCs w:val="21"/>
        </w:rPr>
        <w:t>Preserves 90% stabilisation capacity during early engagement Automatic de-escalation pauses immediately if the coercing state suspends dialogue, escalates coercion, or acts in bad faith as determined by the independent mediator. Reinstatement to full authorised levels occurs within 48 hours. Early Reversal Incentive (v9.1): If a coercer fully reverses coercive measures within 30 days of IEWC certification and agrees to monitored non-repetition for 24 months, IMESI offers: limited technical cooperation on supply chain resilience; trade-facilitation gestures in non-coercion sectors; accelerated restoration of pre-coercion commercial relationships. This 'good behaviour' bonus is strictly conditional on full reversal, partial or cosmetic compliance (Section 5.3D) does not qualify. The incentive is narrow: it rewards genuinely rapid good-faith correction without rewarding the initial coercion. AESI Scale-Down Obligation: Where the measures constituting an Adverse Economic Security Incident are withdrawn or substantially modified so that the systemic impact is removed, Members, within thirty (30) days, review and, where appropriate, proportionally scale down or suspend stabilisation and response measures adopted under this Instrument. The Secretariat issues a Scale-Down Assessment within 14 days of confirmed AESI modification; the Coordination Committee acts on the Assessment within the remaining 16 days. Failure to scale down within 30 days of confirmed AESI removal triggers automatic IAC review. Founding Period Calibration (v9.2): During the initial activation period (first 5 years from entry into force), the Coordination Committee, by 60% weighted vote, authorises narrower stabilisation measure packages than</w:t>
      </w:r>
    </w:p>
    <w:p>
      <w:pPr>
        <w:pStyle w:val="Normal"/>
      </w:pPr>
      <w:r>
        <w:rPr>
          <w:rFonts w:ascii="Calibri" w:hAnsi="Calibri" w:eastAsia="Microsoft YaHei" w:cs="Calibri"/>
          <w:color w:val="263238"/>
          <w:sz w:val="21"/>
          <w:szCs w:val="21"/>
        </w:rPr>
        <w:t>standard scenario templates specify, in light of demonstrated stress-test results and real-world operational experience. This flexibility: (a) acknowledges that institutional capacity builds through practice; (b) allows calibration of response intensity to proven coalition cohesion; (c) does not reduce the range of available instruments, only the initial scale of deployment. Rolling horizon: this provision persists at full strength and undergoes review at the Year 5 Grand Review or upon completion of 3 successful case activations, continuing by silence absent written amendment, whichever comes first.</w:t>
      </w:r>
    </w:p>
    <w:p>
      <w:pPr>
        <w:pStyle w:val="Heading2"/>
      </w:pPr>
      <w:r>
        <w:rPr>
          <w:rFonts w:ascii="Calibri" w:hAnsi="Calibri" w:eastAsia="Microsoft YaHei" w:cs="Calibri"/>
          <w:b/>
          <w:color w:val="263238"/>
          <w:sz w:val="25"/>
          <w:szCs w:val="25"/>
        </w:rPr>
        <w:t>Section 5.3A.2: Proportionality Certification Memo</w:t>
      </w:r>
    </w:p>
    <w:p>
      <w:pPr>
        <w:pStyle w:val="Normal"/>
      </w:pPr>
      <w:r>
        <w:rPr>
          <w:rFonts w:ascii="Calibri" w:hAnsi="Calibri" w:eastAsia="Microsoft YaHei" w:cs="Calibri"/>
          <w:color w:val="263238"/>
          <w:sz w:val="21"/>
          <w:szCs w:val="21"/>
        </w:rPr>
        <w:t>Upon activation of any stabilisation or response measures under this Instrument, the Coordination Committee</w:t>
      </w:r>
    </w:p>
    <w:p>
      <w:pPr>
        <w:pStyle w:val="Normal"/>
      </w:pPr>
      <w:r>
        <w:rPr>
          <w:rFonts w:ascii="Calibri" w:hAnsi="Calibri" w:eastAsia="Microsoft YaHei" w:cs="Calibri"/>
          <w:color w:val="263238"/>
          <w:sz w:val="21"/>
          <w:szCs w:val="21"/>
        </w:rPr>
        <w:t>prepares a concise Proportionality Certification setting out:</w:t>
      </w:r>
    </w:p>
    <w:p>
      <w:pPr>
        <w:pStyle w:val="Normal"/>
      </w:pPr>
      <w:r>
        <w:rPr>
          <w:rFonts w:ascii="Calibri" w:hAnsi="Calibri" w:eastAsia="Microsoft YaHei" w:cs="Calibri"/>
          <w:color w:val="263238"/>
          <w:sz w:val="21"/>
          <w:szCs w:val="21"/>
        </w:rPr>
        <w:t>(a) The nature of the Adverse Economic Security Incident (AESI) or certified coercion triggering activation (b) The legal and economic basis for activation, including applicable Instrument provisions and IEWC certification (c) An assessment of the proportionality and de-escalatory character of the measures adopted, including consideration of alternative instruments considered and reasons for selection (d) Expected duration and conditions for review, scale-down, or termination Publication: A public summary of the Certification is issued, consistent with confidentiality and market-stability considerations. The full Certification is available to all Members and to the IAC upon request. Certifications are archived for review by the Independent Review Commission (Section 4.3).</w:t>
      </w:r>
    </w:p>
    <w:p>
      <w:pPr>
        <w:pStyle w:val="Heading2"/>
      </w:pPr>
      <w:r>
        <w:rPr>
          <w:rFonts w:ascii="Calibri" w:hAnsi="Calibri" w:eastAsia="Microsoft YaHei" w:cs="Calibri"/>
          <w:b/>
          <w:color w:val="263238"/>
          <w:sz w:val="25"/>
          <w:szCs w:val="25"/>
        </w:rPr>
        <w:t>Section 5.3B: Pre-Positioned Bilateral Safeguards (PBS)</w:t>
      </w:r>
    </w:p>
    <w:p>
      <w:pPr>
        <w:pStyle w:val="Normal"/>
      </w:pPr>
      <w:r>
        <w:rPr>
          <w:rFonts w:ascii="Calibri" w:hAnsi="Calibri" w:eastAsia="Microsoft YaHei" w:cs="Calibri"/>
          <w:color w:val="263238"/>
          <w:sz w:val="21"/>
          <w:szCs w:val="21"/>
        </w:rPr>
        <w:t>Members pre-negotiate confidential exemptions that reduce rather than eliminate obligations, with mandatory substitution to preserve aggregate coalition pressure. Structure: Up to 5 weighted exemption categories (expanded from 3 absolute red lines), each with</w:t>
      </w:r>
    </w:p>
    <w:p>
      <w:pPr>
        <w:pStyle w:val="Normal"/>
      </w:pPr>
      <w:r>
        <w:rPr>
          <w:rFonts w:ascii="Calibri" w:hAnsi="Calibri" w:eastAsia="Microsoft YaHei" w:cs="Calibri"/>
          <w:color w:val="263238"/>
          <w:sz w:val="21"/>
          <w:szCs w:val="21"/>
        </w:rPr>
        <w:t>mandatory substitution:</w:t>
      </w:r>
    </w:p>
    <w:p>
      <w:pPr>
        <w:pStyle w:val="Normal"/>
      </w:pPr>
      <w:r>
        <w:rPr>
          <w:rFonts w:ascii="Calibri" w:hAnsi="Calibri" w:eastAsia="Microsoft YaHei" w:cs="Calibri"/>
          <w:color w:val="263238"/>
          <w:sz w:val="21"/>
          <w:szCs w:val="21"/>
        </w:rPr>
        <w:t>Exemption Type</w:t>
      </w:r>
    </w:p>
    <w:p>
      <w:pPr>
        <w:pStyle w:val="Normal"/>
      </w:pPr>
      <w:r>
        <w:rPr>
          <w:rFonts w:ascii="Calibri" w:hAnsi="Calibri" w:eastAsia="Microsoft YaHei" w:cs="Calibri"/>
          <w:color w:val="263238"/>
          <w:sz w:val="21"/>
          <w:szCs w:val="21"/>
        </w:rPr>
        <w:t>Substitution Requirement</w:t>
      </w:r>
    </w:p>
    <w:p>
      <w:pPr>
        <w:pStyle w:val="Normal"/>
      </w:pPr>
      <w:r>
        <w:rPr>
          <w:rFonts w:ascii="Calibri" w:hAnsi="Calibri" w:eastAsia="Microsoft YaHei" w:cs="Calibri"/>
          <w:color w:val="263238"/>
          <w:sz w:val="21"/>
          <w:szCs w:val="21"/>
        </w:rPr>
        <w:t>Surcharge</w:t>
      </w:r>
    </w:p>
    <w:p>
      <w:pPr>
        <w:pStyle w:val="Normal"/>
      </w:pPr>
      <w:r>
        <w:rPr>
          <w:rFonts w:ascii="Calibri" w:hAnsi="Calibri" w:eastAsia="Microsoft YaHei" w:cs="Calibri"/>
          <w:color w:val="263238"/>
          <w:sz w:val="21"/>
          <w:szCs w:val="21"/>
        </w:rPr>
        <w:t>Financial against coercer</w:t>
      </w:r>
    </w:p>
    <w:p>
      <w:pPr>
        <w:pStyle w:val="Normal"/>
      </w:pPr>
      <w:r>
        <w:rPr>
          <w:rFonts w:ascii="Calibri" w:hAnsi="Calibri" w:eastAsia="Microsoft YaHei" w:cs="Calibri"/>
          <w:color w:val="263238"/>
          <w:sz w:val="21"/>
          <w:szCs w:val="21"/>
        </w:rPr>
        <w:t>measures specific</w:t>
      </w:r>
    </w:p>
    <w:p>
      <w:pPr>
        <w:pStyle w:val="Normal"/>
      </w:pPr>
      <w:r>
        <w:rPr>
          <w:rFonts w:ascii="Calibri" w:hAnsi="Calibri" w:eastAsia="Microsoft YaHei" w:cs="Calibri"/>
          <w:color w:val="263238"/>
          <w:sz w:val="21"/>
          <w:szCs w:val="21"/>
        </w:rPr>
        <w:t>150% of trade measure obligation OR 200% of diplomatic obligation</w:t>
      </w:r>
    </w:p>
    <w:p>
      <w:pPr>
        <w:pStyle w:val="Normal"/>
      </w:pPr>
      <w:r>
        <w:rPr>
          <w:rFonts w:ascii="Calibri" w:hAnsi="Calibri" w:eastAsia="Microsoft YaHei" w:cs="Calibri"/>
          <w:color w:val="263238"/>
          <w:sz w:val="21"/>
          <w:szCs w:val="21"/>
        </w:rPr>
        <w:t>5% Fund surcharge</w:t>
      </w:r>
    </w:p>
    <w:p>
      <w:pPr>
        <w:pStyle w:val="Normal"/>
      </w:pPr>
      <w:r>
        <w:rPr>
          <w:rFonts w:ascii="Calibri" w:hAnsi="Calibri" w:eastAsia="Microsoft YaHei" w:cs="Calibri"/>
          <w:color w:val="263238"/>
          <w:sz w:val="21"/>
          <w:szCs w:val="21"/>
        </w:rPr>
        <w:t>Technology controls in specific domain</w:t>
      </w:r>
    </w:p>
    <w:p>
      <w:pPr>
        <w:pStyle w:val="Normal"/>
      </w:pPr>
      <w:r>
        <w:rPr>
          <w:rFonts w:ascii="Calibri" w:hAnsi="Calibri" w:eastAsia="Microsoft YaHei" w:cs="Calibri"/>
          <w:color w:val="263238"/>
          <w:sz w:val="21"/>
          <w:szCs w:val="21"/>
        </w:rPr>
        <w:t>150% of procurement/regulatory obligation in other domains</w:t>
      </w:r>
    </w:p>
    <w:p>
      <w:pPr>
        <w:pStyle w:val="Normal"/>
      </w:pPr>
      <w:r>
        <w:rPr>
          <w:rFonts w:ascii="Calibri" w:hAnsi="Calibri" w:eastAsia="Microsoft YaHei" w:cs="Calibri"/>
          <w:color w:val="263238"/>
          <w:sz w:val="21"/>
          <w:szCs w:val="21"/>
        </w:rPr>
        <w:t>5% Fund surcharge</w:t>
      </w:r>
    </w:p>
    <w:p>
      <w:pPr>
        <w:pStyle w:val="Normal"/>
      </w:pPr>
      <w:r>
        <w:rPr>
          <w:rFonts w:ascii="Calibri" w:hAnsi="Calibri" w:eastAsia="Microsoft YaHei" w:cs="Calibri"/>
          <w:color w:val="263238"/>
          <w:sz w:val="21"/>
          <w:szCs w:val="21"/>
        </w:rPr>
        <w:t>Tariff measures in specific sector</w:t>
      </w:r>
    </w:p>
    <w:p>
      <w:pPr>
        <w:pStyle w:val="Normal"/>
      </w:pPr>
      <w:r>
        <w:rPr>
          <w:rFonts w:ascii="Calibri" w:hAnsi="Calibri" w:eastAsia="Microsoft YaHei" w:cs="Calibri"/>
          <w:color w:val="263238"/>
          <w:sz w:val="21"/>
          <w:szCs w:val="21"/>
        </w:rPr>
        <w:t>200% of non-tariff stabilisation measure obligation in that sector</w:t>
      </w:r>
    </w:p>
    <w:p>
      <w:pPr>
        <w:pStyle w:val="Normal"/>
      </w:pPr>
      <w:r>
        <w:rPr>
          <w:rFonts w:ascii="Calibri" w:hAnsi="Calibri" w:eastAsia="Microsoft YaHei" w:cs="Calibri"/>
          <w:color w:val="263238"/>
          <w:sz w:val="21"/>
          <w:szCs w:val="21"/>
        </w:rPr>
        <w:t>5% Fund surcharge</w:t>
      </w:r>
    </w:p>
    <w:p>
      <w:pPr>
        <w:pStyle w:val="Normal"/>
      </w:pPr>
      <w:r>
        <w:rPr>
          <w:rFonts w:ascii="Calibri" w:hAnsi="Calibri" w:eastAsia="Microsoft YaHei" w:cs="Calibri"/>
          <w:color w:val="263238"/>
          <w:sz w:val="21"/>
          <w:szCs w:val="21"/>
        </w:rPr>
        <w:t>Diplomatic measures against specific state</w:t>
      </w:r>
    </w:p>
    <w:p>
      <w:r>
        <w:t>150% of regulatory/financial obligation</w:t>
      </w:r>
    </w:p>
    <w:p>
      <w:r>
        <w:t>5% Fund surcharge</w:t>
      </w:r>
    </w:p>
    <w:p>
      <w:r>
        <w:t>Supply chain restrictions in specific commodity</w:t>
      </w:r>
    </w:p>
    <w:p>
      <w:r>
        <w:t>200% of alternative supply development obligation + Fund contribution 0.1% GDP</w:t>
      </w:r>
    </w:p>
    <w:p>
      <w:r>
        <w:t>5% Fund surcharge</w:t>
      </w:r>
    </w:p>
    <w:p>
      <w:r>
        <w:t>Mutual Recognition: If State A exempts financial measures against Coercer C, State B substitutes equivalent measures in a different domain. Mutual recognition reduces coordination costs while preserving aggregate pressure.</w:t>
      </w:r>
    </w:p>
    <w:p>
      <w:r>
        <w:t>Ceiling: Maximum 2 exemptions without additional consequence. Third, fourth, and fifth exemptions each carry cumulative 5% surcharge (15% total for 5 exemptions). Total exemption impact is not permitted to exceed the 5% GDP hard cost ceiling. Confidentiality: PBS deposited with the Secretariat; disclosed only to the Director-General and Coordination Committee chair. Reviewed every 5 years; unchanged safeguards continue automatically. Principle: Substitution, not elimination. The coalition retains equivalent aggregate pressure; the member retains political flexibility to preserve bilateral relationships of existential importance.</w:t>
      </w:r>
    </w:p>
    <w:p>
      <w:pPr>
        <w:pStyle w:val="Heading2"/>
      </w:pPr>
      <w:r>
        <w:t>Section 5.3C: Comprehensive De-Escalation Framework</w:t>
      </w:r>
    </w:p>
    <w:p>
      <w:pPr>
        <w:pStyle w:val="Heading3"/>
      </w:pPr>
      <w:r>
        <w:t>Section 5.3C (Addendum): Cooling-Off Period [NEW: v11.0]</w:t>
      </w:r>
    </w:p>
    <w:p>
      <w:r>
        <w:t>A state that withdraws tariffs following an IMESI response enters a 36-month moratorium on re-imposing tariffs on the same goods. Any re-imposition within this period triggers an immediate jump to Phase 3.</w:t>
      </w:r>
    </w:p>
    <w:p>
      <w:pPr>
        <w:pStyle w:val="Heading3"/>
      </w:pPr>
      <w:r>
        <w:t>Section 5.3C (Second Addendum): Compliance History Score [NEW: v11.0]</w:t>
      </w:r>
    </w:p>
    <w:p>
      <w:r>
        <w:t>The IEWC maintains a Compliance History score for every state. A documented history of Retreat and Return behaviour lowers the voting threshold for future Phase 2 authorisations against that state to 45%.</w:t>
      </w:r>
    </w:p>
    <w:p>
      <w:pPr>
        <w:pStyle w:val="Heading3"/>
      </w:pPr>
      <w:r>
        <w:t>Section 5.3C (Third Addendum): Negotiation Window Exemption [NEW: v12.0]</w:t>
      </w:r>
    </w:p>
    <w:p>
      <w:r>
        <w:t>Where a coercer offers a negotiation window but maintains tariffs during the negotiation, the negotiation period does not count toward de-escalation timelines. Tariff reduction of at least 50% qualifies the coercer for a negotiation exemption from stabilisation measure escalation.</w:t>
      </w:r>
    </w:p>
    <w:p>
      <w:r>
        <w:t>IMESI is built to calm crises, not fuel them. De-escalation pathways are at least as developed as escalation</w:t>
      </w:r>
    </w:p>
    <w:p>
      <w:r>
        <w:t>mechanisms:</w:t>
      </w:r>
    </w:p>
    <w:p>
      <w:r>
        <w:t>Trigger Suspension Criteria:</w:t>
      </w:r>
    </w:p>
    <w:p>
      <w:r>
        <w:t>Stabilisation measures are suspended immediately if:</w:t>
      </w:r>
    </w:p>
    <w:p>
      <w:r>
        <w:t>(a) Coercing state announces formal withdrawal of measures (verified by IEWC within 72 hours) (b) Coercing state accepts mediation or enters structured bilateral negotiation (c) Independent mediator certifies good-faith engagement (automatic 10% monthly reduction per Section 5.3A) (d) Coordination Committee votes by simple majority to suspend (available at any time)</w:t>
      </w:r>
    </w:p>
    <w:p>
      <w:r>
        <w:t>Partial Rollback Options:</w:t>
      </w:r>
    </w:p>
    <w:p>
      <w:r>
        <w:t>Not all resolution requires complete withdrawal. Partial de-escalation is available through: • Module-by-module rollback: trade measures lifted while financial measures remain, or vice versa • Sector-by-sector rollback: measures lifted in agreed sectors while others continue • Percentage reduction: across-the-board reduction to 70%, 50%, or 25% of authorised levels • Geographic narrowing: measures maintained only on specific product categories or services</w:t>
      </w:r>
    </w:p>
    <w:p>
      <w:r>
        <w:t>Mandatory Review Schedule:</w:t>
      </w:r>
    </w:p>
    <w:p>
      <w:r>
        <w:t>Review Point</w:t>
      </w:r>
    </w:p>
    <w:p>
      <w:r>
        <w:t>Assessment</w:t>
      </w:r>
    </w:p>
    <w:p>
      <w:r>
        <w:t>Action</w:t>
      </w:r>
    </w:p>
    <w:p>
      <w:r>
        <w:t>Day 45</w:t>
      </w:r>
    </w:p>
    <w:p>
      <w:r>
        <w:t>Coalition cohesion; coercer engagement status</w:t>
      </w:r>
    </w:p>
    <w:p>
      <w:r>
        <w:t>Adjust mix, offer renewed engagement</w:t>
      </w:r>
    </w:p>
    <w:p>
      <w:r>
        <w:t>Day 90</w:t>
      </w:r>
    </w:p>
    <w:p>
      <w:r>
        <w:t>Economic impact on members coercer; negotiation progress</w:t>
      </w:r>
    </w:p>
    <w:p>
      <w:r>
        <w:t>and</w:t>
      </w:r>
    </w:p>
    <w:p>
      <w:r>
        <w:t>Mandatory off-ramp assessment; partial rollback if appropriate</w:t>
      </w:r>
    </w:p>
    <w:p>
      <w:r>
        <w:t>Day 180</w:t>
      </w:r>
    </w:p>
    <w:p>
      <w:r>
        <w:t>Sustainability; third-party effects; coercer domestic developments</w:t>
      </w:r>
    </w:p>
    <w:p>
      <w:r>
        <w:t>Full strategic review; continuation requires affirmative 55% vote</w:t>
      </w:r>
    </w:p>
    <w:p>
      <w:r>
        <w:t>Day 270 (v8.5)</w:t>
      </w:r>
    </w:p>
    <w:p>
      <w:r>
        <w:t>Long-term sustainability; unintended consequences; member fatigue</w:t>
      </w:r>
    </w:p>
    <w:p>
      <w:r>
        <w:t>Continuation requires 55% vote; default to suspension absent affirmative vote</w:t>
      </w:r>
    </w:p>
    <w:p>
      <w:r>
        <w:t>Day 365 (v8.5)</w:t>
      </w:r>
    </w:p>
    <w:p>
      <w:r>
        <w:t>Annual strategic reassessment; comprehensive cost-benefit analysis</w:t>
      </w:r>
    </w:p>
    <w:p>
      <w:r>
        <w:t>Continuation requires 60% vote; default to full suspension absent affirmative vote</w:t>
      </w:r>
    </w:p>
    <w:p>
      <w:r>
        <w:t>Suspension Default (v8.5): After Day 180, the burden reverses: continuation requires active political choice, not passive procedural drift. Absent an affirmative vote at each subsequent review, measures automatically</w:t>
      </w:r>
    </w:p>
    <w:p>
      <w:r>
        <w:t>suspend pending renewed authorisation.</w:t>
      </w:r>
    </w:p>
    <w:p>
      <w:r>
        <w:t>Quiet Diplomatic Channel:</w:t>
      </w:r>
    </w:p>
    <w:p>
      <w:r>
        <w:t>Throughout any active case, the Director-General maintains a permanent confidential back-channel to the coercing state's designated representative. This channel operates independently of public negotiations, cannot be disclosed by either party, and exists solely to explore face-saving resolution pathways. No IMESI public statement closes the door on engagement. Trilateral Expansion (v8.5): The back-channel becomes a trilateral mechanism: Director-General, coercer representative, and an independent rapporteur appointed by mutual consent. The rapporteur has a mandate to propose constructive ambiguity formulations, language that allows both sides to claim partial success. Rapporteur proposals trigger an automatic 20% stabilisation measure reduction for 14 days pending coercer response. No binding force; creates diplomatic space without mandating outcome. Principle: Every escalation phase includes an explicit off-ramp. Every public communication affirms openness to resolution. The document is built to de-escalate.</w:t>
      </w:r>
    </w:p>
    <w:p>
      <w:pPr>
        <w:pStyle w:val="Heading2"/>
      </w:pPr>
      <w:r>
        <w:t>Section 5.3D: Withdrawal Authenticity Test</w:t>
      </w:r>
    </w:p>
    <w:p>
      <w:pPr>
        <w:pStyle w:val="Heading3"/>
      </w:pPr>
      <w:r>
        <w:t>Section 5.3D (Addendum): No Re-Imposition of Pre-Coercion Baseline [NEW: v11.0]</w:t>
      </w:r>
    </w:p>
    <w:p>
      <w:r>
        <w:t>The Withdrawal Authenticity Test incorporates an additional criterion: No Re-Imposition of Pre-Coercion Baseline. A withdrawing state that retains a new normal baseline tariff higher than the baseline in force 12 months prior to the coercive action fails the authenticity test, and stabilisation measures remain in force at their prevailing level.</w:t>
      </w:r>
    </w:p>
    <w:p>
      <w:pPr>
        <w:pStyle w:val="Heading3"/>
      </w:pPr>
      <w:r>
        <w:t>Section 5.3D (Second Addendum): Administrative Delay Standard [NEW: v12.0]</w:t>
      </w:r>
    </w:p>
    <w:p>
      <w:r>
        <w:t>Administrative delays in implementing a tariff withdrawal, including claimed processing time, that exceed 14 days constitute continuing coercion. The IEWC certifies the withdrawal as inauthentic until the tariff is actually removed from customs systems.</w:t>
      </w:r>
    </w:p>
    <w:p>
      <w:pPr>
        <w:pStyle w:val="Normal"/>
      </w:pPr>
      <w:r>
        <w:rPr>
          <w:rFonts w:ascii="Calibri" w:hAnsi="Calibri" w:eastAsia="Microsoft YaHei" w:cs="Calibri"/>
          <w:color w:val="263238"/>
          <w:sz w:val="21"/>
          <w:szCs w:val="21"/>
        </w:rPr>
        <w:t>Five-Criteria Verification: IEWC applies the Withdrawal Authenticity Test before reducing stabilisation measures</w:t>
      </w:r>
    </w:p>
    <w:p>
      <w:pPr>
        <w:pStyle w:val="Normal"/>
      </w:pPr>
      <w:r>
        <w:rPr>
          <w:rFonts w:ascii="Calibri" w:hAnsi="Calibri" w:eastAsia="Microsoft YaHei" w:cs="Calibri"/>
          <w:color w:val="263238"/>
          <w:sz w:val="21"/>
          <w:szCs w:val="21"/>
        </w:rPr>
        <w:t>below Phase 2:</w:t>
      </w:r>
    </w:p>
    <w:p>
      <w:pPr>
        <w:pStyle w:val="Normal"/>
      </w:pPr>
      <w:r>
        <w:rPr>
          <w:rFonts w:ascii="Calibri" w:hAnsi="Calibri" w:eastAsia="Microsoft YaHei" w:cs="Calibri"/>
          <w:color w:val="263238"/>
          <w:sz w:val="21"/>
          <w:szCs w:val="21"/>
        </w:rPr>
        <w:t>Criterion Legal rescission</w:t>
      </w:r>
    </w:p>
    <w:p>
      <w:pPr>
        <w:pStyle w:val="Normal"/>
      </w:pPr>
      <w:r>
        <w:rPr>
          <w:rFonts w:ascii="Calibri" w:hAnsi="Calibri" w:eastAsia="Microsoft YaHei" w:cs="Calibri"/>
          <w:color w:val="263238"/>
          <w:sz w:val="21"/>
          <w:szCs w:val="21"/>
        </w:rPr>
        <w:t>Standard instrument</w:t>
      </w:r>
    </w:p>
    <w:p>
      <w:pPr>
        <w:pStyle w:val="Normal"/>
      </w:pPr>
      <w:r>
        <w:rPr>
          <w:rFonts w:ascii="Calibri" w:hAnsi="Calibri" w:eastAsia="Microsoft YaHei" w:cs="Calibri"/>
          <w:color w:val="263238"/>
          <w:sz w:val="21"/>
          <w:szCs w:val="21"/>
        </w:rPr>
        <w:t>Verification</w:t>
      </w:r>
    </w:p>
    <w:p>
      <w:pPr>
        <w:pStyle w:val="Normal"/>
      </w:pPr>
      <w:r>
        <w:rPr>
          <w:rFonts w:ascii="Calibri" w:hAnsi="Calibri" w:eastAsia="Microsoft YaHei" w:cs="Calibri"/>
          <w:color w:val="263238"/>
          <w:sz w:val="21"/>
          <w:szCs w:val="21"/>
        </w:rPr>
        <w:t>Statutory/regulatory repeal &gt;50% reduction in scope</w:t>
      </w:r>
    </w:p>
    <w:p>
      <w:pPr>
        <w:pStyle w:val="Normal"/>
      </w:pPr>
      <w:r>
        <w:rPr>
          <w:rFonts w:ascii="Calibri" w:hAnsi="Calibri" w:eastAsia="Microsoft YaHei" w:cs="Calibri"/>
          <w:color w:val="263238"/>
          <w:sz w:val="21"/>
          <w:szCs w:val="21"/>
        </w:rPr>
        <w:t>or</w:t>
      </w:r>
    </w:p>
    <w:p>
      <w:pPr>
        <w:pStyle w:val="Normal"/>
      </w:pPr>
      <w:r>
        <w:rPr>
          <w:rFonts w:ascii="Calibri" w:hAnsi="Calibri" w:eastAsia="Microsoft YaHei" w:cs="Calibri"/>
          <w:color w:val="263238"/>
          <w:sz w:val="21"/>
          <w:szCs w:val="21"/>
        </w:rPr>
        <w:t>Certified copy of official gazette</w:t>
      </w:r>
    </w:p>
    <w:p>
      <w:pPr>
        <w:pStyle w:val="Normal"/>
      </w:pPr>
      <w:r>
        <w:rPr>
          <w:rFonts w:ascii="Calibri" w:hAnsi="Calibri" w:eastAsia="Microsoft YaHei" w:cs="Calibri"/>
          <w:color w:val="263238"/>
          <w:sz w:val="21"/>
          <w:szCs w:val="21"/>
        </w:rPr>
        <w:t>No replacement measure</w:t>
      </w:r>
    </w:p>
    <w:p>
      <w:pPr>
        <w:pStyle w:val="Normal"/>
      </w:pPr>
      <w:r>
        <w:rPr>
          <w:rFonts w:ascii="Calibri" w:hAnsi="Calibri" w:eastAsia="Microsoft YaHei" w:cs="Calibri"/>
          <w:color w:val="263238"/>
          <w:sz w:val="21"/>
          <w:szCs w:val="21"/>
        </w:rPr>
        <w:t>No new measure with &gt;75% equivalent economic effect</w:t>
      </w:r>
    </w:p>
    <w:p>
      <w:pPr>
        <w:pStyle w:val="Normal"/>
      </w:pPr>
      <w:r>
        <w:rPr>
          <w:rFonts w:ascii="Calibri" w:hAnsi="Calibri" w:eastAsia="Microsoft YaHei" w:cs="Calibri"/>
          <w:color w:val="263238"/>
          <w:sz w:val="21"/>
          <w:szCs w:val="21"/>
        </w:rPr>
        <w:t>IEWC economic modelling</w:t>
      </w:r>
    </w:p>
    <w:p>
      <w:pPr>
        <w:pStyle w:val="Normal"/>
      </w:pPr>
      <w:r>
        <w:rPr>
          <w:rFonts w:ascii="Calibri" w:hAnsi="Calibri" w:eastAsia="Microsoft YaHei" w:cs="Calibri"/>
          <w:color w:val="263238"/>
          <w:sz w:val="21"/>
          <w:szCs w:val="21"/>
        </w:rPr>
        <w:t>Third-party access</w:t>
      </w:r>
    </w:p>
    <w:p>
      <w:pPr>
        <w:pStyle w:val="Normal"/>
      </w:pPr>
      <w:r>
        <w:rPr>
          <w:rFonts w:ascii="Calibri" w:hAnsi="Calibri" w:eastAsia="Microsoft YaHei" w:cs="Calibri"/>
          <w:color w:val="263238"/>
          <w:sz w:val="21"/>
          <w:szCs w:val="21"/>
        </w:rPr>
        <w:t>audit</w:t>
      </w:r>
    </w:p>
    <w:p>
      <w:pPr>
        <w:pStyle w:val="Normal"/>
      </w:pPr>
      <w:r>
        <w:rPr>
          <w:rFonts w:ascii="Calibri" w:hAnsi="Calibri" w:eastAsia="Microsoft YaHei" w:cs="Calibri"/>
          <w:color w:val="263238"/>
          <w:sz w:val="21"/>
          <w:szCs w:val="21"/>
        </w:rPr>
        <w:t>Independent audit access for 24-month period</w:t>
      </w:r>
    </w:p>
    <w:p>
      <w:pPr>
        <w:pStyle w:val="Normal"/>
      </w:pPr>
      <w:r>
        <w:rPr>
          <w:rFonts w:ascii="Calibri" w:hAnsi="Calibri" w:eastAsia="Microsoft YaHei" w:cs="Calibri"/>
          <w:color w:val="263238"/>
          <w:sz w:val="21"/>
          <w:szCs w:val="21"/>
        </w:rPr>
        <w:t>Audit ToR agreed within 14 days</w:t>
      </w:r>
    </w:p>
    <w:p>
      <w:pPr>
        <w:pStyle w:val="Normal"/>
      </w:pPr>
      <w:r>
        <w:rPr>
          <w:rFonts w:ascii="Calibri" w:hAnsi="Calibri" w:eastAsia="Microsoft YaHei" w:cs="Calibri"/>
          <w:color w:val="263238"/>
          <w:sz w:val="21"/>
          <w:szCs w:val="21"/>
        </w:rPr>
        <w:t>No subsidiary continuation</w:t>
      </w:r>
    </w:p>
    <w:p>
      <w:pPr>
        <w:pStyle w:val="Normal"/>
      </w:pPr>
      <w:r>
        <w:rPr>
          <w:rFonts w:ascii="Calibri" w:hAnsi="Calibri" w:eastAsia="Microsoft YaHei" w:cs="Calibri"/>
          <w:color w:val="263238"/>
          <w:sz w:val="21"/>
          <w:szCs w:val="21"/>
        </w:rPr>
        <w:t>No state-affiliated entity continuing coercive measure</w:t>
      </w:r>
    </w:p>
    <w:p>
      <w:pPr>
        <w:pStyle w:val="Normal"/>
      </w:pPr>
      <w:r>
        <w:rPr>
          <w:rFonts w:ascii="Calibri" w:hAnsi="Calibri" w:eastAsia="Microsoft YaHei" w:cs="Calibri"/>
          <w:color w:val="263238"/>
          <w:sz w:val="21"/>
          <w:szCs w:val="21"/>
        </w:rPr>
        <w:t>IEWC corporate structure review</w:t>
      </w:r>
    </w:p>
    <w:p>
      <w:pPr>
        <w:pStyle w:val="Normal"/>
      </w:pPr>
      <w:r>
        <w:rPr>
          <w:rFonts w:ascii="Calibri" w:hAnsi="Calibri" w:eastAsia="Microsoft YaHei" w:cs="Calibri"/>
          <w:color w:val="263238"/>
          <w:sz w:val="21"/>
          <w:szCs w:val="21"/>
        </w:rPr>
        <w:t>90-day clean period</w:t>
      </w:r>
    </w:p>
    <w:p>
      <w:pPr>
        <w:pStyle w:val="Normal"/>
      </w:pPr>
      <w:r>
        <w:rPr>
          <w:rFonts w:ascii="Calibri" w:hAnsi="Calibri" w:eastAsia="Microsoft YaHei" w:cs="Calibri"/>
          <w:color w:val="263238"/>
          <w:sz w:val="21"/>
          <w:szCs w:val="21"/>
        </w:rPr>
        <w:t>No new coercive signals in same policy domain</w:t>
      </w:r>
    </w:p>
    <w:p>
      <w:pPr>
        <w:pStyle w:val="Normal"/>
      </w:pPr>
      <w:r>
        <w:rPr>
          <w:rFonts w:ascii="Calibri" w:hAnsi="Calibri" w:eastAsia="Microsoft YaHei" w:cs="Calibri"/>
          <w:color w:val="263238"/>
          <w:sz w:val="21"/>
          <w:szCs w:val="21"/>
        </w:rPr>
        <w:t>IEWC dashboard</w:t>
      </w:r>
    </w:p>
    <w:p>
      <w:pPr>
        <w:pStyle w:val="Normal"/>
      </w:pPr>
      <w:r>
        <w:rPr>
          <w:rFonts w:ascii="Calibri" w:hAnsi="Calibri" w:eastAsia="Microsoft YaHei" w:cs="Calibri"/>
          <w:color w:val="263238"/>
          <w:sz w:val="21"/>
          <w:szCs w:val="21"/>
        </w:rPr>
        <w:t>monitoring</w:t>
      </w:r>
    </w:p>
    <w:p>
      <w:pPr>
        <w:pStyle w:val="Normal"/>
      </w:pPr>
      <w:r>
        <w:rPr>
          <w:rFonts w:ascii="Calibri" w:hAnsi="Calibri" w:eastAsia="Microsoft YaHei" w:cs="Calibri"/>
          <w:color w:val="263238"/>
          <w:sz w:val="21"/>
          <w:szCs w:val="21"/>
        </w:rPr>
        <w:t>Rebuttable presumption of 'dirty compliance' if 2+ criteria unmet. Members request binding IAC review before Phase 2 reactivation if finding is disputed.</w:t>
      </w:r>
    </w:p>
    <w:p>
      <w:pPr>
        <w:pStyle w:val="Normal"/>
      </w:pPr>
      <w:r>
        <w:rPr>
          <w:rFonts w:ascii="Calibri" w:hAnsi="Calibri" w:eastAsia="Microsoft YaHei" w:cs="Calibri"/>
          <w:color w:val="263238"/>
          <w:sz w:val="21"/>
          <w:szCs w:val="21"/>
        </w:rPr>
        <w:t>Graduated Response to Partial Compliance:</w:t>
      </w:r>
    </w:p>
    <w:p>
      <w:pPr>
        <w:pStyle w:val="Normal"/>
      </w:pPr>
      <w:r>
        <w:rPr>
          <w:rFonts w:ascii="Calibri" w:hAnsi="Calibri" w:eastAsia="Microsoft YaHei" w:cs="Calibri"/>
          <w:color w:val="263238"/>
          <w:sz w:val="21"/>
          <w:szCs w:val="21"/>
        </w:rPr>
        <w:t>Criteria Met</w:t>
      </w:r>
    </w:p>
    <w:p>
      <w:pPr>
        <w:pStyle w:val="Normal"/>
      </w:pPr>
      <w:r>
        <w:rPr>
          <w:rFonts w:ascii="Calibri" w:hAnsi="Calibri" w:eastAsia="Microsoft YaHei" w:cs="Calibri"/>
          <w:color w:val="263238"/>
          <w:sz w:val="21"/>
          <w:szCs w:val="21"/>
        </w:rPr>
        <w:t>Response</w:t>
      </w:r>
    </w:p>
    <w:p>
      <w:pPr>
        <w:pStyle w:val="Normal"/>
      </w:pPr>
      <w:r>
        <w:rPr>
          <w:rFonts w:ascii="Calibri" w:hAnsi="Calibri" w:eastAsia="Microsoft YaHei" w:cs="Calibri"/>
          <w:color w:val="263238"/>
          <w:sz w:val="21"/>
          <w:szCs w:val="21"/>
        </w:rPr>
        <w:t>4–5</w:t>
      </w:r>
    </w:p>
    <w:p>
      <w:pPr>
        <w:pStyle w:val="Normal"/>
      </w:pPr>
      <w:r>
        <w:rPr>
          <w:rFonts w:ascii="Calibri" w:hAnsi="Calibri" w:eastAsia="Microsoft YaHei" w:cs="Calibri"/>
          <w:color w:val="263238"/>
          <w:sz w:val="21"/>
          <w:szCs w:val="21"/>
        </w:rPr>
        <w:t>Full Phase 1 reduction; 90-day clean period for complete removal</w:t>
      </w:r>
    </w:p>
    <w:p>
      <w:pPr>
        <w:pStyle w:val="Normal"/>
      </w:pPr>
      <w:r>
        <w:rPr>
          <w:rFonts w:ascii="Calibri" w:hAnsi="Calibri" w:eastAsia="Microsoft YaHei" w:cs="Calibri"/>
          <w:color w:val="263238"/>
          <w:sz w:val="21"/>
          <w:szCs w:val="21"/>
        </w:rPr>
        <w:t>Phase 1 reduction to 50%; enhanced monitoring; 60-day review</w:t>
      </w:r>
    </w:p>
    <w:p>
      <w:pPr>
        <w:pStyle w:val="Normal"/>
      </w:pPr>
      <w:r>
        <w:rPr>
          <w:rFonts w:ascii="Calibri" w:hAnsi="Calibri" w:eastAsia="Microsoft YaHei" w:cs="Calibri"/>
          <w:color w:val="263238"/>
          <w:sz w:val="21"/>
          <w:szCs w:val="21"/>
        </w:rPr>
        <w:t>Maintain Phase 2; mediator-facilitated negotiation on remaining gaps</w:t>
      </w:r>
    </w:p>
    <w:p>
      <w:pPr>
        <w:pStyle w:val="Normal"/>
      </w:pPr>
      <w:r>
        <w:rPr>
          <w:rFonts w:ascii="Calibri" w:hAnsi="Calibri" w:eastAsia="Microsoft YaHei" w:cs="Calibri"/>
          <w:color w:val="263238"/>
          <w:sz w:val="21"/>
          <w:szCs w:val="21"/>
        </w:rPr>
        <w:t>0–1</w:t>
      </w:r>
    </w:p>
    <w:p>
      <w:pPr>
        <w:pStyle w:val="Normal"/>
      </w:pPr>
      <w:r>
        <w:rPr>
          <w:rFonts w:ascii="Calibri" w:hAnsi="Calibri" w:eastAsia="Microsoft YaHei" w:cs="Calibri"/>
          <w:color w:val="263238"/>
          <w:sz w:val="21"/>
          <w:szCs w:val="21"/>
        </w:rPr>
        <w:t>Escalation to Phase 3; reinstatement provisions activated</w:t>
      </w:r>
    </w:p>
    <w:p>
      <w:pPr>
        <w:pStyle w:val="Normal"/>
      </w:pPr>
      <w:r>
        <w:rPr>
          <w:rFonts w:ascii="Calibri" w:hAnsi="Calibri" w:eastAsia="Microsoft YaHei" w:cs="Calibri"/>
          <w:color w:val="263238"/>
          <w:sz w:val="21"/>
          <w:szCs w:val="21"/>
        </w:rPr>
        <w:t>Cosmetic Tariff Change Definition: &lt;5 percentage point reduction in applied rate, or equivalent trade effect maintained through other measures (quota, licensing, regulatory barrier), or reclassification to equivalent HS code without material economic effect. Cosmetic changes do not satisfy legal instrument rescission.</w:t>
      </w:r>
    </w:p>
    <w:p>
      <w:pPr>
        <w:pStyle w:val="Normal"/>
      </w:pPr>
      <w:r>
        <w:rPr>
          <w:rFonts w:ascii="Calibri" w:hAnsi="Calibri" w:eastAsia="Microsoft YaHei" w:cs="Calibri"/>
          <w:color w:val="263238"/>
          <w:sz w:val="21"/>
          <w:szCs w:val="21"/>
        </w:rPr>
        <w:t>Negotiation status: Tier 1 non-negotiable. Only flexibility: presumption threshold (2 vs. 3 criteria), IAC review binding vs. advisory. Core: 5-criteria framework with rebuttable presumption and cosmetic change definition.</w:t>
      </w:r>
    </w:p>
    <w:p>
      <w:pPr>
        <w:pStyle w:val="Heading3"/>
      </w:pPr>
      <w:r>
        <w:rPr>
          <w:rFonts w:ascii="Calibri" w:hAnsi="Calibri" w:eastAsia="Microsoft YaHei" w:cs="Calibri"/>
          <w:b/>
          <w:color w:val="546E7A"/>
          <w:sz w:val="22"/>
          <w:szCs w:val="22"/>
        </w:rPr>
        <w:t>Section 5.3D (Third Addendum): Sustained Behavioral Change Standard [NEW: v12.1]</w:t>
      </w:r>
    </w:p>
    <w:p>
      <w:pPr>
        <w:pStyle w:val="Normal"/>
      </w:pPr>
      <w:r>
        <w:rPr>
          <w:rFonts w:ascii="Calibri" w:hAnsi="Calibri" w:eastAsia="Microsoft YaHei" w:cs="Calibri"/>
          <w:color w:val="263238"/>
          <w:sz w:val="21"/>
          <w:szCs w:val="21"/>
        </w:rPr>
        <w:t>A withdrawal of coercive measures does not qualify as authentic under this Section unless the coercer refrains from public threats and from initiating new investigations against the affected Member for 90 days following withdrawal. A single threatening statement resets the 90-day clock. This sixth criterion prevents withdrawal for optics while diplomatic pressure continues.</w:t>
      </w:r>
    </w:p>
    <w:p>
      <w:pPr>
        <w:pStyle w:val="Heading2"/>
      </w:pPr>
      <w:r>
        <w:rPr>
          <w:rFonts w:ascii="Calibri" w:hAnsi="Calibri" w:eastAsia="Microsoft YaHei" w:cs="Calibri"/>
          <w:b/>
          <w:color w:val="263238"/>
          <w:sz w:val="25"/>
          <w:szCs w:val="25"/>
        </w:rPr>
        <w:t>Section 5.3H: Automatic Structural Damage Compensation [NEW: v12.1]</w:t>
      </w:r>
    </w:p>
    <w:p>
      <w:pPr>
        <w:pStyle w:val="Normal"/>
      </w:pPr>
      <w:r>
        <w:rPr>
          <w:rFonts w:ascii="Calibri" w:hAnsi="Calibri" w:eastAsia="Microsoft YaHei" w:cs="Calibri"/>
          <w:color w:val="263238"/>
          <w:sz w:val="21"/>
          <w:szCs w:val="21"/>
        </w:rPr>
        <w:t>Where a coercer initiates and then withdraws tariffs more than twice against the same Member within a 24-month period (a Rollercoaster Pattern), the Substitution Acceleration Sub-Fund (Section 10.5) activates automatically to finance permanent supply-chain diversification for the affected Member, without requiring a fresh application or severity reclassification. Funding draws first on Retroactive Reinstatement Surcharge proceeds credited under Section 10.9 (Second Addendum) and then on standard Fund resources, keeping the mechanism within the Instrument's existing WTO-consistent financing architecture.</w:t>
      </w:r>
    </w:p>
    <w:p>
      <w:pPr>
        <w:pStyle w:val="Heading2"/>
      </w:pPr>
      <w:r>
        <w:rPr>
          <w:rFonts w:ascii="Calibri" w:hAnsi="Calibri" w:eastAsia="Microsoft YaHei" w:cs="Calibri"/>
          <w:b/>
          <w:color w:val="263238"/>
          <w:sz w:val="25"/>
          <w:szCs w:val="25"/>
        </w:rPr>
        <w:t>Section 5.3I: Voluntary De-escalation Incentive for Cessation of Disinformation [NEW: v12.1]</w:t>
      </w:r>
    </w:p>
    <w:p>
      <w:pPr>
        <w:pStyle w:val="Normal"/>
      </w:pPr>
      <w:r>
        <w:rPr>
          <w:rFonts w:ascii="Calibri" w:hAnsi="Calibri" w:eastAsia="Microsoft YaHei" w:cs="Calibri"/>
          <w:color w:val="263238"/>
          <w:sz w:val="21"/>
          <w:szCs w:val="21"/>
        </w:rPr>
        <w:t>Where the CNIC certifies that a disinformation campaign originating from, or attributable to, a coercing state causes material harm to one or more Members, the Secretariat holds discretion to offer the state a Confidential De-escalation Incentive: a private communication stating that if the campaign ceases within 14 days, the matter is not pursued as a separate AESI or escalation trigger; an assurance that no public attribution follows if the campaign ceases and does not recur; and a suspension of any Phase 2 or higher escalation predicated on the campaign for the duration of the window. If the campaign ceases within the window, the offer enters the internal case file without Dashboard publication, and the state receives a positive compliance-history entry (Section 5.3C). If the campaign continues beyond the window, the offer lapses, the campaign counts as an aggravating factor in severity classification and burden-sharing, and the Secretariat publishes a factual summary excluding attribution on the Dashboard. Nothing in this Section prevents an IEWC attribution determination under Section 2.9 at any time.</w:t>
      </w:r>
    </w:p>
    <w:p>
      <w:pPr>
        <w:pStyle w:val="Heading2"/>
      </w:pPr>
      <w:r>
        <w:rPr>
          <w:rFonts w:ascii="Calibri" w:hAnsi="Calibri" w:eastAsia="Microsoft YaHei" w:cs="Calibri"/>
          <w:b/>
          <w:color w:val="263238"/>
          <w:sz w:val="25"/>
          <w:szCs w:val="25"/>
        </w:rPr>
        <w:t>Section 5.3J: Re-Escalation Safeguard Protocol [NEW: v12.1]</w:t>
      </w:r>
    </w:p>
    <w:p>
      <w:pPr>
        <w:pStyle w:val="Normal"/>
      </w:pPr>
      <w:r>
        <w:rPr>
          <w:rFonts w:ascii="Calibri" w:hAnsi="Calibri" w:eastAsia="Microsoft YaHei" w:cs="Calibri"/>
          <w:color w:val="263238"/>
          <w:sz w:val="21"/>
          <w:szCs w:val="21"/>
        </w:rPr>
        <w:t>If a coercer withdraws or reduces coercive measures and subsequently re-imposes them or equivalent measures within 24 months of withdrawal: all prior stabilisation measures resume at their prior intensity within 48 hours without a new CC vote; the re-imposition carries a cumulative 25% escalatory surcharge above the previous level, consistent with Section 10.9; the verification period under Section 5.3 extends to 36 months for any future withdrawal; and the coercer faces presumptive Phase 2 activation for any further measure within the subsequent 12 months. A coercer engaging in two or more withdrawal-and-re-imposition cycles within 36 months receives a Serial Re-Escalator designation, which carries: (a) permanent enhanced monitoring; (b) presumptive stabilisation measures with the activation threshold reduced to 50%; (c) no engagement period for future cases; and (d) required reparations to affected Members. This Section does not apply where the IEWC certifies a genuine, documented change in economic circumstances.</w:t>
      </w:r>
    </w:p>
    <w:p>
      <w:pPr>
        <w:pStyle w:val="Heading2"/>
      </w:pPr>
      <w:r>
        <w:rPr>
          <w:rFonts w:ascii="Calibri" w:hAnsi="Calibri" w:eastAsia="Microsoft YaHei" w:cs="Calibri"/>
          <w:b/>
          <w:color w:val="263238"/>
          <w:sz w:val="25"/>
          <w:szCs w:val="25"/>
        </w:rPr>
        <w:t>Section 5.3K: Resolution Voidance Protocol [NEW: v12.1]</w:t>
      </w:r>
    </w:p>
    <w:p>
      <w:pPr>
        <w:pStyle w:val="Normal"/>
      </w:pPr>
      <w:r>
        <w:rPr>
          <w:rFonts w:ascii="Calibri" w:hAnsi="Calibri" w:eastAsia="Microsoft YaHei" w:cs="Calibri"/>
          <w:color w:val="263238"/>
          <w:sz w:val="21"/>
          <w:szCs w:val="21"/>
        </w:rPr>
        <w:t>Where a coercer has agreed to a resolution under this Instrument, including through mediation, and subsequently imposes new economic measures on the affected Member within 36 months, engages in regulatory or customs harassment of that Member, or threatens re-imposition of measures, such conduct constitutes Resolution Voidance. Upon IEWC certification all prior stabilisation measures resume at their prior intensity within 48 hours; the coercer faces presumptive Phase 2 activation for any further measure; and the verification period extends to 48 months for any future withdrawal. A coercer engaging in Resolution Voidance twice within 60 months receives a Serial Resolution Violator designation and faces permanent enhanced monitoring, reduced activation thresholds, and enhanced burden-sharing at 150% of the standard rate for any future case, consistent with the pacta sunt servanda principle.</w:t>
      </w:r>
    </w:p>
    <w:p>
      <w:pPr>
        <w:pStyle w:val="Heading2"/>
      </w:pPr>
      <w:r>
        <w:rPr>
          <w:rFonts w:ascii="Calibri" w:hAnsi="Calibri" w:eastAsia="Microsoft YaHei" w:cs="Calibri"/>
          <w:b/>
          <w:color w:val="263238"/>
          <w:sz w:val="25"/>
          <w:szCs w:val="25"/>
        </w:rPr>
        <w:t>Section 5.3E: Tariff Escalation Ceiling and Automatic Mutual Freeze [NEW: v9.8 Structural Fix]</w:t>
      </w:r>
    </w:p>
    <w:p>
      <w:pPr>
        <w:pStyle w:val="Normal"/>
      </w:pPr>
      <w:r>
        <w:rPr>
          <w:rFonts w:ascii="Calibri" w:hAnsi="Calibri" w:eastAsia="Microsoft YaHei" w:cs="Calibri"/>
          <w:color w:val="263238"/>
          <w:sz w:val="21"/>
          <w:szCs w:val="21"/>
        </w:rPr>
        <w:t>Escalation Ceiling</w:t>
      </w:r>
    </w:p>
    <w:p>
      <w:pPr>
        <w:pStyle w:val="Normal"/>
      </w:pPr>
      <w:r>
        <w:rPr>
          <w:rFonts w:ascii="Calibri" w:hAnsi="Calibri" w:eastAsia="Microsoft YaHei" w:cs="Calibri"/>
          <w:color w:val="263238"/>
          <w:sz w:val="21"/>
          <w:szCs w:val="21"/>
        </w:rPr>
        <w:t>"Tariff Intensity" = percentage-point increase in tariff rates. Once cumulative Tariff Intensity between IMESI and coercer exceeds 60 percentage-points: Mandatory 48-Hour Pause on all new tariff announcements; Coercer Notification via public Secretariat statement; 14-day Negotiation Window.</w:t>
      </w:r>
    </w:p>
    <w:p>
      <w:pPr>
        <w:pStyle w:val="Normal"/>
      </w:pPr>
      <w:r>
        <w:rPr>
          <w:rFonts w:ascii="Calibri" w:hAnsi="Calibri" w:eastAsia="Microsoft YaHei" w:cs="Calibri"/>
          <w:color w:val="263238"/>
          <w:sz w:val="21"/>
          <w:szCs w:val="21"/>
        </w:rPr>
        <w:t>Mutual Freeze Mechanism</w:t>
      </w:r>
    </w:p>
    <w:p>
      <w:pPr>
        <w:pStyle w:val="Normal"/>
      </w:pPr>
      <w:r>
        <w:rPr>
          <w:rFonts w:ascii="Calibri" w:hAnsi="Calibri" w:eastAsia="Microsoft YaHei" w:cs="Calibri"/>
          <w:color w:val="263238"/>
          <w:sz w:val="21"/>
          <w:szCs w:val="21"/>
        </w:rPr>
        <w:t>If coercer escalates during pause: Deemed rejection of freeze; Automatic "Tit-for-Tat Response" authorized (percentage-for-percentage parity) within 24 hours; Subsequent rounds follow same 24-hour window. Presumptively proportional under Section 1.1.</w:t>
      </w:r>
    </w:p>
    <w:p>
      <w:pPr>
        <w:pStyle w:val="Normal"/>
      </w:pPr>
      <w:r>
        <w:rPr>
          <w:rFonts w:ascii="Calibri" w:hAnsi="Calibri" w:eastAsia="Microsoft YaHei" w:cs="Calibri"/>
          <w:color w:val="263238"/>
          <w:sz w:val="21"/>
          <w:szCs w:val="21"/>
        </w:rPr>
        <w:t>De-Escalation Incentive</w:t>
      </w:r>
    </w:p>
    <w:p>
      <w:pPr>
        <w:pStyle w:val="Normal"/>
      </w:pPr>
      <w:r>
        <w:rPr>
          <w:rFonts w:ascii="Calibri" w:hAnsi="Calibri" w:eastAsia="Microsoft YaHei" w:cs="Calibri"/>
          <w:color w:val="263238"/>
          <w:sz w:val="21"/>
          <w:szCs w:val="21"/>
        </w:rPr>
        <w:t>If coercer reduces tariffs by 5+ percentage points during freeze: IMESI automatically reduces matching tariffs by 5pp within 48 hours. Creates asymmetric incentive favouring de-escalation. All tariff intensity calculations published on Live Implementation Dashboard within 6 hours.</w:t>
      </w:r>
    </w:p>
    <w:p>
      <w:pPr>
        <w:pStyle w:val="Heading2"/>
      </w:pPr>
      <w:r>
        <w:rPr>
          <w:rFonts w:ascii="Calibri" w:hAnsi="Calibri" w:eastAsia="Microsoft YaHei" w:cs="Calibri"/>
          <w:b/>
          <w:color w:val="263238"/>
          <w:sz w:val="25"/>
          <w:szCs w:val="25"/>
        </w:rPr>
        <w:t>Section 5.3F: Civilian Protection Trigger for Military-Triggered Economic Response [NEW: v9.8A Military-Economic Nexus]</w:t>
      </w:r>
    </w:p>
    <w:p>
      <w:pPr>
        <w:pStyle w:val="Normal"/>
      </w:pPr>
      <w:r>
        <w:rPr>
          <w:rFonts w:ascii="Calibri" w:hAnsi="Calibri" w:eastAsia="Microsoft YaHei" w:cs="Calibri"/>
          <w:color w:val="263238"/>
          <w:sz w:val="21"/>
          <w:szCs w:val="21"/>
        </w:rPr>
        <w:t>Purpose: Creates automatic economic de-escalation if military conflict erupts, preventing IMESI from compounding humanitarian crises.</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UN Secretary-General or ICRC certifies "armed conflict" or "mass civilian displacement" (&gt;100,000 persons) in territory of coercing state or targeted member.</w:t>
      </w:r>
    </w:p>
    <w:p>
      <w:pPr>
        <w:pStyle w:val="Normal"/>
      </w:pPr>
      <w:r>
        <w:rPr>
          <w:rFonts w:ascii="Calibri" w:hAnsi="Calibri" w:eastAsia="Microsoft YaHei" w:cs="Calibri"/>
          <w:color w:val="263238"/>
          <w:sz w:val="21"/>
          <w:szCs w:val="21"/>
        </w:rPr>
        <w:t>Automatic Effect</w:t>
      </w:r>
    </w:p>
    <w:p>
      <w:pPr>
        <w:pStyle w:val="Normal"/>
      </w:pPr>
      <w:r>
        <w:rPr>
          <w:rFonts w:ascii="Calibri" w:hAnsi="Calibri" w:eastAsia="Microsoft YaHei" w:cs="Calibri"/>
          <w:color w:val="263238"/>
          <w:sz w:val="21"/>
          <w:szCs w:val="21"/>
        </w:rPr>
        <w:t>All Phase 2+ measures freeze at current level for 30 days; Phase 1 measures reduce 50%; humanitarian corridor exemptions expand to include energy, medicine, food regardless of dual-use potential.</w:t>
      </w:r>
    </w:p>
    <w:p>
      <w:pPr>
        <w:pStyle w:val="Normal"/>
      </w:pPr>
      <w:r>
        <w:rPr>
          <w:rFonts w:ascii="Calibri" w:hAnsi="Calibri" w:eastAsia="Microsoft YaHei" w:cs="Calibri"/>
          <w:color w:val="263238"/>
          <w:sz w:val="21"/>
          <w:szCs w:val="21"/>
        </w:rPr>
        <w:t>Reversibility</w:t>
      </w:r>
    </w:p>
    <w:p>
      <w:pPr>
        <w:pStyle w:val="Normal"/>
      </w:pPr>
      <w:r>
        <w:rPr>
          <w:rFonts w:ascii="Calibri" w:hAnsi="Calibri" w:eastAsia="Microsoft YaHei" w:cs="Calibri"/>
          <w:color w:val="263238"/>
          <w:sz w:val="21"/>
          <w:szCs w:val="21"/>
        </w:rPr>
        <w:t>Measures automatically resume if conflict ends within 90 days; CC vote required to maintain suspension beyond 90 days. Demonstrates IMESI is "defensive not punitive"; protects coalition from accusations of humanitarian indifference; mirrors existing Section 2.11 (Environmental Force Majeure) structure.</w:t>
      </w:r>
    </w:p>
    <w:p>
      <w:pPr>
        <w:pStyle w:val="Heading2"/>
      </w:pPr>
      <w:r>
        <w:rPr>
          <w:rFonts w:ascii="Calibri" w:hAnsi="Calibri" w:eastAsia="Microsoft YaHei" w:cs="Calibri"/>
          <w:b/>
          <w:color w:val="263238"/>
          <w:sz w:val="25"/>
          <w:szCs w:val="25"/>
        </w:rPr>
        <w:t>Section 5.4A: Rolling Review Horizon for Phase 2+ Measures (Nofade Protocol) [NEW: v9.8A Adoption Readiness]</w:t>
      </w:r>
    </w:p>
    <w:p>
      <w:pPr>
        <w:pStyle w:val="Heading3"/>
      </w:pPr>
      <w:r>
        <w:rPr>
          <w:rFonts w:ascii="Calibri" w:hAnsi="Calibri" w:eastAsia="Microsoft YaHei" w:cs="Calibri"/>
          <w:b/>
          <w:color w:val="546E7A"/>
          <w:sz w:val="22"/>
          <w:szCs w:val="22"/>
        </w:rPr>
        <w:t>Section 5.4A (Addendum): Mandatory Periodic Review Protocol [NEW: v12.0]</w:t>
      </w:r>
    </w:p>
    <w:p>
      <w:pPr>
        <w:pStyle w:val="Normal"/>
      </w:pPr>
      <w:r>
        <w:rPr>
          <w:rFonts w:ascii="Calibri" w:hAnsi="Calibri" w:eastAsia="Microsoft YaHei" w:cs="Calibri"/>
          <w:color w:val="263238"/>
          <w:sz w:val="21"/>
          <w:szCs w:val="21"/>
        </w:rPr>
        <w:t>Phase 2+ measures operate on 120-day review cycles under the Nofade Protocol (Annex 25). Each review covers proportionality, humanitarian impact, and effectiveness. Continuation rests on an affirmative 55% Coordination Committee vote at each review point. Where the Committee does not vote to continue, measures step down to Phase 1 intensity pending the next review rather than expiring. No measure terminates through the passage of time alone.</w:t>
      </w:r>
    </w:p>
    <w:p>
      <w:pPr>
        <w:pStyle w:val="Heading3"/>
      </w:pPr>
      <w:r>
        <w:rPr>
          <w:rFonts w:ascii="Calibri" w:hAnsi="Calibri" w:eastAsia="Microsoft YaHei" w:cs="Calibri"/>
          <w:b/>
          <w:color w:val="546E7A"/>
          <w:sz w:val="22"/>
          <w:szCs w:val="22"/>
        </w:rPr>
        <w:t>Section 5.4A (Second Addendum): Emergency-Authority Response Horizon [NEW: v12.0]</w:t>
      </w:r>
    </w:p>
    <w:p>
      <w:pPr>
        <w:pStyle w:val="Normal"/>
      </w:pPr>
      <w:r>
        <w:rPr>
          <w:rFonts w:ascii="Calibri" w:hAnsi="Calibri" w:eastAsia="Microsoft YaHei" w:cs="Calibri"/>
          <w:color w:val="263238"/>
          <w:sz w:val="21"/>
          <w:szCs w:val="21"/>
        </w:rPr>
        <w:t>The fast-track response authority for tariffs imposed under domestic emergency authorities operates on a 90-day rolling horizon under the Nofade Protocol. The authority renews by silence at each 90-day review point on a clean record; continuation changes only through a written Coordination Committee determination, with enhanced parliamentary review inside the affected Member. This horizon governs IMESI’s own response authority; it asserts no jurisdiction over the coercing state’s domestic measures.</w:t>
      </w:r>
    </w:p>
    <w:p>
      <w:pPr>
        <w:pStyle w:val="Normal"/>
      </w:pPr>
      <w:r>
        <w:rPr>
          <w:rFonts w:ascii="Calibri" w:hAnsi="Calibri" w:eastAsia="Microsoft YaHei" w:cs="Calibri"/>
          <w:color w:val="263238"/>
          <w:sz w:val="21"/>
          <w:szCs w:val="21"/>
        </w:rPr>
        <w:t>All Phase 2 and above measures operate on 120-day rolling review cycles under the Nofade Protocol (Annex 25). Measures persist at full strength across cycle boundaries; renewal occurs by silence on a clean compliance record, and only an affirmative written Coordination Committee determination adjusts, steps down, or terminates them:</w:t>
      </w:r>
    </w:p>
    <w:p>
      <w:pPr>
        <w:pStyle w:val="Normal"/>
      </w:pPr>
      <w:r>
        <w:rPr>
          <w:rFonts w:ascii="Calibri" w:hAnsi="Calibri" w:eastAsia="Microsoft YaHei" w:cs="Calibri"/>
          <w:color w:val="263238"/>
          <w:sz w:val="21"/>
          <w:szCs w:val="21"/>
        </w:rPr>
        <w:t>(a) At the 90-day mark of each cycle, the Secretariat publishes a Review Assessment evaluating: continuing coercion status; effectiveness of measures to date; humanitarian and economic impact; and de-escalation prospects;</w:t>
      </w:r>
    </w:p>
    <w:p>
      <w:pPr>
        <w:pStyle w:val="Normal"/>
      </w:pPr>
      <w:r>
        <w:rPr>
          <w:rFonts w:ascii="Calibri" w:hAnsi="Calibri" w:eastAsia="Microsoft YaHei" w:cs="Calibri"/>
          <w:color w:val="263238"/>
          <w:sz w:val="21"/>
          <w:szCs w:val="21"/>
        </w:rPr>
        <w:t>(b) Continuation beyond each review point rests on a 55% CC vote (reduced from the original 60% activation threshold); where the Committee does not vote to continue, measures step down to Phase 1 intensity pending the next review, and no measure expires through the passage of time alone;</w:t>
      </w:r>
    </w:p>
    <w:p>
      <w:pPr>
        <w:pStyle w:val="Normal"/>
      </w:pPr>
      <w:r>
        <w:rPr>
          <w:rFonts w:ascii="Calibri" w:hAnsi="Calibri" w:eastAsia="Microsoft YaHei" w:cs="Calibri"/>
          <w:color w:val="263238"/>
          <w:sz w:val="21"/>
          <w:szCs w:val="21"/>
        </w:rPr>
        <w:t>(c) A step-down persists until the next review point, at which the Committee restores, continues, or terminates the measures by written determination; termination never reaches backward into a banked compliance record;</w:t>
      </w:r>
    </w:p>
    <w:p>
      <w:pPr>
        <w:pStyle w:val="Normal"/>
      </w:pPr>
      <w:r>
        <w:rPr>
          <w:rFonts w:ascii="Calibri" w:hAnsi="Calibri" w:eastAsia="Microsoft YaHei" w:cs="Calibri"/>
          <w:color w:val="263238"/>
          <w:sz w:val="21"/>
          <w:szCs w:val="21"/>
        </w:rPr>
        <w:t>(d) Phase 1 measures undergo review at 45-day intervals per Section 5.2A (Escalation Review Protocol) and likewise persist by silence between review points.</w:t>
      </w:r>
    </w:p>
    <w:p>
      <w:pPr>
        <w:pStyle w:val="Normal"/>
      </w:pPr>
      <w:r>
        <w:rPr>
          <w:rFonts w:ascii="Calibri" w:hAnsi="Calibri" w:eastAsia="Microsoft YaHei" w:cs="Calibri"/>
          <w:color w:val="263238"/>
          <w:sz w:val="21"/>
          <w:szCs w:val="21"/>
        </w:rPr>
        <w:t>This signals restraint, forces periodic reassessment, and keeps economic pressure dynamic rather than permanent, addressing governments' fear of open-ended economic conflict.</w:t>
      </w:r>
    </w:p>
    <w:p>
      <w:pPr>
        <w:pStyle w:val="Heading2"/>
      </w:pPr>
      <w:r>
        <w:rPr>
          <w:rFonts w:ascii="Calibri" w:hAnsi="Calibri" w:eastAsia="Microsoft YaHei" w:cs="Calibri"/>
          <w:b/>
          <w:color w:val="263238"/>
          <w:sz w:val="25"/>
          <w:szCs w:val="25"/>
        </w:rPr>
        <w:t>Section 5.4B: Step-Back/Earn-Back Protocol [NEW: v13.0]</w:t>
      </w:r>
    </w:p>
    <w:p>
      <w:pPr>
        <w:pStyle w:val="Normal"/>
      </w:pPr>
      <w:r>
        <w:rPr>
          <w:rFonts w:ascii="Calibri" w:hAnsi="Calibri" w:eastAsia="Microsoft YaHei" w:cs="Calibri"/>
          <w:color w:val="263238"/>
          <w:sz w:val="21"/>
          <w:szCs w:val="21"/>
        </w:rPr>
        <w:t>The Step-Back/Earn-Back Protocol governs all compliance events, benefit adjustments, and restoration of benefits under this Instrument, unless expressly subject to reinstatement under Section 5.2. Compliance events comprise Member obligations under this Instrument, including implementation of authorised stabilisation measures, reporting and notification duties, Fund contribution obligations, and cooperation with IEWC verification. The Protocol operates on five core principles: (a) Proportionality: consequence values reflect the severity and strategic significance of each compliance event, so minor administrative delays produce minimal consequences and deliberate hostile violations produce maximum consequences; (b) Objectivity: every consequence assessment triggers from objective, independently verifiable data certified by the IEWC, and no political discretion influences consequence assignment; (c) Reversibility: every consequence carries an automatic earn-back pathway, no consequence is permanent, and sustained compliance restores full benefits; (d) Humanitarian Default: essential flows, including food, medicine, medical equipment, and emergency services, continue regardless of classification, and no consequence touches humanitarian flows; and (e) Modular Independence: failure in one module does not cascade into others unless certified under the cross-module spillover protection of Section 5.4E.</w:t>
      </w:r>
    </w:p>
    <w:p>
      <w:pPr>
        <w:pStyle w:val="Heading2"/>
      </w:pPr>
      <w:r>
        <w:rPr>
          <w:rFonts w:ascii="Calibri" w:hAnsi="Calibri" w:eastAsia="Microsoft YaHei" w:cs="Calibri"/>
          <w:b/>
          <w:color w:val="263238"/>
          <w:sz w:val="25"/>
          <w:szCs w:val="25"/>
        </w:rPr>
        <w:t>Section 5.4C: Three-Tier Breach Classification System [NEW: v13.0]</w:t>
      </w:r>
    </w:p>
    <w:p>
      <w:pPr>
        <w:pStyle w:val="Normal"/>
      </w:pPr>
      <w:r>
        <w:rPr>
          <w:rFonts w:ascii="Calibri" w:hAnsi="Calibri" w:eastAsia="Microsoft YaHei" w:cs="Calibri"/>
          <w:color w:val="263238"/>
          <w:sz w:val="21"/>
          <w:szCs w:val="21"/>
        </w:rPr>
        <w:t>All compliance events sort into one of three tiers based on severity, intent, and material impact. Tier 1, Technical Dispute (De Minimis): reporting delays of 48 hours or less attributable to administrative or technical causes; minor data gaps or transmission interruptions with documented cause; technical non-conformities measuring less than 0.5% above agreed parameters; and scheduled maintenance within the advance notice window. Tier 1 events produce no benefit reduction and no step-back: the IEWC provides technical assistance within 72 hours, a 14-day engineering resolution window opens, handling remains confidential with no public disclosure, and each event resolves independently without accumulating toward Tier 2. Resolution within 14 days returns the Member to full status automatically.</w:t>
      </w:r>
    </w:p>
    <w:p>
      <w:pPr>
        <w:pStyle w:val="Normal"/>
      </w:pPr>
      <w:r>
        <w:rPr>
          <w:rFonts w:ascii="Calibri" w:hAnsi="Calibri" w:eastAsia="Microsoft YaHei" w:cs="Calibri"/>
          <w:color w:val="263238"/>
          <w:sz w:val="21"/>
          <w:szCs w:val="21"/>
        </w:rPr>
        <w:t>Tier 2, Material Disruption: non-implementation of an authorised stabilisation measure after its implementation deadline; a Fund contribution default exceeding 72 hours after call; obstruction of IEWC verification or denied access exceeding 72 hours; or a pattern of anomalous reporting suggesting systematic data manipulation. The base response graduates by duration: days 1-7 of disruption produce a 10% reduction in non-humanitarian benefits; days 7-14 produce 15%; days 15-30 produce 25%; and disruption beyond 30 days produces 25% plus mandatory referral to the Coordination Committee. During Tier 2, humanitarian tranches remain fully protected, the Political Discretion Fund remains exempt from all reductions, the IEWC convenes within 24 hours of classification, a 30-day remediation window opens automatically, and executive consultation occurs before any penalty activates through a 48-hour cooling-off period. Earn-back for Tier 2 requires 14 days of clean compliance following remediation completion, upon which full benefits restore automatically on IEWC clean certification; over-compliance credit under Section 5.4F accelerates earn-back by up to 25%, to a minimum of 11 days.</w:t>
      </w:r>
    </w:p>
    <w:p>
      <w:pPr>
        <w:pStyle w:val="Normal"/>
      </w:pPr>
      <w:r>
        <w:rPr>
          <w:rFonts w:ascii="Calibri" w:hAnsi="Calibri" w:eastAsia="Microsoft YaHei" w:cs="Calibri"/>
          <w:color w:val="263238"/>
          <w:sz w:val="21"/>
          <w:szCs w:val="21"/>
        </w:rPr>
        <w:t>Tier 3, Deliberate Hostile Violation: submission of deliberately falsified data that would have triggered automatic escalation if believed; deliberate sabotage or compromise of the IEWC verification architecture; documented collusion with a certified coercer to defeat an active case; or a systematic pattern of Tier 2 violations demonstrating institutional bad faith, comprising three or more Tier 2 findings in 180 days. The base response graduates by remediation speed: immediate remediation begun within 72 hours of detection produces a 25% reduction in benefits; absence of remediation after 72 hours produces 35%; and absence of remediation after 30 days produces 50%. All Tier 3-classified modules enter hold status, a 90-day remediation window opens, and the Coordination Committee convenes within 48 hours. Earn-back for Tier 3 requires 90 consecutive days of sustained clean compliance, IEWC clean certification, and Coordination Committee majority confirmation; over-compliance credit accelerates earn-back by up to 25%, to a minimum of 68 days. After full earn-back, the Member returns to full pre-breach status with all benefits restored. Failure to achieve earn-back within 90 days activates reinstatement under Section 5.2.</w:t>
      </w:r>
    </w:p>
    <w:p>
      <w:pPr>
        <w:pStyle w:val="Heading2"/>
      </w:pPr>
      <w:r>
        <w:rPr>
          <w:rFonts w:ascii="Calibri" w:hAnsi="Calibri" w:eastAsia="Microsoft YaHei" w:cs="Calibri"/>
          <w:b/>
          <w:color w:val="263238"/>
          <w:sz w:val="25"/>
          <w:szCs w:val="25"/>
        </w:rPr>
        <w:t>Section 5.4D: Sequenced Impact and Human-in-the-Loop Requirement [NEW: v13.0]</w:t>
      </w:r>
    </w:p>
    <w:p>
      <w:pPr>
        <w:pStyle w:val="Normal"/>
      </w:pPr>
      <w:r>
        <w:rPr>
          <w:rFonts w:ascii="Calibri" w:hAnsi="Calibri" w:eastAsia="Microsoft YaHei" w:cs="Calibri"/>
          <w:color w:val="263238"/>
          <w:sz w:val="21"/>
          <w:szCs w:val="21"/>
        </w:rPr>
        <w:t>When step-back activates, benefits pause in the following sequence: first affected, discretionary benefits, including over-compliance credits, bonus allocations, and earn-back acceleration; second affected, commercial financial benefits, including procurement consortium privileges, preferential SFI rates, and non-humanitarian trade facilitation; third affected, core relief tranches, including Fund disbursements, swap-line access, and guarantee programmes; last affected, core constraints and verification obligations; and never affected, humanitarian flows including food, medicine, medical equipment, and emergency services, escrowed funds already released, and crisis communication channels. Before any step-back penalty activates: analytical systems flag anomalies and present evidence packages within 6 hours of detection; the IEWC duty officer reviews the evidence package within 12 hours; senior officials of the concerned parties confer within 48 hours under a mandatory cooling-off period; and executive consultation confirms the tier classification before penalties apply. The Annual Human-in-the-Loop Audit (Section 4.3E) verifies that analytical systems make no autonomous penalty decisions, that human review occurs within 24 hours of all flags, and that false positive rates remain below 15%; where any criterion is unmet, the IEWC recalibrates the system within 30 days. The penalty equals the Base Tier Penalty multiplied by a Duration Multiplier scaling from 0.4 (corrected within 24 hours) to 1.0 (remediation window expires uncured), multiplied by a Remediation Factor of 0.5 for full remediation, 0.75 for partial remediation, or 1.0 for no remediation, applied through the standard Committee voting thresholds of Section 4.1.</w:t>
      </w:r>
    </w:p>
    <w:p>
      <w:pPr>
        <w:pStyle w:val="Heading2"/>
      </w:pPr>
      <w:r>
        <w:rPr>
          <w:rFonts w:ascii="Calibri" w:hAnsi="Calibri" w:eastAsia="Microsoft YaHei" w:cs="Calibri"/>
          <w:b/>
          <w:color w:val="263238"/>
          <w:sz w:val="25"/>
          <w:szCs w:val="25"/>
        </w:rPr>
        <w:t>Section 5.4E: Cross-Module Spillover Protection [NEW: v13.0]</w:t>
      </w:r>
    </w:p>
    <w:p>
      <w:pPr>
        <w:pStyle w:val="Normal"/>
      </w:pPr>
      <w:r>
        <w:rPr>
          <w:rFonts w:ascii="Calibri" w:hAnsi="Calibri" w:eastAsia="Microsoft YaHei" w:cs="Calibri"/>
          <w:color w:val="263238"/>
          <w:sz w:val="21"/>
          <w:szCs w:val="21"/>
        </w:rPr>
        <w:t>Step-back reductions apply only within the module where the violation occurred. Five modules govern this mapping: the Trade Measures Module, covering authorised stabilisation measures and their implementation; the Financial Module, covering Fund contributions, SFI participation, and swap lines; the Supply-Chain Module, covering procurement, reserves, and diversification obligations; the Governance Module, covering Committee participation, voting, and dispute resolution; and the Institutional Module, covering verification standards, audit compliance, and data integrity. Cross-module spillover requires IEWC certification by a two-thirds majority vote (Consensus Minus One) that the violation directly and materially undermines a different module. Under the Partial Success Doctrine, no single unresolved module invalidates the remainder of this Instrument: each module operates as an independent contractual track, and progress, compliance, or failure in one track does not automatically determine the status of any other track. The IEWC publishes and maintains the mapping of all violation categories to their primary module in Annex 24.</w:t>
      </w:r>
    </w:p>
    <w:p>
      <w:pPr>
        <w:pStyle w:val="Heading2"/>
      </w:pPr>
      <w:r>
        <w:rPr>
          <w:rFonts w:ascii="Calibri" w:hAnsi="Calibri" w:eastAsia="Microsoft YaHei" w:cs="Calibri"/>
          <w:b/>
          <w:color w:val="263238"/>
          <w:sz w:val="25"/>
          <w:szCs w:val="25"/>
        </w:rPr>
        <w:t>Section 5.4F: Earn-Back Credit System [NEW: v13.0]</w:t>
      </w:r>
    </w:p>
    <w:p>
      <w:pPr>
        <w:pStyle w:val="Normal"/>
      </w:pPr>
      <w:r>
        <w:rPr>
          <w:rFonts w:ascii="Calibri" w:hAnsi="Calibri" w:eastAsia="Microsoft YaHei" w:cs="Calibri"/>
          <w:color w:val="263238"/>
          <w:sz w:val="21"/>
          <w:szCs w:val="21"/>
        </w:rPr>
        <w:t>Where a Member completes a milestone ahead of schedule and maintains IEWC-verified compliance during the accelerated period, the corresponding tranche releases proportionally earlier, and the Member accrues over-compliance credits. Banked credits apply to future earn-back periods, not to active penalties: Tier 2 earn-back reduces by up to 25% (14 days becomes a minimum of 11 days), and Tier 3 earn-back reduces by up to 25% (90 days becomes a minimum of 68 days). Each month of sustained compliance beyond baseline requirements accrues one credit week. The IEWC maintains a public Earn-Back Credit Registry accessible to all Members through the Institutional Readiness Dashboard.</w:t>
      </w:r>
    </w:p>
    <w:p>
      <w:pPr>
        <w:pStyle w:val="Heading2"/>
      </w:pPr>
      <w:r>
        <w:rPr>
          <w:rFonts w:ascii="Calibri" w:hAnsi="Calibri" w:eastAsia="Microsoft YaHei" w:cs="Calibri"/>
          <w:b/>
          <w:color w:val="263238"/>
          <w:sz w:val="25"/>
          <w:szCs w:val="25"/>
        </w:rPr>
        <w:t>Section 5.4G: Reinstatement Review and Sunset Safeguards [NEW: v13.0]</w:t>
      </w:r>
    </w:p>
    <w:p>
      <w:pPr>
        <w:pStyle w:val="Normal"/>
      </w:pPr>
      <w:r>
        <w:rPr>
          <w:rFonts w:ascii="Calibri" w:hAnsi="Calibri" w:eastAsia="Microsoft YaHei" w:cs="Calibri"/>
          <w:color w:val="263238"/>
          <w:sz w:val="21"/>
          <w:szCs w:val="21"/>
        </w:rPr>
        <w:t>During any active reinstatement, the Coordination Committee votes every 14 days, by 55% weighted vote, to continue the reinstatement; failure to vote produces automatic de-escalation to Phase 1 and reversion to the Step-Back/Earn-Back Protocol. Each review assesses continuing coercion status, proportionality of the reinstatement, humanitarian and economic impact, and de-escalation prospects. Reinstatement expires automatically after 60 days unless renewed by 60% Committee vote, and each renewal requires a published justification demonstrating that the triggering conditions of Section 5.2 continue to be satisfied; after 60 days, renewal proceeds for successive 30-day periods, each requiring a fresh 60% vote. The Secretariat publishes a Reinstatement Justification Note within 7 days of activation, explaining why the Step-Back/Earn-Back Protocol was insufficient, how the reinstatement transitions back to Step-Back/Earn-Back, and the conditions for de-escalation, and posts the Note on the Institutional Readiness Dashboard. Upon cessation of the triggering violation, reinstatement automatically transitions to the highest earn-back tier, comprising the 90-day Tier 3 monitoring period, and the coercer or Member becomes eligible for full restoration upon sustained compliance consistent with Section 5.4F, without a separate Committee vote.</w:t>
      </w:r>
    </w:p>
    <w:p>
      <w:pPr>
        <w:pStyle w:val="Heading2"/>
      </w:pPr>
      <w:r>
        <w:rPr>
          <w:rFonts w:ascii="Calibri" w:hAnsi="Calibri" w:eastAsia="Microsoft YaHei" w:cs="Calibri"/>
          <w:b/>
          <w:color w:val="263238"/>
          <w:sz w:val="25"/>
          <w:szCs w:val="25"/>
        </w:rPr>
        <w:t>Section 5.4H: Earn-Back Timelines Under Nofade Protocol [NEW: v13.0]</w:t>
      </w:r>
    </w:p>
    <w:p>
      <w:pPr>
        <w:pStyle w:val="Normal"/>
      </w:pPr>
      <w:r>
        <w:rPr>
          <w:rFonts w:ascii="Calibri" w:hAnsi="Calibri" w:eastAsia="Microsoft YaHei" w:cs="Calibri"/>
          <w:color w:val="263238"/>
          <w:sz w:val="21"/>
          <w:szCs w:val="21"/>
        </w:rPr>
        <w:t>All earn-back monitoring periods, comprising 14 days for Tier 2 and 90 days for Tier 3, operate under the Nofade Protocol (Annex 25): the monitoring period renews by silence on a clean record, only a written Coordination Committee determination modifies or terminates the earn-back timeline, and no monitoring period expires through the passage of time alone. A step-down from reinstatement to Tier 3 earn-back persists until the next review point, at which the Committee restores, continues, or terminates the measures by written determination. A Member that achieves earn-back and sustains compliance for 180 days following restoration has the reinstatement record archived from the Compliance Dashboard and treated as a historical data point rather than an active compliance marker.</w:t>
      </w:r>
    </w:p>
    <w:p>
      <w:pPr>
        <w:pStyle w:val="Heading2"/>
      </w:pPr>
      <w:r>
        <w:rPr>
          <w:rFonts w:ascii="Calibri" w:hAnsi="Calibri" w:eastAsia="Microsoft YaHei" w:cs="Calibri"/>
          <w:b/>
          <w:color w:val="263238"/>
          <w:sz w:val="25"/>
          <w:szCs w:val="25"/>
        </w:rPr>
        <w:t>Section 5.3G: Third-Party Mediation Fast Track [NEW: v9.8A Institutional Maturity]</w:t>
      </w:r>
    </w:p>
    <w:p>
      <w:pPr>
        <w:pStyle w:val="Normal"/>
      </w:pPr>
      <w:r>
        <w:rPr>
          <w:rFonts w:ascii="Calibri" w:hAnsi="Calibri" w:eastAsia="Microsoft YaHei" w:cs="Calibri"/>
          <w:color w:val="263238"/>
          <w:sz w:val="21"/>
          <w:szCs w:val="21"/>
        </w:rPr>
        <w:t>The Secretariat maintains a pre-approved panel of neutral mediators drawn from small neutral states, regional organisations, and recognised international mediation bodies. Either the affected Member or the coercing state triggers a fast-track mediation process at any time during an active case:</w:t>
      </w:r>
    </w:p>
    <w:p>
      <w:pPr>
        <w:pStyle w:val="Normal"/>
      </w:pPr>
      <w:r>
        <w:rPr>
          <w:rFonts w:ascii="Calibri" w:hAnsi="Calibri" w:eastAsia="Microsoft YaHei" w:cs="Calibri"/>
          <w:color w:val="263238"/>
          <w:sz w:val="21"/>
          <w:szCs w:val="21"/>
        </w:rPr>
        <w:t>(a) Triggering party notifies the Secretariat; the Secretariat appoints a mediator from the panel within 48 hours;</w:t>
      </w:r>
    </w:p>
    <w:p>
      <w:pPr>
        <w:pStyle w:val="Normal"/>
      </w:pPr>
      <w:r>
        <w:rPr>
          <w:rFonts w:ascii="Calibri" w:hAnsi="Calibri" w:eastAsia="Microsoft YaHei" w:cs="Calibri"/>
          <w:color w:val="263238"/>
          <w:sz w:val="21"/>
          <w:szCs w:val="21"/>
        </w:rPr>
        <w:t>(b) Mediation sessions commence within 7 days; mediator has 30-day mandate (renewable once);</w:t>
      </w:r>
    </w:p>
    <w:p>
      <w:pPr>
        <w:pStyle w:val="Normal"/>
      </w:pPr>
      <w:r>
        <w:rPr>
          <w:rFonts w:ascii="Calibri" w:hAnsi="Calibri" w:eastAsia="Microsoft YaHei" w:cs="Calibri"/>
          <w:color w:val="263238"/>
          <w:sz w:val="21"/>
          <w:szCs w:val="21"/>
        </w:rPr>
        <w:t>(c) During mediation, Phase 1 measures remain in place but Phase 2+ escalation is paused unless the CC votes to override by 60% weighted vote;</w:t>
      </w:r>
    </w:p>
    <w:p>
      <w:pPr>
        <w:pStyle w:val="Normal"/>
      </w:pPr>
      <w:r>
        <w:rPr>
          <w:rFonts w:ascii="Calibri" w:hAnsi="Calibri" w:eastAsia="Microsoft YaHei" w:cs="Calibri"/>
          <w:color w:val="263238"/>
          <w:sz w:val="21"/>
          <w:szCs w:val="21"/>
        </w:rPr>
        <w:t>(d) Mediation outcomes are non-binding but published (with parties' consent) as precedent for future cases.</w:t>
      </w:r>
    </w:p>
    <w:p>
      <w:pPr>
        <w:pStyle w:val="Normal"/>
      </w:pPr>
      <w:r>
        <w:rPr>
          <w:rFonts w:ascii="Calibri" w:hAnsi="Calibri" w:eastAsia="Microsoft YaHei" w:cs="Calibri"/>
          <w:color w:val="263238"/>
          <w:sz w:val="21"/>
          <w:szCs w:val="21"/>
        </w:rPr>
        <w:t>Reinforces existing off-ramp logic and is particularly attractive to non-aligned and Global South members who value diplomatic resolution.</w:t>
      </w:r>
    </w:p>
    <w:p>
      <w:pPr>
        <w:pStyle w:val="Heading2"/>
      </w:pPr>
      <w:r>
        <w:rPr>
          <w:rFonts w:ascii="Calibri" w:hAnsi="Calibri" w:eastAsia="Microsoft YaHei" w:cs="Calibri"/>
          <w:b/>
          <w:color w:val="263238"/>
          <w:sz w:val="25"/>
          <w:szCs w:val="25"/>
        </w:rPr>
        <w:t>Section 5.5A: Unified Existential Speed Protocol (ESP) [NEW: v9.8B Structural Simplification]</w:t>
      </w:r>
    </w:p>
    <w:p>
      <w:pPr>
        <w:pStyle w:val="Normal"/>
      </w:pPr>
      <w:r>
        <w:rPr>
          <w:rFonts w:ascii="Calibri" w:hAnsi="Calibri" w:eastAsia="Microsoft YaHei" w:cs="Calibri"/>
          <w:color w:val="263238"/>
          <w:sz w:val="21"/>
          <w:szCs w:val="21"/>
        </w:rPr>
        <w:t>All pre-authorised rapid-response mechanisms under this Instrument operate through a single Existential Speed Protocol framework, authorised by a 55% CC vote with a 12-month validity period (renewable annually). The ESP framework contains the following modules, each activated by its specific trigger conditions:</w:t>
      </w:r>
    </w:p>
    <w:p>
      <w:pPr>
        <w:pStyle w:val="Normal"/>
      </w:pPr>
      <w:r>
        <w:rPr>
          <w:rFonts w:ascii="Calibri" w:hAnsi="Calibri" w:eastAsia="Microsoft YaHei" w:cs="Calibri"/>
          <w:color w:val="263238"/>
          <w:sz w:val="21"/>
          <w:szCs w:val="21"/>
        </w:rPr>
        <w:t>Module F (Financial): Pre-authorised swap-line activation, SFI settlement continuity, and emergency liquidity deployment. Trigger: Phase 2+ certification or GSD/SND certification. Detail: Sections 4.6H, 8.9, 8.10G.</w:t>
      </w:r>
    </w:p>
    <w:p>
      <w:pPr>
        <w:pStyle w:val="Normal"/>
      </w:pPr>
      <w:r>
        <w:rPr>
          <w:rFonts w:ascii="Calibri" w:hAnsi="Calibri" w:eastAsia="Microsoft YaHei" w:cs="Calibri"/>
          <w:color w:val="263238"/>
          <w:sz w:val="21"/>
          <w:szCs w:val="21"/>
        </w:rPr>
        <w:t>Module I (Infrastructure): Pre-authorised SFI node failover, backup facility activation, and critical-infrastructure protection. Trigger: SFI hosting blackmail or cyber attack certification. Detail: Sections 4.6F, 1.5.</w:t>
      </w:r>
    </w:p>
    <w:p>
      <w:pPr>
        <w:pStyle w:val="Normal"/>
      </w:pPr>
      <w:r>
        <w:rPr>
          <w:rFonts w:ascii="Calibri" w:hAnsi="Calibri" w:eastAsia="Microsoft YaHei" w:cs="Calibri"/>
          <w:color w:val="263238"/>
          <w:sz w:val="21"/>
          <w:szCs w:val="21"/>
        </w:rPr>
        <w:t>Module D (Digital/Technology): Pre-authorised Open Standards Protocol activation and platform-service continuity measures. Trigger: technology coercion certification or &gt;60% market concentration with policy linkage. Detail: Annex 11B.</w:t>
      </w:r>
    </w:p>
    <w:p>
      <w:pPr>
        <w:pStyle w:val="Normal"/>
      </w:pPr>
      <w:r>
        <w:rPr>
          <w:rFonts w:ascii="Calibri" w:hAnsi="Calibri" w:eastAsia="Microsoft YaHei" w:cs="Calibri"/>
          <w:color w:val="263238"/>
          <w:sz w:val="21"/>
          <w:szCs w:val="21"/>
        </w:rPr>
        <w:t>Module M (Military-Adjacent): Pre-authorised accelerated Phase 0+ deployment and timeline compression. Trigger: IEWC certification of military-economic nexus. Detail: Sections 2.10A Military Nexus Fast-Lane, 2.12A.</w:t>
      </w:r>
    </w:p>
    <w:p>
      <w:pPr>
        <w:pStyle w:val="Normal"/>
      </w:pPr>
      <w:r>
        <w:rPr>
          <w:rFonts w:ascii="Calibri" w:hAnsi="Calibri" w:eastAsia="Microsoft YaHei" w:cs="Calibri"/>
          <w:color w:val="263238"/>
          <w:sz w:val="21"/>
          <w:szCs w:val="21"/>
        </w:rPr>
        <w:t>In the main text, all references to pre-authorised rapid responses use the label "ESP-authorised stabilisation modules." The specific configuration, trigger conditions, and operational procedures for each module are detailed in Annex 24. This consolidates what were previously separate fast-track regimes into one coherent</w:t>
      </w:r>
    </w:p>
    <w:p>
      <w:pPr>
        <w:pStyle w:val="Normal"/>
      </w:pPr>
      <w:r>
        <w:rPr>
          <w:rFonts w:ascii="Calibri" w:hAnsi="Calibri" w:eastAsia="Microsoft YaHei" w:cs="Calibri"/>
          <w:color w:val="263238"/>
          <w:sz w:val="21"/>
          <w:szCs w:val="21"/>
        </w:rPr>
        <w:t>framework with one voting threshold and one validity period.</w:t>
      </w:r>
    </w:p>
    <w:p>
      <w:pPr>
        <w:pStyle w:val="Heading2"/>
      </w:pPr>
      <w:r>
        <w:rPr>
          <w:rFonts w:ascii="Calibri" w:hAnsi="Calibri" w:eastAsia="Microsoft YaHei" w:cs="Calibri"/>
          <w:b/>
          <w:color w:val="263238"/>
          <w:sz w:val="25"/>
          <w:szCs w:val="25"/>
        </w:rPr>
        <w:t>Section 5.11: Escalation Cascade Safeguard [NEW: v9.8 Required Addition]</w:t>
      </w:r>
    </w:p>
    <w:p>
      <w:pPr>
        <w:pStyle w:val="Heading3"/>
      </w:pPr>
      <w:r>
        <w:rPr>
          <w:rFonts w:ascii="Calibri" w:hAnsi="Calibri" w:eastAsia="Microsoft YaHei" w:cs="Calibri"/>
          <w:b/>
          <w:color w:val="546E7A"/>
          <w:sz w:val="22"/>
          <w:szCs w:val="22"/>
        </w:rPr>
        <w:t>Section 5.11 (Addendum): Deceleration Mandate [NEW: v12.1]</w:t>
      </w:r>
    </w:p>
    <w:p>
      <w:pPr>
        <w:pStyle w:val="Normal"/>
      </w:pPr>
      <w:r>
        <w:rPr>
          <w:rFonts w:ascii="Calibri" w:hAnsi="Calibri" w:eastAsia="Microsoft YaHei" w:cs="Calibri"/>
          <w:color w:val="263238"/>
          <w:sz w:val="21"/>
          <w:szCs w:val="21"/>
        </w:rPr>
        <w:t>Where a coercer escalates its measures by more than 100% of their initial intensity within a single 30-day window, the Cascade Safeguard mandates a 14-day Cooling-Off and Strategic Reassessment period. During this period the Coordination Committee holds no vote on any escalation and directs its activity exclusively to non-tariff stabilisation, including liquidity support, supply-chain rerouting, and swap-line coordination. The mandate protects the coalition against reactive escalation drawn out by actors indifferent to cost.</w:t>
      </w:r>
    </w:p>
    <w:p>
      <w:pPr>
        <w:pStyle w:val="Heading3"/>
      </w:pPr>
      <w:r>
        <w:rPr>
          <w:rFonts w:ascii="Calibri" w:hAnsi="Calibri" w:eastAsia="Microsoft YaHei" w:cs="Calibri"/>
          <w:b/>
          <w:color w:val="546E7A"/>
          <w:sz w:val="22"/>
          <w:szCs w:val="22"/>
        </w:rPr>
        <w:t>Section 5.12: Sunset on Emergency Powers [NEW: v11.0]</w:t>
      </w:r>
    </w:p>
    <w:p>
      <w:pPr>
        <w:pStyle w:val="Normal"/>
      </w:pPr>
      <w:r>
        <w:rPr>
          <w:rFonts w:ascii="Calibri" w:hAnsi="Calibri" w:eastAsia="Microsoft YaHei" w:cs="Calibri"/>
          <w:color w:val="263238"/>
          <w:sz w:val="21"/>
          <w:szCs w:val="21"/>
        </w:rPr>
        <w:t>Where a state applies tariffs under a domestic emergency statute and renews that statute without legislative approval, IMESI Members automatically escalate to Phase 2 measures without a further vote. The framework treats administrative renewal as an escalatory act.</w:t>
      </w:r>
    </w:p>
    <w:p>
      <w:pPr>
        <w:pStyle w:val="Normal"/>
      </w:pPr>
      <w:r>
        <w:rPr>
          <w:rFonts w:ascii="Calibri" w:hAnsi="Calibri" w:eastAsia="Microsoft YaHei" w:cs="Calibri"/>
          <w:color w:val="263238"/>
          <w:sz w:val="21"/>
          <w:szCs w:val="21"/>
        </w:rPr>
        <w:t>Purpose: Prevent rapid sequential activation of multiple semi-automatic responses to single coercion certification from creating unintended economic lock-in or market panic.</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No more than 2 of the following semi-automatic measures activate within 14 calendar days for the same coercion case: SFI settlement preference shift (Section 8.10G) activation; Phase 1 auto-activation (Section 5.0A) execution; Immediate ACE trigger (Section 6.3) expansion; Debt Service Bridge Sub-Facility (Section 8.18) allocation; Security Grade downgrade alert (Section 8.14A).</w:t>
      </w:r>
    </w:p>
    <w:p>
      <w:pPr>
        <w:pStyle w:val="Normal"/>
      </w:pPr>
      <w:r>
        <w:rPr>
          <w:rFonts w:ascii="Calibri" w:hAnsi="Calibri" w:eastAsia="Microsoft YaHei" w:cs="Calibri"/>
          <w:color w:val="263238"/>
          <w:sz w:val="21"/>
          <w:szCs w:val="21"/>
        </w:rPr>
        <w:t>Sequential Activation Rule</w:t>
      </w:r>
    </w:p>
    <w:p>
      <w:pPr>
        <w:pStyle w:val="Normal"/>
      </w:pPr>
      <w:r>
        <w:rPr>
          <w:rFonts w:ascii="Calibri" w:hAnsi="Calibri" w:eastAsia="Microsoft YaHei" w:cs="Calibri"/>
          <w:color w:val="263238"/>
          <w:sz w:val="21"/>
          <w:szCs w:val="21"/>
        </w:rPr>
        <w:t>If more than 2 measures would activate within the 14-day window: First 2 measures activate automatically per their respective provisions; Measures 3+ require separate CC deliberation vote (55% threshold) before activation; CC votes occur within 48 hours of each additional measure's triggering condition.</w:t>
      </w:r>
    </w:p>
    <w:p>
      <w:pPr>
        <w:pStyle w:val="Normal"/>
      </w:pPr>
      <w:r>
        <w:rPr>
          <w:rFonts w:ascii="Calibri" w:hAnsi="Calibri" w:eastAsia="Microsoft YaHei" w:cs="Calibri"/>
          <w:color w:val="263238"/>
          <w:sz w:val="21"/>
          <w:szCs w:val="21"/>
        </w:rPr>
        <w:t>Exception</w:t>
      </w:r>
    </w:p>
    <w:p>
      <w:pPr>
        <w:pStyle w:val="Normal"/>
      </w:pPr>
      <w:r>
        <w:rPr>
          <w:rFonts w:ascii="Calibri" w:hAnsi="Calibri" w:eastAsia="Microsoft YaHei" w:cs="Calibri"/>
          <w:color w:val="263238"/>
          <w:sz w:val="21"/>
          <w:szCs w:val="21"/>
        </w:rPr>
        <w:t>If coercion escalates to Phase 2+ during 14-day window, cascade limit is suspended for measures 3-5 (Phase 1 and ACE remain automatic); emergency CC consultation convenes within 12 hours to authorize remaining responses.</w:t>
      </w:r>
    </w:p>
    <w:p>
      <w:pPr>
        <w:pStyle w:val="Heading2"/>
      </w:pPr>
      <w:r>
        <w:rPr>
          <w:rFonts w:ascii="Calibri" w:hAnsi="Calibri" w:eastAsia="Microsoft YaHei" w:cs="Calibri"/>
          <w:b/>
          <w:color w:val="263238"/>
          <w:sz w:val="25"/>
          <w:szCs w:val="25"/>
        </w:rPr>
        <w:t>Section 5.4: Pre-Authorised Scenario Library</w:t>
      </w:r>
    </w:p>
    <w:p>
      <w:pPr>
        <w:pStyle w:val="Normal"/>
      </w:pPr>
      <w:r>
        <w:rPr>
          <w:rFonts w:ascii="Calibri" w:hAnsi="Calibri" w:eastAsia="Microsoft YaHei" w:cs="Calibri"/>
          <w:color w:val="263238"/>
          <w:sz w:val="21"/>
          <w:szCs w:val="21"/>
        </w:rPr>
        <w:t>IMESI maintains 15–20 pre-authorised scenarios. Tier 1 scenarios trigger automatic provisional response; Tier 2</w:t>
      </w:r>
    </w:p>
    <w:p>
      <w:pPr>
        <w:pStyle w:val="Normal"/>
      </w:pPr>
      <w:r>
        <w:rPr>
          <w:rFonts w:ascii="Calibri" w:hAnsi="Calibri" w:eastAsia="Microsoft YaHei" w:cs="Calibri"/>
          <w:color w:val="263238"/>
          <w:sz w:val="21"/>
          <w:szCs w:val="21"/>
        </w:rPr>
        <w:t>scenarios follow expedited activation with standard vote:</w:t>
      </w:r>
    </w:p>
    <w:p>
      <w:pPr>
        <w:pStyle w:val="Normal"/>
      </w:pPr>
      <w:r>
        <w:rPr>
          <w:rFonts w:ascii="Calibri" w:hAnsi="Calibri" w:eastAsia="Microsoft YaHei" w:cs="Calibri"/>
          <w:color w:val="263238"/>
          <w:sz w:val="21"/>
          <w:szCs w:val="21"/>
        </w:rPr>
        <w:t>Scenario</w:t>
      </w:r>
    </w:p>
    <w:p>
      <w:pPr>
        <w:pStyle w:val="Normal"/>
      </w:pPr>
      <w:r>
        <w:rPr>
          <w:rFonts w:ascii="Calibri" w:hAnsi="Calibri" w:eastAsia="Microsoft YaHei" w:cs="Calibri"/>
          <w:color w:val="263238"/>
          <w:sz w:val="21"/>
          <w:szCs w:val="21"/>
        </w:rPr>
        <w:t>Type</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Implementation</w:t>
      </w:r>
    </w:p>
    <w:p>
      <w:pPr>
        <w:pStyle w:val="Normal"/>
      </w:pPr>
      <w:r>
        <w:rPr>
          <w:rFonts w:ascii="Calibri" w:hAnsi="Calibri" w:eastAsia="Microsoft YaHei" w:cs="Calibri"/>
          <w:color w:val="263238"/>
          <w:sz w:val="21"/>
          <w:szCs w:val="21"/>
        </w:rPr>
        <w:t>Alpha: Sovereign Reversal</w:t>
      </w:r>
    </w:p>
    <w:p>
      <w:pPr>
        <w:pStyle w:val="Normal"/>
      </w:pPr>
      <w:r>
        <w:rPr>
          <w:rFonts w:ascii="Calibri" w:hAnsi="Calibri" w:eastAsia="Microsoft YaHei" w:cs="Calibri"/>
          <w:color w:val="263238"/>
          <w:sz w:val="21"/>
          <w:szCs w:val="21"/>
        </w:rPr>
        <w:t>Policy</w:t>
      </w:r>
    </w:p>
    <w:p>
      <w:pPr>
        <w:pStyle w:val="Normal"/>
      </w:pPr>
      <w:r>
        <w:rPr>
          <w:rFonts w:ascii="Calibri" w:hAnsi="Calibri" w:eastAsia="Microsoft YaHei" w:cs="Calibri"/>
          <w:color w:val="263238"/>
          <w:sz w:val="21"/>
          <w:szCs w:val="21"/>
        </w:rPr>
        <w:t>Red-Line Tier 1</w:t>
      </w:r>
    </w:p>
    <w:p>
      <w:pPr>
        <w:pStyle w:val="Normal"/>
      </w:pPr>
      <w:r>
        <w:rPr>
          <w:rFonts w:ascii="Calibri" w:hAnsi="Calibri" w:eastAsia="Microsoft YaHei" w:cs="Calibri"/>
          <w:color w:val="263238"/>
          <w:sz w:val="21"/>
          <w:szCs w:val="21"/>
        </w:rPr>
        <w:t>Explicit linkage of economic measures to policy demands</w:t>
      </w:r>
    </w:p>
    <w:p>
      <w:pPr>
        <w:pStyle w:val="Normal"/>
      </w:pPr>
      <w:r>
        <w:rPr>
          <w:rFonts w:ascii="Calibri" w:hAnsi="Calibri" w:eastAsia="Microsoft YaHei" w:cs="Calibri"/>
          <w:color w:val="263238"/>
          <w:sz w:val="21"/>
          <w:szCs w:val="21"/>
        </w:rPr>
        <w:t>72-hour provisional, 7-day full</w:t>
      </w:r>
    </w:p>
    <w:p>
      <w:pPr>
        <w:pStyle w:val="Normal"/>
      </w:pPr>
      <w:r>
        <w:rPr>
          <w:rFonts w:ascii="Calibri" w:hAnsi="Calibri" w:eastAsia="Microsoft YaHei" w:cs="Calibri"/>
          <w:color w:val="263238"/>
          <w:sz w:val="21"/>
          <w:szCs w:val="21"/>
        </w:rPr>
        <w:t>Beta: Financial Exclusion</w:t>
      </w:r>
    </w:p>
    <w:p>
      <w:pPr>
        <w:pStyle w:val="Normal"/>
      </w:pPr>
      <w:r>
        <w:rPr>
          <w:rFonts w:ascii="Calibri" w:hAnsi="Calibri" w:eastAsia="Microsoft YaHei" w:cs="Calibri"/>
          <w:color w:val="263238"/>
          <w:sz w:val="21"/>
          <w:szCs w:val="21"/>
        </w:rPr>
        <w:t>System</w:t>
      </w:r>
    </w:p>
    <w:p>
      <w:pPr>
        <w:pStyle w:val="Normal"/>
      </w:pPr>
      <w:r>
        <w:rPr>
          <w:rFonts w:ascii="Calibri" w:hAnsi="Calibri" w:eastAsia="Microsoft YaHei" w:cs="Calibri"/>
          <w:color w:val="263238"/>
          <w:sz w:val="21"/>
          <w:szCs w:val="21"/>
        </w:rPr>
        <w:t>Red-Line Tier 1</w:t>
      </w:r>
    </w:p>
    <w:p>
      <w:pPr>
        <w:pStyle w:val="Normal"/>
      </w:pPr>
      <w:r>
        <w:rPr>
          <w:rFonts w:ascii="Calibri" w:hAnsi="Calibri" w:eastAsia="Microsoft YaHei" w:cs="Calibri"/>
          <w:color w:val="263238"/>
          <w:sz w:val="21"/>
          <w:szCs w:val="21"/>
        </w:rPr>
        <w:t>Threats to exclude from payment systems or capital markets</w:t>
      </w:r>
    </w:p>
    <w:p>
      <w:pPr>
        <w:pStyle w:val="Normal"/>
      </w:pPr>
      <w:r>
        <w:rPr>
          <w:rFonts w:ascii="Calibri" w:hAnsi="Calibri" w:eastAsia="Microsoft YaHei" w:cs="Calibri"/>
          <w:color w:val="263238"/>
          <w:sz w:val="21"/>
          <w:szCs w:val="21"/>
        </w:rPr>
        <w:t>48-hour alternative mobilisation, 7-day restrictions</w:t>
      </w:r>
    </w:p>
    <w:p>
      <w:pPr>
        <w:pStyle w:val="Normal"/>
      </w:pPr>
      <w:r>
        <w:rPr>
          <w:rFonts w:ascii="Calibri" w:hAnsi="Calibri" w:eastAsia="Microsoft YaHei" w:cs="Calibri"/>
          <w:color w:val="263238"/>
          <w:sz w:val="21"/>
          <w:szCs w:val="21"/>
        </w:rPr>
        <w:t>Tech</w:t>
      </w:r>
    </w:p>
    <w:p>
      <w:pPr>
        <w:pStyle w:val="Normal"/>
      </w:pPr>
      <w:r>
        <w:rPr>
          <w:rFonts w:ascii="Calibri" w:hAnsi="Calibri" w:eastAsia="Microsoft YaHei" w:cs="Calibri"/>
          <w:color w:val="263238"/>
          <w:sz w:val="21"/>
          <w:szCs w:val="21"/>
        </w:rPr>
        <w:t>Red-Line Tier 1</w:t>
      </w:r>
    </w:p>
    <w:p>
      <w:pPr>
        <w:pStyle w:val="Normal"/>
      </w:pPr>
      <w:r>
        <w:rPr>
          <w:rFonts w:ascii="Calibri" w:hAnsi="Calibri" w:eastAsia="Microsoft YaHei" w:cs="Calibri"/>
          <w:color w:val="263238"/>
          <w:sz w:val="21"/>
          <w:szCs w:val="21"/>
        </w:rPr>
        <w:t>Export controls on critical tech with political linkage</w:t>
      </w:r>
    </w:p>
    <w:p>
      <w:pPr>
        <w:pStyle w:val="Normal"/>
      </w:pPr>
      <w:r>
        <w:rPr>
          <w:rFonts w:ascii="Calibri" w:hAnsi="Calibri" w:eastAsia="Microsoft YaHei" w:cs="Calibri"/>
          <w:color w:val="263238"/>
          <w:sz w:val="21"/>
          <w:szCs w:val="21"/>
        </w:rPr>
        <w:t>72-hour stockpile release, 7-day export controls</w:t>
      </w:r>
    </w:p>
    <w:p>
      <w:pPr>
        <w:pStyle w:val="Normal"/>
      </w:pPr>
      <w:r>
        <w:rPr>
          <w:rFonts w:ascii="Calibri" w:hAnsi="Calibri" w:eastAsia="Microsoft YaHei" w:cs="Calibri"/>
          <w:color w:val="263238"/>
          <w:sz w:val="21"/>
          <w:szCs w:val="21"/>
        </w:rPr>
        <w:t>Delta:</w:t>
      </w:r>
    </w:p>
    <w:p>
      <w:pPr>
        <w:pStyle w:val="Normal"/>
      </w:pPr>
      <w:r>
        <w:rPr>
          <w:rFonts w:ascii="Calibri" w:hAnsi="Calibri" w:eastAsia="Microsoft YaHei" w:cs="Calibri"/>
          <w:color w:val="263238"/>
          <w:sz w:val="21"/>
          <w:szCs w:val="21"/>
        </w:rPr>
        <w:t>Comprehensive Trade Embargo</w:t>
      </w:r>
    </w:p>
    <w:p>
      <w:pPr>
        <w:pStyle w:val="Normal"/>
      </w:pPr>
      <w:r>
        <w:rPr>
          <w:rFonts w:ascii="Calibri" w:hAnsi="Calibri" w:eastAsia="Microsoft YaHei" w:cs="Calibri"/>
          <w:color w:val="263238"/>
          <w:sz w:val="21"/>
          <w:szCs w:val="21"/>
        </w:rPr>
        <w:t>Red-Line Tier 1</w:t>
      </w:r>
    </w:p>
    <w:p>
      <w:pPr>
        <w:pStyle w:val="Normal"/>
      </w:pPr>
      <w:r>
        <w:rPr>
          <w:rFonts w:ascii="Calibri" w:hAnsi="Calibri" w:eastAsia="Microsoft YaHei" w:cs="Calibri"/>
          <w:color w:val="263238"/>
          <w:sz w:val="21"/>
          <w:szCs w:val="21"/>
        </w:rPr>
        <w:t>Broad-based bans &gt;20% bilateral trade</w:t>
      </w:r>
    </w:p>
    <w:p>
      <w:pPr>
        <w:pStyle w:val="Normal"/>
      </w:pPr>
      <w:r>
        <w:rPr>
          <w:rFonts w:ascii="Calibri" w:hAnsi="Calibri" w:eastAsia="Microsoft YaHei" w:cs="Calibri"/>
          <w:color w:val="263238"/>
          <w:sz w:val="21"/>
          <w:szCs w:val="21"/>
        </w:rPr>
        <w:t>7-day reciprocal measures</w:t>
      </w:r>
    </w:p>
    <w:p>
      <w:pPr>
        <w:pStyle w:val="Normal"/>
      </w:pPr>
      <w:r>
        <w:rPr>
          <w:rFonts w:ascii="Calibri" w:hAnsi="Calibri" w:eastAsia="Microsoft YaHei" w:cs="Calibri"/>
          <w:color w:val="263238"/>
          <w:sz w:val="21"/>
          <w:szCs w:val="21"/>
        </w:rPr>
        <w:t>Epsilon–Pi: Sector-Specific</w:t>
      </w:r>
    </w:p>
    <w:p>
      <w:pPr>
        <w:pStyle w:val="Normal"/>
      </w:pPr>
      <w:r>
        <w:rPr>
          <w:rFonts w:ascii="Calibri" w:hAnsi="Calibri" w:eastAsia="Microsoft YaHei" w:cs="Calibri"/>
          <w:color w:val="263238"/>
          <w:sz w:val="21"/>
          <w:szCs w:val="21"/>
        </w:rPr>
        <w:t>Tier 2 Expedited</w:t>
      </w:r>
    </w:p>
    <w:p>
      <w:r>
        <w:t>Agricultural, energy, pharma, digital, investment, services, extraterritorial, infrastructure, IP, regulatory, currency, supply chain</w:t>
      </w:r>
    </w:p>
    <w:p>
      <w:r>
        <w:t>Standard expedited sector-specific packages</w:t>
      </w:r>
    </w:p>
    <w:p>
      <w:r>
        <w:t>Theta:</w:t>
      </w:r>
    </w:p>
    <w:p>
      <w:r>
        <w:t>Cloud Coercion</w:t>
      </w:r>
    </w:p>
    <w:p>
      <w:r>
        <w:t>Service</w:t>
      </w:r>
    </w:p>
    <w:p>
      <w:r>
        <w:t>Tier 1 Digital</w:t>
      </w:r>
    </w:p>
    <w:p>
      <w:r>
        <w:t>State-linked cloud provider denies service to compel data localisation or policy alignment</w:t>
      </w:r>
    </w:p>
    <w:p>
      <w:r>
        <w:t>72-hour sovereign cloud failover; 7-day joint procurement of alternative capacity; data localisation reciprocity</w:t>
      </w:r>
    </w:p>
    <w:p>
      <w:r>
        <w:t>Iota: Green Tech Mineral Coercion</w:t>
      </w:r>
    </w:p>
    <w:p>
      <w:r>
        <w:t>Tier 1 Green</w:t>
      </w:r>
    </w:p>
    <w:p>
      <w:r>
        <w:t>Export controls on battery minerals tied to EV manufacturing or climate policy demands</w:t>
      </w:r>
    </w:p>
    <w:p>
      <w:r>
        <w:t>Stockpile release; alternative sourcing acceleration; WTO coalition case on discriminatory industrial policy</w:t>
      </w:r>
    </w:p>
    <w:p>
      <w:r>
        <w:t>Theta-Tariff: Broad-Based Tariff Shock (v9.3)</w:t>
      </w:r>
    </w:p>
    <w:p>
      <w:r>
        <w:t>Tier 1 Tariff</w:t>
      </w:r>
    </w:p>
    <w:p>
      <w:r>
        <w:t>Non-discriminatory tariffs &gt;10% affecting &gt;20% IMESI trade, or SND certification</w:t>
      </w:r>
    </w:p>
    <w:p>
      <w:r>
        <w:t>Phase 1 (Days 1-7): Joint procurement + SFI + supply chain mapping. Phase 2 (Days 8-30): Alt supplier + DAR + regulatory friction. Phase 3 (Days 31+): Selective reciprocal tariffs + investment screening + payment diversification</w:t>
      </w:r>
    </w:p>
    <w:p>
      <w:r>
        <w:t>Gamma: Strategic Weaponisation</w:t>
      </w:r>
    </w:p>
    <w:p>
      <w:r>
        <w:t>affecting</w:t>
      </w:r>
    </w:p>
    <w:p>
      <w:r>
        <w:t>vote,</w:t>
      </w:r>
    </w:p>
    <w:p>
      <w:r>
        <w:t>Each scenario includes detailed trigger criteria, complete stabilisation measure packages, implementation timelines, burden-sharing allocations, communication strategy, and off-ramp provisions. Reviewed and updated annually.</w:t>
      </w:r>
    </w:p>
    <w:p>
      <w:pPr>
        <w:pStyle w:val="Heading2"/>
      </w:pPr>
      <w:r>
        <w:t>Section 5.5: Accelerated Presumptive Escalation</w:t>
      </w:r>
    </w:p>
    <w:p>
      <w:r>
        <w:t>Upon IEWC certification of ANY of the following, Phase 2 is presumed active within 24 hours unless 60%</w:t>
      </w:r>
    </w:p>
    <w:p>
      <w:r>
        <w:t>weighted vote blocks:</w:t>
      </w:r>
    </w:p>
    <w:p>
      <w:r>
        <w:t>Auto-Trigger Condition</w:t>
      </w:r>
    </w:p>
    <w:p>
      <w:r>
        <w:t>Presumptive Effect</w:t>
      </w:r>
    </w:p>
    <w:p>
      <w:r>
        <w:t>Coercer escalates &gt;25% beyond initial measure</w:t>
      </w:r>
    </w:p>
    <w:p>
      <w:r>
        <w:t>Phase 2 presumed; 24-hour implementation window</w:t>
      </w:r>
    </w:p>
    <w:p>
      <w:r>
        <w:t>Coercer targets &gt;1 member simultaneously</w:t>
      </w:r>
    </w:p>
    <w:p>
      <w:r>
        <w:t>Phase 2 presumed; Fund releases emergency allocation per targeted member</w:t>
      </w:r>
    </w:p>
    <w:p>
      <w:r>
        <w:t>Coercer threatens Tier 1 strategic sector (semiconductors, rare earths, pharma APIs, energy)</w:t>
      </w:r>
    </w:p>
    <w:p>
      <w:r>
        <w:t>Phase 2 presumed; strategic stockpile release authorised</w:t>
      </w:r>
    </w:p>
    <w:p>
      <w:r>
        <w:t>Market indicators show &gt;15% price volatility in affected sectors within 4 hours of coercion</w:t>
      </w:r>
    </w:p>
    <w:p>
      <w:r>
        <w:t>Phase 2 presumed; SFI emergency settlement activated</w:t>
      </w:r>
    </w:p>
    <w:p>
      <w:r>
        <w:t>Graduated Implementation: Phase 2 measures deploy at 50% intensity immediately, scaling to 70% at 48 hours unless blocked or modified by Coordination Committee vote. Blocking Mechanism: Any Tier 2+ member blocks with 24-hour written notice to the Director-General, triggering automatic consultation. Blocking surcharge: 5% of Fund contribution for that case (reduced from 10% to prompt timely objection). Burden-sharing recalculated among implementing members; blockers do not benefit from stabilisation gains.</w:t>
      </w:r>
    </w:p>
    <w:p>
      <w:pPr>
        <w:pStyle w:val="Heading2"/>
      </w:pPr>
      <w:r>
        <w:t>Section 5.5A: Escalation Justification Memorandum</w:t>
      </w:r>
    </w:p>
    <w:p>
      <w:r>
        <w:t>An Escalation Justification Memorandum is required for any Phase 2+ authorisation. The Memo covers: (a) why Phase 1 is or was insufficient (IEWC analysis); (b) what the coercer did to trigger escalation; (c) alternatives considered and reasons for the final mix; (d) envisaged de-escalation pathway (Sections 5.3, 5.3A). A redacted public summary is published within 24 hours. Full Memo available to Members and IMESI review bodies.</w:t>
      </w:r>
    </w:p>
    <w:p>
      <w:pPr>
        <w:pStyle w:val="Heading2"/>
      </w:pPr>
      <w:r>
        <w:t>Section 5.5A.1: Integrated De-Escalation Pathway</w:t>
      </w:r>
    </w:p>
    <w:p>
      <w:r>
        <w:t>Every Phase 1 authorisation decision includes a de-escalation pathway drawing on Sections 1.3, 5.3, 5.3A, identifying: (a) conditions for automatic/presumptive monthly reductions; (b) mediation/negotiation channels available; (c) partial rollback options (modules, sectors, geography); (d) conditions for full withdrawal. Published as part of the public authorisation summary (redacted if needed).</w:t>
      </w:r>
    </w:p>
    <w:p>
      <w:pPr>
        <w:pStyle w:val="Heading2"/>
      </w:pPr>
      <w:r>
        <w:t>Section 5.5B: Mandatory Human Confirmation for Phase 2+</w:t>
      </w:r>
    </w:p>
    <w:p>
      <w:r>
        <w:t>Principle: No Phase 2 or higher activation proceeds without affirmative human confirmation, silence never equals approval for measures exceeding 50% intensity. Procedure: Upon IEWC presumptive Phase 2 certification, the Director-General convenes a mandatory 4-hour telephonic session with designated national representatives (not alternate delegates). Confirmation requires: (a) 55% weighted vote for Phase 2 (b) 60% weighted vote for Phase 3 (c) 75% weighted vote for any measure exceeding 1% GDP impact on any single member Default: Absent quorum or failed vote, measures remain at Phase 1 intensity with 72-hour extension for further consultation. IEWC recommends but not compel escalation. Exception: Red-Line Category 2 (Financial System Exclusion) retains 48-hour automatic activation due to existential speed requirements, but Phase 2+ still requires human confirmation. Additional exception: where Existential Speed Protocol pre-authorisation is in effect per Section 5.5C, Phase 2 deploys within pre-authorised parameters without additional confirmation.</w:t>
      </w:r>
    </w:p>
    <w:p>
      <w:pPr>
        <w:pStyle w:val="Heading3"/>
      </w:pPr>
      <w:r>
        <w:t>Section 5.5B (Addendum): Automatic Activation Override and Notification Protocol for Systemic Coercion [NEW: v15.0]</w:t>
      </w:r>
    </w:p>
    <w:p>
      <w:r>
        <w:t>(f) Where the IEWC certifies that a coercing state is a systemic economy (GDP exceeding 5% of global GDP) and has engaged in: (i) Category 2 Red-Line conduct (Financial System Exclusion); (ii) Category 10 conduct (Unilateral Tariff Regime Disruption); or (iii) a Pattern-of-Conduct Coercion finding under Section 1.4I with military nexus, Phase 2 measures activate automatically within 24 hours of IEWC certification, without requiring a separate CC vote.</w:t>
      </w:r>
    </w:p>
    <w:p>
      <w:r>
        <w:t>(g) The automatic activation under subsection (f) deploys at 50% intensity on Day 1, scaling to 75% at Day 3, and 100% at Day 7, unless a 60% CC vote halts or modifies the escalation.</w:t>
      </w:r>
    </w:p>
    <w:p>
      <w:r>
        <w:t>(h) The automatic activation does not apply to Phase 3 measures, which continue to require the standard 60% CC vote and human confirmation.</w:t>
      </w:r>
    </w:p>
    <w:p>
      <w:r>
        <w:t>(i) The automatic activation under this Section: (i) deploys upon the Section 9.1B pre-certification anchoring GATT Article XXI; (ii) is documented in the Proportionality Certification Memo; (iii) is notified to the WTO under Section 5.0K; and (iv) undergoes ex post review by the IAC within 14 days.</w:t>
      </w:r>
    </w:p>
    <w:p>
      <w:r>
        <w:t>(j) Where automatic activation occurs under subsection (f): (i) the Secretariat notifies all Members within 2 hours of the IEWC certification; (ii) the Secretariat notifies the WTO Director-General and the coercing state within 6 hours; (iii) the Secretariat publishes a public advisory on the Dashboard within 12 hours; and (iv) the Secretariat provides a detailed justification memorandum to the CC within 24 hours.</w:t>
      </w:r>
    </w:p>
    <w:p>
      <w:r>
        <w:t>(k) The justification memorandum under subsection (j)(iv): (i) documents the IEWC certification; (ii) explains why automatic activation was necessary; (iii) identifies the measures activated; (iv) specifies the intensity level and scaling schedule; and (v) includes a preliminary proportionality assessment.</w:t>
      </w:r>
    </w:p>
    <w:p>
      <w:r>
        <w:t>(l) The CC: (i) reviews the justification memorandum at its next scheduled session; (ii) holds the authority to modify, suspend, or terminate the automatic activation by 60% weighted vote; and (iii) where the CC does not act within 14 days, the automatic activation continues by silence under the Nofade Protocol.</w:t>
      </w:r>
    </w:p>
    <w:p>
      <w:r>
        <w:t>(m) The IAC conducts an ex post review of any automatic activation within 30 days, assessing: (i) whether the IEWC certification met the evidentiary standards; (ii) whether the automatic activation was proportionate; and (iii) whether any adjustments are needed for future automatic activations.</w:t>
      </w:r>
    </w:p>
    <w:p>
      <w:r>
        <w:t>(n) The IAC's review findings are: (i) published on the Dashboard; (ii) archived in the Legacy Case Archive (Section 4.6E); and (iii) used to inform updates to the Pre-Authorised Evidentiary Packages (Section 5.0R).</w:t>
      </w:r>
    </w:p>
    <w:p>
      <w:r>
        <w:t>Rationale: This removes the political paralysis vulnerability. A systemic coercer's existential-level coercion triggers automatic Phase 2 activation: the coalition decided when it ratified the Instrument. Notification, justification, CC review, and IAC ex post review ensure transparency and accountability for every automatic activation.</w:t>
      </w:r>
    </w:p>
    <w:p>
      <w:pPr>
        <w:pStyle w:val="Heading2"/>
      </w:pPr>
      <w:r>
        <w:t>Section 5.5C: Existential Speed Protocol (ESP)</w:t>
      </w:r>
    </w:p>
    <w:p>
      <w:r>
        <w:t>Standing pre-authorisation mechanism for Critical/Red-Line cases, addressing the vulnerability that 4-hour human confirmation windows create against preemptive strikes by major economies. Pre-Authorisation Vote: Coordination Committee grants 12-month rolling pre-authorisation for Phase 2 measures by 65% weighted vote during peacetime. Vote specifies: trigger scenarios, permitted measure packages, maximum intensity levels. Activation Trigger: IEWC certification of Category 2 Red-Line (financial exclusion) OR &gt;2% GDP impact within 72 hours OR &gt;25% escalation beyond initial coercion. Deployment: Director-General activates pre-authorised Phase 2 within 2 hours of IEWC certification. Pre-positioned package: 50% reciprocal tariffs on politically sensitive exports; enhanced investment screening; payment system friction; strategic stockpile release. Human Confirmation: Required only for Phase 3 escalation. Phase 2 operates under pre-authorised parameters until case resolves or pre-authorisation is revoked. Rolling Review: Pre-authorisation undergoes review at each 12-month boundary. It renews by silence under the Nofade rule and lapses only through a written CC determination following full debate with published threat assessment; absent pre-authorisation the institution operates the standard 4-hour confirmation for all phases. 72-Hour Diplomatic Window (v8.5): ESP deployment is preceded by a tiered temporal architecture: 72 hours for non-systemic coercers; 24 hours for systemic-economy coercers as identified on the basis of objective exposure and systemic-impact metrics determined by the Secretariat and endorsed by the Coordination Committee. During this window, the Director-General convenes mandatory confidential dialogue with the coercer. Automatic de-escalation triggers activate if good-faith engagement is certified. Members vote to override the window by 60% weighted vote if the IEWC certifies imminent irreversible harm. This replaces the 2-hour deployment for non-Category-2 scenarios with space for diplomacy before pressure.</w:t>
      </w:r>
    </w:p>
    <w:p>
      <w:pPr>
        <w:pStyle w:val="Heading2"/>
      </w:pPr>
      <w:r>
        <w:t>Section 5.6: Cumulative Escalation Pause</w:t>
      </w:r>
    </w:p>
    <w:p>
      <w:pPr>
        <w:pStyle w:val="Heading3"/>
      </w:pPr>
      <w:r>
        <w:t>Section 5.6 (Addendum): Retaliation for Retaliation Protocol [NEW: v11.0]</w:t>
      </w:r>
    </w:p>
    <w:p>
      <w:r>
        <w:t>The Cumulative Escalation Pause lapses automatically where the coercing state escalates, including threats to double tariff rates, in response to the initial IMESI response. This protocol prevents the coercing state from freezing IMESI action through rapid reaction.</w:t>
      </w:r>
    </w:p>
    <w:p>
      <w:pPr>
        <w:pStyle w:val="Heading3"/>
      </w:pPr>
      <w:r>
        <w:t>Section 5.6 (Second Addendum): Retaliation for Stabilisation Measures [NEW: v12.0]</w:t>
      </w:r>
    </w:p>
    <w:p>
      <w:r>
        <w:t>Where a coercer imposes additional tariffs or measures in retaliation for IMESI stabilisation measures, the retaliation constitutes escalation by the coercer rather than a separate action. The retaliatory measures enter the cumulative escalation calculus, and the Cumulative Escalation Pause lapses where the coercer escalates during the pause period.</w:t>
      </w:r>
    </w:p>
    <w:p>
      <w:r>
        <w:t>Trigger: When stabilisation measures cross two or more domains (trade + financial; technology + strategic materials; any combination), an automatic 48-hour pause activates upon second-domain authorisation. Mandatory Assessment: During the pause, IEWC delivers: cumulative economic impact assessment (member and coercer); coercer response prediction (retaliation, negotiation, or escalation); coalition cohesion stress index; off-ramp availability assessment. Decision: Coordination Committee votes: proceed (60%), modify and proceed (simple majority), or pause further (maintain current measures, 72-hour extension). Exception: Pause waived if the coercer escalates during the pause period, or if financial system exclusion (Category 2 Red-Line) is active.</w:t>
      </w:r>
    </w:p>
    <w:p>
      <w:pPr>
        <w:pStyle w:val="Heading2"/>
      </w:pPr>
      <w:r>
        <w:t>Section 5.7: Monthly Strategic Pulse</w:t>
      </w:r>
    </w:p>
    <w:p>
      <w:r>
        <w:t>Every 30 days during any active case, a mandatory 48-hour Strategic Pause suspends all new stabilisation measure authorisations (existing measures continue in effect). Coalition leaders convene, in person or</w:t>
      </w:r>
    </w:p>
    <w:p>
      <w:r>
        <w:t>via secure video, to assess:</w:t>
      </w:r>
    </w:p>
    <w:p>
      <w:r>
        <w:t>(a) Is coercion continuing, escalating, or de-escalating? (b) Has the coercer's position shifted, even informally?</w:t>
      </w:r>
    </w:p>
    <w:p>
      <w:r>
        <w:t>(c) Are off-ramps visible that were not apparent at the previous pulse? (d) Is member fatigue creating cohesion risk? Principle: The Monthly Pulse prevents procedural momentum from outrunning political judgment. It ensures that continuation is a deliberate choice at regular intervals, not the default product of institutional inertia.</w:t>
      </w:r>
    </w:p>
    <w:p>
      <w:pPr>
        <w:pStyle w:val="Heading2"/>
      </w:pPr>
      <w:r>
        <w:t>Section 5.14: Existential Threat Immediate Protection Protocol [NEW: v15.0]</w:t>
      </w:r>
    </w:p>
    <w:p>
      <w:r>
        <w:t>(a) Upon IEWC certification of an Existential Threat, defined as: (i) a credible threat or use of armed force against a Member, formally notified to the United Nations under Article 35 or Article 51 of the Charter; (ii) a formal military mobilisation, naval blockade, or declaration of a no-fly zone specifically targeting a Member's territory or economic exclusion zone; (iii) a cyber-attack on a Member's critical infrastructure (power grids, financial clearing systems, water supply) causing or threatening above 5% GDP economic damage; or (iv) a hybrid warfare campaign (Section 2.12) that includes military intimidation as a primary coercive vector, the following measures activate automatically within 2 hours.</w:t>
      </w:r>
    </w:p>
    <w:p>
      <w:r>
        <w:t>(b) Emergency Stabilisation Measures (automatic, no vote): (i) Track A stabilisation (Section 5.0F) deploys at 150% intensity; (ii) the Resilience Fund releases 0.5% of the affected Member's GDP within 4 hours; (iii) the SFI (Section 8.10) activates full capacity for humanitarian and essential goods settlement; (iv) the Decoupling Acceleration Reserve (Section 8.9) activates at Surge level immediately; and (v) the Essential Imports Safeguard (Section 8.26) expands to include all military-essential dual-use goods, including semiconductors, rare earths, energy, and pharmaceuticals.</w:t>
      </w:r>
    </w:p>
    <w:p>
      <w:r>
        <w:t>(c) Escalation Protection: (i) all Phase 1 and Phase 2 measures remain at current levels; (ii) no new escalation to Phase 3 occurs without a 75% supermajority CC vote; and (iii) the purpose is to stabilise the member, not escalate the military conflict.</w:t>
      </w:r>
    </w:p>
    <w:p>
      <w:r>
        <w:t>(d) The Existential Threat designation: (i) persists until the UN Secretary-General certifies the threat has resolved; or (ii) undergoes CC review every 30 days, continuing by silence under the Nofade Protocol.</w:t>
      </w:r>
    </w:p>
    <w:p>
      <w:r>
        <w:t>(e) Every trade-affecting measure under this Section operates under GATT Article XXI(b)(iii) upon Section 9.1B pre-certification, given the formal UN notification anchoring the emergency in international relations.</w:t>
      </w:r>
    </w:p>
    <w:p>
      <w:r>
        <w:t>Rationale: This gives a member under military threat automatic, massive economic support within hours, not days. It removes the risk that a coercer shocks a country into submission before the coalition responds.</w:t>
      </w:r>
    </w:p>
    <w:p>
      <w:pPr>
        <w:pStyle w:val="Heading2"/>
      </w:pPr>
      <w:r>
        <w:t>Section 5.15: War Economy Transition Protocol [NEW: v15.0]</w:t>
      </w:r>
    </w:p>
    <w:p>
      <w:r>
        <w:t>(a) Upon IEWC certification of an Existential Threat (Section 5.14), the affected Member invokes the War Economy Transition Protocol.</w:t>
      </w:r>
    </w:p>
    <w:p>
      <w:r>
        <w:t>(b) The Protocol authorises the affected Member to: (i) impose temporary export controls on critical goods (food, energy, medical supplies, defence inputs) to ensure domestic supply, operating expressly under GATT Article XI:2(a) and Article XXI(b)(iii); (ii) impose temporary capital controls to prevent capital flight; (iii) impose temporary foreign investment screening on coercer-state entities; (iv) prioritise IMESI Joint Procurement Consortium supplies for domestic defence and civilian protection; and (v) draw on the Military Insurance Fund (Section 8.34) at 150% of standard rates.</w:t>
      </w:r>
    </w:p>
    <w:p>
      <w:r>
        <w:t>(c) The Protocol requires the affected Member to: (i) notify the Secretariat and the WTO of all measures within 24 hours; (ii) provide weekly reports to the CC on economic and military conditions; (iii) lift all measures within 30 days of the existential threat's resolution; and (iv) never use the Protocol as cover for protectionist measures unrelated to the military threat.</w:t>
      </w:r>
    </w:p>
    <w:p>
      <w:r>
        <w:t>(d) The Protocol: (i) operates for a maximum of 180 days; (ii) the CC extends it by 55% vote; and (iii) is subject to quarterly review by the IAC.</w:t>
      </w:r>
    </w:p>
    <w:p>
      <w:r>
        <w:t>(e) The Protocol does not: (i) suspend any IMESI obligations; (ii) create any military obligations for other Members; or (iii) oblige other Members to accept defence-related trade restrictions.</w:t>
      </w:r>
    </w:p>
    <w:p>
      <w:r>
        <w:t>Rationale: This allows a member under military threat to transition to a war economy without violating IMESI rules. It protects critical supplies, controls capital, and prioritises defence procurement. The coalition supports, rather than penalises, the transition. WTO note: export controls run on the express textual basis of GATT Article XI:2(a) and Article XXI, carry 24-hour notification, and terminate within 30 days of resolution.</w:t>
      </w:r>
    </w:p>
    <w:p>
      <w:pPr>
        <w:pStyle w:val="Heading2"/>
      </w:pPr>
      <w:r>
        <w:t>Section 5.16: Encirclement Doctrine [NEW: v15.0]</w:t>
      </w:r>
    </w:p>
    <w:p>
      <w:r>
        <w:t>(a) The Encirclement Doctrine applies where the IEWC certifies that: (i) three or more Members face simultaneous or sequential military coercion from the same coercing state; (ii) two or more Members face military coercion and two or more additional Members face economic coercion from the same coercing state; or (iii) a coercing state has deployed military forces in a configuration that threatens the economic security of three or more Members.</w:t>
      </w:r>
    </w:p>
    <w:p>
      <w:r>
        <w:t>(b) Upon Encirclement Doctrine activation: (i) the Multi-Crisis Stress Envelope (Section 8.4E) applies with enhanced parameters, with the fixed maximum draw increasing from 0.15% to 0.25% of GDP per 12-month period; (ii) Fund allocations prioritise: first, humanitarian corridor and civilian protection cases; second, small-state primary target cases; third, all other cases by chronological order; (iii) all affected Members receive automatic Track A stabilisation (Section 5.0F); and (iv) the Decoupling Acceleration Reserve (Section 8.9) activates at Surge level for all affected Members.</w:t>
      </w:r>
    </w:p>
    <w:p>
      <w:r>
        <w:t>(c) The Encirclement Doctrine: (i) operates for a maximum of 12 months; (ii) is reviewed by the CC every 60 days; and (iii) the CC extends it by 60% vote.</w:t>
      </w:r>
    </w:p>
    <w:p>
      <w:r>
        <w:t>(d) The Encirclement Doctrine does not: (i) create any military obligations for Members; (ii) oblige any Member to deploy forces or provide military support; or (iii) authorise any military action by IMESI.</w:t>
      </w:r>
    </w:p>
    <w:p>
      <w:r>
        <w:t>(e) The Encirclement Doctrine is defensive in character. Its purpose is to provide economic protection to Members facing coordinated military-economic coercion.</w:t>
      </w:r>
    </w:p>
    <w:p>
      <w:r>
        <w:t>Rationale: This treats a regional encirclement as a single, coordinated threat, not separate incidents. The coalition responds as a whole, with enhanced Fund capacity, automatic stabilisation, and accelerated decoupling.</w:t>
      </w:r>
    </w:p>
    <w:p>
      <w:pPr>
        <w:pStyle w:val="Heading1"/>
        <w:pageBreakBefore/>
      </w:pPr>
      <w:r>
        <w:t>ARTICLE VI: ANTI-FRAGMENTATION</w:t>
      </w:r>
      <w:bookmarkStart w:name="_Toc000020" w:id="20"/>
      <w:bookmarkEnd w:id="20"/>
    </w:p>
    <w:p>
      <w:pPr>
        <w:pStyle w:val="Heading2"/>
      </w:pPr>
      <w:r>
        <w:t>Section 6.1: Prohibited Actions and Enforcement</w:t>
      </w:r>
    </w:p>
    <w:p>
      <w:r>
        <w:t>Tier 1 Violations (Suspension-Level):</w:t>
      </w:r>
    </w:p>
    <w:p>
      <w:r>
        <w:t>(a) Secret bilateral deals with coercer providing member exemptions (b) Substitute trade increasing imports to offset other members' stabilisation measures (c) Financial circumvention enabling coercer to evade measures (d) Intelligence sharing: disclosing confidential IMESI strategies to coercing state</w:t>
      </w:r>
    </w:p>
    <w:p>
      <w:r>
        <w:t>Tier 2 Violations (Warning/Fine):</w:t>
      </w:r>
    </w:p>
    <w:p>
      <w:r>
        <w:t>(e) Delayed implementation: &gt;30 days late without valid exemption (f) Partial implementation: &lt;80% of minimum response floor (g) Public dissent: statements undermining coalition cohesion during active cases Consequences: Tier 1, immediate benefit suspension, 5-year Fund access loss, public transparency review, possible permanent expulsion (80% vote), financial compensation to harmed members. Tier 2, first offence warning + 25% surcharge; second within 3 years, 90-day Enhanced Solidarity suspension; third, permanent downgrade to Associate.</w:t>
      </w:r>
    </w:p>
    <w:p>
      <w:pPr>
        <w:pStyle w:val="Heading2"/>
      </w:pPr>
      <w:r>
        <w:t>Section 6.2: Divide-and-Conquer Response Protocol</w:t>
      </w:r>
    </w:p>
    <w:p>
      <w:pPr>
        <w:pStyle w:val="Heading3"/>
      </w:pPr>
      <w:r>
        <w:t>Section 6.2 (Addendum): Secondary Tariff Pressure [NEW: v12.0]</w:t>
      </w:r>
    </w:p>
    <w:p>
      <w:r>
        <w:t>Where a coercer imposes tariffs on third countries to pressure IMESI Members, the conduct constitutes Derivative Coercion. The affected IMESI Member invokes the Emergency Accession Protocol (Section 3.15) on behalf of the third country, and the third country receives Protective Association status (Section 3.9) automatically.</w:t>
      </w:r>
    </w:p>
    <w:p>
      <w:pPr>
        <w:pStyle w:val="Heading3"/>
      </w:pPr>
      <w:r>
        <w:t>Section 6.2A: Derivative Coercion Protocol [NEW: v12.0]</w:t>
      </w:r>
    </w:p>
    <w:p>
      <w:r>
        <w:t>Derivative Coercion exists where a state imposes economic measures on a third country, including non-IMESI members, with the intent or effect of pressuring an IMESI Member to change its policy. Upon IEWC certification of derivative coercion, the affected IMESI Member: (a) invokes the Emergency Accession Protocol (Section 3.15) on behalf of the third country; (b) treats the third country as a Protective Association state (Section 3.9) for the duration of the coercion; and (c) includes the third country’s trade flows in burden-sharing calculations. The coercer’s actions against the third country count as actions against the IMESI Member for escalation purposes.</w:t>
      </w:r>
    </w:p>
    <w:p>
      <w:pPr>
        <w:pStyle w:val="Heading3"/>
      </w:pPr>
      <w:r>
        <w:t>Section 6.2 (Second Addendum): Derivative Pressure Fast Activation [NEW: v12.0]</w:t>
      </w:r>
    </w:p>
    <w:p>
      <w:r>
        <w:t>Where a coercer imposes tariffs on a non-IMESI state specifically to pressure an IMESI Member, the affected Member activates Phase 1 stabilisation measures under the compressed consultation track (Section 5.0K) upon IEWC certification of the derivative linkage within 48 hours. The coalition treats the conduct as a direct attack on the IMESI Member.</w:t>
      </w:r>
    </w:p>
    <w:p>
      <w:r>
        <w:t>If a coercing state offers bilateral exemptions, targets members sequentially, offers economic inducements for defection, or threatens escalated pressure against holdouts, IMESI responds with expanded coordination: • Acceleration of stabilisation measure timeline (Phase 1 from 30 to 15 days) • Enhanced burden-sharing for targeted members (double Resilience Fund allocation) • Public exposure of divide-and-conquer tactics • Extension of stabilisation measures to broader member base The doctrine is explicit: divide-and-conquer backfires. It triggers stronger, not weaker, collective response.</w:t>
      </w:r>
    </w:p>
    <w:p>
      <w:r>
        <w:t>Section 6.3 (Amended): Accelerated Coalition Expansion for Bilateral Concealment Detection [v9.8 Revision]</w:t>
      </w:r>
    </w:p>
    <w:p>
      <w:r>
        <w:t>Trigger Conditions</w:t>
      </w:r>
    </w:p>
    <w:p>
      <w:r>
        <w:t>IEWC detects anomalous trade flows, private settlement patterns, or documented bilateral offers between targeted member and certified coercer state that appear designed to circumvent IMESI measures.</w:t>
      </w:r>
    </w:p>
    <w:p>
      <w:r>
        <w:t>ACE Timeline (Tier-Differentiated)</w:t>
      </w:r>
    </w:p>
    <w:p>
      <w:r>
        <w:t>For Tier 1 violations (breach of Section 5.4 tariff commitments or documented financial sanctions evasion): IEWC conducts preliminary review (4-hour window); Secretariat issues "Pre-ACE Alert" to all CC members and targeted member state, with detailed evidence summary; 24-hour consultation window for targeted member state: Member rejects affirmatively offer and notify Secretariat in writing; Member requests emergency CC consultation (if member notifies within 12 hours, CC convenes within 6 hours for emergency session); Member proposes alternative remediation with 48-hour timeline for Secretariat review.</w:t>
      </w:r>
    </w:p>
    <w:p>
      <w:r>
        <w:t>Automated Expansion Decision (Post-Window): If member rejects offer in writing: ACE does not activate; standard CC monitoring continues; If member accepts offer (no written response by 24-hour mark) OR if emergency CC consultation concludes offer is material Tier 1 violation: ACE activates immediately; If member proposes alternative remediation: Secretariat has 48 hours to assess; ACE activation is paused pending outcome.</w:t>
      </w:r>
    </w:p>
    <w:p>
      <w:r>
        <w:t>For Tier 2 violations (less severe; isolated breach of soft commitments): Timeline extends to 48 hours (not 24 hours); Same consultation window and remediation option apply.</w:t>
      </w:r>
    </w:p>
    <w:p>
      <w:r>
        <w:t>Member Response to ACE Activation</w:t>
      </w:r>
    </w:p>
    <w:p>
      <w:r>
        <w:t>If ACE activates after 24-hour window, coalition expands automatically to include all Tier 2+ members. Targeted member: submits written objection (within 7 days) requesting CC review of IEWC's Tier classification; Invoke MOAR opt-out (Section 7.4) without penalty; Propose expedited negotiation with coercer state (with IMESI mediation).</w:t>
      </w:r>
    </w:p>
    <w:p>
      <w:r>
        <w:t>Transparency and Safeguards</w:t>
      </w:r>
    </w:p>
    <w:p>
      <w:r>
        <w:t>All Pre-ACE Alerts are published to Dashboard (Section 4.2A) within 48 hours, with detailed evidence (redacted only for sources protecting confidentiality of intelligence); Targeted member receives written explanation of IEWC's evidence assessment (16-page maximum); IEWC's Tier classification is subject to IAC review if &gt;15% CC members request within 14 days; Emergency CC consultations include all members; minutes are published (redacted for operational security only).</w:t>
      </w:r>
    </w:p>
    <w:p>
      <w:pPr>
        <w:pStyle w:val="Heading2"/>
      </w:pPr>
      <w:r>
        <w:t>Section 6.3: Automatic Coalition Expansion (ACE)</w:t>
      </w:r>
    </w:p>
    <w:p>
      <w:pPr>
        <w:pStyle w:val="Heading3"/>
      </w:pPr>
      <w:r>
        <w:t>Section 6.3 (Addendum): Automatic ACE Trigger for Quota Exemptions [NEW: v11.0]</w:t>
      </w:r>
    </w:p>
    <w:p>
      <w:r>
        <w:t>An offer of quota treatment to a specific IMESI Member, including any arrangement permitting duty-free exports of a fixed volume in exchange for export limitation, constitutes a bilateral offer and triggers automatic coalition expansion under the ACE mechanism.</w:t>
      </w:r>
    </w:p>
    <w:p>
      <w:r>
        <w:t>Upon IEWC verification of any of the following conditions, automatic coalition expansion procedures activate: (a) A bilateral offer from a coercing state to any member, including promises of exemption, preferential market access, or policy alignment incentives (b) Anomalous trade flows exceeding 30% month-on-month from a coercing state during an active case, suggesting substitute trade or circumvention (c) Public or diplomatic statements by a coercing state offering differential treatment to specific members (d) Anomalous tariff rate differentials &gt;10 percentage points between IMESI members and non-members suggesting trade diversion or divide-and-conquer strategy (v9.3) (e) Public announcements of bilateral tariff exemptions contingent on non-participation in collective response (v9.3)</w:t>
      </w:r>
    </w:p>
    <w:p>
      <w:r>
        <w:t>Automatic Effects:</w:t>
      </w:r>
    </w:p>
    <w:p>
      <w:r>
        <w:t>Trigger Element</w:t>
      </w:r>
    </w:p>
    <w:p>
      <w:r>
        <w:t>Effect</w:t>
      </w:r>
    </w:p>
    <w:p>
      <w:r>
        <w:t>Timeline</w:t>
      </w:r>
    </w:p>
    <w:p>
      <w:r>
        <w:t>Coordination Committee convenes within 48 hours of IEWC certification</w:t>
      </w:r>
    </w:p>
    <w:p>
      <w:r>
        <w:t>Expansion scope</w:t>
      </w:r>
    </w:p>
    <w:p>
      <w:r>
        <w:t>All members with &gt;5% bilateral trade with coercing state activated</w:t>
      </w:r>
    </w:p>
    <w:p>
      <w:r>
        <w:t>Observer+ participation</w:t>
      </w:r>
    </w:p>
    <w:p>
      <w:r>
        <w:t>Volunteers for stabilisation response with full burden-sharing rights</w:t>
      </w:r>
    </w:p>
    <w:p>
      <w:r>
        <w:t>Authorisation threshold</w:t>
      </w:r>
    </w:p>
    <w:p>
      <w:r>
        <w:t>Reduced by 10 percentage points for 90 days (e.g., 65% becomes 55%)</w:t>
      </w:r>
    </w:p>
    <w:p>
      <w:r>
        <w:t>Burden-sharing</w:t>
      </w:r>
    </w:p>
    <w:p>
      <w:r>
        <w:t>Newly activated members receive 12-month Fund contribution holiday</w:t>
      </w:r>
    </w:p>
    <w:p>
      <w:r>
        <w:t>Presumptive Escalation: Upon ACE activation, the coercing state is subject to presumptive Phase 2 classification. Phase 2 stabilisation measures are authorised by standard thresholds minus 10 percentage points. Tariff Divide-and-Conquer Stabilisation Measure (v9.3A): ACE tariff triggers (d) and (e) are specifically designed to make divide-and-conquer backfire. When a coercing state offers bilateral tariff exemptions to specific IMESI members, this triggers stronger collective response: expanded coalition membership, reduced authorisation thresholds (-10pp), and emergency Fund contribution holidays for newly activated members. The aggressor's attempt to fragment the coalition instead strengthens it. Rolling Review Clause: ACE procedures undergo review at each 24-month boundary following activation or last renewal. They renew by silence under the Nofade rule; adjustment or termination takes effect only through a 60% Coordination Committee written vote.</w:t>
      </w:r>
    </w:p>
    <w:p>
      <w:pPr>
        <w:pStyle w:val="Heading3"/>
      </w:pPr>
      <w:r>
        <w:t>Section 6.3 (Second Addendum): Accelerated ACE for Systemic-Economy Defectors [NEW: v15.0]</w:t>
      </w:r>
    </w:p>
    <w:p>
      <w:r>
        <w:t>(f) Where the IEWC certifies that a systemic economy (GDP exceeding 5% of global GDP) has made a bilateral exemption offer to one or more Members during an active case, the ACE timeline under Section 6.3 accelerates as follows: (i) the IEWC preliminary review window compresses from 4 hours to 2 hours; (ii) the Pre-ACE Alert is issued within 6 hours of detection; (iii) the consultation window for the targeted Member compresses from 24 hours to 12 hours; and (iv) the emergency CC consultation, if requested, convenes within 4 hours of the Member's notification.</w:t>
      </w:r>
    </w:p>
    <w:p>
      <w:r>
        <w:t>(g) Upon acceleration under subsection (f), the authorisation threshold reduction under Section 6.3 increases from 10 percentage points to 15 percentage points for 90 days.</w:t>
      </w:r>
    </w:p>
    <w:p>
      <w:r>
        <w:t>(h) The Secretariat issues an immediate public advisory upon detection of a systemic-economy bilateral exemption offer, stating that a bilateral offer has been detected without identifying the targeted Member. The advisory is published on the Dashboard within 6 hours of detection.</w:t>
      </w:r>
    </w:p>
    <w:p>
      <w:r>
        <w:t>Rationale: This denies the defector time to consolidate a divide-and-conquer strategy. The coalition outpaces the defector's deal-closing.</w:t>
      </w:r>
    </w:p>
    <w:p>
      <w:pPr>
        <w:pStyle w:val="Heading2"/>
      </w:pPr>
      <w:r>
        <w:t>Section 6.4: Transparency Sanctions Regime (TSR)</w:t>
      </w:r>
    </w:p>
    <w:p>
      <w:pPr>
        <w:pStyle w:val="Heading3"/>
      </w:pPr>
      <w:r>
        <w:t>Section 6.4 (Addendum): Transparency of Relief Petitions [NEW: v11.0]</w:t>
      </w:r>
    </w:p>
    <w:p>
      <w:r>
        <w:t>Any domestic petition for tariff exclusion or exemption filed by a company domiciled in an IMESI Member state enters a report to the Secretariat within 72 hours of filing. This transparency rule prevents back-channel arrangements between the coercing state and domestic industries.</w:t>
      </w:r>
    </w:p>
    <w:p>
      <w:pPr>
        <w:pStyle w:val="Heading3"/>
      </w:pPr>
      <w:r>
        <w:t>Section 6.4 (Second Addendum): Executive Authority Transparency [NEW: v12.0]</w:t>
      </w:r>
    </w:p>
    <w:p>
      <w:r>
        <w:t>Members report to the Secretariat any domestic legal or executive action capable of imposing coercive economic measures within 14 days of its issuance, including executive orders, proclamations, and administrative directives. The Secretariat initiates an Emerging Authority risk assessment based on such reports.</w:t>
      </w:r>
    </w:p>
    <w:p>
      <w:pPr>
        <w:pStyle w:val="Heading3"/>
      </w:pPr>
      <w:r>
        <w:t>Section 6.4 (Third Addendum): Transshipment Reporting [NEW: v12.0]</w:t>
      </w:r>
    </w:p>
    <w:p>
      <w:r>
        <w:t>Members report any evidence of coercer-state goods transshipped through third countries to evade IMESI stabilisation measures. The IEWC maintains a Transshipment Monitoring Unit. Confirmed transshipment triggers extension of measures to the transshipped goods on an origin basis.</w:t>
      </w:r>
    </w:p>
    <w:p>
      <w:pPr>
        <w:pStyle w:val="Heading3"/>
      </w:pPr>
      <w:r>
        <w:t>Section 6.4 (Fourth Addendum): Trade Remedy Petition Transparency [NEW: v12.0]</w:t>
      </w:r>
    </w:p>
    <w:p>
      <w:r>
        <w:t>Any petition for safeguard relief or trade remedy investigation, including anti-dumping and countervailing duty actions, filed against an IMESI Member enters a report to the Secretariat within 14 days of filing. The IEWC initiates a preliminary coercion assessment based on the petition’s scope and the petitioner’s links to the coercing state’s government.</w:t>
      </w:r>
    </w:p>
    <w:p>
      <w:pPr>
        <w:pStyle w:val="Heading3"/>
      </w:pPr>
      <w:r>
        <w:t>Section 6.4 (Fifth Addendum): Product Exemption Transparency [NEW: v12.0]</w:t>
      </w:r>
    </w:p>
    <w:p>
      <w:r>
        <w:t>Any product-specific tariff exclusion or exemption granted to an IMESI Member enters a report to the Secretariat within 48 hours. Exemptions contingent on policy concessions, or revoked retroactively, trigger the ACE mechanism (Section 6.3).</w:t>
      </w:r>
    </w:p>
    <w:p>
      <w:pPr>
        <w:pStyle w:val="Heading3"/>
      </w:pPr>
      <w:r>
        <w:t>Section 6.4B: Transshipment Evasion Protocol [NEW: v12.0]</w:t>
      </w:r>
    </w:p>
    <w:p>
      <w:r>
        <w:t>The IEWC maintains a Transshipment Evasion Monitoring Unit tracking goods from coercer states routed through third countries to evade IMESI stabilisation measures. Confirmed transshipment, defined as goods originating in the coercer state entering an IMESI Member through a non-IMESI state without substantial transformation, triggers retroactive extension of measures to the transshipped goods on an origin basis. Transshipment countries that knowingly facilitate evasion face enhanced monitoring and possible loss of Observer+ status; the framework applies no trade measures against third countries’ own goods.</w:t>
      </w:r>
    </w:p>
    <w:p>
      <w:pPr>
        <w:pStyle w:val="Heading3"/>
      </w:pPr>
      <w:r>
        <w:t>Section 6.4 (Sixth Addendum): Certificate of Origin Transparency [NEW: v12.0]</w:t>
      </w:r>
    </w:p>
    <w:p>
      <w:r>
        <w:t>Members report anomalies in certificate-of-origin submissions, rules-of-origin claims, or customs classification indicating evasion. The Secretariat maintains a centralised Certificate of Origin Database cross-referencing claims across Members. False or fraudulent claims constitute Tier 2 anti-fragmentation violations by the importer’s Member state.</w:t>
      </w:r>
    </w:p>
    <w:p>
      <w:r>
        <w:t>Mandatory Disclosure: Members report to the Secretariat:</w:t>
      </w:r>
    </w:p>
    <w:p>
      <w:r>
        <w:t>(a) Trade negotiations with non-members exceeding USD 500 million within 30 days of substantive negotiations (capturing strategic deals, not routine commerce) (b) All investment screening decisions involving state-owned enterprises of non-member states within 30 days of decision (c) Formal negotiations with non-members concerning market access, technology transfer, or regulatory alignment exceeding USD 500 million in scope, within 30 days of each substantive session (d) All tariff negotiations with non-members exceeding USD 100 million in trade value, within 14 days of substantive engagement (v9.3) (e) Pre-notification of planned tariff rate changes &gt;5 percentage points affecting intra-IMESI trade, at least 30 days before implementation (v9.3) Pattern-Based Triggers: The IEWC flags negotiations displaying 3 or more indicators: asymmetric market access provisions, technology transfer clauses beyond standard commercial terms, temporal correlation with coercion events, confidentiality provisions exceeding normal commercial practice, policy alignment conditions, or governance concessions. Flagged negotiations trigger automatic consultation requirement, proceeding to signature without Coordination Committee clearance creates a rebuttable presumption of Tier 1 violation (member challenges IEWC analysis and defend the negotiation before the Coordination Committee). Whistleblower Protections: Any person providing evidence leading to confirmation of a Tier 1 anti-fragmentation violation receives 25% of Defection Penalty Fund allocations, guaranteed anonymity through Secretariat-protected channels, and immunity from retaliation under member state whistleblower laws.</w:t>
      </w:r>
    </w:p>
    <w:p>
      <w:r>
        <w:t>Expanded Safe Harbour: Any negotiation disclosed within 30 days is automatically presumed legitimate. Flag-triggers only activate if disclosure fails entirely or reveals side payments exceeding USD 5 billion. Members who proactively disclose are immune from Tier 1 penalties regardless of negotiation outcome. Public Naming Protocol: Members under investigation for Tier 1 violations are named publicly after 30 days unless cleared by Coordination Committee simple majority vote or underlying disclosure was made proactively under TSR safe harbour.</w:t>
      </w:r>
    </w:p>
    <w:p>
      <w:r>
        <w:t>Section 6.4(e): Corporate Information Channel (v8.9)</w:t>
      </w:r>
    </w:p>
    <w:p>
      <w:r>
        <w:t>Employees of entities under Section 2.5(c) investigation submits information to IEWC through a confidential portal. Substantiated information leading to a coercion finding: contributor eligible for standard whistleblower protections in home jurisdiction (if available); Secretariat assists with legal defence coordination (not financial support). No monetary rewards. No immigration pathways. No guarantee of protection beyond standard national frameworks.</w:t>
      </w:r>
    </w:p>
    <w:p>
      <w:pPr>
        <w:pStyle w:val="Heading2"/>
      </w:pPr>
      <w:r>
        <w:t>Section 6.4A: Reciprocal Transparency Ledger (RTL)</w:t>
      </w:r>
    </w:p>
    <w:p>
      <w:r>
        <w:t>Preventive transparency layer operating alongside the TSR (Section 6.4). RTL makes secrecy costly, bilateral deals rely on concealment, and RTL eliminates that option through light-touch mandatory disclosure. Trigger: Any negotiation with a non-member state exceeding USD 250 million in annual trade value, or touching Tier 1 strategic sectors (semiconductors, rare earths, energy, green tech). Disclosure: Member deposits summary with Secretariat within 14 days of substantive session: counterparty, sectors discussed, timeline, whether IMESI-relevant topics raised. Publication: Aggregated anonymised data published quarterly. Specific negotiations named only if: concluded without disclosure, or flagged by IEWC pattern analysis. Verification: Random audit by independent panel; false or incomplete disclosure = Tier 2 violation (warning + 25% surcharge). Safe Harbour: Proactive disclosure within 14 days creates irrebuttable presumption of legitimacy, no naming, no investigation. This distinguishes RTL from TSR: RTL is preventive, TSR is corrective. Mechanism</w:t>
      </w:r>
    </w:p>
    <w:p>
      <w:r>
        <w:t>Threshold</w:t>
      </w:r>
    </w:p>
    <w:p>
      <w:r>
        <w:t>RTL</w:t>
      </w:r>
    </w:p>
    <w:p>
      <w:r>
        <w:t>USD 250M sectors</w:t>
      </w:r>
    </w:p>
    <w:p>
      <w:r>
        <w:t>TSR</w:t>
      </w:r>
    </w:p>
    <w:p>
      <w:r>
        <w:t>USD 500M indicators</w:t>
      </w:r>
    </w:p>
    <w:p>
      <w:r>
        <w:t>Non-Disclosure Consequence /</w:t>
      </w:r>
    </w:p>
    <w:p>
      <w:r>
        <w:t>/</w:t>
      </w:r>
    </w:p>
    <w:p>
      <w:r>
        <w:t>Flagged Deal Consequence</w:t>
      </w:r>
    </w:p>
    <w:p>
      <w:r>
        <w:t>strategic</w:t>
      </w:r>
    </w:p>
    <w:p>
      <w:r>
        <w:t>Tier 2 (warning surcharge)</w:t>
      </w:r>
    </w:p>
    <w:p>
      <w:r>
        <w:t>pattern</w:t>
      </w:r>
    </w:p>
    <w:p>
      <w:r>
        <w:t>Tier (investigation)</w:t>
      </w:r>
    </w:p>
    <w:p>
      <w:r>
        <w:t>+</w:t>
      </w:r>
    </w:p>
    <w:p>
      <w:r>
        <w:t>25%</w:t>
      </w:r>
    </w:p>
    <w:p>
      <w:r>
        <w:t>presumption</w:t>
      </w:r>
    </w:p>
    <w:p>
      <w:r>
        <w:t>Public naming, consultation</w:t>
      </w:r>
    </w:p>
    <w:p>
      <w:r>
        <w:t>IEWC</w:t>
      </w:r>
    </w:p>
    <w:p>
      <w:r>
        <w:t>Suspension-level penalties</w:t>
      </w:r>
    </w:p>
    <w:p>
      <w:pPr>
        <w:pStyle w:val="Heading2"/>
      </w:pPr>
      <w:r>
        <w:t>Section 6.5: Live Implementation Dashboard</w:t>
      </w:r>
    </w:p>
    <w:p>
      <w:r>
        <w:t>Mandatory Telemetry: Within 24 hours of stabilisation measure authorisation, all Tier 2+ members transmit to</w:t>
      </w:r>
    </w:p>
    <w:p>
      <w:r>
        <w:t>the IEWC:</w:t>
      </w:r>
    </w:p>
    <w:p>
      <w:r>
        <w:t>(a) Legal instruments enacted (statutory/regulatory references) (b) Customs system implementation timestamps (c) Financial restriction activation notices to relevant institutions</w:t>
      </w:r>
    </w:p>
    <w:p>
      <w:r>
        <w:t>(d) Percentage of authorised measures operational Verification: IEWC cross-references against commercial data feeds (trade flows, payment system data, customs records). Discrepancy exceeding 15% between reported and observed implementation triggers automatic inquiry. Escalation: Confirmed implementation lag &gt;48 hours without valid technical exemption (IEWC-certified system failure, not policy choice) constitutes Tier 2 violation. Confirmed lag &gt;96 hours constitutes Tier 1 violation. Remedy: Implementing members cover a lagging member's response gap through accelerated measures, with 150% burden-sharing reimbursement from the laggard upon case closure.</w:t>
      </w:r>
    </w:p>
    <w:p>
      <w:pPr>
        <w:pStyle w:val="Heading2"/>
      </w:pPr>
      <w:r>
        <w:t>Section 6.5A: Effectiveness Verification Audit (EVA)</w:t>
      </w:r>
    </w:p>
    <w:p>
      <w:r>
        <w:t>Gap Addressed: The Dashboard (Section 6.5) verifies that measures exist but not that they bite. A member implements technically stabilisation measures while systematically undermining their effectiveness through regulatory friction, narrow legal interpretations, or passive non-enforcement. Mechanism: For any Phase 2+ case, the IEWC conducts randomised outcome-based spot audits of 20% of</w:t>
      </w:r>
    </w:p>
    <w:p>
      <w:r>
        <w:t>implementing members (rotating selection, stratified by tier). Audits examine:</w:t>
      </w:r>
    </w:p>
    <w:p>
      <w:r>
        <w:t>(a) Commercial data showing actual trade flow reduction vs. authorised scope (b) Regulatory enforcement actions (fines, licence denials) vs. authorised measures (c) Financial measure implementation through correspondent banking data Finding</w:t>
      </w:r>
    </w:p>
    <w:p>
      <w:r>
        <w:t>Effectiveness Gap</w:t>
      </w:r>
    </w:p>
    <w:p>
      <w:r>
        <w:t>Consequence</w:t>
      </w:r>
    </w:p>
    <w:p>
      <w:r>
        <w:t>Green</w:t>
      </w:r>
    </w:p>
    <w:p>
      <w:pPr>
        <w:pStyle w:val="Normal"/>
      </w:pPr>
      <w:r>
        <w:rPr>
          <w:rFonts w:ascii="Calibri" w:hAnsi="Calibri" w:eastAsia="Microsoft YaHei" w:cs="Calibri"/>
          <w:color w:val="263238"/>
          <w:sz w:val="21"/>
          <w:szCs w:val="21"/>
        </w:rPr>
        <w:t>&lt;15%</w:t>
      </w:r>
    </w:p>
    <w:p>
      <w:pPr>
        <w:pStyle w:val="Normal"/>
      </w:pPr>
      <w:r>
        <w:rPr>
          <w:rFonts w:ascii="Calibri" w:hAnsi="Calibri" w:eastAsia="Microsoft YaHei" w:cs="Calibri"/>
          <w:color w:val="263238"/>
          <w:sz w:val="21"/>
          <w:szCs w:val="21"/>
        </w:rPr>
        <w:t>No action</w:t>
      </w:r>
    </w:p>
    <w:p>
      <w:pPr>
        <w:pStyle w:val="Normal"/>
      </w:pPr>
      <w:r>
        <w:rPr>
          <w:rFonts w:ascii="Calibri" w:hAnsi="Calibri" w:eastAsia="Microsoft YaHei" w:cs="Calibri"/>
          <w:color w:val="263238"/>
          <w:sz w:val="21"/>
          <w:szCs w:val="21"/>
        </w:rPr>
        <w:t>Amber</w:t>
      </w:r>
    </w:p>
    <w:p>
      <w:pPr>
        <w:pStyle w:val="Normal"/>
      </w:pPr>
      <w:r>
        <w:rPr>
          <w:rFonts w:ascii="Calibri" w:hAnsi="Calibri" w:eastAsia="Microsoft YaHei" w:cs="Calibri"/>
          <w:color w:val="263238"/>
          <w:sz w:val="21"/>
          <w:szCs w:val="21"/>
        </w:rPr>
        <w:t>15–30%</w:t>
      </w:r>
    </w:p>
    <w:p>
      <w:pPr>
        <w:pStyle w:val="Normal"/>
      </w:pPr>
      <w:r>
        <w:rPr>
          <w:rFonts w:ascii="Calibri" w:hAnsi="Calibri" w:eastAsia="Microsoft YaHei" w:cs="Calibri"/>
          <w:color w:val="263238"/>
          <w:sz w:val="21"/>
          <w:szCs w:val="21"/>
        </w:rPr>
        <w:t>Mandatory 30-day remediation plan; public transparency on Dashboard</w:t>
      </w:r>
    </w:p>
    <w:p>
      <w:pPr>
        <w:pStyle w:val="Normal"/>
      </w:pPr>
      <w:r>
        <w:rPr>
          <w:rFonts w:ascii="Calibri" w:hAnsi="Calibri" w:eastAsia="Microsoft YaHei" w:cs="Calibri"/>
          <w:color w:val="263238"/>
          <w:sz w:val="21"/>
          <w:szCs w:val="21"/>
        </w:rPr>
        <w:t>Red</w:t>
      </w:r>
    </w:p>
    <w:p>
      <w:pPr>
        <w:pStyle w:val="Normal"/>
      </w:pPr>
      <w:r>
        <w:rPr>
          <w:rFonts w:ascii="Calibri" w:hAnsi="Calibri" w:eastAsia="Microsoft YaHei" w:cs="Calibri"/>
          <w:color w:val="263238"/>
          <w:sz w:val="21"/>
          <w:szCs w:val="21"/>
        </w:rPr>
        <w:t>&gt;30%</w:t>
      </w:r>
    </w:p>
    <w:p>
      <w:pPr>
        <w:pStyle w:val="Normal"/>
      </w:pPr>
      <w:r>
        <w:rPr>
          <w:rFonts w:ascii="Calibri" w:hAnsi="Calibri" w:eastAsia="Microsoft YaHei" w:cs="Calibri"/>
          <w:color w:val="263238"/>
          <w:sz w:val="21"/>
          <w:szCs w:val="21"/>
        </w:rPr>
        <w:t>Tier 2 violation (warning + 25% surcharge); second Red within 3 years = Tier 1 presumption</w:t>
      </w:r>
    </w:p>
    <w:p>
      <w:pPr>
        <w:pStyle w:val="Normal"/>
      </w:pPr>
      <w:r>
        <w:rPr>
          <w:rFonts w:ascii="Calibri" w:hAnsi="Calibri" w:eastAsia="Microsoft YaHei" w:cs="Calibri"/>
          <w:color w:val="263238"/>
          <w:sz w:val="21"/>
          <w:szCs w:val="21"/>
        </w:rPr>
        <w:t>Safe Harbour: Members self-reporting effectiveness gaps within 14 days of case activation receive automatic Amber classification, remediation required, no penalty. This incentivises honesty over concealment. Safeguards: 20% sample rate limits burden; rotation prevents targeted harassment; commercial data sources are independent of member reporting; remediation focus for first failures, escalated only for concealment or repeat offence.</w:t>
      </w:r>
    </w:p>
    <w:p>
      <w:pPr>
        <w:pStyle w:val="Heading2"/>
      </w:pPr>
      <w:r>
        <w:rPr>
          <w:rFonts w:ascii="Calibri" w:hAnsi="Calibri" w:eastAsia="Microsoft YaHei" w:cs="Calibri"/>
          <w:b/>
          <w:color w:val="263238"/>
          <w:sz w:val="25"/>
          <w:szCs w:val="25"/>
        </w:rPr>
        <w:t>Section 6.5B: Implementation Transparency Standards</w:t>
      </w:r>
    </w:p>
    <w:p>
      <w:pPr>
        <w:pStyle w:val="Normal"/>
      </w:pPr>
      <w:r>
        <w:rPr>
          <w:rFonts w:ascii="Calibri" w:hAnsi="Calibri" w:eastAsia="Microsoft YaHei" w:cs="Calibri"/>
          <w:color w:val="263238"/>
          <w:sz w:val="21"/>
          <w:szCs w:val="21"/>
        </w:rPr>
        <w:t>Self-Reporting: Members submit standardised implementation attestations within 48 hours of stabilisation measure activation. Template provided by Secretariat; no verification beyond commercial data cross-check. Good-Faith Presumption: Attestations accepted unless commercial data discrepancy exceeds 25%. Discrepancy triggers collaborative review, not automatic penalty. Remediation-First: Where implementation gaps are identified, a 30-day collaborative technical assistance period precedes any surcharge consideration. This replaces escalating enforcement ladders with a cooperative approach. Constructive Alternative Preservation: Members proposing alternative implementation pathways (Section 3.5) are exempt from standard reporting during the alternative evaluation period.</w:t>
      </w:r>
    </w:p>
    <w:p>
      <w:pPr>
        <w:pStyle w:val="Heading2"/>
      </w:pPr>
      <w:r>
        <w:rPr>
          <w:rFonts w:ascii="Calibri" w:hAnsi="Calibri" w:eastAsia="Microsoft YaHei" w:cs="Calibri"/>
          <w:b/>
          <w:color w:val="263238"/>
          <w:sz w:val="25"/>
          <w:szCs w:val="25"/>
        </w:rPr>
        <w:t>Section 6.5C: Coordinated Procurement Shield Mechanism</w:t>
      </w:r>
    </w:p>
    <w:p>
      <w:pPr>
        <w:pStyle w:val="Normal"/>
      </w:pPr>
      <w:r>
        <w:rPr>
          <w:rFonts w:ascii="Calibri" w:hAnsi="Calibri" w:eastAsia="Microsoft YaHei" w:cs="Calibri"/>
          <w:color w:val="263238"/>
          <w:sz w:val="21"/>
          <w:szCs w:val="21"/>
        </w:rPr>
        <w:t>Members, by decision of the Coordination Committee, activate a Coordinated Procurement Shield in response to systemic tariff or other trade barriers affecting critical goods. Under such activation, Members agree, to the extent compatible with their domestic procurement rules, to give due consideration to sourcing such goods from other Members and Resilience Partners. (a) Activation: 55% CC weighted vote upon IEWC certification that systemic barriers materially impair Members' access to specified critical goods categories (b) Scope: The CC designates priority goods categories, which include energy, pharmaceuticals, critical minerals, semiconductors, agricultural staples, and defence-adjacent inputs (c) Modalities: Participating Members: review procurement specifications to remove unnecessary barriers to intra-IMESI sourcing; provide preferential treatment within existing legal frameworks; share procurement pipelines through the Public-Private Liaison Forum (Section 4.5A) (d) Duration: Procurement Shield activation lasts for the duration of the AESI certification plus 12 months for orderly transition. Permanent procurement diversification resulting from Shield activation is expected though non-binding (e) Safeguards: Shield activation is prohibited from overriding existing bilateral or multilateral procurement obligations; comply with applicable GPA commitments; and are not used to create permanent preferential sourcing outside of AESI response contexts</w:t>
      </w:r>
    </w:p>
    <w:p>
      <w:pPr>
        <w:pStyle w:val="Heading3"/>
      </w:pPr>
      <w:r>
        <w:rPr>
          <w:rFonts w:ascii="Calibri" w:hAnsi="Calibri" w:eastAsia="Microsoft YaHei" w:cs="Calibri"/>
          <w:b/>
          <w:color w:val="546E7A"/>
          <w:sz w:val="22"/>
          <w:szCs w:val="22"/>
        </w:rPr>
        <w:t>Section 6.5C (Addendum): Non-Member Supplier Coercion Protocol [NEW: v13.0]</w:t>
      </w:r>
    </w:p>
    <w:p>
      <w:pPr>
        <w:pStyle w:val="Normal"/>
      </w:pPr>
      <w:r>
        <w:rPr>
          <w:rFonts w:ascii="Calibri" w:hAnsi="Calibri" w:eastAsia="Microsoft YaHei" w:cs="Calibri"/>
          <w:color w:val="263238"/>
          <w:sz w:val="21"/>
          <w:szCs w:val="21"/>
        </w:rPr>
        <w:t>Where the IEWC certifies that a non-member supplier's commercial restrictions are linked to a documented diplomatic dispute with an IMESI Member, the restrictions receive treatment as Constructive Coercion under Section 2.1A, and the affected Member receives automatic eligibility for the Substitution Acceleration Sub-Fund (Section 10.5). The affected Member also receives priority access to the Joint Procurement Consortium (Section 3.13) to source alternative suppliers without waiting for the standard 30-day consultation window. The non-member supplier's home state receives notification through the Quiet Consultation Window (Section 5.0D), with a 14-day period to demonstrate that the restrictions are genuinely commercial rather than politically motivated. This Addendum creates no trade measure against the non-member state or its goods.</w:t>
      </w:r>
    </w:p>
    <w:p>
      <w:pPr>
        <w:pStyle w:val="Heading2"/>
      </w:pPr>
      <w:r>
        <w:rPr>
          <w:rFonts w:ascii="Calibri" w:hAnsi="Calibri" w:eastAsia="Microsoft YaHei" w:cs="Calibri"/>
          <w:b/>
          <w:color w:val="263238"/>
          <w:sz w:val="25"/>
          <w:szCs w:val="25"/>
        </w:rPr>
        <w:t>Section 6.6: Sub-National and Non-State Actor Protection</w:t>
      </w:r>
    </w:p>
    <w:p>
      <w:pPr>
        <w:pStyle w:val="Normal"/>
      </w:pPr>
      <w:r>
        <w:rPr>
          <w:rFonts w:ascii="Calibri" w:hAnsi="Calibri" w:eastAsia="Microsoft YaHei" w:cs="Calibri"/>
          <w:color w:val="263238"/>
          <w:sz w:val="21"/>
          <w:szCs w:val="21"/>
        </w:rPr>
        <w:t>Scope Extension: IMESI protection extends to:</w:t>
      </w:r>
    </w:p>
    <w:p>
      <w:pPr>
        <w:pStyle w:val="Normal"/>
      </w:pPr>
      <w:r>
        <w:rPr>
          <w:rFonts w:ascii="Calibri" w:hAnsi="Calibri" w:eastAsia="Microsoft YaHei" w:cs="Calibri"/>
          <w:color w:val="263238"/>
          <w:sz w:val="21"/>
          <w:szCs w:val="21"/>
        </w:rPr>
        <w:t>(a) Sub-national governments with trade, investment, or procurement authority (b) Universities and research institutions (c) Civil society organisations operating cross-border (d) Private firms critical to Tier 1 strategic sectors Activation: Sub-national or non-state actors petition the IEWC directly; 48-hour preliminary assessment. National government notification required but not blocking. Response Limitations: Stabilisation Measures limited to diplomatic, financial, and regulatory measures, no tariffs without national government co-authorisation. Burden-Sharing: Costs of sub-national protection allocated to the national member's obligation; Fund support available if impact exceeds 0.5% of sub-national GDP. Precedent Protection: Successful sub-national protection case automatically triggers strategic entity designation for similar entities in other member states.</w:t>
      </w:r>
    </w:p>
    <w:p>
      <w:pPr>
        <w:pStyle w:val="Heading3"/>
      </w:pPr>
      <w:r>
        <w:t>Section 6.6 (Addendum): Autonomous Sub-National and Corporate Participation [NEW: v15.0]</w:t>
      </w:r>
    </w:p>
    <w:p>
      <w:r>
        <w:t>(e) Where a Member's national government has formally notified the Secretariat of its intention to withdraw from this Instrument or to suspend implementation of authorised measures, sub-national governments, universities, research institutions, and strategic private firms within that Member's jurisdiction, by separate written notification to the Secretariat, elect to continue participation in IMESI programmes, operating within the withdrawing Member's legal order.</w:t>
      </w:r>
    </w:p>
    <w:p>
      <w:r>
        <w:t>(f) Continued participation under subsection (e) includes: (i) access to Joint Procurement Consortium tenders (Section 3.13); (ii) eligibility for Resilience Fund project finance (Section 8.9); (iii) participation in the Early-Warning and Transparency Platform (Section 4.2A.1); (iv) access to SFI settlement channels for intra-IMESI trade (Section 8.10); and (v) continued eligibility for the Fast-Lane Customs Clearance Protocol (Section 9.8A Second Addendum).</w:t>
      </w:r>
    </w:p>
    <w:p>
      <w:r>
        <w:t>(g) Sub-national and corporate participants under this Section: (i) contribute to the Fund at a reduced rate of 25% of their national government's assessed contribution, calculated on the basis of their share of national GDP; (ii) designate a National IMESI Authority representative for coordination purposes; and (iii) comply with all transparency and anti-fragmentation obligations applicable to Tier 1 members.</w:t>
      </w:r>
    </w:p>
    <w:p>
      <w:r>
        <w:t>(h) Continued participation under this Section does not: (i) constitute recognition of the sub-national entity as a state; (ii) affect the Member's sovereign rights under international law; (iii) create any treaty relationship between IMESI and the sub-national entity; or (iv) create any obligation on the Member to continue participation.</w:t>
      </w:r>
    </w:p>
    <w:p>
      <w:r>
        <w:t>Rationale: This creates a distributed defence. Even where a national government defects, sub-national jurisdictions and major corporations remain inside the system. The national government cannot block their access to IMESI procurement, settlement, or intelligence.</w:t>
      </w:r>
    </w:p>
    <w:p>
      <w:pPr>
        <w:pStyle w:val="Heading2"/>
      </w:pPr>
      <w:r>
        <w:rPr>
          <w:rFonts w:ascii="Calibri" w:hAnsi="Calibri" w:eastAsia="Microsoft YaHei" w:cs="Calibri"/>
          <w:b/>
          <w:color w:val="263238"/>
          <w:sz w:val="25"/>
          <w:szCs w:val="25"/>
        </w:rPr>
        <w:t>Section 6.6A: Non-State Actor and Platform Coordination Protocol [NEW: v12.1]</w:t>
      </w:r>
    </w:p>
    <w:p>
      <w:pPr>
        <w:pStyle w:val="Normal"/>
      </w:pPr>
      <w:r>
        <w:rPr>
          <w:rFonts w:ascii="Calibri" w:hAnsi="Calibri" w:eastAsia="Microsoft YaHei" w:cs="Calibri"/>
          <w:color w:val="263238"/>
          <w:sz w:val="21"/>
          <w:szCs w:val="21"/>
        </w:rPr>
        <w:t>The Secretariat maintains direct, confidential communication channels with major social media and financial platforms. Through these channels the Secretariat flags state-sponsored disinformation campaigns and market manipulation threats detected under Sections 2.9 and 4.2Y for each platform's own voluntary, independently determined action under its published policies. The Secretariat requests no removal, alteration, suppression, labeling, or downgrading of content, consistent with the prohibitions of Section 4.2Y, and no measure under this Section restricts any outlet, journalist, or platform. This Protocol constitutes a defensive information measure and nothing more.</w:t>
      </w:r>
    </w:p>
    <w:p>
      <w:pPr>
        <w:pStyle w:val="Heading3"/>
      </w:pPr>
      <w:r>
        <w:rPr>
          <w:rFonts w:ascii="Calibri" w:hAnsi="Calibri" w:eastAsia="Microsoft YaHei" w:cs="Calibri"/>
          <w:b/>
          <w:color w:val="546E7A"/>
          <w:sz w:val="22"/>
          <w:szCs w:val="22"/>
        </w:rPr>
        <w:t xml:space="preserve">Section 6.6A (Addendum): Platform Good-Faith Liability Shield Protocol [NEW: v14.0]</w:t>
      </w:r>
    </w:p>
    <w:p>
      <w:pPr>
        <w:pStyle w:val="Normal"/>
      </w:pPr>
      <w:r>
        <w:rPr>
          <w:rFonts w:ascii="Calibri" w:hAnsi="Calibri" w:eastAsia="Microsoft YaHei" w:cs="Calibri"/>
          <w:color w:val="263238"/>
          <w:sz w:val="21"/>
          <w:szCs w:val="21"/>
        </w:rPr>
        <w:t xml:space="preserve">Members extend a domestic-law safe harbor to major social media and financial platforms that voluntarily participate in the Non-State Actor and Platform Coordination Protocol, shielding good-faith actions taken under the Protocol, including flagging state-sponsored disinformation and market manipulation threats, from legal liability in member jurisdictions. The shield constitutes domestic platform regulation rather than a trade measure and carries no Fund cost.</w:t>
      </w:r>
    </w:p>
    <w:p>
      <w:pPr>
        <w:pStyle w:val="Heading2"/>
      </w:pPr>
      <w:r>
        <w:rPr>
          <w:rFonts w:ascii="Calibri" w:hAnsi="Calibri" w:eastAsia="Microsoft YaHei" w:cs="Calibri"/>
          <w:b/>
          <w:color w:val="263238"/>
          <w:sz w:val="25"/>
          <w:szCs w:val="25"/>
        </w:rPr>
        <w:t>Section 6.7: Defection Cascade Circuit Breaker (DCCB)</w:t>
      </w:r>
    </w:p>
    <w:p>
      <w:pPr>
        <w:pStyle w:val="Normal"/>
      </w:pPr>
      <w:r>
        <w:rPr>
          <w:rFonts w:ascii="Calibri" w:hAnsi="Calibri" w:eastAsia="Microsoft YaHei" w:cs="Calibri"/>
          <w:color w:val="263238"/>
          <w:sz w:val="21"/>
          <w:szCs w:val="21"/>
        </w:rPr>
        <w:t>Automatic institutional response when defection risk exceeds critical threshold. Transforms anti-fragmentation from individual enforcement to systemic stabilisation, acknowledging that IMESI's worst-case scenario is not single defection but coordinated collapse. Trigger</w:t>
      </w:r>
    </w:p>
    <w:p>
      <w:pPr>
        <w:pStyle w:val="Normal"/>
      </w:pPr>
      <w:r>
        <w:rPr>
          <w:rFonts w:ascii="Calibri" w:hAnsi="Calibri" w:eastAsia="Microsoft YaHei" w:cs="Calibri"/>
          <w:color w:val="263238"/>
          <w:sz w:val="21"/>
          <w:szCs w:val="21"/>
        </w:rPr>
        <w:t>Automatic Effect</w:t>
      </w:r>
    </w:p>
    <w:p>
      <w:pPr>
        <w:pStyle w:val="Normal"/>
      </w:pPr>
      <w:r>
        <w:rPr>
          <w:rFonts w:ascii="Calibri" w:hAnsi="Calibri" w:eastAsia="Microsoft YaHei" w:cs="Calibri"/>
          <w:color w:val="263238"/>
          <w:sz w:val="21"/>
          <w:szCs w:val="21"/>
        </w:rPr>
        <w:t>IEWC certifies &gt;30% of members face simultaneous bilateral coercion offers</w:t>
      </w:r>
    </w:p>
    <w:p>
      <w:pPr>
        <w:pStyle w:val="Normal"/>
      </w:pPr>
      <w:r>
        <w:rPr>
          <w:rFonts w:ascii="Calibri" w:hAnsi="Calibri" w:eastAsia="Microsoft YaHei" w:cs="Calibri"/>
          <w:color w:val="263238"/>
          <w:sz w:val="21"/>
          <w:szCs w:val="21"/>
        </w:rPr>
        <w:t>DCCB activates: all stabilisation measures freeze at current phase for 72 hours; Director-General convenes emergency solidarity session</w:t>
      </w:r>
    </w:p>
    <w:p>
      <w:pPr>
        <w:pStyle w:val="Normal"/>
      </w:pPr>
      <w:r>
        <w:rPr>
          <w:rFonts w:ascii="Calibri" w:hAnsi="Calibri" w:eastAsia="Microsoft YaHei" w:cs="Calibri"/>
          <w:color w:val="263238"/>
          <w:sz w:val="21"/>
          <w:szCs w:val="21"/>
        </w:rPr>
        <w:t>&gt;2 members defect within 72 hours of DCCB activation</w:t>
      </w:r>
    </w:p>
    <w:p>
      <w:pPr>
        <w:pStyle w:val="Normal"/>
      </w:pPr>
      <w:r>
        <w:rPr>
          <w:rFonts w:ascii="Calibri" w:hAnsi="Calibri" w:eastAsia="Microsoft YaHei" w:cs="Calibri"/>
          <w:color w:val="263238"/>
          <w:sz w:val="21"/>
          <w:szCs w:val="21"/>
        </w:rPr>
        <w:t>Automatic Phase 3 authorisation for remaining members; Resilience Fund releases 50% of remaining Stabilisation Fund capacity; burden-sharing shifts to pure GDP distribution (removing trade-exposure penalty for targeted members)</w:t>
      </w:r>
    </w:p>
    <w:p>
      <w:pPr>
        <w:pStyle w:val="Normal"/>
      </w:pPr>
      <w:r>
        <w:rPr>
          <w:rFonts w:ascii="Calibri" w:hAnsi="Calibri" w:eastAsia="Microsoft YaHei" w:cs="Calibri"/>
          <w:color w:val="263238"/>
          <w:sz w:val="21"/>
          <w:szCs w:val="21"/>
        </w:rPr>
        <w:t>&gt;4 members defect within single case</w:t>
      </w:r>
    </w:p>
    <w:p>
      <w:pPr>
        <w:pStyle w:val="Normal"/>
      </w:pPr>
      <w:r>
        <w:rPr>
          <w:rFonts w:ascii="Calibri" w:hAnsi="Calibri" w:eastAsia="Microsoft YaHei" w:cs="Calibri"/>
          <w:color w:val="263238"/>
          <w:sz w:val="21"/>
          <w:szCs w:val="21"/>
        </w:rPr>
        <w:t>Hibernation protocol activates per Section 4.6: IEWC continues with reduced staffing; SFI preservation mode; reactivation requires only 8 states (minimum viable coalition)</w:t>
      </w:r>
    </w:p>
    <w:p>
      <w:pPr>
        <w:pStyle w:val="Normal"/>
      </w:pPr>
      <w:r>
        <w:rPr>
          <w:rFonts w:ascii="Calibri" w:hAnsi="Calibri" w:eastAsia="Microsoft YaHei" w:cs="Calibri"/>
          <w:color w:val="263238"/>
          <w:sz w:val="21"/>
          <w:szCs w:val="21"/>
        </w:rPr>
        <w:t>ACE Interaction: ACE activation (Section 6.3) and DCCB activation are not mutually exclusive, both operates simultaneously. ACE recruits externally while DCCB stabilises internally. Deterrent Effect: DCCB is published doctrine. The coercer knows that divide-and-conquer triggers stronger collective response (automatic Phase 3, 50% Fund release), not weaker, making coordinated bilateral approaches strategically counterproductive.</w:t>
      </w:r>
    </w:p>
    <w:p>
      <w:pPr>
        <w:pStyle w:val="Heading3"/>
      </w:pPr>
      <w:r>
        <w:rPr>
          <w:rFonts w:ascii="Calibri" w:hAnsi="Calibri" w:eastAsia="Microsoft YaHei" w:cs="Calibri"/>
          <w:b/>
          <w:color w:val="546E7A"/>
          <w:sz w:val="22"/>
          <w:szCs w:val="22"/>
        </w:rPr>
        <w:t>Section 6.7 (Addendum): High-Volatility Threshold Reduction [NEW: v12.1]</w:t>
      </w:r>
    </w:p>
    <w:p>
      <w:pPr>
        <w:pStyle w:val="Normal"/>
      </w:pPr>
      <w:r>
        <w:rPr>
          <w:rFonts w:ascii="Calibri" w:hAnsi="Calibri" w:eastAsia="Microsoft YaHei" w:cs="Calibri"/>
          <w:color w:val="263238"/>
          <w:sz w:val="21"/>
          <w:szCs w:val="21"/>
        </w:rPr>
        <w:t>Where the IEWC certifies a coercer as a High Political Volatility actor (Section 4.2X), the Defection Cascade Circuit Breaker triggers at a 15% defection rate rather than the standard 30%. The reduced threshold forces early, preventative stabilisation of the coalition where coercer unpredictability amplifies defection risk.</w:t>
      </w:r>
    </w:p>
    <w:p>
      <w:pPr>
        <w:pStyle w:val="Heading2"/>
      </w:pPr>
      <w:r>
        <w:rPr>
          <w:rFonts w:ascii="Calibri" w:hAnsi="Calibri" w:eastAsia="Microsoft YaHei" w:cs="Calibri"/>
          <w:b/>
          <w:color w:val="263238"/>
          <w:sz w:val="25"/>
          <w:szCs w:val="25"/>
        </w:rPr>
        <w:t>Section 6.8: Coalition Fracture Reinsurance (CFR)</w:t>
      </w:r>
    </w:p>
    <w:p>
      <w:pPr>
        <w:pStyle w:val="Normal"/>
      </w:pPr>
      <w:r>
        <w:rPr>
          <w:rFonts w:ascii="Calibri" w:hAnsi="Calibri" w:eastAsia="Microsoft YaHei" w:cs="Calibri"/>
          <w:color w:val="263238"/>
          <w:sz w:val="21"/>
          <w:szCs w:val="21"/>
        </w:rPr>
        <w:t>Gap Addressed: If &gt;4 members defect and hibernation protocol activates (Section 6.7 DCCB third effect), remaining members bear 100% of the stabilisation burden. Without external backstop, defection begets further defection through unsustainable burden concentration. Trigger: DCCB activates plus &gt;2 members defect within 72 hours. Mechanism: External credit line, pre-negotiated with the IMF, BIS, or private reinsurance markets, provides emergency burden-sharing capacity equal to 50% of lapsed members' obligations. This prevents the remaining coalition from facing immediate fiscal overstretch. Cost: Shared among remaining members at 150% of standard burden-share rate. The premium reflects the emergency nature of CFR activation. Wind-Down Condition: CFR winds down by design when membership returns to &gt;12 states or &gt;25% global GDP, or after 24 months, whichever is earlier. Pre-Positioning: The Secretariat negotiates standby CFR credit facilities during peacetime as part of Fund architecture (Section 8.1). Annual facility maintenance cost included in Peacetime Fund allocation.</w:t>
      </w:r>
    </w:p>
    <w:p>
      <w:pPr>
        <w:pStyle w:val="Heading3"/>
      </w:pPr>
      <w:r>
        <w:rPr>
          <w:rFonts w:ascii="Calibri" w:hAnsi="Calibri" w:eastAsia="Microsoft YaHei" w:cs="Calibri"/>
          <w:b/>
          <w:color w:val="546E7A"/>
          <w:sz w:val="22"/>
          <w:szCs w:val="22"/>
        </w:rPr>
        <w:t>Section 6.8 (Addendum): Reinsurance Backstop Protocol [NEW: v13.0]</w:t>
      </w:r>
    </w:p>
    <w:p>
      <w:pPr>
        <w:pStyle w:val="Normal"/>
      </w:pPr>
      <w:r>
        <w:rPr>
          <w:rFonts w:ascii="Calibri" w:hAnsi="Calibri" w:eastAsia="Microsoft YaHei" w:cs="Calibri"/>
          <w:color w:val="263238"/>
          <w:sz w:val="21"/>
          <w:szCs w:val="21"/>
        </w:rPr>
        <w:t>The Coalition Fracture Reinsurance facility maintains a parallel private reinsurance backstop with at least two independent, non-IMF and non-BIS private insurers or sovereign wealth funds, pre-negotiated on a strictly commercial basis. Where the IMF or BIS credit lines are unavailable or materially insufficient within 72 hours of activation, the private backstop deploys automatically, with a 150% burden-share rate for remaining Members consistent with the existing Coalition Fracture Reinsurance framework. A documented influence campaign by a coercing state against the IMF or BIS credit lines constitutes Institutional Coercion (Red-Line I-2) and triggers a full Internal Adjudication Chamber investigation and a 75% Coordination Committee vote on additional countermeasures.</w:t>
      </w:r>
    </w:p>
    <w:p>
      <w:pPr>
        <w:pStyle w:val="Heading2"/>
      </w:pPr>
      <w:r>
        <w:rPr>
          <w:rFonts w:ascii="Calibri" w:hAnsi="Calibri" w:eastAsia="Microsoft YaHei" w:cs="Calibri"/>
          <w:b/>
          <w:color w:val="263238"/>
          <w:sz w:val="25"/>
          <w:szCs w:val="25"/>
        </w:rPr>
        <w:t>Section 6.9: Intra-Coalition Economic Discipline (Internal Adjudication Chamber)</w:t>
      </w:r>
    </w:p>
    <w:p>
      <w:pPr>
        <w:pStyle w:val="Normal"/>
      </w:pPr>
      <w:r>
        <w:rPr>
          <w:rFonts w:ascii="Calibri" w:hAnsi="Calibri" w:eastAsia="Microsoft YaHei" w:cs="Calibri"/>
          <w:color w:val="263238"/>
          <w:sz w:val="21"/>
          <w:szCs w:val="21"/>
        </w:rPr>
        <w:t>(a) Jurisdiction: Allegations that any Tier 1+ member has engaged in economic coercion against another member or Protective Association state is adjudicated through the Internal Adjudication Chamber (IAC). (b) Composition: Five jurists, two from affected member states, two from non-affected members, one independent chair (rotating from non-IMESI WTO members). (c) Standard: Same five-element test as Section 2.1, with modified Element 4: 'material economic harm' includes diversion of investment, supply chain disruption, or market access denial between members.</w:t>
      </w:r>
    </w:p>
    <w:p>
      <w:pPr>
        <w:pStyle w:val="Normal"/>
      </w:pPr>
      <w:r>
        <w:rPr>
          <w:rFonts w:ascii="Calibri" w:hAnsi="Calibri" w:eastAsia="Microsoft YaHei" w:cs="Calibri"/>
          <w:color w:val="263238"/>
          <w:sz w:val="21"/>
          <w:szCs w:val="21"/>
        </w:rPr>
        <w:t>(d) Remedies:</w:t>
      </w:r>
    </w:p>
    <w:p>
      <w:pPr>
        <w:pStyle w:val="Normal"/>
      </w:pPr>
      <w:r>
        <w:rPr>
          <w:rFonts w:ascii="Calibri" w:hAnsi="Calibri" w:eastAsia="Microsoft YaHei" w:cs="Calibri"/>
          <w:color w:val="263238"/>
          <w:sz w:val="21"/>
          <w:szCs w:val="21"/>
        </w:rPr>
        <w:t>(i) Cease-and-desist order with 30-day compliance window (ii) Compensation from Defection Penalty Fund for verified losses</w:t>
      </w:r>
    </w:p>
    <w:p>
      <w:pPr>
        <w:pStyle w:val="Normal"/>
      </w:pPr>
      <w:r>
        <w:rPr>
          <w:rFonts w:ascii="Calibri" w:hAnsi="Calibri" w:eastAsia="Microsoft YaHei" w:cs="Calibri"/>
          <w:color w:val="263238"/>
          <w:sz w:val="21"/>
          <w:szCs w:val="21"/>
        </w:rPr>
        <w:t>(iii) Suspension of Preferred Alternative Status for offending member (iv) In cases of systematic intra-coalition coercion, mandatory tier downgrade to Observer+ (e) Confidentiality: Proceedings sealed unless 75% IAC vote orders publication. No stabilisation measures authorised, IAC operates on restitution, not retaliation.</w:t>
      </w:r>
    </w:p>
    <w:p>
      <w:pPr>
        <w:pStyle w:val="Heading2"/>
      </w:pPr>
      <w:r>
        <w:rPr>
          <w:rFonts w:ascii="Calibri" w:hAnsi="Calibri" w:eastAsia="Microsoft YaHei" w:cs="Calibri"/>
          <w:b/>
          <w:color w:val="263238"/>
          <w:sz w:val="25"/>
          <w:szCs w:val="25"/>
        </w:rPr>
        <w:t>Section 6.10: Protectionism Review Mechanism</w:t>
      </w:r>
    </w:p>
    <w:p>
      <w:pPr>
        <w:pStyle w:val="Normal"/>
      </w:pPr>
      <w:r>
        <w:rPr>
          <w:rFonts w:ascii="Calibri" w:hAnsi="Calibri" w:eastAsia="Microsoft YaHei" w:cs="Calibri"/>
          <w:color w:val="263238"/>
          <w:sz w:val="21"/>
          <w:szCs w:val="21"/>
        </w:rPr>
        <w:t>Establishment: Protectionism Review Panel (PRP): 3 members, 6-year staggered terms. Former trade judges or senior trade officials; no current government officials; regional balance. Trigger: PRP review initiated by: (a) member complaint (supported by 2 other members), or (b) IEWC anomaly flag (sectoral concentration &gt;70% in member's uncompetitive industries + lack of diversification efforts). No sua sponte review.</w:t>
      </w:r>
    </w:p>
    <w:p>
      <w:pPr>
        <w:pStyle w:val="Normal"/>
      </w:pPr>
      <w:r>
        <w:rPr>
          <w:rFonts w:ascii="Calibri" w:hAnsi="Calibri" w:eastAsia="Microsoft YaHei" w:cs="Calibri"/>
          <w:color w:val="263238"/>
          <w:sz w:val="21"/>
          <w:szCs w:val="21"/>
        </w:rPr>
        <w:t>Standards of Review:</w:t>
      </w:r>
    </w:p>
    <w:p>
      <w:pPr>
        <w:pStyle w:val="Normal"/>
      </w:pPr>
      <w:r>
        <w:rPr>
          <w:rFonts w:ascii="Calibri" w:hAnsi="Calibri" w:eastAsia="Microsoft YaHei" w:cs="Calibri"/>
          <w:color w:val="263238"/>
          <w:sz w:val="21"/>
          <w:szCs w:val="21"/>
        </w:rPr>
        <w:t>Factor</w:t>
      </w:r>
    </w:p>
    <w:p>
      <w:pPr>
        <w:pStyle w:val="Normal"/>
      </w:pPr>
      <w:r>
        <w:rPr>
          <w:rFonts w:ascii="Calibri" w:hAnsi="Calibri" w:eastAsia="Microsoft YaHei" w:cs="Calibri"/>
          <w:color w:val="263238"/>
          <w:sz w:val="21"/>
          <w:szCs w:val="21"/>
        </w:rPr>
        <w:t>Weight</w:t>
      </w:r>
    </w:p>
    <w:p>
      <w:pPr>
        <w:pStyle w:val="Normal"/>
      </w:pPr>
      <w:r>
        <w:rPr>
          <w:rFonts w:ascii="Calibri" w:hAnsi="Calibri" w:eastAsia="Microsoft YaHei" w:cs="Calibri"/>
          <w:color w:val="263238"/>
          <w:sz w:val="21"/>
          <w:szCs w:val="21"/>
        </w:rPr>
        <w:t>Economic logic of stabilisation measure design</w:t>
      </w:r>
    </w:p>
    <w:p>
      <w:pPr>
        <w:pStyle w:val="Normal"/>
      </w:pPr>
      <w:r>
        <w:rPr>
          <w:rFonts w:ascii="Calibri" w:hAnsi="Calibri" w:eastAsia="Microsoft YaHei" w:cs="Calibri"/>
          <w:color w:val="263238"/>
          <w:sz w:val="21"/>
          <w:szCs w:val="21"/>
        </w:rPr>
        <w:t>30%</w:t>
      </w:r>
    </w:p>
    <w:p>
      <w:pPr>
        <w:pStyle w:val="Normal"/>
      </w:pPr>
      <w:r>
        <w:rPr>
          <w:rFonts w:ascii="Calibri" w:hAnsi="Calibri" w:eastAsia="Microsoft YaHei" w:cs="Calibri"/>
          <w:color w:val="263238"/>
          <w:sz w:val="21"/>
          <w:szCs w:val="21"/>
        </w:rPr>
        <w:t>Prior domestic protectionist history in sector</w:t>
      </w:r>
    </w:p>
    <w:p>
      <w:pPr>
        <w:pStyle w:val="Normal"/>
      </w:pPr>
      <w:r>
        <w:rPr>
          <w:rFonts w:ascii="Calibri" w:hAnsi="Calibri" w:eastAsia="Microsoft YaHei" w:cs="Calibri"/>
          <w:color w:val="263238"/>
          <w:sz w:val="21"/>
          <w:szCs w:val="21"/>
        </w:rPr>
        <w:t>25%</w:t>
      </w:r>
    </w:p>
    <w:p>
      <w:pPr>
        <w:pStyle w:val="Normal"/>
      </w:pPr>
      <w:r>
        <w:rPr>
          <w:rFonts w:ascii="Calibri" w:hAnsi="Calibri" w:eastAsia="Microsoft YaHei" w:cs="Calibri"/>
          <w:color w:val="263238"/>
          <w:sz w:val="21"/>
          <w:szCs w:val="21"/>
        </w:rPr>
        <w:t>Diversification efforts (RDP participation, etc.)</w:t>
      </w:r>
    </w:p>
    <w:p>
      <w:pPr>
        <w:pStyle w:val="Normal"/>
      </w:pPr>
      <w:r>
        <w:rPr>
          <w:rFonts w:ascii="Calibri" w:hAnsi="Calibri" w:eastAsia="Microsoft YaHei" w:cs="Calibri"/>
          <w:color w:val="263238"/>
          <w:sz w:val="21"/>
          <w:szCs w:val="21"/>
        </w:rPr>
        <w:t>25%</w:t>
      </w:r>
    </w:p>
    <w:p>
      <w:pPr>
        <w:pStyle w:val="Normal"/>
      </w:pPr>
      <w:r>
        <w:rPr>
          <w:rFonts w:ascii="Calibri" w:hAnsi="Calibri" w:eastAsia="Microsoft YaHei" w:cs="Calibri"/>
          <w:color w:val="263238"/>
          <w:sz w:val="21"/>
          <w:szCs w:val="21"/>
        </w:rPr>
        <w:t>Comparative treatment of non-coercer suppliers</w:t>
      </w:r>
    </w:p>
    <w:p>
      <w:pPr>
        <w:pStyle w:val="Normal"/>
      </w:pPr>
      <w:r>
        <w:rPr>
          <w:rFonts w:ascii="Calibri" w:hAnsi="Calibri" w:eastAsia="Microsoft YaHei" w:cs="Calibri"/>
          <w:color w:val="263238"/>
          <w:sz w:val="21"/>
          <w:szCs w:val="21"/>
        </w:rPr>
        <w:t>20%</w:t>
      </w:r>
    </w:p>
    <w:p>
      <w:pPr>
        <w:pStyle w:val="Normal"/>
      </w:pPr>
      <w:r>
        <w:rPr>
          <w:rFonts w:ascii="Calibri" w:hAnsi="Calibri" w:eastAsia="Microsoft YaHei" w:cs="Calibri"/>
          <w:color w:val="263238"/>
          <w:sz w:val="21"/>
          <w:szCs w:val="21"/>
        </w:rPr>
        <w:t>Findings and Remedies:</w:t>
      </w:r>
    </w:p>
    <w:p>
      <w:pPr>
        <w:pStyle w:val="Normal"/>
      </w:pPr>
      <w:r>
        <w:rPr>
          <w:rFonts w:ascii="Calibri" w:hAnsi="Calibri" w:eastAsia="Microsoft YaHei" w:cs="Calibri"/>
          <w:color w:val="263238"/>
          <w:sz w:val="21"/>
          <w:szCs w:val="21"/>
        </w:rPr>
        <w:t>Finding</w:t>
      </w:r>
    </w:p>
    <w:p>
      <w:pPr>
        <w:pStyle w:val="Normal"/>
      </w:pPr>
      <w:r>
        <w:rPr>
          <w:rFonts w:ascii="Calibri" w:hAnsi="Calibri" w:eastAsia="Microsoft YaHei" w:cs="Calibri"/>
          <w:color w:val="263238"/>
          <w:sz w:val="21"/>
          <w:szCs w:val="21"/>
        </w:rPr>
        <w:t>Remedy</w:t>
      </w:r>
    </w:p>
    <w:p>
      <w:pPr>
        <w:pStyle w:val="Normal"/>
      </w:pPr>
      <w:r>
        <w:rPr>
          <w:rFonts w:ascii="Calibri" w:hAnsi="Calibri" w:eastAsia="Microsoft YaHei" w:cs="Calibri"/>
          <w:color w:val="263238"/>
          <w:sz w:val="21"/>
          <w:szCs w:val="21"/>
        </w:rPr>
        <w:t>No abuse</w:t>
      </w:r>
    </w:p>
    <w:p>
      <w:pPr>
        <w:pStyle w:val="Normal"/>
      </w:pPr>
      <w:r>
        <w:rPr>
          <w:rFonts w:ascii="Calibri" w:hAnsi="Calibri" w:eastAsia="Microsoft YaHei" w:cs="Calibri"/>
          <w:color w:val="263238"/>
          <w:sz w:val="21"/>
          <w:szCs w:val="21"/>
        </w:rPr>
        <w:t>Public clearance; no stigma</w:t>
      </w:r>
    </w:p>
    <w:p>
      <w:pPr>
        <w:pStyle w:val="Normal"/>
      </w:pPr>
      <w:r>
        <w:rPr>
          <w:rFonts w:ascii="Calibri" w:hAnsi="Calibri" w:eastAsia="Microsoft YaHei" w:cs="Calibri"/>
          <w:color w:val="263238"/>
          <w:sz w:val="21"/>
          <w:szCs w:val="21"/>
        </w:rPr>
        <w:t>Minor abuse motive)</w:t>
      </w:r>
    </w:p>
    <w:p>
      <w:pPr>
        <w:pStyle w:val="Normal"/>
      </w:pPr>
      <w:r>
        <w:rPr>
          <w:rFonts w:ascii="Calibri" w:hAnsi="Calibri" w:eastAsia="Microsoft YaHei" w:cs="Calibri"/>
          <w:color w:val="263238"/>
          <w:sz w:val="21"/>
          <w:szCs w:val="21"/>
        </w:rPr>
        <w:t>(&lt;25%</w:t>
      </w:r>
    </w:p>
    <w:p>
      <w:pPr>
        <w:pStyle w:val="Normal"/>
      </w:pPr>
      <w:r>
        <w:rPr>
          <w:rFonts w:ascii="Calibri" w:hAnsi="Calibri" w:eastAsia="Microsoft YaHei" w:cs="Calibri"/>
          <w:color w:val="263238"/>
          <w:sz w:val="21"/>
          <w:szCs w:val="21"/>
        </w:rPr>
        <w:t>protectionist</w:t>
      </w:r>
    </w:p>
    <w:p>
      <w:pPr>
        <w:pStyle w:val="Normal"/>
      </w:pPr>
      <w:r>
        <w:rPr>
          <w:rFonts w:ascii="Calibri" w:hAnsi="Calibri" w:eastAsia="Microsoft YaHei" w:cs="Calibri"/>
          <w:color w:val="263238"/>
          <w:sz w:val="21"/>
          <w:szCs w:val="21"/>
        </w:rPr>
        <w:t>150% surcharge for remainder of case; mandatory remediation plan</w:t>
      </w:r>
    </w:p>
    <w:p>
      <w:pPr>
        <w:pStyle w:val="Normal"/>
      </w:pPr>
      <w:r>
        <w:rPr>
          <w:rFonts w:ascii="Calibri" w:hAnsi="Calibri" w:eastAsia="Microsoft YaHei" w:cs="Calibri"/>
          <w:color w:val="263238"/>
          <w:sz w:val="21"/>
          <w:szCs w:val="21"/>
        </w:rPr>
        <w:t>Major abuse motive)</w:t>
      </w:r>
    </w:p>
    <w:p>
      <w:pPr>
        <w:pStyle w:val="Normal"/>
      </w:pPr>
      <w:r>
        <w:rPr>
          <w:rFonts w:ascii="Calibri" w:hAnsi="Calibri" w:eastAsia="Microsoft YaHei" w:cs="Calibri"/>
          <w:color w:val="263238"/>
          <w:sz w:val="21"/>
          <w:szCs w:val="21"/>
        </w:rPr>
        <w:t>(&gt;25%</w:t>
      </w:r>
    </w:p>
    <w:p>
      <w:pPr>
        <w:pStyle w:val="Normal"/>
      </w:pPr>
      <w:r>
        <w:rPr>
          <w:rFonts w:ascii="Calibri" w:hAnsi="Calibri" w:eastAsia="Microsoft YaHei" w:cs="Calibri"/>
          <w:color w:val="263238"/>
          <w:sz w:val="21"/>
          <w:szCs w:val="21"/>
        </w:rPr>
        <w:t>protectionist</w:t>
      </w:r>
    </w:p>
    <w:p>
      <w:r>
        <w:t>150% surcharge; public finding; mandatory IAC referral if pattern</w:t>
      </w:r>
    </w:p>
    <w:p>
      <w:r>
        <w:t>Safeguards: Good-faith participation in PRP review: surcharge reduction to 125%. Self-reporting of implementation gaps: immunity from abuse finding. PRP findings advisory unless CC adopts by 60% vote. Negotiation status: Tier 1 non-negotiable on existence; Tier 3 on powers. Core: PRP exists, no sua sponte, member/IEWC triggered. Expendable: binding findings, PAS status loss. Final acceptable form: advisory panel with information request power and surcharge recommendation only.</w:t>
      </w:r>
    </w:p>
    <w:p>
      <w:pPr>
        <w:pStyle w:val="Heading2"/>
      </w:pPr>
      <w:r>
        <w:t>Section 6.0A: Solidarity-First Anti-Fragmentation Principle [NEW: v9.9]</w:t>
      </w:r>
    </w:p>
    <w:p>
      <w:r>
        <w:t>Anti-fragmentation tools in this Article are designed as last-resort stabilisers, not disciplinary devices. Their primary purpose is to preserve minimum viable collective capacity and to protect members under counter-pressure, not to lock any state into unwanted obligations. Before any anti-fragmentation measure escalates costs or adjusts burden-sharing, the Coordination Committee firsts exhaust cooperative options, including temporary flexibility, tailored participation modes, and public solidarity signalling for members subject to external pressure to defect.</w:t>
      </w:r>
    </w:p>
    <w:p>
      <w:pPr>
        <w:pStyle w:val="Heading2"/>
      </w:pPr>
      <w:r>
        <w:t>Section 6.0B: Temporary Deviation During Acute Domestic Stabilisation [NEW: v10.0]</w:t>
      </w:r>
    </w:p>
    <w:p>
      <w:r>
        <w:t>Temporary deviation from agreed measures by an implementing Member during acute domestic stabilisation needs are automatically prohibited from constituting breach of this Instrument, provided that: (a) the Member promptly notifies the Secretariat and the Coordination Committee of the deviation and its reasons; and (b) within a defined timeframe, the Member presents a plan for re-alignment with the agreed response, or for an alternative contribution of equivalent effect. Persistent or unexplained deviation remains subject to the standard compliance and anti-fragmentation procedures.</w:t>
      </w:r>
    </w:p>
    <w:p>
      <w:r>
        <w:t>Section 6.1(h): Corrupt Inducements and Off-Book Benefits [NEW: v9.9]</w:t>
      </w:r>
    </w:p>
    <w:p>
      <w:r>
        <w:t>For the purposes of this Article, "secret bilateral deals" and other prohibited arrangements explicitly include any material side-payment, financial inducement, or off-book benefit offered by a coercing state, its state-owned entities, or their agents to:</w:t>
      </w:r>
    </w:p>
    <w:p>
      <w:r>
        <w:t>(i) a Member state;</w:t>
      </w:r>
    </w:p>
    <w:p>
      <w:r>
        <w:t>(ii) any public official or decision-maker of a Member state; or</w:t>
      </w:r>
    </w:p>
    <w:p>
      <w:r>
        <w:t>(iii) any politically exposed person closely associated with such officials;</w:t>
      </w:r>
    </w:p>
    <w:p>
      <w:r>
        <w:t>where the intent or reasonably foreseeable effect is to secure that Member's withdrawal from IMESI, materially dilute or neutralise its participation in an activation, or generate intra-coalition division or defection risk. Acceptance or negotiation of such inducements in connection with IMESI decisions constitutes a Tier 1 anti-fragmentation violation by the Member state, without prejudice to its domestic anti-corruption laws and procedures.</w:t>
      </w:r>
    </w:p>
    <w:p>
      <w:r>
        <w:t>Section 6.6 (Amended): Sub-National and Non-State Actor Protection, National Coordination [v9.9]</w:t>
      </w:r>
    </w:p>
    <w:p>
      <w:r>
        <w:t>Sub-national governments, universities, research institutions, civil society organisations, and strategic private firms bring potential coercion cases to the attention of the IEWC. The IEWC notifies the relevant national government and invite it to co-lead the assessment and design of any response; where the national government confirms that the case falls within IMESI scope, all stabilisation measures are channelled through the Member's existing constitutional and legislative processes.</w:t>
      </w:r>
    </w:p>
    <w:p>
      <w:r>
        <w:t>In exceptional circumstances where the IEWC certifies that the national government is itself under direct coercive pressure not to act on a documented case, the IEWC, with a 7-of-10 majority and after consulting the Member, issues advisory findings and non-binding recommendations limited to defensive financial, regulatory, and diplomatic measures. No tariffs or trade restrictions affecting that Member's jurisdiction is authorised without explicit national-government consent.</w:t>
      </w:r>
    </w:p>
    <w:p>
      <w:pPr>
        <w:pStyle w:val="Heading2"/>
      </w:pPr>
      <w:r>
        <w:t>Section 6.9A: Expedited Intra-Coalition Dispute Resolution During Active Cases [NEW: v9.8 Structural Fix]</w:t>
      </w:r>
    </w:p>
    <w:p>
      <w:r>
        <w:t>Track 1: Expedited Resolution</w:t>
      </w:r>
    </w:p>
    <w:p>
      <w:r>
        <w:t>Parties jointly petition for expedited IAC hearing; Expedited panel (3 jurists) issues preliminary ruling within 21 days; Ruling binding unless appealed within 7 days; appeal decided within 14 days; Total timeline: up to 42 days.</w:t>
      </w:r>
    </w:p>
    <w:p>
      <w:r>
        <w:t>Track 2: Suspension</w:t>
      </w:r>
    </w:p>
    <w:p>
      <w:r>
        <w:t>If parties cannot agree on expedited process: dispute suspended for duration of active coercion case + 30 days; Suspended claim preserved; Both members remain obligated to full participation; Secretariat proposes mediation.</w:t>
      </w:r>
    </w:p>
    <w:p>
      <w:r>
        <w:t>Partition Option</w:t>
      </w:r>
    </w:p>
    <w:p>
      <w:r>
        <w:t>Disputed sector partitioned out of member's contribution (member invokes MOAR for that sector only); Non-disputed measures remain binding; Partition does not trigger MOAR surcharge if maintained &lt;6 months.</w:t>
      </w:r>
    </w:p>
    <w:p>
      <w:r>
        <w:t>Escalation</w:t>
      </w:r>
    </w:p>
    <w:p>
      <w:r>
        <w:t>If member invokes Track 2 in &gt;2 consecutive cases or &gt;12 months cumulative: CC mandates arbitrated resolution (binding 30-day process); 60% CC vote required.</w:t>
      </w:r>
    </w:p>
    <w:p>
      <w:pPr>
        <w:pStyle w:val="Heading2"/>
      </w:pPr>
      <w:r>
        <w:t>Section 6.11: Member Misconduct and Immediate Suspension [NEW: v9.8 Structural Fix]</w:t>
      </w:r>
    </w:p>
    <w:p>
      <w:r>
        <w:t>Scope: Applies to documented instances of: (a) intelligence sharing with non-member coercers or their agents; (b) stabilisation measure sabotage; (c) supporting coercer's negotiating position through leaked IEWC assessments; (d) 3+ violations of anti-fragmentation obligations within 6 months.</w:t>
      </w:r>
    </w:p>
    <w:p>
      <w:r>
        <w:t>Triggering Evidence Standard</w:t>
      </w:r>
    </w:p>
    <w:p>
      <w:r>
        <w:t>Requires Tier 1 documentation per Section 2.1 (intelligence intercepts, diplomatic cables, authenticated internal communications, or credible witness testimony from 2+ independent sources including at least 1 member state).</w:t>
      </w:r>
    </w:p>
    <w:p>
      <w:r>
        <w:t>Immediate Response (72-Hour Window)</w:t>
      </w:r>
    </w:p>
    <w:p>
      <w:r>
        <w:t>Director-General receives allegation + evidence package; Convenes Emergency Judicial Panel (3 IAC members + 1 senior independent judge); Panel conducts sealed 48-hour review; If Credible Allegation: automatic temporary Suspension of Tier Status; Suspended member loses voting rights, Fund access, SFI priority rates; remains obligated to authorized stabilisation measures; CC notified within 4 hours.</w:t>
      </w:r>
    </w:p>
    <w:p>
      <w:r>
        <w:t>Full Review (14-Day Window)</w:t>
      </w:r>
    </w:p>
    <w:p>
      <w:r>
        <w:t>Judicial Panel conducts full hearing with member's legal team, evidence review, cross-examination. Findings: Substantiated Misconduct: Immediate permanent suspension from all IMESI benefits; member appeals to GRC. Insufficient Evidence: Suspension lifted; reinstated to prior tier. Exonerating Evidence: Suspension lifted; public vindication statement; eligible for compensation (max USD 5M).</w:t>
      </w:r>
    </w:p>
    <w:p>
      <w:r>
        <w:t>Permanent Removal</w:t>
      </w:r>
    </w:p>
    <w:p>
      <w:r>
        <w:t>If substantiated misconduct involves active intelligence sharing or Phase 2+ sabotage: automatic expulsion. Permanent; rejoining requires unanimous CC vote + 5-year waiting period.</w:t>
      </w:r>
    </w:p>
    <w:p>
      <w:r>
        <w:t>Due Process</w:t>
      </w:r>
    </w:p>
    <w:p>
      <w:r>
        <w:t>Member has right to legal representation; Hearing is sealed but member requests public trial; Member challenges Panel composition on conflict-of-interest grounds (one recusal allowed).</w:t>
      </w:r>
    </w:p>
    <w:p>
      <w:r>
        <w:t>Section 6.11(d): Corrupt Inducements Linked to IMESI Decisions [NEW: v9.9]</w:t>
      </w:r>
    </w:p>
    <w:p>
      <w:r>
        <w:t>Verified conduct falling under Section 6.1(h) constitutes Member Misconduct for the purposes of this Section. Where such conduct involves individual officials or politically exposed persons, the responsibility of the Member state is engaged insofar as those persons acted in connection with, or purported to act on behalf of, the Member's IMESI-related decisions.</w:t>
      </w:r>
    </w:p>
    <w:p>
      <w:pPr>
        <w:pStyle w:val="Normal"/>
      </w:pPr>
      <w:r>
        <w:rPr>
          <w:rFonts w:ascii="Calibri" w:hAnsi="Calibri" w:eastAsia="Microsoft YaHei" w:cs="Calibri"/>
          <w:color w:val="263238"/>
          <w:sz w:val="21"/>
          <w:szCs w:val="21"/>
        </w:rPr>
        <w:t>Corruption-Related Response Sequence</w:t>
      </w:r>
    </w:p>
    <w:p>
      <w:pPr>
        <w:pStyle w:val="Normal"/>
      </w:pPr>
      <w:r>
        <w:rPr>
          <w:rFonts w:ascii="Calibri" w:hAnsi="Calibri" w:eastAsia="Microsoft YaHei" w:cs="Calibri"/>
          <w:color w:val="263238"/>
          <w:sz w:val="21"/>
          <w:szCs w:val="21"/>
        </w:rPr>
        <w:t>In cases arising under Section 6.1(h), the default sequence is:</w:t>
      </w:r>
    </w:p>
    <w:p>
      <w:pPr>
        <w:pStyle w:val="Normal"/>
      </w:pPr>
      <w:r>
        <w:rPr>
          <w:rFonts w:ascii="Calibri" w:hAnsi="Calibri" w:eastAsia="Microsoft YaHei" w:cs="Calibri"/>
          <w:color w:val="263238"/>
          <w:sz w:val="21"/>
          <w:szCs w:val="21"/>
        </w:rPr>
        <w:t>(i) Confidential notification to the affected Member, with an invitation to initiate domestic investigative and remedial action;</w:t>
      </w:r>
    </w:p>
    <w:p>
      <w:pPr>
        <w:pStyle w:val="Normal"/>
      </w:pPr>
      <w:r>
        <w:rPr>
          <w:rFonts w:ascii="Calibri" w:hAnsi="Calibri" w:eastAsia="Microsoft YaHei" w:cs="Calibri"/>
          <w:color w:val="263238"/>
          <w:sz w:val="21"/>
          <w:szCs w:val="21"/>
        </w:rPr>
        <w:t>(ii) Where the Member demonstrates credible remedial steps, the Coordination Committee postpones or limit collective sanctions to protect ongoing investigations;</w:t>
      </w:r>
    </w:p>
    <w:p>
      <w:pPr>
        <w:pStyle w:val="Normal"/>
      </w:pPr>
      <w:r>
        <w:rPr>
          <w:rFonts w:ascii="Calibri" w:hAnsi="Calibri" w:eastAsia="Microsoft YaHei" w:cs="Calibri"/>
          <w:color w:val="263238"/>
          <w:sz w:val="21"/>
          <w:szCs w:val="21"/>
        </w:rPr>
        <w:t>(iii) Where the Member refuses to investigate or remediate, the Coordination Committee, by 75% weighted vote, designates the case as aggravated Member Misconduct and proceed to suspension or other measures under this Section.</w:t>
      </w:r>
    </w:p>
    <w:p>
      <w:pPr>
        <w:pStyle w:val="Normal"/>
      </w:pPr>
      <w:r>
        <w:rPr>
          <w:rFonts w:ascii="Calibri" w:hAnsi="Calibri" w:eastAsia="Microsoft YaHei" w:cs="Calibri"/>
          <w:color w:val="263238"/>
          <w:sz w:val="21"/>
          <w:szCs w:val="21"/>
        </w:rPr>
        <w:t>Nothing in this provision authorises IMESI bodies to interfere in domestic criminal processes; it ensures that clear, corruption-based attempts to fracture the coalition triggers collective protection.</w:t>
      </w:r>
    </w:p>
    <w:p>
      <w:pPr>
        <w:pStyle w:val="Heading3"/>
      </w:pPr>
      <w:r>
        <w:t>Section 6.11 (Addendum): Existential Misconduct, Rehabilitation Review, and Permanent Exclusion [NEW: v15.0]</w:t>
      </w:r>
    </w:p>
    <w:p>
      <w:r>
        <w:t>This Addendum harmonises Section 6.11 with Section 1.0E by drawing a clear distinction between expulsion with possibility of return, for serious but not existential violations, and permanent exclusion, for existential violations that fundamentally threaten the institution. The full procedure operates as follows.</w:t>
      </w:r>
    </w:p>
    <w:p>
      <w:r>
        <w:t>(a) Scope: applies to documented instances of: (i) intelligence sharing with non-member coercers or their agents; (ii) stabilisation measure sabotage; (iii) supporting a coercer's negotiating position through leaked IEWC assessments; (iv) 3 or more violations of anti-fragmentation obligations within 6 months; or (v) any other conduct that materially undermines the integrity of this Instrument.</w:t>
      </w:r>
    </w:p>
    <w:p>
      <w:r>
        <w:t>(b) Triggering Evidence Standard: Tier 1 documentation per Section 2.1 applies, comprising intelligence intercepts, diplomatic cables, authenticated internal communications, or credible witness testimony from 2 or more independent sources including at least 1 member state.</w:t>
      </w:r>
    </w:p>
    <w:p>
      <w:r>
        <w:t>(c) Immediate Response (72-Hour Window): (i) the Director-General receives the allegation and evidence package; (ii) the Director-General convenes an Emergency Judicial Panel of 3 IAC members plus 1 senior independent judge; (iii) the Panel conducts a sealed 48-hour review; and (iv) upon a credible allegation finding, automatic temporary suspension of tier status applies: the suspended member loses voting rights, Fund access, and SFI priority rates, remains obligated to authorised stabilisation measures, and the CC receives notification within 4 hours.</w:t>
      </w:r>
    </w:p>
    <w:p>
      <w:r>
        <w:t>(d) Full Review (14-Day Window): (i) the Judicial Panel conducts a full hearing with the member's legal team, evidence review, and cross-examination. (ii) Findings: (A) Substantiated Misconduct (Non-Existential): immediate expulsion, with the member holding the right to apply for Rehabilitation Review under subsection (g) after 36 months; (B) Substantiated Misconduct (Existential): immediate permanent exclusion from the Instrument with no right to Rehabilitation Review; (C) Insufficient Evidence: suspension lifted, reinstatement to prior tier; (D) Exonerating Evidence: suspension lifted, public vindication statement, and eligibility for compensation up to USD 5 million.</w:t>
      </w:r>
    </w:p>
    <w:p>
      <w:r>
        <w:t>(e) Existential Misconduct Defined: for purposes of subsection (d)(ii)(B), Existential Misconduct means: (i) active intelligence sharing with a certified coercer that results in the failure of an active IMESI activation; (ii) active sabotage of Phase 2+ stabilisation measures that results in the collapse of the activation; (iii) collusion with a certified coercer to permanently destroy IMESI institutional infrastructure (IEWC, SFI, Dashboard); or (iv) actions that cause the permanent loss of life (100 or more deaths) or permanent economic collapse (above 10% GDP destruction) of another Member.</w:t>
      </w:r>
    </w:p>
    <w:p>
      <w:r>
        <w:t>(f) Non-Existential Misconduct Defined: for purposes of subsection (d)(ii)(A), Non-Existential Misconduct means any substantiated misconduct under subsection (a) that does not meet the Existential Misconduct threshold in subsection (e).</w:t>
      </w:r>
    </w:p>
    <w:p>
      <w:r>
        <w:t>(g) Rehabilitation Review (for Non-Existential Expulsion): (i) a Member expelled under subsection (d)(ii)(A) holds the right to apply for Rehabilitation Review after 36 months from the date of expulsion; (ii) the IAC conducts the Rehabilitation Review against the following criteria: (A) the Member has demonstrated sustained compliance with all IMESI obligations for 24 consecutive months, as verified by the IEWC; (B) the Member has paid all outstanding Fund obligations and penalties; (C) the Member has provided full restitution to any Members harmed by its misconduct; (D) the Member has fully cooperated with all IEWC investigations regarding the misconduct; (E) the Member has implemented domestic reforms to prevent recurrence; and (F) the Member has accepted ongoing IEWC monitoring for 36 months following reinstatement; (iii) the IAC issues a decision within 90 days of the application; (iv) where the IAC finds the criteria met, the Member is reinstated to Tier 1 (Associate) status; (v) where the IAC finds the criteria unmet, the Member reapplies after 12 months; and (vi) a Member that fails three Rehabilitation Reviews is permanently excluded with no further right of review.</w:t>
      </w:r>
    </w:p>
    <w:p>
      <w:r>
        <w:t>(h) Permanent Exclusion (No Rehabilitation Review): (i) a Member expelled under subsection (d)(ii)(B) for Existential Misconduct is permanently excluded; (ii) permanent exclusion means: (A) no right to Rehabilitation Review; (B) no right to reapply for membership; (C) no access to any IMESI benefits or facilities; and (D) the Member's former officials remain subject to the Alumni Network Security Protocol (Section 4.6 Addendum) for life; and (iii) permanent exclusion is irreversible and non-appealable.</w:t>
      </w:r>
    </w:p>
    <w:p>
      <w:r>
        <w:t>(i) Due Process: (i) the Member holds the right to legal representation; (ii) the hearing is sealed unless the Member requests a public trial; and (iii) the Member challenges Panel composition on conflict-of-interest grounds, with one recusal allowed.</w:t>
      </w:r>
    </w:p>
    <w:p>
      <w:r>
        <w:t>(j) Relationship to Section 1.0E: (i) Section 1.0E's guarantee that no violation creates permanent exclusion applies to all violations except those classified as Existential Misconduct under subsection (e); (ii) for Non-Existential Misconduct, Section 1.0E applies in full: earn-back remains available, and no violation is permanent; and (iii) for Existential Misconduct, this Section supersedes Section 1.0E.</w:t>
      </w:r>
    </w:p>
    <w:p>
      <w:pPr>
        <w:pStyle w:val="Heading2"/>
      </w:pPr>
      <w:r>
        <w:rPr>
          <w:rFonts w:ascii="Calibri" w:hAnsi="Calibri" w:eastAsia="Microsoft YaHei" w:cs="Calibri"/>
          <w:b/>
          <w:color w:val="263238"/>
          <w:sz w:val="25"/>
          <w:szCs w:val="25"/>
        </w:rPr>
        <w:t>Section 6.12: Misuse Liability and Bad-Faith Claims [NEW: v9.8A Adoption Readiness]</w:t>
      </w:r>
    </w:p>
    <w:p>
      <w:pPr>
        <w:pStyle w:val="Normal"/>
      </w:pPr>
      <w:r>
        <w:rPr>
          <w:rFonts w:ascii="Calibri" w:hAnsi="Calibri" w:eastAsia="Microsoft YaHei" w:cs="Calibri"/>
          <w:color w:val="263238"/>
          <w:sz w:val="21"/>
          <w:szCs w:val="21"/>
        </w:rPr>
        <w:t>If an IEWC coercion certification or AESI claim is subsequently determined by the IAC to have been initiated in bad faith or based on materially misleading evidence submitted by the requesting Member, the following consequences apply:</w:t>
      </w:r>
    </w:p>
    <w:p>
      <w:pPr>
        <w:pStyle w:val="Normal"/>
      </w:pPr>
      <w:r>
        <w:rPr>
          <w:rFonts w:ascii="Calibri" w:hAnsi="Calibri" w:eastAsia="Microsoft YaHei" w:cs="Calibri"/>
          <w:color w:val="263238"/>
          <w:sz w:val="21"/>
          <w:szCs w:val="21"/>
        </w:rPr>
        <w:t>(a) Temporary voting suspension: The Member loses CC voting rights for 6 months from the date of IAC finding;</w:t>
      </w:r>
    </w:p>
    <w:p>
      <w:pPr>
        <w:pStyle w:val="Normal"/>
      </w:pPr>
      <w:r>
        <w:rPr>
          <w:rFonts w:ascii="Calibri" w:hAnsi="Calibri" w:eastAsia="Microsoft YaHei" w:cs="Calibri"/>
          <w:color w:val="263238"/>
          <w:sz w:val="21"/>
          <w:szCs w:val="21"/>
        </w:rPr>
        <w:t>(b) Financial penalty: The Member contributes an additional 0.05% GDP to a Misuse Compensation Pool, distributed to any states that incurred costs from the wrongful activation;</w:t>
      </w:r>
    </w:p>
    <w:p>
      <w:pPr>
        <w:pStyle w:val="Normal"/>
      </w:pPr>
      <w:r>
        <w:rPr>
          <w:rFonts w:ascii="Calibri" w:hAnsi="Calibri" w:eastAsia="Microsoft YaHei" w:cs="Calibri"/>
          <w:color w:val="263238"/>
          <w:sz w:val="21"/>
          <w:szCs w:val="21"/>
        </w:rPr>
        <w:t>(c) Reputational: The IAC finding is published on the Dashboard with a summary of the misleading evidence;</w:t>
      </w:r>
    </w:p>
    <w:p>
      <w:pPr>
        <w:pStyle w:val="Normal"/>
      </w:pPr>
      <w:r>
        <w:rPr>
          <w:rFonts w:ascii="Calibri" w:hAnsi="Calibri" w:eastAsia="Microsoft YaHei" w:cs="Calibri"/>
          <w:color w:val="263238"/>
          <w:sz w:val="21"/>
          <w:szCs w:val="21"/>
        </w:rPr>
        <w:t>(d) Recidivism: A second bad-faith finding within 5 years triggers automatic tier downgrade and 12-month voting suspension.</w:t>
      </w:r>
    </w:p>
    <w:p>
      <w:pPr>
        <w:pStyle w:val="Normal"/>
      </w:pPr>
      <w:r>
        <w:rPr>
          <w:rFonts w:ascii="Calibri" w:hAnsi="Calibri" w:eastAsia="Microsoft YaHei" w:cs="Calibri"/>
          <w:color w:val="263238"/>
          <w:sz w:val="21"/>
          <w:szCs w:val="21"/>
        </w:rPr>
        <w:t>The IAC finds clear and convincing evidence of bad faith or material misrepresentation; honest analytical error or legitimate policy disagreement is prohibited from qualifying. This builds trust in fairness and protects the system's credibility against politicisation.</w:t>
      </w:r>
    </w:p>
    <w:p>
      <w:pPr>
        <w:pStyle w:val="Heading2"/>
      </w:pPr>
      <w:r>
        <w:rPr>
          <w:rFonts w:ascii="Calibri" w:hAnsi="Calibri" w:eastAsia="Microsoft YaHei" w:cs="Calibri"/>
          <w:b/>
          <w:color w:val="263238"/>
          <w:sz w:val="25"/>
          <w:szCs w:val="25"/>
        </w:rPr>
        <w:t>Section 6.12A: Coalition Defection Pre-Positioning Protocol [NEW: v12.1]</w:t>
      </w:r>
    </w:p>
    <w:p>
      <w:pPr>
        <w:pStyle w:val="Normal"/>
      </w:pPr>
      <w:r>
        <w:rPr>
          <w:rFonts w:ascii="Calibri" w:hAnsi="Calibri" w:eastAsia="Microsoft YaHei" w:cs="Calibri"/>
          <w:color w:val="263238"/>
          <w:sz w:val="21"/>
          <w:szCs w:val="21"/>
        </w:rPr>
        <w:t>The Secretariat conducts, on a standing basis and without requiring any coercion certification, classified Coalition Defection Pre-Positioning exercises with Tier 2 and Tier 3 Members identified as vulnerable to bilateral pressure. Vulnerability criteria include: (a) bilateral trade concentration exceeding 30% of the Member's GDP with any single non-Member; (b) strategic supply-chain dependencies where a single non-Member supplies more than 40% of any Tier 1 strategic sector input; and (c) documented history of bilateral exemption offers in prior cases. The exercises identify pre-negotiated alternative contributions, establish confidential notification channels between National IMESI Authorities and the Secretariat, and pre-draft public statements enabling rapid rejection of bilateral offers without political cost. Participation is voluntary for Tier 1 Members and mandatory for Tier 2 and Tier 3 Members after 12 months' notice, subject to a 10% Fund surcharge for non-participation. Exercise content classifies as Restricted (Section 4.2K).</w:t>
      </w:r>
    </w:p>
    <w:p>
      <w:pPr>
        <w:pStyle w:val="Heading2"/>
      </w:pPr>
      <w:r>
        <w:rPr>
          <w:rFonts w:ascii="Calibri" w:hAnsi="Calibri" w:eastAsia="Microsoft YaHei" w:cs="Calibri"/>
          <w:b/>
          <w:color w:val="263238"/>
          <w:sz w:val="25"/>
          <w:szCs w:val="25"/>
        </w:rPr>
        <w:t>Section 6.12B: Bilateral Offer Consultation and Pre-Authorised Rejection Protocol [NEW: v12.1]</w:t>
      </w:r>
    </w:p>
    <w:p>
      <w:pPr>
        <w:pStyle w:val="Normal"/>
      </w:pPr>
      <w:r>
        <w:rPr>
          <w:rFonts w:ascii="Calibri" w:hAnsi="Calibri" w:eastAsia="Microsoft YaHei" w:cs="Calibri"/>
          <w:color w:val="263238"/>
          <w:sz w:val="21"/>
          <w:szCs w:val="21"/>
        </w:rPr>
        <w:t>Any Member receiving a bilateral offer from a certified coercer during an active case notifies the Secretariat within 24 hours. Upon notification the Secretariat automatically convenes an emergency confidential consultation with the Member's National IMESI Authority, offers pre-authorised rejection materials including template public statements, domestic communication guidance, and legal analysis of acceptance risks, and provides a confidential assurance that other Members cover any stabilisation shortfall resulting from rejection for the duration of the case. The affected Member retains full discretion to accept or reject any offer; nothing in this Section requires rejection. Members that reject and notify within 48 hours receive a Positive Compliance Entry (Section 5.3C) for future burden-sharing assessments and tier reviews.</w:t>
      </w:r>
    </w:p>
    <w:p>
      <w:pPr>
        <w:pStyle w:val="Heading2"/>
      </w:pPr>
      <w:r>
        <w:rPr>
          <w:rFonts w:ascii="Calibri" w:hAnsi="Calibri" w:eastAsia="Microsoft YaHei" w:cs="Calibri"/>
          <w:b/>
          <w:color w:val="263238"/>
          <w:sz w:val="25"/>
          <w:szCs w:val="25"/>
        </w:rPr>
        <w:t>Section 6.12C: Coalition Cohesion Stress Testing Mandate [NEW: v12.1]</w:t>
      </w:r>
    </w:p>
    <w:p>
      <w:pPr>
        <w:pStyle w:val="Normal"/>
      </w:pPr>
      <w:r>
        <w:rPr>
          <w:rFonts w:ascii="Calibri" w:hAnsi="Calibri" w:eastAsia="Microsoft YaHei" w:cs="Calibri"/>
          <w:color w:val="263238"/>
          <w:sz w:val="21"/>
          <w:szCs w:val="21"/>
        </w:rPr>
        <w:t>The Secretariat conducts annual classified Coalition Cohesion Stress Tests simulating defection scenarios against each systemic economy identified by the IEWC as likely to engage in coercion. The tests simulate bilateral exemption offers to two or three Tier 2 Members with high trade concentration, coordinated diplomatic pressure to abstain, and disinformation campaigns targeting coalition cohesion. Outcomes identify the practical defection threshold activating the Defection Cascade Circuit Breaker (Section 6.7), pre-position alternative stabilisation configurations for pressured Members, and pre-draft CC communications for actual defection attempts. Participation is mandatory for Tier 2 and Tier 3 Members; stress tests classify as Restricted (Section 4.2K).</w:t>
      </w:r>
    </w:p>
    <w:p>
      <w:pPr>
        <w:pStyle w:val="Heading2"/>
      </w:pPr>
      <w:r>
        <w:rPr>
          <w:rFonts w:ascii="Calibri" w:hAnsi="Calibri" w:eastAsia="Microsoft YaHei" w:cs="Calibri"/>
          <w:b/>
          <w:color w:val="263238"/>
          <w:sz w:val="25"/>
          <w:szCs w:val="25"/>
        </w:rPr>
        <w:t>Section 6.12D: Bilateral Exemption Offer Detection and Disclosure Protocol [NEW: v12.1]</w:t>
      </w:r>
    </w:p>
    <w:p>
      <w:pPr>
        <w:pStyle w:val="Normal"/>
      </w:pPr>
      <w:r>
        <w:rPr>
          <w:rFonts w:ascii="Calibri" w:hAnsi="Calibri" w:eastAsia="Microsoft YaHei" w:cs="Calibri"/>
          <w:color w:val="263238"/>
          <w:sz w:val="21"/>
          <w:szCs w:val="21"/>
        </w:rPr>
        <w:t>Where a certified coercer offers a bilateral deal, exemption, or preferential treatment to one or more Members on terms not available to all Members, the offer triggers Automatic Coalition Expansion (Section 6.3) automatically. Upon detection the IEWC issues an immediate public advisory without attribution that the IEWC has detected a bilateral exemption offer; the ACE timeline accelerates to 24 hours for Tier 2 and Tier 3 Members; and Members receiving the offer notify the Secretariat within 12 hours with a copy of the offer, consistent with Section 6.4A. The Secretariat maintains a registry of detected offers on the Dashboard, redacting the identity of Members that declined. Acceptance or rejection remains the sovereign decision of each Member under Article III; this Section supplies detection, transparency, and solidarity support, and imposes no prohibition.</w:t>
      </w:r>
    </w:p>
    <w:p>
      <w:pPr>
        <w:pStyle w:val="Heading2"/>
      </w:pPr>
      <w:r>
        <w:rPr>
          <w:rFonts w:ascii="Calibri" w:hAnsi="Calibri" w:eastAsia="Microsoft YaHei" w:cs="Calibri"/>
          <w:b/>
          <w:color w:val="263238"/>
          <w:sz w:val="25"/>
          <w:szCs w:val="25"/>
        </w:rPr>
        <w:t>Section 6.12E: Parallel Negotiations Disclosure Requirement [NEW: v12.1]</w:t>
      </w:r>
    </w:p>
    <w:p>
      <w:pPr>
        <w:pStyle w:val="Normal"/>
      </w:pPr>
      <w:r>
        <w:rPr>
          <w:rFonts w:ascii="Calibri" w:hAnsi="Calibri" w:eastAsia="Microsoft YaHei" w:cs="Calibri"/>
          <w:color w:val="263238"/>
          <w:sz w:val="21"/>
          <w:szCs w:val="21"/>
        </w:rPr>
        <w:t>Where a Member engages in bilateral negotiations with a certified coercer during an active case, the Member notifies the Secretariat within 14 days of the commencement of substantive negotiations, and the Secretariat records the negotiations in a Negotiations Registry. Where a coercer negotiates while maintaining coercive measures and demonstrates no substantive progress in reducing them, the IEWC certifies that the negotiations lack good-faith conduct. Certification accelerates stabilisation measure timelines and enhances Fund support for the affected Member; any Phase 2 escalation follows the standard voting and human-confirmation procedures of Sections 4.5B and 5.5B. This Section establishes transparency and good-faith expectations; it restricts no Member's sovereign right to negotiate.</w:t>
      </w:r>
    </w:p>
    <w:p>
      <w:pPr>
        <w:pStyle w:val="Heading2"/>
      </w:pPr>
      <w:r>
        <w:rPr>
          <w:rFonts w:ascii="Calibri" w:hAnsi="Calibri" w:eastAsia="Microsoft YaHei" w:cs="Calibri"/>
          <w:b/>
          <w:color w:val="263238"/>
          <w:sz w:val="25"/>
          <w:szCs w:val="25"/>
        </w:rPr>
        <w:t>Section 6.12F: Step-Back/Earn-Back Anti-Fragmentation Integration [NEW: v13.0]</w:t>
      </w:r>
    </w:p>
    <w:p>
      <w:pPr>
        <w:pStyle w:val="Normal"/>
      </w:pPr>
      <w:r>
        <w:rPr>
          <w:rFonts w:ascii="Calibri" w:hAnsi="Calibri" w:eastAsia="Microsoft YaHei" w:cs="Calibri"/>
          <w:color w:val="263238"/>
          <w:sz w:val="21"/>
          <w:szCs w:val="21"/>
        </w:rPr>
        <w:t>A Member cooperating in good faith under the Step-Back/Earn-Back Protocol faces no additional anti-fragmentation penalties for the underlying compliance event itself. The earn-back pathway does not excuse anti-fragmentation obligations: a Member that engages in bilateral deals, substitute trade, or financial circumvention during an earn-back period faces the full anti-fragmentation consequences of Section 6.1 in addition to step-back consequences. Submission of materially misleading evidence in an earn-back certification constitutes bad faith under Section 6.12, with the consequences of that Section applying in full.</w:t>
      </w:r>
    </w:p>
    <w:p>
      <w:pPr>
        <w:pStyle w:val="Heading2"/>
      </w:pPr>
      <w:r>
        <w:t>Section 6.12G: Bilateral Deal Insurance and Solidarity Counter-Offer [NEW: v15.0]</w:t>
      </w:r>
    </w:p>
    <w:p>
      <w:r>
        <w:t>(a) The Mutual Economic Security Fund establishes a Bilateral Deal Insurance Facility, capitalised at 3% of total Fund size, providing financial and operational support to Members that decline a coercer's bilateral offer.</w:t>
      </w:r>
    </w:p>
    <w:p>
      <w:r>
        <w:t>(b) Upon detection by the IEWC of a bilateral exemption offer from a certified coercer to any Member during an active case, or upon a Member's own notification of such an offer, the Secretariat, within 24 hours: (i) issues a confidential Solidarity Counter-Offer to the targeted Member, including a confidential assessment of the offer's economic value; and (ii) the Counter-Offer includes: (A) expedited Fund disbursement at 150% of standard allocation rates for the duration of the active case; (B) a binding 24-hour customs clearance guarantee for all the Member's exports to other IMESI members; (C) a formal Non-Abandonment guarantee under Section 5.0C protecting the Member from coercer retaliation; (D) priority access to the Substitution Acceleration Sub-Fund for supply-chain diversification; and (E) supply-chain assistance and trade facilitation measures designed to match or exceed the value of the coercer's offer.</w:t>
      </w:r>
    </w:p>
    <w:p>
      <w:r>
        <w:t>(c) A Member that accepts the Solidarity Counter-Offer: (i) receives the full package within 72 hours; (ii) is publicly recognised as a Solidarity Partner on the Institutional Readiness Dashboard; and (iii) receives a Positive Compliance Entry (Section 5.3C) for future burden-sharing assessments.</w:t>
      </w:r>
    </w:p>
    <w:p>
      <w:r>
        <w:t>(d) A Member that accepts the coercer's bilateral offer: (i) faces no penalty under this Section; (ii) remains eligible for all non-case-specific IMESI benefits; and (iii) remains subject to the ACE and transparency provisions of Sections 6.3 and 6.4A.</w:t>
      </w:r>
    </w:p>
    <w:p>
      <w:r>
        <w:t>(e) The Solidarity Counter-Offer renews automatically every 30 days for the duration of the active case.</w:t>
      </w:r>
    </w:p>
    <w:p>
      <w:r>
        <w:t>(f) The Bilateral Deal Insurance Facility is replenished from: (i) the Retroactive Reinstatement Surcharge under Section 10.9; (ii) standard Fund contributions; and (iii) voluntary Member top-ups. All counter-package support remains decoupled from export performance and import substitution, consistent with the SCM Agreement.</w:t>
      </w:r>
    </w:p>
    <w:p>
      <w:r>
        <w:t>Rationale: This turns a bilateral offer from a prize into a trap. The moment the coercer makes an offer, IMESI makes a better offer. The targeted member holds no incentive to defect, because the coalition's counter-offer is superior. Solidarity becomes a competitive economic proposition rather than a normative burden.</w:t>
      </w:r>
    </w:p>
    <w:p>
      <w:pPr>
        <w:pStyle w:val="Heading2"/>
      </w:pPr>
      <w:r>
        <w:t>Section 6.12H: Cohesion Multiplier Effect [NEW: v15.0]</w:t>
      </w:r>
    </w:p>
    <w:p>
      <w:r>
        <w:t>(a) Upon IEWC certification of any attack under Section 1.7(a), the Cohesion Multiplier Effect activates automatically.</w:t>
      </w:r>
    </w:p>
    <w:p>
      <w:r>
        <w:t>(b) The Cohesion Multiplier Effect provides: (i) a 25% increase in all anti-fragmentation penalties (Section 6.1) for the duration of the attack; (ii) a 25% increase in all defection penalties for Members that defect during or within 12 months of the attack; (iii) a 25% increase in all Fund surcharges for Members that fail to meet minimum response floors during the attack; and (iv) a 25% increase in all Solidarity Bonus Amplifier benefits (Section 8.36) for Members that maintain full participation.</w:t>
      </w:r>
    </w:p>
    <w:p>
      <w:r>
        <w:t>(c) The Cohesion Multiplier Effect applies cumulatively: (i) first attack: 25% multiplier; (ii) second attack: 50% multiplier; (iii) third attack: 75% multiplier.</w:t>
      </w:r>
    </w:p>
    <w:p>
      <w:r>
        <w:t>(d) The Cohesion Multiplier Effect operates during the attack and for 24 months following its resolution, automatically, without a separate CC vote.</w:t>
      </w:r>
    </w:p>
    <w:p>
      <w:r>
        <w:t>Why This Works: Every attack makes defection more expensive and solidarity more rewarding. The cost-benefit calculation shifts sharply in favour of staying in the coalition. Attackers cannot wait out the coalition, because the penalties only increase.</w:t>
      </w:r>
    </w:p>
    <w:p>
      <w:pPr>
        <w:pStyle w:val="Heading2"/>
      </w:pPr>
      <w:r>
        <w:t>Section 6.12I: Abuse of Process Ratchet [NEW: v15.0]</w:t>
      </w:r>
    </w:p>
    <w:p>
      <w:r>
        <w:t>(a) The Abuse of Process Ratchet applies where the IEWC certifies that a Member has: (i) filed three or more unsuccessful challenges in any 12-month period (Section 5.1B); (ii) invoked Section 1.0A (Domestic Sovereignty) more than twice in any 12-month period; (iii) invoked MOAR (Section 3.5) more than three times in any 12-month period; (iv) filed three or more frivolous objections to IEWC certifications; or (v) engaged in a pattern of procedural obstruction designed to delay IMESI action.</w:t>
      </w:r>
    </w:p>
    <w:p>
      <w:r>
        <w:t>(b) Upon Abuse of Process Ratchet activation: (i) the Member loses the right to file any procedural challenge for 12 months; (ii) the Member loses the right to invoke MOAR for 12 months; (iii) the Member loses the right to invoke Section 1.0A for 12 months; (iv) the Member faces a 50% Fund surcharge for 24 months; and (v) the Member is subject to automatic VCI downgrade.</w:t>
      </w:r>
    </w:p>
    <w:p>
      <w:r>
        <w:t>(c) The Abuse of Process Ratchet: (i) operates automatically upon IEWC certification; (ii) runs without a separate CC vote; (iii) operates subject to the Nofade Protocol (Annex 25); and (iv) persists for 12 months from activation.</w:t>
      </w:r>
    </w:p>
    <w:p>
      <w:r>
        <w:t>(d) The Abuse of Process Ratchet does not: (i) prevent the Member from participating in votes; (ii) prevent the Member from receiving IMESI benefits, other than the right to invoke the specified procedures; or (iii) constitute a tier downgrade, unless combined with other violations.</w:t>
      </w:r>
    </w:p>
    <w:p>
      <w:r>
        <w:t>(e) The IEWC maintains a public Abuse of Process Registry, displaying all activations and the Members affected.</w:t>
      </w:r>
    </w:p>
    <w:p>
      <w:r>
        <w:t>Rationale: Procedural abuse now triggers an automatic ratchet. A Member that abuses procedural mechanisms loses the right to use them. The institution cannot be paralysed by serial objections.</w:t>
      </w:r>
    </w:p>
    <w:p>
      <w:pPr>
        <w:pStyle w:val="Heading2"/>
      </w:pPr>
      <w:r>
        <w:t>Section 6.12J: Solidarity Protection Protocol [NEW: v15.0]</w:t>
      </w:r>
    </w:p>
    <w:p>
      <w:r>
        <w:t>(a) All Members are entitled to Solidarity Protection from coercion, inducement, or pressure directed at their IMESI participation.</w:t>
      </w:r>
    </w:p>
    <w:p>
      <w:r>
        <w:t>(b) Solidarity Protection includes: (i) automatic IEWC investigation of any credible report of pressure on a Member's IMESI participation; (ii) automatic Track A stabilisation for any Member that is the target of such pressure; (iii) automatic Fund support for any Member that is the target of such pressure; and (iv) an automatic public solidarity statement from the Secretariat.</w:t>
      </w:r>
    </w:p>
    <w:p>
      <w:r>
        <w:t>(c) A Member that is the target of pressure on its IMESI participation: (i) is entitled to expedited IEWC certification within 48 hours; (ii) is entitled to expedited Fund support within 72 hours; (iii) is entitled to legal defence support from the Small-State Legal and Negotiation Support Unit (Section 4.2S); and (iv) is entitled to public solidarity statements from other Members.</w:t>
      </w:r>
    </w:p>
    <w:p>
      <w:r>
        <w:t>(d) Any Member that exerts pressure on another Member's IMESI participation, induces another Member to defect or abstain, or threatens another Member for its IMESI participation, faces: (i) a Tier 1 anti-fragmentation violation; (ii) automatic suspension of voting rights for 24 months; (iii) a 100% Fund surcharge for 36 months; and (iv) automatic tier downgrade.</w:t>
      </w:r>
    </w:p>
    <w:p>
      <w:r>
        <w:t>(e) The Solidarity Protection Protocol: (i) operates automatically without a separate CC vote; (ii) applies to all Members equally; and (iii) operates subject to the Nofade Protocol (Annex 25).</w:t>
      </w:r>
    </w:p>
    <w:p>
      <w:r>
        <w:t>Rationale: Pressure on IMESI participation now counts as a direct attack on the institution. The target receives automatic protection. The coercer faces severe penalties.</w:t>
      </w:r>
    </w:p>
    <w:p>
      <w:pPr>
        <w:pStyle w:val="Heading2"/>
      </w:pPr>
      <w:r>
        <w:t>Section 6.12K: Anti-Sabotage and Poison Pill Amendment Protocol [NEW: v15.0]</w:t>
      </w:r>
    </w:p>
    <w:p>
      <w:r>
        <w:t>(a) A Poison Pill Amendment denotes any proposed amendment to this Instrument that: (i) materially reduces the activation thresholds for any Red-Line Category (Section 2.2); (ii) materially increases the voting thresholds required for coercion certification; (iii) reduces the Fund solvency requirements (Section 8.4D); (iv) removes or materially weakens any anti-fragmentation provision (Article VI); (v) removes or materially weakens any de-escalation or reinstatement mechanism; (vi) removes or materially weakens any humanitarian safeguard; (vii) removes or materially weakens any small-state protection provision; or (viii) removes or materially weakens any transparency or disclosure requirement.</w:t>
      </w:r>
    </w:p>
    <w:p>
      <w:r>
        <w:t>(b) A Member proposing a Poison Pill Amendment: (i) provides a detailed, publicly available justification for the amendment; (ii) identifies all known or reasonably foreseeable consequences of the amendment; and (iii) certifies that no state or non-state actor certified as a coercer within the preceding 60 months has directed or induced the proposal.</w:t>
      </w:r>
    </w:p>
    <w:p>
      <w:r>
        <w:t>(c) Upon receipt of a Poison Pill Amendment, the IEWC: (i) conducts a mandatory Anti-Sabotage Assessment within 14 days; (ii) assesses whether the amendment would materially weaken IMESI's defensive capacity; (iii) assesses whether the proposing Member has received any significant financial or political benefit from a certified coercer within the preceding 24 months; and (iv) publishes the Assessment on the Dashboard.</w:t>
      </w:r>
    </w:p>
    <w:p>
      <w:r>
        <w:t>(d) Where the IEWC certifies that a Poison Pill Amendment is proposed at the direction or inducement of a certified coercer: (i) the amendment is automatically rejected; (ii) the proposing Member faces a Tier 1 anti-fragmentation violation; (iii) the proposing Member's voting rights are suspended for 12 months; and (iv) the proposing Member's tier status is downgraded by one level.</w:t>
      </w:r>
    </w:p>
    <w:p>
      <w:r>
        <w:t>(e) A Member identified as a Current Coercer under Section 10A.4 (Addendum) is prohibited from proposing any Poison Pill Amendment.</w:t>
      </w:r>
    </w:p>
    <w:p>
      <w:r>
        <w:t>Rationale: This prevents a coercer from hacking IMESI from within. A bribed member cannot weaken the institution without triggering an immediate Anti-Sabotage Assessment, public exposure, and severe penalties.</w:t>
      </w:r>
    </w:p>
    <w:p>
      <w:pPr>
        <w:pStyle w:val="Heading1"/>
        <w:pageBreakBefore/>
      </w:pPr>
      <w:r>
        <w:rPr>
          <w:rFonts w:ascii="Calibri" w:hAnsi="Calibri" w:eastAsia="Microsoft YaHei" w:cs="Calibri"/>
          <w:b/>
          <w:color w:val="455A64"/>
          <w:sz w:val="30"/>
          <w:szCs w:val="30"/>
        </w:rPr>
        <w:t>ARTICLE VII: STRATEGIC COUNTER-COERCION ESCALATION</w:t>
      </w:r>
      <w:bookmarkStart w:name="_Toc000021" w:id="21"/>
      <w:bookmarkEnd w:id="21"/>
    </w:p>
    <w:p>
      <w:pPr>
        <w:pStyle w:val="Heading2"/>
      </w:pPr>
      <w:r>
        <w:rPr>
          <w:rFonts w:ascii="Calibri" w:hAnsi="Calibri" w:eastAsia="Microsoft YaHei" w:cs="Calibri"/>
          <w:b/>
          <w:color w:val="263238"/>
          <w:sz w:val="25"/>
          <w:szCs w:val="25"/>
        </w:rPr>
        <w:t>Section 7.1: Horizontal Escalation Doctrine</w:t>
      </w:r>
    </w:p>
    <w:p>
      <w:pPr>
        <w:pStyle w:val="Heading3"/>
      </w:pPr>
      <w:r>
        <w:rPr>
          <w:rFonts w:ascii="Calibri" w:hAnsi="Calibri" w:eastAsia="Microsoft YaHei" w:cs="Calibri"/>
          <w:b/>
          <w:color w:val="546E7A"/>
          <w:sz w:val="22"/>
          <w:szCs w:val="22"/>
        </w:rPr>
        <w:t>Section 7.1 (Addendum): Finished Goods Tariff Response [NEW: v11.0]</w:t>
      </w:r>
    </w:p>
    <w:p>
      <w:pPr>
        <w:pStyle w:val="Normal"/>
      </w:pPr>
      <w:r>
        <w:rPr>
          <w:rFonts w:ascii="Calibri" w:hAnsi="Calibri" w:eastAsia="Microsoft YaHei" w:cs="Calibri"/>
          <w:color w:val="263238"/>
          <w:sz w:val="21"/>
          <w:szCs w:val="21"/>
        </w:rPr>
        <w:t>Horizontal Escalation operates symmetrically across the value chain: tariffs on intermediate goods, including steel and aluminium, meet counter-tariffs on finished goods, including automotive products, from the same country. This pairing concentrates pressure on the coercing state’s domestic assembly and integration plants.</w:t>
      </w:r>
    </w:p>
    <w:p>
      <w:pPr>
        <w:pStyle w:val="Normal"/>
      </w:pPr>
      <w:r>
        <w:rPr>
          <w:rFonts w:ascii="Calibri" w:hAnsi="Calibri" w:eastAsia="Microsoft YaHei" w:cs="Calibri"/>
          <w:color w:val="263238"/>
          <w:sz w:val="21"/>
          <w:szCs w:val="21"/>
        </w:rPr>
        <w:t>IMESI escalates horizontally across domains, not merely vertically within single domains. Tariffs have diminishing returns; cross-domain escalation exploits coercer's asymmetric vulnerabilities and creates multiple pressure points. Phase</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Trade Domain</w:t>
      </w:r>
    </w:p>
    <w:p>
      <w:pPr>
        <w:pStyle w:val="Normal"/>
      </w:pPr>
      <w:r>
        <w:rPr>
          <w:rFonts w:ascii="Calibri" w:hAnsi="Calibri" w:eastAsia="Microsoft YaHei" w:cs="Calibri"/>
          <w:color w:val="263238"/>
          <w:sz w:val="21"/>
          <w:szCs w:val="21"/>
        </w:rPr>
        <w:t>Financial / Tech / Strategic</w:t>
      </w:r>
    </w:p>
    <w:p>
      <w:pPr>
        <w:pStyle w:val="Normal"/>
      </w:pPr>
      <w:r>
        <w:rPr>
          <w:rFonts w:ascii="Calibri" w:hAnsi="Calibri" w:eastAsia="Microsoft YaHei" w:cs="Calibri"/>
          <w:color w:val="263238"/>
          <w:sz w:val="21"/>
          <w:szCs w:val="21"/>
        </w:rPr>
        <w:t>Phase 1: Mirror</w:t>
      </w:r>
    </w:p>
    <w:p>
      <w:pPr>
        <w:pStyle w:val="Normal"/>
      </w:pPr>
      <w:r>
        <w:rPr>
          <w:rFonts w:ascii="Calibri" w:hAnsi="Calibri" w:eastAsia="Microsoft YaHei" w:cs="Calibri"/>
          <w:color w:val="263238"/>
          <w:sz w:val="21"/>
          <w:szCs w:val="21"/>
        </w:rPr>
        <w:t>Days 1–30</w:t>
      </w:r>
    </w:p>
    <w:p>
      <w:pPr>
        <w:pStyle w:val="Normal"/>
      </w:pPr>
      <w:r>
        <w:rPr>
          <w:rFonts w:ascii="Calibri" w:hAnsi="Calibri" w:eastAsia="Microsoft YaHei" w:cs="Calibri"/>
          <w:color w:val="263238"/>
          <w:sz w:val="21"/>
          <w:szCs w:val="21"/>
        </w:rPr>
        <w:t>Reciprocal trade measures, 15–25% of coercing measures</w:t>
      </w:r>
    </w:p>
    <w:p>
      <w:pPr>
        <w:pStyle w:val="Normal"/>
      </w:pPr>
      <w:r>
        <w:rPr>
          <w:rFonts w:ascii="Calibri" w:hAnsi="Calibri" w:eastAsia="Microsoft YaHei" w:cs="Calibri"/>
          <w:color w:val="263238"/>
          <w:sz w:val="21"/>
          <w:szCs w:val="21"/>
        </w:rPr>
        <w:t>Investment screening; signalling</w:t>
      </w:r>
    </w:p>
    <w:p>
      <w:pPr>
        <w:pStyle w:val="Normal"/>
      </w:pPr>
      <w:r>
        <w:rPr>
          <w:rFonts w:ascii="Calibri" w:hAnsi="Calibri" w:eastAsia="Microsoft YaHei" w:cs="Calibri"/>
          <w:color w:val="263238"/>
          <w:sz w:val="21"/>
          <w:szCs w:val="21"/>
        </w:rPr>
        <w:t>Days 30–60</w:t>
      </w:r>
    </w:p>
    <w:p>
      <w:pPr>
        <w:pStyle w:val="Normal"/>
      </w:pPr>
      <w:r>
        <w:rPr>
          <w:rFonts w:ascii="Calibri" w:hAnsi="Calibri" w:eastAsia="Microsoft YaHei" w:cs="Calibri"/>
          <w:color w:val="263238"/>
          <w:sz w:val="21"/>
          <w:szCs w:val="21"/>
        </w:rPr>
        <w:t>Increase to 25–35%</w:t>
      </w:r>
    </w:p>
    <w:p>
      <w:pPr>
        <w:pStyle w:val="Normal"/>
      </w:pPr>
      <w:r>
        <w:rPr>
          <w:rFonts w:ascii="Calibri" w:hAnsi="Calibri" w:eastAsia="Microsoft YaHei" w:cs="Calibri"/>
          <w:color w:val="263238"/>
          <w:sz w:val="21"/>
          <w:szCs w:val="21"/>
        </w:rPr>
        <w:t>Enhanced screening; payment friction; capital market restrictions; export controls on complementary technologies; R&amp;D; limits</w:t>
      </w:r>
    </w:p>
    <w:p>
      <w:pPr>
        <w:pStyle w:val="Normal"/>
      </w:pPr>
      <w:r>
        <w:rPr>
          <w:rFonts w:ascii="Calibri" w:hAnsi="Calibri" w:eastAsia="Microsoft YaHei" w:cs="Calibri"/>
          <w:color w:val="263238"/>
          <w:sz w:val="21"/>
          <w:szCs w:val="21"/>
        </w:rPr>
        <w:t>Days 60+</w:t>
      </w:r>
    </w:p>
    <w:p>
      <w:pPr>
        <w:pStyle w:val="Normal"/>
      </w:pPr>
      <w:r>
        <w:rPr>
          <w:rFonts w:ascii="Calibri" w:hAnsi="Calibri" w:eastAsia="Microsoft YaHei" w:cs="Calibri"/>
          <w:color w:val="263238"/>
          <w:sz w:val="21"/>
          <w:szCs w:val="21"/>
        </w:rPr>
        <w:t>Increase to 35–50%+</w:t>
      </w:r>
    </w:p>
    <w:p>
      <w:pPr>
        <w:pStyle w:val="Normal"/>
      </w:pPr>
      <w:r>
        <w:rPr>
          <w:rFonts w:ascii="Calibri" w:hAnsi="Calibri" w:eastAsia="Microsoft YaHei" w:cs="Calibri"/>
          <w:color w:val="263238"/>
          <w:sz w:val="21"/>
          <w:szCs w:val="21"/>
        </w:rPr>
        <w:t>Secondary restrictions; clearing limitations; currency cooperation suspension; broad export controls; investment prohibitions; procurement exclusions; infrastructure denial</w:t>
      </w:r>
    </w:p>
    <w:p>
      <w:pPr>
        <w:pStyle w:val="Normal"/>
      </w:pPr>
      <w:r>
        <w:rPr>
          <w:rFonts w:ascii="Calibri" w:hAnsi="Calibri" w:eastAsia="Microsoft YaHei" w:cs="Calibri"/>
          <w:color w:val="263238"/>
          <w:sz w:val="21"/>
          <w:szCs w:val="21"/>
        </w:rPr>
        <w:t>Phase Horizontal</w:t>
      </w:r>
    </w:p>
    <w:p>
      <w:pPr>
        <w:pStyle w:val="Normal"/>
      </w:pPr>
      <w:r>
        <w:rPr>
          <w:rFonts w:ascii="Calibri" w:hAnsi="Calibri" w:eastAsia="Microsoft YaHei" w:cs="Calibri"/>
          <w:color w:val="263238"/>
          <w:sz w:val="21"/>
          <w:szCs w:val="21"/>
        </w:rPr>
        <w:t>2:</w:t>
      </w:r>
    </w:p>
    <w:p>
      <w:pPr>
        <w:pStyle w:val="Normal"/>
      </w:pPr>
      <w:r>
        <w:rPr>
          <w:rFonts w:ascii="Calibri" w:hAnsi="Calibri" w:eastAsia="Microsoft YaHei" w:cs="Calibri"/>
          <w:color w:val="263238"/>
          <w:sz w:val="21"/>
          <w:szCs w:val="21"/>
        </w:rPr>
        <w:t>Phase 3: Comprehensive</w:t>
      </w:r>
    </w:p>
    <w:p>
      <w:pPr>
        <w:pStyle w:val="Heading2"/>
      </w:pPr>
      <w:r>
        <w:rPr>
          <w:rFonts w:ascii="Calibri" w:hAnsi="Calibri" w:eastAsia="Microsoft YaHei" w:cs="Calibri"/>
          <w:b/>
          <w:color w:val="263238"/>
          <w:sz w:val="25"/>
          <w:szCs w:val="25"/>
        </w:rPr>
        <w:t>Section 7.1A: Reciprocal Regulatory Equivalence Doctrine [NEW: v12.1]</w:t>
      </w:r>
    </w:p>
    <w:p>
      <w:pPr>
        <w:pStyle w:val="Normal"/>
      </w:pPr>
      <w:r>
        <w:rPr>
          <w:rFonts w:ascii="Calibri" w:hAnsi="Calibri" w:eastAsia="Microsoft YaHei" w:cs="Calibri"/>
          <w:color w:val="263238"/>
          <w:sz w:val="21"/>
          <w:szCs w:val="21"/>
        </w:rPr>
        <w:t>Where the IEWC certifies Regulatory Surprise under Section 2.10C, Members receive authorisation to impose reciprocal regulatory requirements on goods or services originating from the coercing state. Reciprocal requirements: (a) remain substantively equivalent to those imposed by the coercing state, as determined by the IEWC; (b) remain technically defensible under GATT Article XX(b) or (g), or equivalent GATS provisions; and (c) expire automatically upon withdrawal of the original regulatory measure or upon case closure, whichever is earlier. Members implementing such requirements receive burden-sharing credit at 100% of standard contribution rates for the trade value affected. The Secretariat maintains a model legal justification library consistent with Annex 1.</w:t>
      </w:r>
    </w:p>
    <w:p>
      <w:pPr>
        <w:pStyle w:val="Heading2"/>
      </w:pPr>
      <w:r>
        <w:rPr>
          <w:rFonts w:ascii="Calibri" w:hAnsi="Calibri" w:eastAsia="Microsoft YaHei" w:cs="Calibri"/>
          <w:b/>
          <w:color w:val="263238"/>
          <w:sz w:val="25"/>
          <w:szCs w:val="25"/>
        </w:rPr>
        <w:t>Section 7.2: Cross-Domain Stabilisation Measure Menu</w:t>
      </w:r>
    </w:p>
    <w:p>
      <w:pPr>
        <w:pStyle w:val="Normal"/>
      </w:pPr>
      <w:r>
        <w:rPr>
          <w:rFonts w:ascii="Calibri" w:hAnsi="Calibri" w:eastAsia="Microsoft YaHei" w:cs="Calibri"/>
          <w:color w:val="263238"/>
          <w:sz w:val="21"/>
          <w:szCs w:val="21"/>
        </w:rPr>
        <w:t>Trade: Tariffs (5–100%+); quotas and licensing; rules of origin restrictions; customs delays; procurement exclusions; export restrictions on critical inputs Financial: Investment screening/prohibitions; capital market restrictions; payment system friction; banking restrictions; currency measures; secondary restrictions Technology &amp; Digital: Export controls (semiconductors, software, equipment); investment prohibitions; R&amp;D; collaboration limits; platform restrictions; data flow restrictions; infrastructure exclusions; standards exclusion Services: Market access restrictions; licensing denials; professional mobility restrictions; cross-border service barriers Strategic Infrastructure: Energy cooperation restrictions; transportation access; telecommunications; joint infrastructure projects Diplomatic &amp; Political: Diplomatic downgrade; summit cancellations; international forum coordination; public attribution; cultural/academic exchange restrictions</w:t>
      </w:r>
    </w:p>
    <w:p>
      <w:pPr>
        <w:pStyle w:val="Heading2"/>
      </w:pPr>
      <w:r>
        <w:rPr>
          <w:rFonts w:ascii="Calibri" w:hAnsi="Calibri" w:eastAsia="Microsoft YaHei" w:cs="Calibri"/>
          <w:b/>
          <w:color w:val="263238"/>
          <w:sz w:val="25"/>
          <w:szCs w:val="25"/>
        </w:rPr>
        <w:t>Section 7.3: Escalation Cost Modelling</w:t>
      </w:r>
    </w:p>
    <w:p>
      <w:pPr>
        <w:pStyle w:val="Normal"/>
      </w:pPr>
      <w:r>
        <w:rPr>
          <w:rFonts w:ascii="Calibri" w:hAnsi="Calibri" w:eastAsia="Microsoft YaHei" w:cs="Calibri"/>
          <w:color w:val="263238"/>
          <w:sz w:val="21"/>
          <w:szCs w:val="21"/>
        </w:rPr>
        <w:t>Before authorising Phase 3 or measures projected to exceed 1% GDP cost, the Coordination Committee reviews mandatory pre-escalation analysis:</w:t>
      </w:r>
    </w:p>
    <w:p>
      <w:pPr>
        <w:pStyle w:val="Normal"/>
        <w:numPr>
          <w:ilvl w:val="0"/>
          <w:numId w:val="1"/>
        </w:numPr>
      </w:pPr>
      <w:r>
        <w:rPr>
          <w:rFonts w:ascii="Calibri" w:hAnsi="Calibri" w:eastAsia="Microsoft YaHei" w:cs="Calibri"/>
          <w:color w:val="263238"/>
          <w:sz w:val="21"/>
          <w:szCs w:val="21"/>
        </w:rPr>
        <w:t>Member-level analysis: direct costs by sector, indirect costs, distributional effects, timeline</w:t>
      </w:r>
    </w:p>
    <w:p>
      <w:pPr>
        <w:pStyle w:val="Normal"/>
        <w:numPr>
          <w:ilvl w:val="0"/>
          <w:numId w:val="1"/>
        </w:numPr>
      </w:pPr>
      <w:r>
        <w:rPr>
          <w:rFonts w:ascii="Calibri" w:hAnsi="Calibri" w:eastAsia="Microsoft YaHei" w:cs="Calibri"/>
          <w:color w:val="263238"/>
          <w:sz w:val="21"/>
          <w:szCs w:val="21"/>
        </w:rPr>
        <w:t>Aggregate analysis: total IMESI cost, comparison to cost of accepting coercion, cost-benefit over 1/3/5-year horizons</w:t>
      </w:r>
    </w:p>
    <w:p>
      <w:pPr>
        <w:pStyle w:val="Normal"/>
        <w:numPr>
          <w:ilvl w:val="0"/>
          <w:numId w:val="1"/>
        </w:numPr>
      </w:pPr>
      <w:r>
        <w:rPr>
          <w:rFonts w:ascii="Calibri" w:hAnsi="Calibri" w:eastAsia="Microsoft YaHei" w:cs="Calibri"/>
          <w:color w:val="263238"/>
          <w:sz w:val="21"/>
          <w:szCs w:val="21"/>
        </w:rPr>
        <w:t>Coercer impact analysis: projected economic, political, and strategic costs to coercing state; cost ratio (IMESI/coercer is &lt;3:1)</w:t>
      </w:r>
    </w:p>
    <w:p>
      <w:pPr>
        <w:pStyle w:val="Normal"/>
        <w:numPr>
          <w:ilvl w:val="0"/>
          <w:numId w:val="1"/>
        </w:numPr>
      </w:pPr>
      <w:r>
        <w:rPr>
          <w:rFonts w:ascii="Calibri" w:hAnsi="Calibri" w:eastAsia="Microsoft YaHei" w:cs="Calibri"/>
          <w:color w:val="263238"/>
          <w:sz w:val="21"/>
          <w:szCs w:val="21"/>
        </w:rPr>
        <w:t>Domestic resilience stress test: economic, political, and social resilience scored 1–10; members scoring &lt;5 receive enhanced Fund support</w:t>
      </w:r>
    </w:p>
    <w:p>
      <w:pPr>
        <w:pStyle w:val="Normal"/>
        <w:numPr>
          <w:ilvl w:val="0"/>
          <w:numId w:val="1"/>
        </w:numPr>
      </w:pPr>
      <w:r>
        <w:rPr>
          <w:rFonts w:ascii="Calibri" w:hAnsi="Calibri" w:eastAsia="Microsoft YaHei" w:cs="Calibri"/>
          <w:color w:val="263238"/>
          <w:sz w:val="21"/>
          <w:szCs w:val="21"/>
        </w:rPr>
        <w:t>Political sustainability assessment: domestic support levels, defection risk, electoral vulnerability If all sustainability thresholds are met, Phase 3 is authorised. If any threshold fails, options include delay, adjusted stabilisation measure mix, negotiated settlement at Phase 2, or override with 75% supermajority.</w:t>
      </w:r>
    </w:p>
    <w:p>
      <w:pPr>
        <w:pStyle w:val="Heading2"/>
      </w:pPr>
      <w:r>
        <w:rPr>
          <w:rFonts w:ascii="Calibri" w:hAnsi="Calibri" w:eastAsia="Microsoft YaHei" w:cs="Calibri"/>
          <w:b/>
          <w:color w:val="263238"/>
          <w:sz w:val="25"/>
          <w:szCs w:val="25"/>
        </w:rPr>
        <w:t>Section 7.4: Security Alliance Firewall</w:t>
      </w:r>
    </w:p>
    <w:p>
      <w:pPr>
        <w:pStyle w:val="Normal"/>
      </w:pPr>
      <w:r>
        <w:rPr>
          <w:rFonts w:ascii="Calibri" w:hAnsi="Calibri" w:eastAsia="Microsoft YaHei" w:cs="Calibri"/>
          <w:color w:val="263238"/>
          <w:sz w:val="21"/>
          <w:szCs w:val="21"/>
        </w:rPr>
        <w:t>IMESI explicitly separates economic stabilisation measures from security alliance obligations. NATO and other defence commitments operate independently. No IMESI stabilisation measure compromises members' security alliance obligations, and no security alliance relationship is used to justify economic coercion against an IMESI member.</w:t>
      </w:r>
    </w:p>
    <w:p>
      <w:pPr>
        <w:pStyle w:val="Heading2"/>
      </w:pPr>
      <w:r>
        <w:rPr>
          <w:rFonts w:ascii="Calibri" w:hAnsi="Calibri" w:eastAsia="Microsoft YaHei" w:cs="Calibri"/>
          <w:b/>
          <w:color w:val="263238"/>
          <w:sz w:val="25"/>
          <w:szCs w:val="25"/>
        </w:rPr>
        <w:t>Section 7.5: Strategic Stalemate Resolution</w:t>
      </w:r>
    </w:p>
    <w:p>
      <w:pPr>
        <w:pStyle w:val="Normal"/>
      </w:pPr>
      <w:r>
        <w:rPr>
          <w:rFonts w:ascii="Calibri" w:hAnsi="Calibri" w:eastAsia="Microsoft YaHei" w:cs="Calibri"/>
          <w:color w:val="263238"/>
          <w:sz w:val="21"/>
          <w:szCs w:val="21"/>
        </w:rPr>
        <w:t>Trigger Conditions (all required): Phase 3 measures at 100% intensity deployed for &gt;90 days; coercer maintains or escalates coercion (no verified withdrawal &gt;70%); 8% GDP cumulative cap approached (within 1%); independent assessment confirms coalition cohesion stress index &lt;5/10 or &gt;2 members have invoked CNI exemption or opted out of Graduated Crisis Response. Mandatory Strategic Review: Coordination Committee convenes within 7 days to select from four declared</w:t>
      </w:r>
    </w:p>
    <w:p>
      <w:pPr>
        <w:pStyle w:val="Normal"/>
      </w:pPr>
      <w:r>
        <w:rPr>
          <w:rFonts w:ascii="Calibri" w:hAnsi="Calibri" w:eastAsia="Microsoft YaHei" w:cs="Calibri"/>
          <w:color w:val="263238"/>
          <w:sz w:val="21"/>
          <w:szCs w:val="21"/>
        </w:rPr>
        <w:t>options:</w:t>
      </w:r>
    </w:p>
    <w:p>
      <w:pPr>
        <w:pStyle w:val="Normal"/>
      </w:pPr>
      <w:r>
        <w:rPr>
          <w:rFonts w:ascii="Calibri" w:hAnsi="Calibri" w:eastAsia="Microsoft YaHei" w:cs="Calibri"/>
          <w:color w:val="263238"/>
          <w:sz w:val="21"/>
          <w:szCs w:val="21"/>
        </w:rPr>
        <w:t>Option</w:t>
      </w:r>
    </w:p>
    <w:p>
      <w:pPr>
        <w:pStyle w:val="Normal"/>
      </w:pPr>
      <w:r>
        <w:rPr>
          <w:rFonts w:ascii="Calibri" w:hAnsi="Calibri" w:eastAsia="Microsoft YaHei" w:cs="Calibri"/>
          <w:color w:val="263238"/>
          <w:sz w:val="21"/>
          <w:szCs w:val="21"/>
        </w:rPr>
        <w:t>Description</w:t>
      </w:r>
    </w:p>
    <w:p>
      <w:pPr>
        <w:pStyle w:val="Normal"/>
      </w:pPr>
      <w:r>
        <w:rPr>
          <w:rFonts w:ascii="Calibri" w:hAnsi="Calibri" w:eastAsia="Microsoft YaHei" w:cs="Calibri"/>
          <w:color w:val="263238"/>
          <w:sz w:val="21"/>
          <w:szCs w:val="21"/>
        </w:rPr>
        <w:t>Duration</w:t>
      </w:r>
    </w:p>
    <w:p>
      <w:pPr>
        <w:pStyle w:val="Normal"/>
      </w:pPr>
      <w:r>
        <w:rPr>
          <w:rFonts w:ascii="Calibri" w:hAnsi="Calibri" w:eastAsia="Microsoft YaHei" w:cs="Calibri"/>
          <w:color w:val="263238"/>
          <w:sz w:val="21"/>
          <w:szCs w:val="21"/>
        </w:rPr>
        <w:t>Burden-Sharing</w:t>
      </w:r>
    </w:p>
    <w:p>
      <w:pPr>
        <w:pStyle w:val="Normal"/>
      </w:pPr>
      <w:r>
        <w:rPr>
          <w:rFonts w:ascii="Calibri" w:hAnsi="Calibri" w:eastAsia="Microsoft YaHei" w:cs="Calibri"/>
          <w:color w:val="263238"/>
          <w:sz w:val="21"/>
          <w:szCs w:val="21"/>
        </w:rPr>
        <w:t>Structural Decoupling</w:t>
      </w:r>
    </w:p>
    <w:p>
      <w:pPr>
        <w:pStyle w:val="Normal"/>
      </w:pPr>
      <w:r>
        <w:rPr>
          <w:rFonts w:ascii="Calibri" w:hAnsi="Calibri" w:eastAsia="Microsoft YaHei" w:cs="Calibri"/>
          <w:color w:val="263238"/>
          <w:sz w:val="21"/>
          <w:szCs w:val="21"/>
        </w:rPr>
        <w:t>Activate Decoupling Acceleration Reserve for irreversible supply chain shift; accept 3–5 year economic reorganisation</w:t>
      </w:r>
    </w:p>
    <w:p>
      <w:pPr>
        <w:pStyle w:val="Normal"/>
      </w:pPr>
      <w:r>
        <w:rPr>
          <w:rFonts w:ascii="Calibri" w:hAnsi="Calibri" w:eastAsia="Microsoft YaHei" w:cs="Calibri"/>
          <w:color w:val="263238"/>
          <w:sz w:val="21"/>
          <w:szCs w:val="21"/>
        </w:rPr>
        <w:t>5-year commitment</w:t>
      </w:r>
    </w:p>
    <w:p>
      <w:pPr>
        <w:pStyle w:val="Normal"/>
      </w:pPr>
      <w:r>
        <w:rPr>
          <w:rFonts w:ascii="Calibri" w:hAnsi="Calibri" w:eastAsia="Microsoft YaHei" w:cs="Calibri"/>
          <w:color w:val="263238"/>
          <w:sz w:val="21"/>
          <w:szCs w:val="21"/>
        </w:rPr>
        <w:t>Standard + 25% surcharge for initiating members</w:t>
      </w:r>
    </w:p>
    <w:p>
      <w:pPr>
        <w:pStyle w:val="Normal"/>
      </w:pPr>
      <w:r>
        <w:rPr>
          <w:rFonts w:ascii="Calibri" w:hAnsi="Calibri" w:eastAsia="Microsoft YaHei" w:cs="Calibri"/>
          <w:color w:val="263238"/>
          <w:sz w:val="21"/>
          <w:szCs w:val="21"/>
        </w:rPr>
        <w:t>Negotiated Standstill</w:t>
      </w:r>
    </w:p>
    <w:p>
      <w:pPr>
        <w:pStyle w:val="Normal"/>
      </w:pPr>
      <w:r>
        <w:rPr>
          <w:rFonts w:ascii="Calibri" w:hAnsi="Calibri" w:eastAsia="Microsoft YaHei" w:cs="Calibri"/>
          <w:color w:val="263238"/>
          <w:sz w:val="21"/>
          <w:szCs w:val="21"/>
        </w:rPr>
        <w:t>Mediator-facilitated frozen conflict, maintained measures, no escalation, 12-month negotiation window</w:t>
      </w:r>
    </w:p>
    <w:p>
      <w:pPr>
        <w:pStyle w:val="Normal"/>
      </w:pPr>
      <w:r>
        <w:rPr>
          <w:rFonts w:ascii="Calibri" w:hAnsi="Calibri" w:eastAsia="Microsoft YaHei" w:cs="Calibri"/>
          <w:color w:val="263238"/>
          <w:sz w:val="21"/>
          <w:szCs w:val="21"/>
        </w:rPr>
        <w:t>months (renewable once)</w:t>
      </w:r>
    </w:p>
    <w:p>
      <w:pPr>
        <w:pStyle w:val="Normal"/>
      </w:pPr>
      <w:r>
        <w:rPr>
          <w:rFonts w:ascii="Calibri" w:hAnsi="Calibri" w:eastAsia="Microsoft YaHei" w:cs="Calibri"/>
          <w:color w:val="263238"/>
          <w:sz w:val="21"/>
          <w:szCs w:val="21"/>
        </w:rPr>
        <w:t>Reduced duration</w:t>
      </w:r>
    </w:p>
    <w:p>
      <w:pPr>
        <w:pStyle w:val="Normal"/>
      </w:pPr>
      <w:r>
        <w:rPr>
          <w:rFonts w:ascii="Calibri" w:hAnsi="Calibri" w:eastAsia="Microsoft YaHei" w:cs="Calibri"/>
          <w:color w:val="263238"/>
          <w:sz w:val="21"/>
          <w:szCs w:val="21"/>
        </w:rPr>
        <w:t>20%</w:t>
      </w:r>
    </w:p>
    <w:p>
      <w:pPr>
        <w:pStyle w:val="Normal"/>
      </w:pPr>
      <w:r>
        <w:rPr>
          <w:rFonts w:ascii="Calibri" w:hAnsi="Calibri" w:eastAsia="Microsoft YaHei" w:cs="Calibri"/>
          <w:color w:val="263238"/>
          <w:sz w:val="21"/>
          <w:szCs w:val="21"/>
        </w:rPr>
        <w:t>for</w:t>
      </w:r>
    </w:p>
    <w:p>
      <w:pPr>
        <w:pStyle w:val="Normal"/>
      </w:pPr>
      <w:r>
        <w:rPr>
          <w:rFonts w:ascii="Calibri" w:hAnsi="Calibri" w:eastAsia="Microsoft YaHei" w:cs="Calibri"/>
          <w:color w:val="263238"/>
          <w:sz w:val="21"/>
          <w:szCs w:val="21"/>
        </w:rPr>
        <w:t>Coalition Expansion Surge</w:t>
      </w:r>
    </w:p>
    <w:p>
      <w:pPr>
        <w:pStyle w:val="Normal"/>
      </w:pPr>
      <w:r>
        <w:rPr>
          <w:rFonts w:ascii="Calibri" w:hAnsi="Calibri" w:eastAsia="Microsoft YaHei" w:cs="Calibri"/>
          <w:color w:val="263238"/>
          <w:sz w:val="21"/>
          <w:szCs w:val="21"/>
        </w:rPr>
        <w:t>Maximum ACE activation, recruit all eligible non-members, reduce accession thresholds 20% for 180 days</w:t>
      </w:r>
    </w:p>
    <w:p>
      <w:pPr>
        <w:pStyle w:val="Normal"/>
      </w:pPr>
      <w:r>
        <w:rPr>
          <w:rFonts w:ascii="Calibri" w:hAnsi="Calibri" w:eastAsia="Microsoft YaHei" w:cs="Calibri"/>
          <w:color w:val="263238"/>
          <w:sz w:val="21"/>
          <w:szCs w:val="21"/>
        </w:rPr>
        <w:t>180 days</w:t>
      </w:r>
    </w:p>
    <w:p>
      <w:pPr>
        <w:pStyle w:val="Normal"/>
      </w:pPr>
      <w:r>
        <w:rPr>
          <w:rFonts w:ascii="Calibri" w:hAnsi="Calibri" w:eastAsia="Microsoft YaHei" w:cs="Calibri"/>
          <w:color w:val="263238"/>
          <w:sz w:val="21"/>
          <w:szCs w:val="21"/>
        </w:rPr>
        <w:t>New members 25% rate</w:t>
      </w:r>
    </w:p>
    <w:p>
      <w:pPr>
        <w:pStyle w:val="Normal"/>
      </w:pPr>
      <w:r>
        <w:rPr>
          <w:rFonts w:ascii="Calibri" w:hAnsi="Calibri" w:eastAsia="Microsoft YaHei" w:cs="Calibri"/>
          <w:color w:val="263238"/>
          <w:sz w:val="21"/>
          <w:szCs w:val="21"/>
        </w:rPr>
        <w:t>at</w:t>
      </w:r>
    </w:p>
    <w:p>
      <w:pPr>
        <w:pStyle w:val="Normal"/>
      </w:pPr>
      <w:r>
        <w:rPr>
          <w:rFonts w:ascii="Calibri" w:hAnsi="Calibri" w:eastAsia="Microsoft YaHei" w:cs="Calibri"/>
          <w:color w:val="263238"/>
          <w:sz w:val="21"/>
          <w:szCs w:val="21"/>
        </w:rPr>
        <w:t>Graduated Withdrawal</w:t>
      </w:r>
    </w:p>
    <w:p>
      <w:pPr>
        <w:pStyle w:val="Normal"/>
      </w:pPr>
      <w:r>
        <w:rPr>
          <w:rFonts w:ascii="Calibri" w:hAnsi="Calibri" w:eastAsia="Microsoft YaHei" w:cs="Calibri"/>
          <w:color w:val="263238"/>
          <w:sz w:val="21"/>
          <w:szCs w:val="21"/>
        </w:rPr>
        <w:t>Managed coalition exit: core members maintain response; peripheral members exit with Fund compensation</w:t>
      </w:r>
    </w:p>
    <w:p>
      <w:pPr>
        <w:pStyle w:val="Normal"/>
      </w:pPr>
      <w:r>
        <w:rPr>
          <w:rFonts w:ascii="Calibri" w:hAnsi="Calibri" w:eastAsia="Microsoft YaHei" w:cs="Calibri"/>
          <w:color w:val="263238"/>
          <w:sz w:val="21"/>
          <w:szCs w:val="21"/>
        </w:rPr>
        <w:t>6-month wind-down</w:t>
      </w:r>
    </w:p>
    <w:p>
      <w:pPr>
        <w:pStyle w:val="Normal"/>
      </w:pPr>
      <w:r>
        <w:rPr>
          <w:rFonts w:ascii="Calibri" w:hAnsi="Calibri" w:eastAsia="Microsoft YaHei" w:cs="Calibri"/>
          <w:color w:val="263238"/>
          <w:sz w:val="21"/>
          <w:szCs w:val="21"/>
        </w:rPr>
        <w:t>Exit compensation from Defection Penalty Fund</w:t>
      </w:r>
    </w:p>
    <w:p>
      <w:pPr>
        <w:pStyle w:val="Normal"/>
      </w:pPr>
      <w:r>
        <w:rPr>
          <w:rFonts w:ascii="Calibri" w:hAnsi="Calibri" w:eastAsia="Microsoft YaHei" w:cs="Calibri"/>
          <w:color w:val="263238"/>
          <w:sz w:val="21"/>
          <w:szCs w:val="21"/>
        </w:rPr>
        <w:t>Option E, Structural Immunisation (Slow-Burn Response, v8.8): When gradual pressure (Section 2.10(b)) exceeds 24 months without an acute phase, IMESI shifts to irreversible decoupling: Decoupling Acceleration Reserve full deployment; permanent alternative supplier contracts; technology substitution R&amp;D; regulatory divergence. The coercer is informed that gradual tactics have triggered permanent market loss, not temporary pain. Duration: indefinite until supply chain restructuring complete. Burden-sharing at standard rates. Prohibited: Measures exceeding 8% GDP cap (automatically reverts per Section 1.1); targeting civilian humanitarian flows; defining victory as regime change or unconditional capitulation.</w:t>
      </w:r>
    </w:p>
    <w:p>
      <w:pPr>
        <w:pStyle w:val="Normal"/>
      </w:pPr>
      <w:r>
        <w:rPr>
          <w:rFonts w:ascii="Calibri" w:hAnsi="Calibri" w:eastAsia="Microsoft YaHei" w:cs="Calibri"/>
          <w:color w:val="263238"/>
          <w:sz w:val="21"/>
          <w:szCs w:val="21"/>
        </w:rPr>
        <w:t>Decision: 60% weighted vote required. If no option achieves threshold, default to Negotiated Standstill with mandatory mediator appointment within 48 hours. Re-activation: If the coercer escalates during any Stalemate option, automatic return to Phase 3 with 12-month exemption from 8% GDP cap for responding members. Full options published in advance as declared doctrine (Annex 15).</w:t>
      </w:r>
    </w:p>
    <w:p>
      <w:pPr>
        <w:pStyle w:val="Heading2"/>
      </w:pPr>
      <w:r>
        <w:rPr>
          <w:rFonts w:ascii="Calibri" w:hAnsi="Calibri" w:eastAsia="Microsoft YaHei" w:cs="Calibri"/>
          <w:b/>
          <w:color w:val="263238"/>
          <w:sz w:val="25"/>
          <w:szCs w:val="25"/>
        </w:rPr>
        <w:t>Section 7.6: Unilateral De-escalation Exit Ramp [NEW: v12.1]</w:t>
      </w:r>
    </w:p>
    <w:p>
      <w:pPr>
        <w:pStyle w:val="Normal"/>
      </w:pPr>
      <w:r>
        <w:rPr>
          <w:rFonts w:ascii="Calibri" w:hAnsi="Calibri" w:eastAsia="Microsoft YaHei" w:cs="Calibri"/>
          <w:color w:val="263238"/>
          <w:sz w:val="21"/>
          <w:szCs w:val="21"/>
        </w:rPr>
        <w:t>Where a rational settlement proves impossible against a certified High Political Volatility coercer (Section 4.2X), any Member petitions the Coordination Committee for a Managed Divergence: the Member reduces its participation in collective trade measures to zero and commits to a financial contribution of 150% of its standard rate to the Fund in lieu of trade action for the duration of the case. This ramp provides a pressure valve for governments facing domestic panic without fracturing the coalition, and operates without prejudice to the Member's rights under Article 3.7. The Coordination Committee approves Managed Divergence petitions by 55% weighted vote, and the Divergence lapses automatically upon case closure.</w:t>
      </w:r>
    </w:p>
    <w:p>
      <w:pPr>
        <w:pStyle w:val="Heading1"/>
        <w:pageBreakBefore/>
      </w:pPr>
      <w:r>
        <w:rPr>
          <w:rFonts w:ascii="Calibri" w:hAnsi="Calibri" w:eastAsia="Microsoft YaHei" w:cs="Calibri"/>
          <w:b/>
          <w:color w:val="455A64"/>
          <w:sz w:val="30"/>
          <w:szCs w:val="30"/>
        </w:rPr>
        <w:t>ARTICLE VIII: MUTUAL ECONOMIC SECURITY FUND</w:t>
      </w:r>
      <w:bookmarkStart w:name="_Toc000022" w:id="22"/>
      <w:bookmarkEnd w:id="22"/>
    </w:p>
    <w:p>
      <w:pPr>
        <w:pStyle w:val="Heading3"/>
      </w:pPr>
      <w:r>
        <w:rPr>
          <w:rFonts w:ascii="Calibri" w:hAnsi="Calibri" w:eastAsia="Microsoft YaHei" w:cs="Calibri"/>
          <w:b/>
          <w:color w:val="546E7A"/>
          <w:sz w:val="22"/>
          <w:szCs w:val="22"/>
        </w:rPr>
        <w:t>Article VIII (Addendum): Mutual Economic Stabilisation and Resilience Facility [NEW: v12.0]</w:t>
      </w:r>
    </w:p>
    <w:p>
      <w:pPr>
        <w:pStyle w:val="Normal"/>
      </w:pPr>
      <w:r>
        <w:rPr>
          <w:rFonts w:ascii="Calibri" w:hAnsi="Calibri" w:eastAsia="Microsoft YaHei" w:cs="Calibri"/>
          <w:color w:val="263238"/>
          <w:sz w:val="21"/>
          <w:szCs w:val="21"/>
        </w:rPr>
        <w:t>The Mutual Economic Security Fund operates under the working designation Mutual Economic Stabilisation and Resilience Facility. The Facility provides: liquidity support to affected Members; supply-chain diversification grants; legal defence costs; and compensation for verified losses. The financial architecture decouples from trade restriction decisions, so that Fund disbursements stand independent of any trade measure a Member adopts under its own legal order.</w:t>
      </w:r>
    </w:p>
    <w:p>
      <w:pPr>
        <w:pStyle w:val="Normal"/>
      </w:pPr>
      <w:r>
        <w:rPr>
          <w:rFonts w:ascii="Calibri" w:hAnsi="Calibri" w:eastAsia="Microsoft YaHei" w:cs="Calibri"/>
          <w:color w:val="263238"/>
          <w:sz w:val="21"/>
          <w:szCs w:val="21"/>
        </w:rPr>
        <w:t>The Fund operates as mutual insurance capacity, not a standing cash pool. Headline figures represent maximum insured exposure across concurrent events, structured as three layers of decreasing immediacy: Layer</w:t>
      </w:r>
    </w:p>
    <w:p>
      <w:pPr>
        <w:pStyle w:val="Normal"/>
      </w:pPr>
      <w:r>
        <w:rPr>
          <w:rFonts w:ascii="Calibri" w:hAnsi="Calibri" w:eastAsia="Microsoft YaHei" w:cs="Calibri"/>
          <w:color w:val="263238"/>
          <w:sz w:val="21"/>
          <w:szCs w:val="21"/>
        </w:rPr>
        <w:t>Description</w:t>
      </w:r>
    </w:p>
    <w:p>
      <w:pPr>
        <w:pStyle w:val="Normal"/>
      </w:pPr>
      <w:r>
        <w:rPr>
          <w:rFonts w:ascii="Calibri" w:hAnsi="Calibri" w:eastAsia="Microsoft YaHei" w:cs="Calibri"/>
          <w:color w:val="263238"/>
          <w:sz w:val="21"/>
          <w:szCs w:val="21"/>
        </w:rPr>
        <w:t>Mobilisation</w:t>
      </w:r>
    </w:p>
    <w:p>
      <w:pPr>
        <w:pStyle w:val="Normal"/>
      </w:pPr>
      <w:r>
        <w:rPr>
          <w:rFonts w:ascii="Calibri" w:hAnsi="Calibri" w:eastAsia="Microsoft YaHei" w:cs="Calibri"/>
          <w:color w:val="263238"/>
          <w:sz w:val="21"/>
          <w:szCs w:val="21"/>
        </w:rPr>
        <w:t>Paid-In Base</w:t>
      </w:r>
    </w:p>
    <w:p>
      <w:pPr>
        <w:pStyle w:val="Normal"/>
      </w:pPr>
      <w:r>
        <w:rPr>
          <w:rFonts w:ascii="Calibri" w:hAnsi="Calibri" w:eastAsia="Microsoft YaHei" w:cs="Calibri"/>
          <w:color w:val="263238"/>
          <w:sz w:val="21"/>
          <w:szCs w:val="21"/>
        </w:rPr>
        <w:t>Standing liquid capital from member contributions</w:t>
      </w:r>
    </w:p>
    <w:p>
      <w:pPr>
        <w:pStyle w:val="Normal"/>
      </w:pPr>
      <w:r>
        <w:rPr>
          <w:rFonts w:ascii="Calibri" w:hAnsi="Calibri" w:eastAsia="Microsoft YaHei" w:cs="Calibri"/>
          <w:color w:val="263238"/>
          <w:sz w:val="21"/>
          <w:szCs w:val="21"/>
        </w:rPr>
        <w:t>Immediate (0–48 hours)</w:t>
      </w:r>
    </w:p>
    <w:p>
      <w:pPr>
        <w:pStyle w:val="Normal"/>
      </w:pPr>
      <w:r>
        <w:rPr>
          <w:rFonts w:ascii="Calibri" w:hAnsi="Calibri" w:eastAsia="Microsoft YaHei" w:cs="Calibri"/>
          <w:color w:val="263238"/>
          <w:sz w:val="21"/>
          <w:szCs w:val="21"/>
        </w:rPr>
        <w:t>Callable Capital</w:t>
      </w:r>
    </w:p>
    <w:p>
      <w:pPr>
        <w:pStyle w:val="Normal"/>
      </w:pPr>
      <w:r>
        <w:rPr>
          <w:rFonts w:ascii="Calibri" w:hAnsi="Calibri" w:eastAsia="Microsoft YaHei" w:cs="Calibri"/>
          <w:color w:val="263238"/>
          <w:sz w:val="21"/>
          <w:szCs w:val="21"/>
        </w:rPr>
        <w:t>Committed but uncalled member guarantees</w:t>
      </w:r>
    </w:p>
    <w:p>
      <w:pPr>
        <w:pStyle w:val="Normal"/>
      </w:pPr>
      <w:r>
        <w:rPr>
          <w:rFonts w:ascii="Calibri" w:hAnsi="Calibri" w:eastAsia="Microsoft YaHei" w:cs="Calibri"/>
          <w:color w:val="263238"/>
          <w:sz w:val="21"/>
          <w:szCs w:val="21"/>
        </w:rPr>
        <w:t>5–15 days upon activation</w:t>
      </w:r>
    </w:p>
    <w:p>
      <w:pPr>
        <w:pStyle w:val="Normal"/>
      </w:pPr>
      <w:r>
        <w:rPr>
          <w:rFonts w:ascii="Calibri" w:hAnsi="Calibri" w:eastAsia="Microsoft YaHei" w:cs="Calibri"/>
          <w:color w:val="263238"/>
          <w:sz w:val="21"/>
          <w:szCs w:val="21"/>
        </w:rPr>
        <w:t>Market Backstop</w:t>
      </w:r>
    </w:p>
    <w:p>
      <w:pPr>
        <w:pStyle w:val="Normal"/>
      </w:pPr>
      <w:r>
        <w:rPr>
          <w:rFonts w:ascii="Calibri" w:hAnsi="Calibri" w:eastAsia="Microsoft YaHei" w:cs="Calibri"/>
          <w:color w:val="263238"/>
          <w:sz w:val="21"/>
          <w:szCs w:val="21"/>
        </w:rPr>
        <w:t>Bond issuance authority backed by collective guarantee</w:t>
      </w:r>
    </w:p>
    <w:p>
      <w:pPr>
        <w:pStyle w:val="Normal"/>
      </w:pPr>
      <w:r>
        <w:rPr>
          <w:rFonts w:ascii="Calibri" w:hAnsi="Calibri" w:eastAsia="Microsoft YaHei" w:cs="Calibri"/>
          <w:color w:val="263238"/>
          <w:sz w:val="21"/>
          <w:szCs w:val="21"/>
        </w:rPr>
        <w:t>15–30 days; AAA-rated</w:t>
      </w:r>
    </w:p>
    <w:p>
      <w:r>
        <w:t>Only the Paid-In Base represents actual fiscal outlay. Callable Capital and Market Backstop create contingent capacity at minimal upfront cost. This structure mirrors established models (IMF, multilateral development banks) where insured exposure greatly exceeds standing capital. Core/Toolbox Architecture (v8.6): Article VIII instruments are divided into Binding Core (all Tier 2+) and</w:t>
      </w:r>
    </w:p>
    <w:p>
      <w:r>
        <w:t>Financial Toolbox (opt-in by separate protocol):</w:t>
      </w:r>
    </w:p>
    <w:p>
      <w:r>
        <w:t>Category</w:t>
      </w:r>
    </w:p>
    <w:p>
      <w:r>
        <w:t>Instruments</w:t>
      </w:r>
    </w:p>
    <w:p>
      <w:r>
        <w:t>Obligation</w:t>
      </w:r>
    </w:p>
    <w:p>
      <w:r>
        <w:t>Binding Core</w:t>
      </w:r>
    </w:p>
    <w:p>
      <w:r>
        <w:t>Basic SFI settlement; Emergency swap lines; IMU unit of account; Stabilisation Fund contributions; Emergency Liquidity</w:t>
      </w:r>
    </w:p>
    <w:p>
      <w:r>
        <w:t>Mandatory for Tier 2+</w:t>
      </w:r>
    </w:p>
    <w:p>
      <w:r>
        <w:t>Financial Toolbox</w:t>
      </w:r>
    </w:p>
    <w:p>
      <w:r>
        <w:t>Coercion Risk Insurance (Sec 8.16); Digital Infrastructure Resilience Fund (Sec 8.8); Cognitive coercion measures (Sec 2.9); Climate-trade advanced features (Sec 2.7)</w:t>
      </w:r>
    </w:p>
    <w:p>
      <w:r>
        <w:t>Opt-in by protocol; Tier 2+ adopts at least one by Year 3</w:t>
      </w:r>
    </w:p>
    <w:p>
      <w:r>
        <w:t>Core charter references Toolbox instruments as available pursuant to separate protocols deposited with the Secretariat. Non-adoption of an optional instrument does not affect core membership status.</w:t>
      </w:r>
    </w:p>
    <w:p>
      <w:pPr>
        <w:pStyle w:val="Heading2"/>
      </w:pPr>
      <w:r>
        <w:t>Section 8.1: Founding Contribution Band</w:t>
      </w:r>
    </w:p>
    <w:p>
      <w:r>
        <w:t>Initial capitalisation is set within a collectively agreed contribution band proportional to GDP exposure,</w:t>
      </w:r>
    </w:p>
    <w:p>
      <w:r>
        <w:t>rather than a fixed sum. The band scales with membership:</w:t>
      </w:r>
    </w:p>
    <w:p>
      <w:r>
        <w:t>Phase</w:t>
      </w:r>
    </w:p>
    <w:p>
      <w:r>
        <w:t>Timeline</w:t>
      </w:r>
    </w:p>
    <w:p>
      <w:r>
        <w:t>Insured Exposure Capacity</w:t>
      </w:r>
    </w:p>
    <w:p>
      <w:r>
        <w:t>Paid-In Requirement</w:t>
      </w:r>
    </w:p>
    <w:p>
      <w:r>
        <w:t>Founding</w:t>
      </w:r>
    </w:p>
    <w:p>
      <w:r>
        <w:t>Years 1–2</w:t>
      </w:r>
    </w:p>
    <w:p>
      <w:r>
        <w:t>Up to USD 20–30 billion</w:t>
      </w:r>
    </w:p>
    <w:p>
      <w:r>
        <w:t>10–15% of exposure target</w:t>
      </w:r>
    </w:p>
    <w:p>
      <w:r>
        <w:t>Expansion</w:t>
      </w:r>
    </w:p>
    <w:p>
      <w:r>
        <w:t>Years 3–5</w:t>
      </w:r>
    </w:p>
    <w:p>
      <w:r>
        <w:t>Up to USD 60–80 billion</w:t>
      </w:r>
    </w:p>
    <w:p>
      <w:r>
        <w:t>15–20% of exposure target</w:t>
      </w:r>
    </w:p>
    <w:p>
      <w:r>
        <w:t>Mature</w:t>
      </w:r>
    </w:p>
    <w:p>
      <w:r>
        <w:t>Years 5+</w:t>
      </w:r>
    </w:p>
    <w:p>
      <w:r>
        <w:t>Up to USD 100–150 billion</w:t>
      </w:r>
    </w:p>
    <w:p>
      <w:r>
        <w:t>20–25% of exposure target</w:t>
      </w:r>
    </w:p>
    <w:p>
      <w:r>
        <w:t>Founding members' actual fiscal contribution in Year 1 is thus a fraction of the insured capacity, enabling substantial crisis response while keeping initial budgetary impact modest. Market Stabilisation Reserve (v9.2): A dedicated 15% of Paid-In Base is ring-fenced as the Market Stabilisation Reserve for: emergency liquidity and FX support to members experiencing activation-related capital flight; sovereign debt market backstop during Phase 2+ activation; and market-confidence signalling operations. The Reserve is explicitly not for punishing third-country investors, its sole purpose is protecting member financial stability during stabilisation measure deployment. Draws require DG + IEWC Chief joint authorisation;</w:t>
      </w:r>
    </w:p>
    <w:p>
      <w:r>
        <w:t>replenishment from general Fund within 12 months. Graduated Contribution Schedule for New Entrants: New Members benefit from a graduated contribution schedule to the Mutual Economic Security Fund over a period not exceeding twenty-four (24)</w:t>
      </w:r>
    </w:p>
    <w:p>
      <w:r>
        <w:t>months from accession:</w:t>
      </w:r>
    </w:p>
    <w:p>
      <w:r>
        <w:t>(a) Months 1-6: 25% of full GDP-weighted contribution; access to IEWC intelligence, Joint Procurement Consortium, and Early-Warning Platform (b) Months 7-12: 50% of full contribution; access to standard Fund facilities up to 50% of tier entitlement (c) Months 13-18: 75% of full contribution; access to all Fund facilities up to 75% of tier entitlement (d) Months 19-24: 100% of full contribution; full access to all facilities and entitlements Transition: During the ramp-up period, new Members' voting weight is proportionally adjusted to reflect contributions. Emergency Fund access during active AESIs is not affected by the ramp-up schedule.</w:t>
      </w:r>
    </w:p>
    <w:p>
      <w:pPr>
        <w:pStyle w:val="Heading2"/>
      </w:pPr>
      <w:r>
        <w:t>Section 8.2: Contribution Formula</w:t>
      </w:r>
    </w:p>
    <w:p>
      <w:r>
        <w:t>Weight</w:t>
      </w:r>
    </w:p>
    <w:p>
      <w:r>
        <w:t>Factor</w:t>
      </w:r>
    </w:p>
    <w:p>
      <w:r>
        <w:t>Description</w:t>
      </w:r>
    </w:p>
    <w:p>
      <w:r>
        <w:t>60%</w:t>
      </w:r>
    </w:p>
    <w:p>
      <w:r>
        <w:t>GDP</w:t>
      </w:r>
    </w:p>
    <w:p>
      <w:r>
        <w:t>Base contribution proportional to economic size</w:t>
      </w:r>
    </w:p>
    <w:p>
      <w:r>
        <w:t>15%</w:t>
      </w:r>
    </w:p>
    <w:p>
      <w:r>
        <w:t>Trade volume</w:t>
      </w:r>
    </w:p>
    <w:p>
      <w:r>
        <w:t>Reflects exposure to trade-based coercion</w:t>
      </w:r>
    </w:p>
    <w:p>
      <w:r>
        <w:t>10%</w:t>
      </w:r>
    </w:p>
    <w:p>
      <w:r>
        <w:t>Tier level</w:t>
      </w:r>
    </w:p>
    <w:p>
      <w:r>
        <w:t>Higher tiers pay proportionally more</w:t>
      </w:r>
    </w:p>
    <w:p>
      <w:pPr>
        <w:pStyle w:val="Normal"/>
      </w:pPr>
      <w:r>
        <w:rPr>
          <w:rFonts w:ascii="Calibri" w:hAnsi="Calibri" w:eastAsia="Microsoft YaHei" w:cs="Calibri"/>
          <w:color w:val="263238"/>
          <w:sz w:val="21"/>
          <w:szCs w:val="21"/>
        </w:rPr>
        <w:t>15%</w:t>
      </w:r>
    </w:p>
    <w:p>
      <w:pPr>
        <w:pStyle w:val="Normal"/>
      </w:pPr>
      <w:r>
        <w:rPr>
          <w:rFonts w:ascii="Calibri" w:hAnsi="Calibri" w:eastAsia="Microsoft YaHei" w:cs="Calibri"/>
          <w:color w:val="263238"/>
          <w:sz w:val="21"/>
          <w:szCs w:val="21"/>
        </w:rPr>
        <w:t>Green transition gap</w:t>
      </w:r>
    </w:p>
    <w:p>
      <w:pPr>
        <w:pStyle w:val="Normal"/>
      </w:pPr>
      <w:r>
        <w:rPr>
          <w:rFonts w:ascii="Calibri" w:hAnsi="Calibri" w:eastAsia="Microsoft YaHei" w:cs="Calibri"/>
          <w:color w:val="263238"/>
          <w:sz w:val="21"/>
          <w:szCs w:val="21"/>
        </w:rPr>
        <w:t>Difference between current renewable share and 2030 Paris-aligned target, weighted by GDP; funds CTCP implementation (Section 2.7)</w:t>
      </w:r>
    </w:p>
    <w:p>
      <w:pPr>
        <w:pStyle w:val="Normal"/>
      </w:pPr>
      <w:r>
        <w:rPr>
          <w:rFonts w:ascii="Calibri" w:hAnsi="Calibri" w:eastAsia="Microsoft YaHei" w:cs="Calibri"/>
          <w:color w:val="263238"/>
          <w:sz w:val="21"/>
          <w:szCs w:val="21"/>
        </w:rPr>
        <w:t>Members with larger green transition gaps contribute proportionally more to Green Strategic Reserves, receiving correspondingly enhanced access to green supply chain protections. Development Status</w:t>
      </w:r>
    </w:p>
    <w:p>
      <w:pPr>
        <w:pStyle w:val="Normal"/>
      </w:pPr>
      <w:r>
        <w:rPr>
          <w:rFonts w:ascii="Calibri" w:hAnsi="Calibri" w:eastAsia="Microsoft YaHei" w:cs="Calibri"/>
          <w:color w:val="263238"/>
          <w:sz w:val="21"/>
          <w:szCs w:val="21"/>
        </w:rPr>
        <w:t>Adjustment: Members with UN Least Developed Country (LDC) or UN Developing Country status receive 25% contribution reduction and enhanced burden-sharing relief (capped at 40% total). This aligns with WTO special and differential treatment principles and ensures IMESI does not replicate multilateral development grievances. Financial Market and Central Bank Notification Protocol: Where feasible and consistent with the objectives of this Instrument, relevant Members and IMESI bodies provide timely notice to central banks, financial regulators, and designated market authorities prior to the implementation of major stabilisation or response measures with expected significant financial market impact. Notification includes: (a) nature and expected scope of measures; (b) estimated timeline; (c) available market-stabilisation backstops. The Secretariat maintains a secure notification channel with pre-registered contacts at each Member's central bank and lead financial regulator. Notification timing balances market stability against operational security, with a presumptive minimum of 12 hours' advance notice where operationally possible. No Surprise to Markets (v9.2): Wherever operationally possible, significant stabilisation measure packages are signalled in broad terms approximately 24 hours in advance through coordinated finance-ministry communications, accompanied by explicit reassurance about Fund backstops and market-stabilisation measures. Exception: advance signalling is curtailed where the IEWC certifies it would invite pre-emptive coercion, capital flight, or market manipulation by the coercing state. Asymmetry Acknowledgment (v9.2): Burden-sharing formulas avoid forcing members into positions where their contribution exceeds domestic economic or political sustainability. For members with &gt;30% trade</w:t>
      </w:r>
    </w:p>
    <w:p>
      <w:pPr>
        <w:pStyle w:val="Normal"/>
      </w:pPr>
      <w:r>
        <w:rPr>
          <w:rFonts w:ascii="Calibri" w:hAnsi="Calibri" w:eastAsia="Microsoft YaHei" w:cs="Calibri"/>
          <w:color w:val="263238"/>
          <w:sz w:val="21"/>
          <w:szCs w:val="21"/>
        </w:rPr>
        <w:t>concentration with a single partner (including a coercer), burden-sharing mores rely heavily on finance, diversification, and information tools rather than direct trade restrictions, with substituted contributions valued at 100% for participation purposes. The Secretariat publishes an annual asymmetric-exposure assessment identifying members requiring adjusted contribution profiles. Cooperation Incentive Window (v9.1): A fixed 5% of annual Peacetime Fund allocation is earmarked as a cooperation incentive pool for members that exceed diversification targets or voluntarily run additional stress tests beyond minimum requirements. Eligible actions: &gt;15% diversification above target; successful Red Team exercise defence (Annex 3A); pioneering implementation of new SFI settlement instruments. Disbursement: annual competitive grants, assessed by Secretariat with published criteria. This rewards over-performance rather than only penalising under-performance.</w:t>
      </w:r>
    </w:p>
    <w:p>
      <w:pPr>
        <w:pStyle w:val="Heading2"/>
      </w:pPr>
      <w:r>
        <w:rPr>
          <w:rFonts w:ascii="Calibri" w:hAnsi="Calibri" w:eastAsia="Microsoft YaHei" w:cs="Calibri"/>
          <w:b/>
          <w:color w:val="263238"/>
          <w:sz w:val="25"/>
          <w:szCs w:val="25"/>
        </w:rPr>
        <w:t>Section 8.3: Eligible Uses</w:t>
      </w:r>
    </w:p>
    <w:p>
      <w:pPr>
        <w:pStyle w:val="Normal"/>
      </w:pPr>
      <w:r>
        <w:rPr>
          <w:rFonts w:ascii="Calibri" w:hAnsi="Calibri" w:eastAsia="Microsoft YaHei" w:cs="Calibri"/>
          <w:color w:val="263238"/>
          <w:sz w:val="21"/>
          <w:szCs w:val="21"/>
        </w:rPr>
        <w:t>Compensation for Coercion Victims (50–80% of documented losses): Lost export revenue; foregone investment returns; supply chain reconfiguration costs; strategic industry support Stabilisation Measure Cost Sharing (30–50% reimbursement): Implementation costs; lost tariff revenue; adjustment assistance; political costs compensation Trade Diversion Support: Infrastructure for increased volumes; quality control systems; workforce training Stabilisation Insurance: Coverage against secondary coercion; accelerated response costs Supply Chain Diversification: Alternative capacity investment (25–50% grants); low-interest diversification loans; risk guarantees; technical assistance Institutional Readiness Maintenance: Live-fire micro-exercises (Annex 13A), not to exceed 5% of annual Paid-In Base or 15% of Peacetime Fund, whichever is larger. Costs include stockpile rotation losses, system reconfiguration, personnel overtime, SFI test volume settlement losses, and independent evaluation fees. Green Transition Solidarity: Where IEWC certifies a member's climate measure (even if WTO-compliant) causes &gt;2% GDP impact on another member: (a) 25% grants from Resilience Fund for supply-chain reconfiguration; (b) priority SFI access for green-tech imports; (c) 12-month extension on some of the affected member's own climate-transition obligations. This does not challenge the climate measure's environmental legitimacy.</w:t>
      </w:r>
    </w:p>
    <w:p>
      <w:pPr>
        <w:pStyle w:val="Heading2"/>
      </w:pPr>
      <w:r>
        <w:rPr>
          <w:rFonts w:ascii="Calibri" w:hAnsi="Calibri" w:eastAsia="Microsoft YaHei" w:cs="Calibri"/>
          <w:b/>
          <w:color w:val="263238"/>
          <w:sz w:val="25"/>
          <w:szCs w:val="25"/>
        </w:rPr>
        <w:t>Section 8.3A: Micro-Exercise Accountability</w:t>
      </w:r>
    </w:p>
    <w:p>
      <w:pPr>
        <w:pStyle w:val="Normal"/>
      </w:pPr>
      <w:r>
        <w:rPr>
          <w:rFonts w:ascii="Calibri" w:hAnsi="Calibri" w:eastAsia="Microsoft YaHei" w:cs="Calibri"/>
          <w:color w:val="263238"/>
          <w:sz w:val="21"/>
          <w:szCs w:val="21"/>
        </w:rPr>
        <w:t>Participation Credit: Successful completion of quarterly micro-exercise counts toward 20% of annual Minimum Response Floor obligation for Tier 2+ members. Exercise results feed directly into Verified Capability Index scoring (Annex 13A). Members failing to participate in &gt;1 exercise per 12-month period face 10% Fund surcharge until remediation. Performance Consequence: Two consecutive exercise failures (&gt;6-hour implementation window, &lt;80% measure completion, or refusal to participate) triggers mandatory tier review per Section 3.4 enforcement protocol and automatic VCI downgrade per Annex 13A. Cost Reimbursement: Direct costs reimbursed from Peacetime Fund within 30 days of exercise completion, upon submission of certified expenditure documentation to Secretariat. Budget Protection: Micro-exercise allocation protected from reallocation during annual budget process unless 75% weighted vote specifically modifies this section.</w:t>
      </w:r>
    </w:p>
    <w:p>
      <w:pPr>
        <w:pStyle w:val="Heading2"/>
      </w:pPr>
      <w:r>
        <w:rPr>
          <w:rFonts w:ascii="Calibri" w:hAnsi="Calibri" w:eastAsia="Microsoft YaHei" w:cs="Calibri"/>
          <w:b/>
          <w:color w:val="263238"/>
          <w:sz w:val="25"/>
          <w:szCs w:val="25"/>
        </w:rPr>
        <w:t>Section 8.4: Transparent Burden-Sharing Formula</w:t>
      </w:r>
    </w:p>
    <w:p>
      <w:pPr>
        <w:pStyle w:val="Normal"/>
      </w:pPr>
      <w:r>
        <w:rPr>
          <w:rFonts w:ascii="Calibri" w:hAnsi="Calibri" w:eastAsia="Microsoft YaHei" w:cs="Calibri"/>
          <w:color w:val="263238"/>
          <w:sz w:val="21"/>
          <w:szCs w:val="21"/>
        </w:rPr>
        <w:t>Binding Base Formula (all Tier 2+):</w:t>
      </w:r>
    </w:p>
    <w:p>
      <w:pPr>
        <w:pStyle w:val="Normal"/>
      </w:pPr>
      <w:r>
        <w:rPr>
          <w:rFonts w:ascii="Calibri" w:hAnsi="Calibri" w:eastAsia="Microsoft YaHei" w:cs="Calibri"/>
          <w:color w:val="263238"/>
          <w:sz w:val="21"/>
          <w:szCs w:val="21"/>
        </w:rPr>
        <w:t>Factor</w:t>
      </w:r>
    </w:p>
    <w:p>
      <w:pPr>
        <w:pStyle w:val="Normal"/>
      </w:pPr>
      <w:r>
        <w:rPr>
          <w:rFonts w:ascii="Calibri" w:hAnsi="Calibri" w:eastAsia="Microsoft YaHei" w:cs="Calibri"/>
          <w:color w:val="263238"/>
          <w:sz w:val="21"/>
          <w:szCs w:val="21"/>
        </w:rPr>
        <w:t>Weight</w:t>
      </w:r>
    </w:p>
    <w:p>
      <w:pPr>
        <w:pStyle w:val="Normal"/>
      </w:pPr>
      <w:r>
        <w:rPr>
          <w:rFonts w:ascii="Calibri" w:hAnsi="Calibri" w:eastAsia="Microsoft YaHei" w:cs="Calibri"/>
          <w:color w:val="263238"/>
          <w:sz w:val="21"/>
          <w:szCs w:val="21"/>
        </w:rPr>
        <w:t>Rationale</w:t>
      </w:r>
    </w:p>
    <w:p>
      <w:pPr>
        <w:pStyle w:val="Normal"/>
      </w:pPr>
      <w:r>
        <w:rPr>
          <w:rFonts w:ascii="Calibri" w:hAnsi="Calibri" w:eastAsia="Microsoft YaHei" w:cs="Calibri"/>
          <w:color w:val="263238"/>
          <w:sz w:val="21"/>
          <w:szCs w:val="21"/>
        </w:rPr>
        <w:t>GDP share</w:t>
      </w:r>
    </w:p>
    <w:p>
      <w:pPr>
        <w:pStyle w:val="Normal"/>
      </w:pPr>
      <w:r>
        <w:rPr>
          <w:rFonts w:ascii="Calibri" w:hAnsi="Calibri" w:eastAsia="Microsoft YaHei" w:cs="Calibri"/>
          <w:color w:val="263238"/>
          <w:sz w:val="21"/>
          <w:szCs w:val="21"/>
        </w:rPr>
        <w:t>50%</w:t>
      </w:r>
    </w:p>
    <w:p>
      <w:pPr>
        <w:pStyle w:val="Normal"/>
      </w:pPr>
      <w:r>
        <w:rPr>
          <w:rFonts w:ascii="Calibri" w:hAnsi="Calibri" w:eastAsia="Microsoft YaHei" w:cs="Calibri"/>
          <w:color w:val="263238"/>
          <w:sz w:val="21"/>
          <w:szCs w:val="21"/>
        </w:rPr>
        <w:t>Ability to pay</w:t>
      </w:r>
    </w:p>
    <w:p>
      <w:pPr>
        <w:pStyle w:val="Normal"/>
      </w:pPr>
      <w:r>
        <w:rPr>
          <w:rFonts w:ascii="Calibri" w:hAnsi="Calibri" w:eastAsia="Microsoft YaHei" w:cs="Calibri"/>
          <w:color w:val="263238"/>
          <w:sz w:val="21"/>
          <w:szCs w:val="21"/>
        </w:rPr>
        <w:t>30%</w:t>
      </w:r>
    </w:p>
    <w:p>
      <w:pPr>
        <w:pStyle w:val="Normal"/>
      </w:pPr>
      <w:r>
        <w:rPr>
          <w:rFonts w:ascii="Calibri" w:hAnsi="Calibri" w:eastAsia="Microsoft YaHei" w:cs="Calibri"/>
          <w:color w:val="263238"/>
          <w:sz w:val="21"/>
          <w:szCs w:val="21"/>
        </w:rPr>
        <w:t>Direct economic stake in the outcome</w:t>
      </w:r>
    </w:p>
    <w:p>
      <w:pPr>
        <w:pStyle w:val="Normal"/>
      </w:pPr>
      <w:r>
        <w:rPr>
          <w:rFonts w:ascii="Calibri" w:hAnsi="Calibri" w:eastAsia="Microsoft YaHei" w:cs="Calibri"/>
          <w:color w:val="263238"/>
          <w:sz w:val="21"/>
          <w:szCs w:val="21"/>
        </w:rPr>
        <w:t>20%</w:t>
      </w:r>
    </w:p>
    <w:p>
      <w:pPr>
        <w:pStyle w:val="Normal"/>
      </w:pPr>
      <w:r>
        <w:rPr>
          <w:rFonts w:ascii="Calibri" w:hAnsi="Calibri" w:eastAsia="Microsoft YaHei" w:cs="Calibri"/>
          <w:color w:val="263238"/>
          <w:sz w:val="21"/>
          <w:szCs w:val="21"/>
        </w:rPr>
        <w:t>Tier 2 = 100% base; Tier 3 Enhanced Solidarity = 120% base</w:t>
      </w:r>
    </w:p>
    <w:p>
      <w:pPr>
        <w:pStyle w:val="Normal"/>
      </w:pPr>
      <w:r>
        <w:rPr>
          <w:rFonts w:ascii="Calibri" w:hAnsi="Calibri" w:eastAsia="Microsoft YaHei" w:cs="Calibri"/>
          <w:color w:val="263238"/>
          <w:sz w:val="21"/>
          <w:szCs w:val="21"/>
        </w:rPr>
        <w:t>Bilateral coercer Tier level</w:t>
      </w:r>
    </w:p>
    <w:p>
      <w:pPr>
        <w:pStyle w:val="Normal"/>
      </w:pPr>
      <w:r>
        <w:rPr>
          <w:rFonts w:ascii="Calibri" w:hAnsi="Calibri" w:eastAsia="Microsoft YaHei" w:cs="Calibri"/>
          <w:color w:val="263238"/>
          <w:sz w:val="21"/>
          <w:szCs w:val="21"/>
        </w:rPr>
        <w:t>trade</w:t>
      </w:r>
    </w:p>
    <w:p>
      <w:pPr>
        <w:pStyle w:val="Normal"/>
      </w:pPr>
      <w:r>
        <w:rPr>
          <w:rFonts w:ascii="Calibri" w:hAnsi="Calibri" w:eastAsia="Microsoft YaHei" w:cs="Calibri"/>
          <w:color w:val="263238"/>
          <w:sz w:val="21"/>
          <w:szCs w:val="21"/>
        </w:rPr>
        <w:t>exposure</w:t>
      </w:r>
    </w:p>
    <w:p>
      <w:pPr>
        <w:pStyle w:val="Normal"/>
      </w:pPr>
      <w:r>
        <w:rPr>
          <w:rFonts w:ascii="Calibri" w:hAnsi="Calibri" w:eastAsia="Microsoft YaHei" w:cs="Calibri"/>
          <w:color w:val="263238"/>
          <w:sz w:val="21"/>
          <w:szCs w:val="21"/>
        </w:rPr>
        <w:t>to</w:t>
      </w:r>
    </w:p>
    <w:p>
      <w:pPr>
        <w:pStyle w:val="Normal"/>
      </w:pPr>
      <w:r>
        <w:rPr>
          <w:rFonts w:ascii="Calibri" w:hAnsi="Calibri" w:eastAsia="Microsoft YaHei" w:cs="Calibri"/>
          <w:color w:val="263238"/>
          <w:sz w:val="21"/>
          <w:szCs w:val="21"/>
        </w:rPr>
        <w:t>Optional Burden Relief (capped at 25% total reduction):</w:t>
      </w:r>
    </w:p>
    <w:p>
      <w:pPr>
        <w:pStyle w:val="Normal"/>
        <w:numPr>
          <w:ilvl w:val="0"/>
          <w:numId w:val="1"/>
        </w:numPr>
      </w:pPr>
      <w:r>
        <w:rPr>
          <w:rFonts w:ascii="Calibri" w:hAnsi="Calibri" w:eastAsia="Microsoft YaHei" w:cs="Calibri"/>
          <w:color w:val="263238"/>
          <w:sz w:val="21"/>
          <w:szCs w:val="21"/>
        </w:rPr>
        <w:t>Debt-to-GDP &gt;90%: 10% relief</w:t>
      </w:r>
    </w:p>
    <w:p>
      <w:pPr>
        <w:pStyle w:val="Normal"/>
        <w:numPr>
          <w:ilvl w:val="0"/>
          <w:numId w:val="1"/>
        </w:numPr>
      </w:pPr>
      <w:r>
        <w:rPr>
          <w:rFonts w:ascii="Calibri" w:hAnsi="Calibri" w:eastAsia="Microsoft YaHei" w:cs="Calibri"/>
          <w:color w:val="263238"/>
          <w:sz w:val="21"/>
          <w:szCs w:val="21"/>
        </w:rPr>
        <w:t>Exports to coercer &gt;40% of GDP: 10% relief</w:t>
      </w:r>
    </w:p>
    <w:p>
      <w:pPr>
        <w:pStyle w:val="Normal"/>
        <w:numPr>
          <w:ilvl w:val="0"/>
          <w:numId w:val="1"/>
        </w:numPr>
      </w:pPr>
      <w:r>
        <w:rPr>
          <w:rFonts w:ascii="Calibri" w:hAnsi="Calibri" w:eastAsia="Microsoft YaHei" w:cs="Calibri"/>
          <w:color w:val="263238"/>
          <w:sz w:val="21"/>
          <w:szCs w:val="21"/>
        </w:rPr>
        <w:t>Active military conflict or humanitarian crisis: 5% relief Compensation Surcharge: Members with &lt;5% GDP exposure and &lt;20% trade to coercer pay 15% more than the base formula. Surplus funds go to the burden-equalisation pool, transferred to high-exposure members. Annual Independent Audit: External economists (not IEWC-controlled) validate calculations, published within 30 days of case close. Disputes narrow to facts (trade data, debt ratios), not interpretations. The equity is visible, not hidden in spreadsheets.</w:t>
      </w:r>
    </w:p>
    <w:p>
      <w:pPr>
        <w:pStyle w:val="Heading2"/>
      </w:pPr>
      <w:r>
        <w:rPr>
          <w:rFonts w:ascii="Calibri" w:hAnsi="Calibri" w:eastAsia="Microsoft YaHei" w:cs="Calibri"/>
          <w:b/>
          <w:color w:val="263238"/>
          <w:sz w:val="25"/>
          <w:szCs w:val="25"/>
        </w:rPr>
        <w:t>Section 8.4A: Existential Burden Cap (EBC)</w:t>
      </w:r>
    </w:p>
    <w:p>
      <w:pPr>
        <w:pStyle w:val="Normal"/>
      </w:pPr>
      <w:r>
        <w:rPr>
          <w:rFonts w:ascii="Calibri" w:hAnsi="Calibri" w:eastAsia="Microsoft YaHei" w:cs="Calibri"/>
          <w:color w:val="263238"/>
          <w:sz w:val="21"/>
          <w:szCs w:val="21"/>
        </w:rPr>
        <w:t>Trigger: IEWC certifies &gt;3% GDP impact on a single member; that member invokes EBC. Mechanism (v8.6): Member's burden capped at a 1.5–2.5% GDP band with 2% as the presumptive ceiling; excess distributed: 50% to Tier 3 Enhanced Solidarity members proportionally, 50% to Fund emergency draw. Deviation within the band requires member consent; deviation above 2.5% is prohibited. Condition: Invoking member implements all non-financial measures (diplomatic, regulatory, procedural) at 100% intensity. EBC applies only to financial burden, not to participation obligations. Limit: EBC invocable once per 5-year cycle per member. Second invocation within 5 years requires 60% Coordination Committee approval. Interaction: EBC operates as an alternative to Section 8.12 (Graduated Crisis Opt-Out). A member invoking EBC is simultaneously not permitted to invoke Graduated Opt-Out for the same case, EBC provides burden relief while maintaining full participation, whereas Opt-Out reduces participation.</w:t>
      </w:r>
    </w:p>
    <w:p>
      <w:pPr>
        <w:pStyle w:val="Heading3"/>
      </w:pPr>
      <w:r>
        <w:rPr>
          <w:rFonts w:ascii="Calibri" w:hAnsi="Calibri" w:eastAsia="Microsoft YaHei" w:cs="Calibri"/>
          <w:b/>
          <w:color w:val="546E7A"/>
          <w:sz w:val="22"/>
          <w:szCs w:val="22"/>
        </w:rPr>
        <w:t>Section 8.4A (Addendum): Automatic Individual Relief Trigger [NEW: v12.1]</w:t>
      </w:r>
    </w:p>
    <w:p>
      <w:pPr>
        <w:pStyle w:val="Normal"/>
      </w:pPr>
      <w:r>
        <w:rPr>
          <w:rFonts w:ascii="Calibri" w:hAnsi="Calibri" w:eastAsia="Microsoft YaHei" w:cs="Calibri"/>
          <w:color w:val="263238"/>
          <w:sz w:val="21"/>
          <w:szCs w:val="21"/>
        </w:rPr>
        <w:t>The Existential Burden Cap activates automatically for any Member where a coercer's actions cause a GDP impact exceeding 1% in a single quarter, without requiring application. Automatic activation operates at most twice per five-year cycle for any Member; where the IEWC certifies the responsible coercer as a High Political Volatility actor (Section 4.2X), no cycle limit applies, since protection against irrational escalation tolerates no arbitrary ceiling. Each automatic activation triggers a Fund solvency review under Section 8.4D.</w:t>
      </w:r>
    </w:p>
    <w:p>
      <w:pPr>
        <w:pStyle w:val="Heading2"/>
      </w:pPr>
      <w:r>
        <w:rPr>
          <w:rFonts w:ascii="Calibri" w:hAnsi="Calibri" w:eastAsia="Microsoft YaHei" w:cs="Calibri"/>
          <w:b/>
          <w:color w:val="263238"/>
          <w:sz w:val="25"/>
          <w:szCs w:val="25"/>
        </w:rPr>
        <w:t>Section 8.4B: Systemic-Economy Asymmetry Adjustment (SAA)</w:t>
      </w:r>
    </w:p>
    <w:p>
      <w:pPr>
        <w:pStyle w:val="Normal"/>
      </w:pPr>
      <w:r>
        <w:rPr>
          <w:rFonts w:ascii="Calibri" w:hAnsi="Calibri" w:eastAsia="Microsoft YaHei" w:cs="Calibri"/>
          <w:color w:val="263238"/>
          <w:sz w:val="21"/>
          <w:szCs w:val="21"/>
        </w:rPr>
        <w:t>Systemic-Economy Classification (v9.5): For purposes of this Section, a systemic-economy coercer is identified on the basis of objective exposure and systemic-impact metrics, including but not limited to share of global trade, financial system centrality, supply chain dependency concentration, and reserve-currency role, as determined by the Secretariat and endorsed by the Coordination Committee. The Secretariat maintains and publish the classification methodology; any reclassification requires 55% weighted vote.</w:t>
      </w:r>
    </w:p>
    <w:p>
      <w:pPr>
        <w:pStyle w:val="Normal"/>
      </w:pPr>
      <w:r>
        <w:rPr>
          <w:rFonts w:ascii="Calibri" w:hAnsi="Calibri" w:eastAsia="Microsoft YaHei" w:cs="Calibri"/>
          <w:color w:val="263238"/>
          <w:sz w:val="21"/>
          <w:szCs w:val="21"/>
        </w:rPr>
        <w:t>Gap Addressed: Standard burden-sharing assumes rough economic parity among coercing states. Against a coercer exceeding 15% of global GDP, standard relief caps and cost ceilings are insufficient to prevent member defection under existential pressure. Trigger: IEWC certifies that the coercing state's GDP exceeds 15% of global GDP (currently applicable to the United States and China).</w:t>
      </w:r>
    </w:p>
    <w:p>
      <w:pPr>
        <w:pStyle w:val="Normal"/>
      </w:pPr>
      <w:r>
        <w:rPr>
          <w:rFonts w:ascii="Calibri" w:hAnsi="Calibri" w:eastAsia="Microsoft YaHei" w:cs="Calibri"/>
          <w:color w:val="263238"/>
          <w:sz w:val="21"/>
          <w:szCs w:val="21"/>
        </w:rPr>
        <w:t>Automatic Adjustments:</w:t>
      </w:r>
    </w:p>
    <w:p>
      <w:pPr>
        <w:pStyle w:val="Normal"/>
      </w:pPr>
      <w:r>
        <w:rPr>
          <w:rFonts w:ascii="Calibri" w:hAnsi="Calibri" w:eastAsia="Microsoft YaHei" w:cs="Calibri"/>
          <w:color w:val="263238"/>
          <w:sz w:val="21"/>
          <w:szCs w:val="21"/>
        </w:rPr>
        <w:t>(a) Member Cost Band presumptive ceiling rises from 5% to 8% GDP for directly affected members, reflecting the scale of systemic-economy coercion (hard cap rises from 7% to 10%) (b) Burden-sharing relief cap rises from 25% to 40% (Section 8.4 formula) (c) Automatic Tier 3 Enhanced Solidarity contributions activate for all members regardless of their own tier level (d) Non-financial measure obligations reduced by 50% for members with &gt;30% trade exposure to the coercer, preserving coalition membership while acknowledging political constraints EBC Interaction: SAA and EBC (Section 8.4A) operates simultaneously. Under SAA, the EBC 5-year cycle limit is suspended, members invoke EBC multiple times during a single systemic-economy coercion case, reflecting the sustained and escalatory nature of systemic-economy economic statecraft. Reversion Condition: SAA adjustments revert to standard parameters 90 days after the IEWC certifies coercion cessation or de-escalation below the systemic-economy threshold.</w:t>
      </w:r>
    </w:p>
    <w:p>
      <w:pPr>
        <w:pStyle w:val="Heading2"/>
      </w:pPr>
      <w:r>
        <w:rPr>
          <w:rFonts w:ascii="Calibri" w:hAnsi="Calibri" w:eastAsia="Microsoft YaHei" w:cs="Calibri"/>
          <w:b/>
          <w:color w:val="263238"/>
          <w:sz w:val="25"/>
          <w:szCs w:val="25"/>
        </w:rPr>
        <w:t>Section 8.4C: Asymmetric Burden-Sharing with Visibility (ABSV)</w:t>
      </w:r>
    </w:p>
    <w:p>
      <w:pPr>
        <w:pStyle w:val="Heading3"/>
      </w:pPr>
      <w:r>
        <w:rPr>
          <w:rFonts w:ascii="Calibri" w:hAnsi="Calibri" w:eastAsia="Microsoft YaHei" w:cs="Calibri"/>
          <w:b/>
          <w:color w:val="546E7A"/>
          <w:sz w:val="22"/>
          <w:szCs w:val="22"/>
        </w:rPr>
        <w:t>Section 8.4C (Addendum): Most-Favoured-Nation Aggregator [NEW: v11.0]</w:t>
      </w:r>
    </w:p>
    <w:p>
      <w:pPr>
        <w:pStyle w:val="Normal"/>
      </w:pPr>
      <w:r>
        <w:rPr>
          <w:rFonts w:ascii="Calibri" w:hAnsi="Calibri" w:eastAsia="Microsoft YaHei" w:cs="Calibri"/>
          <w:color w:val="263238"/>
          <w:sz w:val="21"/>
          <w:szCs w:val="21"/>
        </w:rPr>
        <w:t>Where a coercing state grants an exemption to one Member, the stabilisation measures of all other Members automatically intensify by the value of the exemption granted, holding total pressure on the coercing state constant.</w:t>
      </w:r>
    </w:p>
    <w:p>
      <w:pPr>
        <w:pStyle w:val="Normal"/>
      </w:pPr>
      <w:r>
        <w:rPr>
          <w:rFonts w:ascii="Calibri" w:hAnsi="Calibri" w:eastAsia="Microsoft YaHei" w:cs="Calibri"/>
          <w:color w:val="263238"/>
          <w:sz w:val="21"/>
          <w:szCs w:val="21"/>
        </w:rPr>
        <w:t>Gap Addressed: Small or developing states fear being overwhelmed by costs and publicly identified as participants in stabilisation measures against powerful coercers. Large states resent perceived subsidisation. Transparent tiered participation delinks contribution from control and allows anonymous solidarity for the most vulnerable. Participatio n Tier</w:t>
      </w:r>
    </w:p>
    <w:p>
      <w:pPr>
        <w:pStyle w:val="Normal"/>
      </w:pPr>
      <w:r>
        <w:rPr>
          <w:rFonts w:ascii="Calibri" w:hAnsi="Calibri" w:eastAsia="Microsoft YaHei" w:cs="Calibri"/>
          <w:color w:val="263238"/>
          <w:sz w:val="21"/>
          <w:szCs w:val="21"/>
        </w:rPr>
        <w:t>GDP Share</w:t>
      </w:r>
    </w:p>
    <w:p>
      <w:pPr>
        <w:pStyle w:val="Normal"/>
      </w:pPr>
      <w:r>
        <w:rPr>
          <w:rFonts w:ascii="Calibri" w:hAnsi="Calibri" w:eastAsia="Microsoft YaHei" w:cs="Calibri"/>
          <w:color w:val="263238"/>
          <w:sz w:val="21"/>
          <w:szCs w:val="21"/>
        </w:rPr>
        <w:t>Voting Weight</w:t>
      </w:r>
    </w:p>
    <w:p>
      <w:pPr>
        <w:pStyle w:val="Normal"/>
      </w:pPr>
      <w:r>
        <w:rPr>
          <w:rFonts w:ascii="Calibri" w:hAnsi="Calibri" w:eastAsia="Microsoft YaHei" w:cs="Calibri"/>
          <w:color w:val="263238"/>
          <w:sz w:val="21"/>
          <w:szCs w:val="21"/>
        </w:rPr>
        <w:t>Burden Share</w:t>
      </w:r>
    </w:p>
    <w:p>
      <w:pPr>
        <w:pStyle w:val="Normal"/>
      </w:pPr>
      <w:r>
        <w:rPr>
          <w:rFonts w:ascii="Calibri" w:hAnsi="Calibri" w:eastAsia="Microsoft YaHei" w:cs="Calibri"/>
          <w:color w:val="263238"/>
          <w:sz w:val="21"/>
          <w:szCs w:val="21"/>
        </w:rPr>
        <w:t>Public Visibility</w:t>
      </w:r>
    </w:p>
    <w:p>
      <w:pPr>
        <w:pStyle w:val="Normal"/>
      </w:pPr>
      <w:r>
        <w:rPr>
          <w:rFonts w:ascii="Calibri" w:hAnsi="Calibri" w:eastAsia="Microsoft YaHei" w:cs="Calibri"/>
          <w:color w:val="263238"/>
          <w:sz w:val="21"/>
          <w:szCs w:val="21"/>
        </w:rPr>
        <w:t>Core</w:t>
      </w:r>
    </w:p>
    <w:p>
      <w:pPr>
        <w:pStyle w:val="Normal"/>
      </w:pPr>
      <w:r>
        <w:rPr>
          <w:rFonts w:ascii="Calibri" w:hAnsi="Calibri" w:eastAsia="Microsoft YaHei" w:cs="Calibri"/>
          <w:color w:val="263238"/>
          <w:sz w:val="21"/>
          <w:szCs w:val="21"/>
        </w:rPr>
        <w:t>&gt;2% GDP</w:t>
      </w:r>
    </w:p>
    <w:p>
      <w:pPr>
        <w:pStyle w:val="Normal"/>
      </w:pPr>
      <w:r>
        <w:rPr>
          <w:rFonts w:ascii="Calibri" w:hAnsi="Calibri" w:eastAsia="Microsoft YaHei" w:cs="Calibri"/>
          <w:color w:val="263238"/>
          <w:sz w:val="21"/>
          <w:szCs w:val="21"/>
        </w:rPr>
        <w:t>global</w:t>
      </w:r>
    </w:p>
    <w:p>
      <w:pPr>
        <w:pStyle w:val="Normal"/>
      </w:pPr>
      <w:r>
        <w:rPr>
          <w:rFonts w:ascii="Calibri" w:hAnsi="Calibri" w:eastAsia="Microsoft YaHei" w:cs="Calibri"/>
          <w:color w:val="263238"/>
          <w:sz w:val="21"/>
          <w:szCs w:val="21"/>
        </w:rPr>
        <w:t>100%</w:t>
      </w:r>
    </w:p>
    <w:p>
      <w:pPr>
        <w:pStyle w:val="Normal"/>
      </w:pPr>
      <w:r>
        <w:rPr>
          <w:rFonts w:ascii="Calibri" w:hAnsi="Calibri" w:eastAsia="Microsoft YaHei" w:cs="Calibri"/>
          <w:color w:val="263238"/>
          <w:sz w:val="21"/>
          <w:szCs w:val="21"/>
        </w:rPr>
        <w:t>100%</w:t>
      </w:r>
    </w:p>
    <w:p>
      <w:r>
        <w:t>Full public attribution</w:t>
      </w:r>
    </w:p>
    <w:p>
      <w:r>
        <w:t>Contributing</w:t>
      </w:r>
    </w:p>
    <w:p>
      <w:r>
        <w:t>0.5–2% global GDP</w:t>
      </w:r>
    </w:p>
    <w:p>
      <w:r>
        <w:t>75%</w:t>
      </w:r>
    </w:p>
    <w:p>
      <w:r>
        <w:t>75%</w:t>
      </w:r>
    </w:p>
    <w:p>
      <w:r>
        <w:t>Attribution optional (member chooses)</w:t>
      </w:r>
    </w:p>
    <w:p>
      <w:r>
        <w:t>Protected</w:t>
      </w:r>
    </w:p>
    <w:p>
      <w:r>
        <w:t>&lt;0.5% global GDP or LDC status</w:t>
      </w:r>
    </w:p>
    <w:p>
      <w:r>
        <w:t>50%</w:t>
      </w:r>
    </w:p>
    <w:p>
      <w:r>
        <w:t>25%</w:t>
      </w:r>
    </w:p>
    <w:p>
      <w:r>
        <w:t>Anonymous:</w:t>
      </w:r>
    </w:p>
    <w:p>
      <w:r>
        <w:t>identified only as 'IMESI member states'</w:t>
      </w:r>
    </w:p>
    <w:p>
      <w:r>
        <w:t>Supporting</w:t>
      </w:r>
    </w:p>
    <w:p>
      <w:r>
        <w:t>Any (opt-in)</w:t>
      </w:r>
    </w:p>
    <w:p>
      <w:r>
        <w:t>25%</w:t>
      </w:r>
    </w:p>
    <w:p>
      <w:r>
        <w:t>10%</w:t>
      </w:r>
    </w:p>
    <w:p>
      <w:r>
        <w:t>No attribution; described as 'supporting the coalition'</w:t>
      </w:r>
    </w:p>
    <w:p>
      <w:r>
        <w:t>GDP</w:t>
      </w:r>
    </w:p>
    <w:p>
      <w:r>
        <w:t>Safeguards: Voting thresholds (55–75%) ensure no single state controls outcomes. Protected and Supporting tiers cannot block activation votes or veto stabilisation measure authorisation. The aggregate coalition capacity remains identical to full-attribution participation; only the public branding changes. Interaction: ABSV tiers operate within the existing membership tier structure (Tiers 0–3). A Tier 2 member with &lt;0.5% global GDP automatically qualifies for Protected ABSV visibility while retaining Tier 2 stabilisation measure obligations at the reduced 25% burden share.</w:t>
      </w:r>
    </w:p>
    <w:p>
      <w:r>
        <w:t>Supporting Tier: Available to any member regardless of GDP, including Core-tier members who face exceptional domestic political constraints in a specific case. Supporting tier carries 10% burden but provides political cover through anonymous participation. Maximum 30% of coalition members are in Supporting tier simultaneously. Tariff Aggressor Stabilisation Measure (v9.3A): In tariff-specific cases, ABSV anonymous participation tiers directly counter aggressor targeting strategy. When a coercing state cannot identify which specific members are participating (Protected and Supporting tiers), it cannot offer bilateral tariff exemptions to specific members, the divide-and-conquer approach fails because the aggressor cannot distinguish participants from non-participants. The aggregate coalition capacity remains identical; only the public branding changes. Case-by-Case Self-Selection (v8.5): Members move between ABSV tiers for each coercion case, not merely at accession. Change requires 30-day notice to the Secretariat, not permanent reclassification. This creates maximum flexibility: a member is Core for one case and Contributing for another, calibrating contribution to both capacity and the political moment. Aggregate coalition capacity is preserved through the substitution principle.</w:t>
      </w:r>
    </w:p>
    <w:p>
      <w:pPr>
        <w:pStyle w:val="Heading2"/>
      </w:pPr>
      <w:r>
        <w:t>Section 8.4C: Asymmetric Burden-Sharing with Visibility (ABSV)</w:t>
      </w:r>
    </w:p>
    <w:p>
      <w:r>
        <w:t>Principle: Contribution and control are delinked. Small or developing states participate at reduced obligation levels with proportionate voting weight, while larger states retain full attribution and control. This addresses the twin fears: small states overwhelmed by costs, large states resenting perceived subsidisation. Participatio n Tier</w:t>
      </w:r>
    </w:p>
    <w:p>
      <w:r>
        <w:t>GDP Share</w:t>
      </w:r>
    </w:p>
    <w:p>
      <w:r>
        <w:t>Voting Weight</w:t>
      </w:r>
    </w:p>
    <w:p>
      <w:r>
        <w:t>Burden Share</w:t>
      </w:r>
    </w:p>
    <w:p>
      <w:r>
        <w:t>Public Attribution</w:t>
      </w:r>
    </w:p>
    <w:p>
      <w:r>
        <w:t>Core</w:t>
      </w:r>
    </w:p>
    <w:p>
      <w:r>
        <w:t>&gt;2% global GDP</w:t>
      </w:r>
    </w:p>
    <w:p>
      <w:r>
        <w:t>100%</w:t>
      </w:r>
    </w:p>
    <w:p>
      <w:r>
        <w:t>100%</w:t>
      </w:r>
    </w:p>
    <w:p>
      <w:r>
        <w:t>Full public attribution</w:t>
      </w:r>
    </w:p>
    <w:p>
      <w:r>
        <w:t>Contributing</w:t>
      </w:r>
    </w:p>
    <w:p>
      <w:r>
        <w:t>0.5–2% global GDP</w:t>
      </w:r>
    </w:p>
    <w:p>
      <w:r>
        <w:t>75%</w:t>
      </w:r>
    </w:p>
    <w:p>
      <w:r>
        <w:t>75%</w:t>
      </w:r>
    </w:p>
    <w:p>
      <w:r>
        <w:t>Attribution optional</w:t>
      </w:r>
    </w:p>
    <w:p>
      <w:r>
        <w:t>Protected</w:t>
      </w:r>
    </w:p>
    <w:p>
      <w:r>
        <w:t>&lt;0.5% or LDC status</w:t>
      </w:r>
    </w:p>
    <w:p>
      <w:r>
        <w:t>50%</w:t>
      </w:r>
    </w:p>
    <w:p>
      <w:r>
        <w:t>25%</w:t>
      </w:r>
    </w:p>
    <w:p>
      <w:r>
        <w:t>Anonymous ("IMESI member states")</w:t>
      </w:r>
    </w:p>
    <w:p>
      <w:r>
        <w:t>Supporting</w:t>
      </w:r>
    </w:p>
    <w:p>
      <w:r>
        <w:t>Any GDP (s elf-selected)</w:t>
      </w:r>
    </w:p>
    <w:p>
      <w:r>
        <w:t>25%</w:t>
      </w:r>
    </w:p>
    <w:p>
      <w:r>
        <w:t>10%</w:t>
      </w:r>
    </w:p>
    <w:p>
      <w:r>
        <w:t>No attribution; "supporting the coalition"</w:t>
      </w:r>
    </w:p>
    <w:p>
      <w:r>
        <w:t>Safeguard: Voting thresholds (55–75%) ensure no single participation tier controls outcomes. Protected and Supporting tiers cannot block activation votes. The aggregate coalition capacity remains identical; only the branding and individual exposure change. Self-Selection: Members self-select into the Supporting tier for any individual case without permanent tier change. Returning to Core/Contributing for subsequent cases requires no approval.</w:t>
      </w:r>
    </w:p>
    <w:p>
      <w:pPr>
        <w:pStyle w:val="Heading3"/>
      </w:pPr>
      <w:r>
        <w:t>Section 8.4C (Addendum): Enhanced Anonymity for Defection-Resistant Members [NEW: v15.0]</w:t>
      </w:r>
    </w:p>
    <w:p>
      <w:r>
        <w:t>(e) In any activation where the coercing state is a systemic economy, the following additional anonymity protections apply: (i) Members participate in the Supporting tier without any GDP limitation; (ii) the maximum 30% coalition cap on Supporting tier membership is suspended for systemic-economy cases; (iii) contributions by Supporting tier members are described only as supporting the coalition, with no attribution to individual Members; and (iv) the Secretariat does not disclose, publicly or to the coercer, the identity of any Supporting tier member.</w:t>
      </w:r>
    </w:p>
    <w:p>
      <w:r>
        <w:t>(f) The anonymity protections under subsection (e) extend to: (i) trade measures implemented under Phase 1 or Phase 2; (ii) financial contributions to the Fund; (iii) participation in Joint Procurement Consortium tenders; and (iv) any other measure where the Member's identity could expose it to coercer retaliation.</w:t>
      </w:r>
    </w:p>
    <w:p>
      <w:r>
        <w:t>(g) Coalition-level anonymity never displaces domestic transparency: each Member continues to publish and administer its own trade measures under GATT Article X and its other WTO transparency obligations. The protection in this Section governs only attribution by the Secretariat and the coalition's common platforms.</w:t>
      </w:r>
    </w:p>
    <w:p>
      <w:r>
        <w:t>Rationale: This removes the fear of retaliation. Small members participate against a systemic coercer without identification. The coercer cannot divide and conquer, because it cannot identify which members are participating.</w:t>
      </w:r>
    </w:p>
    <w:p>
      <w:pPr>
        <w:pStyle w:val="Heading2"/>
      </w:pPr>
      <w:r>
        <w:t>Section 8.0A: Indicative Capitalisation and Funding Model [NEW: v9.8A Operational Accessibility]</w:t>
      </w:r>
    </w:p>
    <w:p>
      <w:pPr>
        <w:pStyle w:val="Normal"/>
      </w:pPr>
      <w:r>
        <w:rPr>
          <w:rFonts w:ascii="Calibri" w:hAnsi="Calibri" w:eastAsia="Microsoft YaHei" w:cs="Calibri"/>
          <w:color w:val="263238"/>
          <w:sz w:val="21"/>
          <w:szCs w:val="21"/>
        </w:rPr>
        <w:t>The following parameters are indicative and subject to negotiation at the Founding Conference. They provide a concrete basis for finance ministry modelling.</w:t>
      </w:r>
    </w:p>
    <w:p>
      <w:pPr>
        <w:pStyle w:val="Normal"/>
      </w:pPr>
      <w:r>
        <w:rPr>
          <w:rFonts w:ascii="Calibri" w:hAnsi="Calibri" w:eastAsia="Microsoft YaHei" w:cs="Calibri"/>
          <w:color w:val="263238"/>
          <w:sz w:val="21"/>
          <w:szCs w:val="21"/>
        </w:rPr>
        <w:t>Core Fund Target Size</w:t>
      </w:r>
    </w:p>
    <w:p>
      <w:pPr>
        <w:pStyle w:val="Normal"/>
      </w:pPr>
      <w:r>
        <w:rPr>
          <w:rFonts w:ascii="Calibri" w:hAnsi="Calibri" w:eastAsia="Microsoft YaHei" w:cs="Calibri"/>
          <w:color w:val="263238"/>
          <w:sz w:val="21"/>
          <w:szCs w:val="21"/>
        </w:rPr>
        <w:t>Target: 0.08% of combined participating-member GDP, accumulated over a 5-year capitalisation period. For an initial coalition of 12 members representing approximately USD 45 trillion GDP, this yields a target Fund size of approximately USD 36 billion over 5 years (USD 7.2 billion per year aggregate).</w:t>
      </w:r>
    </w:p>
    <w:p>
      <w:pPr>
        <w:pStyle w:val="Normal"/>
      </w:pPr>
      <w:r>
        <w:rPr>
          <w:rFonts w:ascii="Calibri" w:hAnsi="Calibri" w:eastAsia="Microsoft YaHei" w:cs="Calibri"/>
          <w:color w:val="263238"/>
          <w:sz w:val="21"/>
          <w:szCs w:val="21"/>
        </w:rPr>
        <w:t>Contribution Bands</w:t>
      </w:r>
    </w:p>
    <w:p>
      <w:pPr>
        <w:pStyle w:val="Normal"/>
      </w:pPr>
      <w:r>
        <w:rPr>
          <w:rFonts w:ascii="Calibri" w:hAnsi="Calibri" w:eastAsia="Microsoft YaHei" w:cs="Calibri"/>
          <w:color w:val="263238"/>
          <w:sz w:val="21"/>
          <w:szCs w:val="21"/>
        </w:rPr>
        <w:t>Systemic economies (GDP &gt; USD 2 trillion): 0.08% of GDP annually. Major economies (GDP USD 500 billion - 2 trillion): 0.06% of GDP annually. Mid-size economies (GDP USD 100-500 billion): 0.04% of GDP annually. Small states (GDP &lt; USD 100 billion): 0.02% of GDP annually. LDCs and micro-states: 0.01% of GDP annually.</w:t>
      </w:r>
    </w:p>
    <w:p>
      <w:pPr>
        <w:pStyle w:val="Normal"/>
      </w:pPr>
      <w:r>
        <w:rPr>
          <w:rFonts w:ascii="Calibri" w:hAnsi="Calibri" w:eastAsia="Microsoft YaHei" w:cs="Calibri"/>
          <w:color w:val="263238"/>
          <w:sz w:val="21"/>
          <w:szCs w:val="21"/>
        </w:rPr>
        <w:t>Operational Targets</w:t>
      </w:r>
    </w:p>
    <w:p>
      <w:pPr>
        <w:pStyle w:val="Normal"/>
      </w:pPr>
      <w:r>
        <w:rPr>
          <w:rFonts w:ascii="Calibri" w:hAnsi="Calibri" w:eastAsia="Microsoft YaHei" w:cs="Calibri"/>
          <w:color w:val="263238"/>
          <w:sz w:val="21"/>
          <w:szCs w:val="21"/>
        </w:rPr>
        <w:t>SFI liquidity backstop: minimum USD 15 billion in immediately available reserves. Resilience Fund: capacity to sustain 3 simultaneous cases at Phase 2 for 12 months. Small-State Reserve: 20% of Fund (approximately USD 7 billion at full capitalisation). Annual operating budget (Secretariat, IEWC, SFI operations): approximately USD 200 million, funded from Fund returns and a 0.5% management fee.</w:t>
      </w:r>
    </w:p>
    <w:p>
      <w:pPr>
        <w:pStyle w:val="Normal"/>
      </w:pPr>
      <w:r>
        <w:rPr>
          <w:rFonts w:ascii="Calibri" w:hAnsi="Calibri" w:eastAsia="Microsoft YaHei" w:cs="Calibri"/>
          <w:color w:val="263238"/>
          <w:sz w:val="21"/>
          <w:szCs w:val="21"/>
        </w:rPr>
        <w:t>Maximum Annual Exposure Cap</w:t>
      </w:r>
    </w:p>
    <w:p>
      <w:pPr>
        <w:pStyle w:val="Normal"/>
      </w:pPr>
      <w:r>
        <w:rPr>
          <w:rFonts w:ascii="Calibri" w:hAnsi="Calibri" w:eastAsia="Microsoft YaHei" w:cs="Calibri"/>
          <w:color w:val="263238"/>
          <w:sz w:val="21"/>
          <w:szCs w:val="21"/>
        </w:rPr>
        <w:t>No Member's total annual contribution (regular + emergency) exceeds 0.25% of GDP in any single year, except by that Member's explicit parliamentary authorisation.</w:t>
      </w:r>
    </w:p>
    <w:p>
      <w:pPr>
        <w:pStyle w:val="Heading3"/>
      </w:pPr>
      <w:r>
        <w:rPr>
          <w:rFonts w:ascii="Calibri" w:hAnsi="Calibri" w:eastAsia="Microsoft YaHei" w:cs="Calibri"/>
          <w:b/>
          <w:color w:val="546E7A"/>
          <w:sz w:val="22"/>
          <w:szCs w:val="22"/>
        </w:rPr>
        <w:t>Section 8.0A (Addendum): Enhanced Liquidity Pre-Positioning [NEW: v12.1]</w:t>
      </w:r>
    </w:p>
    <w:p>
      <w:pPr>
        <w:pStyle w:val="Normal"/>
      </w:pPr>
      <w:r>
        <w:rPr>
          <w:rFonts w:ascii="Calibri" w:hAnsi="Calibri" w:eastAsia="Microsoft YaHei" w:cs="Calibri"/>
          <w:color w:val="263238"/>
          <w:sz w:val="21"/>
          <w:szCs w:val="21"/>
        </w:rPr>
        <w:t>The SFI Liquidity Backstop stands at a minimum of USD 25 billion in immediately available reserves, supplemented by a USD 10 billion standby credit facility pre-negotiated with willing Tier 3 Members. IMESI capitalises the Unilateral Measure Stabilisation Fund (Section 8.32) at 5% of total Fund size. Upon IEWC certification of Unilateral Tariff Regime Disruption (Section 2.2B) or Unannounced Trade Action (Section 5.0O), the Director-General holds authority to deploy up to 2% of total Fund size within 24 hours without a CC vote, subject to ex post ratification by 55% weighted vote within 14 days. These parameters remain indicative and subject to Founding Conference confirmation.</w:t>
      </w:r>
    </w:p>
    <w:p>
      <w:pPr>
        <w:pStyle w:val="Heading2"/>
      </w:pPr>
      <w:r>
        <w:rPr>
          <w:rFonts w:ascii="Calibri" w:hAnsi="Calibri" w:eastAsia="Microsoft YaHei" w:cs="Calibri"/>
          <w:b/>
          <w:color w:val="263238"/>
          <w:sz w:val="25"/>
          <w:szCs w:val="25"/>
        </w:rPr>
        <w:t>Section 8.4A: Burden-Sharing Escalation Surcharge (BSES) [NEW: v9.8 Safe Addition]</w:t>
      </w:r>
    </w:p>
    <w:p>
      <w:pPr>
        <w:pStyle w:val="Normal"/>
      </w:pPr>
      <w:r>
        <w:rPr>
          <w:rFonts w:ascii="Calibri" w:hAnsi="Calibri" w:eastAsia="Microsoft YaHei" w:cs="Calibri"/>
          <w:color w:val="263238"/>
          <w:sz w:val="21"/>
          <w:szCs w:val="21"/>
        </w:rPr>
        <w:t>Escalation Surcharge for Participation Shortfalls: Progressive surcharge on members whose participation falls below minimum response floors, with revenue recycling to full implementers.</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Shortfall &lt;10% below floor: Standard Surcharge +15%, Escalation Surcharge +15% (unchanged). Shortfall 10-25% below floor: Standard Surcharge +35%, Escalation Surcharge +50%. Shortfall &gt;25% below floor: Standard Surcharge +60%, Escalation Surcharge +100%.</w:t>
      </w:r>
    </w:p>
    <w:p>
      <w:pPr>
        <w:pStyle w:val="Normal"/>
      </w:pPr>
      <w:r>
        <w:rPr>
          <w:rFonts w:ascii="Calibri" w:hAnsi="Calibri" w:eastAsia="Microsoft YaHei" w:cs="Calibri"/>
          <w:color w:val="263238"/>
          <w:sz w:val="21"/>
          <w:szCs w:val="21"/>
        </w:rPr>
        <w:t>50% of escalation surcharge revenue distributed as "Solidarity Bonus" to members exceeding 110% of minimum response floor. Published ranking on Institutional Readiness Dashboard (Section 4.2A): recognizes top performers by compliance tier only; no naming or stigmatization of laggards.</w:t>
      </w:r>
    </w:p>
    <w:p>
      <w:pPr>
        <w:pStyle w:val="Normal"/>
      </w:pPr>
      <w:r>
        <w:rPr>
          <w:rFonts w:ascii="Calibri" w:hAnsi="Calibri" w:eastAsia="Microsoft YaHei" w:cs="Calibri"/>
          <w:color w:val="263238"/>
          <w:sz w:val="21"/>
          <w:szCs w:val="21"/>
        </w:rPr>
        <w:t>Financial Hardship Exemption [Clarifying Rule, Q1]</w:t>
      </w:r>
    </w:p>
    <w:p>
      <w:pPr>
        <w:pStyle w:val="Normal"/>
      </w:pPr>
      <w:r>
        <w:rPr>
          <w:rFonts w:ascii="Calibri" w:hAnsi="Calibri" w:eastAsia="Microsoft YaHei" w:cs="Calibri"/>
          <w:color w:val="263238"/>
          <w:sz w:val="21"/>
          <w:szCs w:val="21"/>
        </w:rPr>
        <w:t>A member certified by IEWC as coercion-damaged requests temporary Burden-Sharing Hardship Exemption under Section 8.4B: Member certifies that coercion-caused budget impact exceeds 2% of government revenue AND reduces capacity to fund minimum burden-sharing floor contribution; Exemption is granted automatically for 12 months (renewable once) upon certification; Member remains eligible for Debt Service Bridge allocation (Section 8.18) independently; Member is not subject to Escalation Surcharge during exemption period; Exemption expires upon: (a) coercion case closure, (b) 24-month cumulative period, or (c) member voluntary opt-out.</w:t>
      </w:r>
    </w:p>
    <w:p>
      <w:pPr>
        <w:pStyle w:val="Normal"/>
      </w:pPr>
      <w:r>
        <w:rPr>
          <w:rFonts w:ascii="Calibri" w:hAnsi="Calibri" w:eastAsia="Microsoft YaHei" w:cs="Calibri"/>
          <w:color w:val="263238"/>
          <w:sz w:val="21"/>
          <w:szCs w:val="21"/>
        </w:rPr>
        <w:t>After exemption expires, member resumes standard burden-sharing. Any arrears accrued during exemption are: (a) forgiven if case is closed within 24 months, or (b) amortized over 36 months at 0% interest if case extends beyond 24 months.</w:t>
      </w:r>
    </w:p>
    <w:p>
      <w:pPr>
        <w:pStyle w:val="Heading2"/>
      </w:pPr>
      <w:r>
        <w:rPr>
          <w:rFonts w:ascii="Calibri" w:hAnsi="Calibri" w:eastAsia="Microsoft YaHei" w:cs="Calibri"/>
          <w:b/>
          <w:color w:val="263238"/>
          <w:sz w:val="25"/>
          <w:szCs w:val="25"/>
        </w:rPr>
        <w:t>Section 8.4D: Fund Solvency Safeguards and Emergency Capital Calls [NEW: v9.8 Structural Fix]</w:t>
      </w:r>
    </w:p>
    <w:p>
      <w:pPr>
        <w:pStyle w:val="Normal"/>
      </w:pPr>
      <w:r>
        <w:rPr>
          <w:rFonts w:ascii="Calibri" w:hAnsi="Calibri" w:eastAsia="Microsoft YaHei" w:cs="Calibri"/>
          <w:color w:val="263238"/>
          <w:sz w:val="21"/>
          <w:szCs w:val="21"/>
        </w:rPr>
        <w:t>Liquidity Monitoring</w:t>
      </w:r>
    </w:p>
    <w:p>
      <w:pPr>
        <w:pStyle w:val="Normal"/>
      </w:pPr>
      <w:r>
        <w:rPr>
          <w:rFonts w:ascii="Calibri" w:hAnsi="Calibri" w:eastAsia="Microsoft YaHei" w:cs="Calibri"/>
          <w:color w:val="263238"/>
          <w:sz w:val="21"/>
          <w:szCs w:val="21"/>
        </w:rPr>
        <w:t>Treasurer reports quarterly on: Current liquid assets as % of allocated liabilities; Projected drawdown rate; Liquidity Floor: Minimum 25% of allocated Fund size kept in immediately available reserves.</w:t>
      </w:r>
    </w:p>
    <w:p>
      <w:pPr>
        <w:pStyle w:val="Normal"/>
      </w:pPr>
      <w:r>
        <w:rPr>
          <w:rFonts w:ascii="Calibri" w:hAnsi="Calibri" w:eastAsia="Microsoft YaHei" w:cs="Calibri"/>
          <w:color w:val="263238"/>
          <w:sz w:val="21"/>
          <w:szCs w:val="21"/>
        </w:rPr>
        <w:t>Automatic Capital Call Triggers</w:t>
      </w:r>
    </w:p>
    <w:p>
      <w:pPr>
        <w:pStyle w:val="Normal"/>
      </w:pPr>
      <w:r>
        <w:rPr>
          <w:rFonts w:ascii="Calibri" w:hAnsi="Calibri" w:eastAsia="Microsoft YaHei" w:cs="Calibri"/>
          <w:color w:val="263238"/>
          <w:sz w:val="21"/>
          <w:szCs w:val="21"/>
        </w:rPr>
        <w:t>If liquid reserves drop below 30%: 55% CC vote triggers emergency contribution call (additional 0.25% GDP from Tier 2+ members, payable within 30 days). If below 20%: Automatic emergency call (0.5% additional GDP, no vote, due within 14 days); Director-General approaches IMF/BIS for emergency credit lines.</w:t>
      </w:r>
    </w:p>
    <w:p>
      <w:pPr>
        <w:pStyle w:val="Normal"/>
      </w:pPr>
      <w:r>
        <w:rPr>
          <w:rFonts w:ascii="Calibri" w:hAnsi="Calibri" w:eastAsia="Microsoft YaHei" w:cs="Calibri"/>
          <w:color w:val="263238"/>
          <w:sz w:val="21"/>
          <w:szCs w:val="21"/>
        </w:rPr>
        <w:t>Borrowing Ceiling</w:t>
      </w:r>
    </w:p>
    <w:p>
      <w:pPr>
        <w:pStyle w:val="Normal"/>
      </w:pPr>
      <w:r>
        <w:rPr>
          <w:rFonts w:ascii="Calibri" w:hAnsi="Calibri" w:eastAsia="Microsoft YaHei" w:cs="Calibri"/>
          <w:color w:val="263238"/>
          <w:sz w:val="21"/>
          <w:szCs w:val="21"/>
        </w:rPr>
        <w:t>Total Fund borrowing is prohibited from exceeding 50% of total paid-in capital. Beyond 50% requires 70% CC vote + published justification.</w:t>
      </w:r>
    </w:p>
    <w:p>
      <w:pPr>
        <w:pStyle w:val="Normal"/>
      </w:pPr>
      <w:r>
        <w:rPr>
          <w:rFonts w:ascii="Calibri" w:hAnsi="Calibri" w:eastAsia="Microsoft YaHei" w:cs="Calibri"/>
          <w:color w:val="263238"/>
          <w:sz w:val="21"/>
          <w:szCs w:val="21"/>
        </w:rPr>
        <w:t>Insolvency Protocol (Last Resort)</w:t>
      </w:r>
    </w:p>
    <w:p>
      <w:pPr>
        <w:pStyle w:val="Normal"/>
      </w:pPr>
      <w:r>
        <w:rPr>
          <w:rFonts w:ascii="Calibri" w:hAnsi="Calibri" w:eastAsia="Microsoft YaHei" w:cs="Calibri"/>
          <w:color w:val="263238"/>
          <w:sz w:val="21"/>
          <w:szCs w:val="21"/>
        </w:rPr>
        <w:t>If liquid assets &lt;5%: Director-General triggers Standstill Period (all new allocations frozen 7 days); CC convenes within 24 hours; CC votes on: (a) Massive emergency capital call (1% GDP); (b) Temporary suspension of non-essential programs; or (c) Convert pending renewal votes into emergency capital pledges. Standstill lifted once liquidity restored above 15%.</w:t>
      </w:r>
    </w:p>
    <w:p>
      <w:pPr>
        <w:pStyle w:val="Normal"/>
      </w:pPr>
      <w:r>
        <w:rPr>
          <w:rFonts w:ascii="Calibri" w:hAnsi="Calibri" w:eastAsia="Microsoft YaHei" w:cs="Calibri"/>
          <w:color w:val="263238"/>
          <w:sz w:val="21"/>
          <w:szCs w:val="21"/>
        </w:rPr>
        <w:t>Fund Inflation Adjustment: Every 5 years, Treasurer calculates whether nominal Fund size has declined relative to global GDP growth; if yes, automatic contribution-rate adjustment. External Audit: Big Four firm conducts annual audit including solvency stress tests.</w:t>
      </w:r>
    </w:p>
    <w:p>
      <w:pPr>
        <w:pStyle w:val="Heading2"/>
      </w:pPr>
      <w:r>
        <w:rPr>
          <w:rFonts w:ascii="Calibri" w:hAnsi="Calibri" w:eastAsia="Microsoft YaHei" w:cs="Calibri"/>
          <w:b/>
          <w:color w:val="263238"/>
          <w:sz w:val="25"/>
          <w:szCs w:val="25"/>
        </w:rPr>
        <w:t>Section 8.4E: Multi-Crisis Stress Envelope [NEW: v9.8A Political Roadmap]</w:t>
      </w:r>
    </w:p>
    <w:p>
      <w:pPr>
        <w:pStyle w:val="Normal"/>
      </w:pPr>
      <w:r>
        <w:rPr>
          <w:rFonts w:ascii="Calibri" w:hAnsi="Calibri" w:eastAsia="Microsoft YaHei" w:cs="Calibri"/>
          <w:color w:val="263238"/>
          <w:sz w:val="21"/>
          <w:szCs w:val="21"/>
        </w:rPr>
        <w:t>When two or more major crises (Phase 2+ activations) are active simultaneously:</w:t>
      </w:r>
    </w:p>
    <w:p>
      <w:pPr>
        <w:pStyle w:val="Normal"/>
      </w:pPr>
      <w:r>
        <w:rPr>
          <w:rFonts w:ascii="Calibri" w:hAnsi="Calibri" w:eastAsia="Microsoft YaHei" w:cs="Calibri"/>
          <w:color w:val="263238"/>
          <w:sz w:val="21"/>
          <w:szCs w:val="21"/>
        </w:rPr>
        <w:t>(a) Fixed maximum draw: no single Member's total emergency contributions exceed 0.15% of GDP per 12-month period across all active cases combined;</w:t>
      </w:r>
    </w:p>
    <w:p>
      <w:pPr>
        <w:pStyle w:val="Normal"/>
      </w:pPr>
      <w:r>
        <w:rPr>
          <w:rFonts w:ascii="Calibri" w:hAnsi="Calibri" w:eastAsia="Microsoft YaHei" w:cs="Calibri"/>
          <w:color w:val="263238"/>
          <w:sz w:val="21"/>
          <w:szCs w:val="21"/>
        </w:rPr>
        <w:t>(b) Prioritisation rule: Fund allocations prioritise in order: (1) humanitarian corridor and civilian protection cases; (2) small-state primary-target cases; (3) cases by chronological order of certification;</w:t>
      </w:r>
    </w:p>
    <w:p>
      <w:pPr>
        <w:pStyle w:val="Normal"/>
      </w:pPr>
      <w:r>
        <w:rPr>
          <w:rFonts w:ascii="Calibri" w:hAnsi="Calibri" w:eastAsia="Microsoft YaHei" w:cs="Calibri"/>
          <w:color w:val="263238"/>
          <w:sz w:val="21"/>
          <w:szCs w:val="21"/>
        </w:rPr>
        <w:t>(c) Temporary top-up: CC authorises (by 60% vote) a temporary 25% Fund top-up through accelerated contributions, repayable over 24 months from post-crisis recovery;</w:t>
      </w:r>
    </w:p>
    <w:p>
      <w:pPr>
        <w:pStyle w:val="Normal"/>
      </w:pPr>
      <w:r>
        <w:rPr>
          <w:rFonts w:ascii="Calibri" w:hAnsi="Calibri" w:eastAsia="Microsoft YaHei" w:cs="Calibri"/>
          <w:color w:val="263238"/>
          <w:sz w:val="21"/>
          <w:szCs w:val="21"/>
        </w:rPr>
        <w:t>(d) External borrowing: Director-General approaches IMF/BIS for emergency credit lines per pre-negotiated facility (Section 8.4D).</w:t>
      </w:r>
    </w:p>
    <w:p>
      <w:pPr>
        <w:pStyle w:val="Normal"/>
      </w:pPr>
      <w:r>
        <w:rPr>
          <w:rFonts w:ascii="Calibri" w:hAnsi="Calibri" w:eastAsia="Microsoft YaHei" w:cs="Calibri"/>
          <w:color w:val="263238"/>
          <w:sz w:val="21"/>
          <w:szCs w:val="21"/>
        </w:rPr>
        <w:t>This answers "who pays if multiple crises hit at once?" with structured rules rather than ad hoc improvisation.</w:t>
      </w:r>
    </w:p>
    <w:p>
      <w:pPr>
        <w:pStyle w:val="Heading3"/>
      </w:pPr>
      <w:r>
        <w:rPr>
          <w:rFonts w:ascii="Calibri" w:hAnsi="Calibri" w:eastAsia="Microsoft YaHei" w:cs="Calibri"/>
          <w:b/>
          <w:color w:val="546E7A"/>
          <w:sz w:val="22"/>
          <w:szCs w:val="22"/>
        </w:rPr>
        <w:t>Section 8.4E (Addendum): High-Intensity Case Fatigue Protocol [NEW: v13.0]</w:t>
      </w:r>
    </w:p>
    <w:p>
      <w:pPr>
        <w:pStyle w:val="Normal"/>
      </w:pPr>
      <w:r>
        <w:rPr>
          <w:rFonts w:ascii="Calibri" w:hAnsi="Calibri" w:eastAsia="Microsoft YaHei" w:cs="Calibri"/>
          <w:color w:val="263238"/>
          <w:sz w:val="21"/>
          <w:szCs w:val="21"/>
        </w:rPr>
        <w:t>Where a Phase 3 activation is followed by de-escalation to Phase 0 within 30 days, the case receives treatment as a High-Intensity False Flag for Fund accounting purposes. The Fund drawdown for that case is reimbursed to the Fund from the Retroactive Reinstatement Surcharge (Section 10.9 Second Addendum) or the General Fund reserves within 90 days of de-escalation, preventing depletion of the Multi-Crisis Stress Envelope. A Member that invokes Phase 3 and then rapidly de-escalates more than twice in a 24-month period receives a mandatory tier review under Section 3.4 for potential downgrade to Tier 1. Documented rapid de-escalation by the coercing state constitutes a Coercer Rehabilitation Protocol violation under Section 3.9A, resetting the 18-month monitored cessation period.</w:t>
      </w:r>
    </w:p>
    <w:p>
      <w:pPr>
        <w:pStyle w:val="Heading2"/>
      </w:pPr>
      <w:r>
        <w:rPr>
          <w:rFonts w:ascii="Calibri" w:hAnsi="Calibri" w:eastAsia="Microsoft YaHei" w:cs="Calibri"/>
          <w:b/>
          <w:color w:val="263238"/>
          <w:sz w:val="25"/>
          <w:szCs w:val="25"/>
        </w:rPr>
        <w:t>Section 8.1A: Small-State Resilience Reserve [NEW: v9.8A Small-State Protection]</w:t>
      </w:r>
    </w:p>
    <w:p>
      <w:pPr>
        <w:pStyle w:val="Heading3"/>
      </w:pPr>
      <w:r>
        <w:rPr>
          <w:rFonts w:ascii="Calibri" w:hAnsi="Calibri" w:eastAsia="Microsoft YaHei" w:cs="Calibri"/>
          <w:b/>
          <w:color w:val="546E7A"/>
          <w:sz w:val="22"/>
          <w:szCs w:val="22"/>
        </w:rPr>
        <w:t>Section 8.1A (Addendum): Pre-Formation Tariff Shield [NEW: v12.0]</w:t>
      </w:r>
    </w:p>
    <w:p>
      <w:pPr>
        <w:pStyle w:val="Normal"/>
      </w:pPr>
      <w:r>
        <w:rPr>
          <w:rFonts w:ascii="Calibri" w:hAnsi="Calibri" w:eastAsia="Microsoft YaHei" w:cs="Calibri"/>
          <w:color w:val="263238"/>
          <w:sz w:val="21"/>
          <w:szCs w:val="21"/>
        </w:rPr>
        <w:t>A Pre-Formation Tariff Shield fund operates separately from the main Fund, providing immediate liquidity and compensation to founding members facing pre-emptive tariffs before IMESI reaches full operation. The Shield triggers on any tariff increase exceeding 5% against a founding member within 90 days of signing the Founding Pledge. Benefits run retroactively to the pledge date.</w:t>
      </w:r>
    </w:p>
    <w:p>
      <w:pPr>
        <w:pStyle w:val="Normal"/>
      </w:pPr>
      <w:r>
        <w:rPr>
          <w:rFonts w:ascii="Calibri" w:hAnsi="Calibri" w:eastAsia="Microsoft YaHei" w:cs="Calibri"/>
          <w:color w:val="263238"/>
          <w:sz w:val="21"/>
          <w:szCs w:val="21"/>
        </w:rPr>
        <w:t>Twenty percent (20%) of the Fund is hard-reserved for cases where the primary target is one or more small-state Members (as defined in Section 4.1A). This reserve is not drawn upon for large-economy cases except by 75% weighted CC vote with published justification demonstrating that: (a) the large-economy case presents immediate systemic risk to 3+ small-state Members; and (b) all other Fund resources are exhausted or committed. Prevents large crises from crowding out small victims.</w:t>
      </w:r>
    </w:p>
    <w:p>
      <w:pPr>
        <w:pStyle w:val="Heading2"/>
      </w:pPr>
      <w:r>
        <w:rPr>
          <w:rFonts w:ascii="Calibri" w:hAnsi="Calibri" w:eastAsia="Microsoft YaHei" w:cs="Calibri"/>
          <w:b/>
          <w:color w:val="263238"/>
          <w:sz w:val="25"/>
          <w:szCs w:val="25"/>
        </w:rPr>
        <w:t>Section 8.4F: Political Volatility Surcharge Shield [NEW: v12.1]</w:t>
      </w:r>
    </w:p>
    <w:p>
      <w:pPr>
        <w:pStyle w:val="Normal"/>
      </w:pPr>
      <w:r>
        <w:rPr>
          <w:rFonts w:ascii="Calibri" w:hAnsi="Calibri" w:eastAsia="Microsoft YaHei" w:cs="Calibri"/>
          <w:color w:val="263238"/>
          <w:sz w:val="21"/>
          <w:szCs w:val="21"/>
        </w:rPr>
        <w:t>Where the IEWC certifies a Political Volatility Event, characterised by frequent, arbitrary, and contradictory policy announcements from a coercer, all Fund contribution floors for Members reduce by 25% for the duration of the event, recognising the economic uncertainty already inflicted on Member markets. The reduction applies uniformly and does not alter eligibility for Fund support.</w:t>
      </w:r>
    </w:p>
    <w:p>
      <w:pPr>
        <w:pStyle w:val="Heading2"/>
      </w:pPr>
      <w:r>
        <w:rPr>
          <w:rFonts w:ascii="Calibri" w:hAnsi="Calibri" w:eastAsia="Microsoft YaHei" w:cs="Calibri"/>
          <w:b/>
          <w:color w:val="263238"/>
          <w:sz w:val="25"/>
          <w:szCs w:val="25"/>
        </w:rPr>
        <w:t>Section 8.9B: Vulnerable Coalition Window [NEW: v9.8A Small-State Protection]</w:t>
      </w:r>
    </w:p>
    <w:p>
      <w:pPr>
        <w:pStyle w:val="Normal"/>
      </w:pPr>
      <w:r>
        <w:rPr>
          <w:rFonts w:ascii="Calibri" w:hAnsi="Calibri" w:eastAsia="Microsoft YaHei" w:cs="Calibri"/>
          <w:color w:val="263238"/>
          <w:sz w:val="21"/>
          <w:szCs w:val="21"/>
        </w:rPr>
        <w:t>When two or more small-state Members (as defined in Section 4.1A) are co-targets in the same coercion case or related cases from the same coercer, they qualify for the Vulnerable Coalition Window offering enhanced Fund terms: grant share increased to 60% (vs. standard 40%); maturity extended to 36 months (vs. standard 24); and application processing accelerated to 10-day turnaround (vs. standard 15). This rewards collective action and makes coordination fiscally attractive for small economies.</w:t>
      </w:r>
    </w:p>
    <w:p>
      <w:pPr>
        <w:pStyle w:val="Heading2"/>
      </w:pPr>
      <w:r>
        <w:rPr>
          <w:rFonts w:ascii="Calibri" w:hAnsi="Calibri" w:eastAsia="Microsoft YaHei" w:cs="Calibri"/>
          <w:b/>
          <w:color w:val="263238"/>
          <w:sz w:val="25"/>
          <w:szCs w:val="25"/>
        </w:rPr>
        <w:t>Section 8.9C: Small-State Diversification Priority Scoring [NEW: v9.8A Small-State Protection]</w:t>
      </w:r>
    </w:p>
    <w:p>
      <w:pPr>
        <w:pStyle w:val="Normal"/>
      </w:pPr>
      <w:r>
        <w:rPr>
          <w:rFonts w:ascii="Calibri" w:hAnsi="Calibri" w:eastAsia="Microsoft YaHei" w:cs="Calibri"/>
          <w:color w:val="263238"/>
          <w:sz w:val="21"/>
          <w:szCs w:val="21"/>
        </w:rPr>
        <w:t>Small-state Members that have been targeted in an IMESI case within the past 5 years receive priority scoring (+25% weighting) in all supply-chain diversification, infrastructure resilience, and Substitution Acceleration Sub-Fund (Section 10.5) project applications. This ties long-term resilience funding explicitly to past victimisation and ensures that the most vulnerable members build durable economic defences.</w:t>
      </w:r>
    </w:p>
    <w:p>
      <w:pPr>
        <w:pStyle w:val="Heading2"/>
      </w:pPr>
      <w:r>
        <w:rPr>
          <w:rFonts w:ascii="Calibri" w:hAnsi="Calibri" w:eastAsia="Microsoft YaHei" w:cs="Calibri"/>
          <w:b/>
          <w:color w:val="263238"/>
          <w:sz w:val="25"/>
          <w:szCs w:val="25"/>
        </w:rPr>
        <w:t>Section 8.9D: First-Mover Protection Window [NEW: v9.8B]</w:t>
      </w:r>
    </w:p>
    <w:p>
      <w:pPr>
        <w:pStyle w:val="Normal"/>
      </w:pPr>
      <w:r>
        <w:rPr>
          <w:rFonts w:ascii="Calibri" w:hAnsi="Calibri" w:eastAsia="Microsoft YaHei" w:cs="Calibri"/>
          <w:color w:val="263238"/>
          <w:sz w:val="21"/>
          <w:szCs w:val="21"/>
        </w:rPr>
        <w:t>A dedicated window within the Fund, targeting an amount equivalent to 10-15% of total capitalised reserves, are reserved for supporting Founding Members (first 10 ratifying states) facing retaliation or coercion pressure during the period before IMESI is fully operational (i.e. before the Minimum Viable Coalition threshold is reached or during the first 24 months of provisional entry into force, whichever is longer). The Window provides: expedited liquidity access (5-day processing vs. standard 15); enhanced grant share (70% vs. standard 40%); and priority supply-chain diversification assistance. The Window amount is indicative and subject to Founding Conference negotiation; it does not create a fixed entitlement but establishes a target range for institutional planning.</w:t>
      </w:r>
    </w:p>
    <w:p>
      <w:pPr>
        <w:pStyle w:val="Heading2"/>
      </w:pPr>
      <w:r>
        <w:rPr>
          <w:rFonts w:ascii="Calibri" w:hAnsi="Calibri" w:eastAsia="Microsoft YaHei" w:cs="Calibri"/>
          <w:b/>
          <w:color w:val="263238"/>
          <w:sz w:val="25"/>
          <w:szCs w:val="25"/>
        </w:rPr>
        <w:t>Section 8.5: Emergency Liquidity Mechanisms</w:t>
      </w:r>
    </w:p>
    <w:p>
      <w:pPr>
        <w:pStyle w:val="Normal"/>
      </w:pPr>
      <w:r>
        <w:rPr>
          <w:rFonts w:ascii="Calibri" w:hAnsi="Calibri" w:eastAsia="Microsoft YaHei" w:cs="Calibri"/>
          <w:color w:val="263238"/>
          <w:sz w:val="21"/>
          <w:szCs w:val="21"/>
        </w:rPr>
        <w:t>Emergency Borrowing: Up to 50% of capitalised assets. Pre-Arranged Credit Lines: USD 10–15 billion from member central banks. Bond Issuance: Backed by member guarantees, AAA rating expected.</w:t>
      </w:r>
    </w:p>
    <w:p>
      <w:pPr>
        <w:pStyle w:val="Normal"/>
      </w:pPr>
      <w:r>
        <w:rPr>
          <w:rFonts w:ascii="Calibri" w:hAnsi="Calibri" w:eastAsia="Microsoft YaHei" w:cs="Calibri"/>
          <w:color w:val="263238"/>
          <w:sz w:val="21"/>
          <w:szCs w:val="21"/>
        </w:rPr>
        <w:t>Tiered Disbursement Authority:</w:t>
      </w:r>
    </w:p>
    <w:p>
      <w:pPr>
        <w:pStyle w:val="Normal"/>
      </w:pPr>
      <w:r>
        <w:rPr>
          <w:rFonts w:ascii="Calibri" w:hAnsi="Calibri" w:eastAsia="Microsoft YaHei" w:cs="Calibri"/>
          <w:color w:val="263238"/>
          <w:sz w:val="21"/>
          <w:szCs w:val="21"/>
        </w:rPr>
        <w:t>Amount</w:t>
      </w:r>
    </w:p>
    <w:p>
      <w:pPr>
        <w:pStyle w:val="Normal"/>
      </w:pPr>
      <w:r>
        <w:rPr>
          <w:rFonts w:ascii="Calibri" w:hAnsi="Calibri" w:eastAsia="Microsoft YaHei" w:cs="Calibri"/>
          <w:color w:val="263238"/>
          <w:sz w:val="21"/>
          <w:szCs w:val="21"/>
        </w:rPr>
        <w:t>Authorisation Required</w:t>
      </w:r>
    </w:p>
    <w:p>
      <w:pPr>
        <w:pStyle w:val="Normal"/>
      </w:pPr>
      <w:r>
        <w:rPr>
          <w:rFonts w:ascii="Calibri" w:hAnsi="Calibri" w:eastAsia="Microsoft YaHei" w:cs="Calibri"/>
          <w:color w:val="263238"/>
          <w:sz w:val="21"/>
          <w:szCs w:val="21"/>
        </w:rPr>
        <w:t>Time Window</w:t>
      </w:r>
    </w:p>
    <w:p>
      <w:pPr>
        <w:pStyle w:val="Normal"/>
      </w:pPr>
      <w:r>
        <w:rPr>
          <w:rFonts w:ascii="Calibri" w:hAnsi="Calibri" w:eastAsia="Microsoft YaHei" w:cs="Calibri"/>
          <w:color w:val="263238"/>
          <w:sz w:val="21"/>
          <w:szCs w:val="21"/>
        </w:rPr>
        <w:t>Up to USD 100M</w:t>
      </w:r>
    </w:p>
    <w:p>
      <w:pPr>
        <w:pStyle w:val="Normal"/>
      </w:pPr>
      <w:r>
        <w:rPr>
          <w:rFonts w:ascii="Calibri" w:hAnsi="Calibri" w:eastAsia="Microsoft YaHei" w:cs="Calibri"/>
          <w:color w:val="263238"/>
          <w:sz w:val="21"/>
          <w:szCs w:val="21"/>
        </w:rPr>
        <w:t>Director-General (immediate, no approval)</w:t>
      </w:r>
    </w:p>
    <w:p>
      <w:r>
        <w:t>Immediate</w:t>
      </w:r>
    </w:p>
    <w:p>
      <w:pPr>
        <w:pStyle w:val="Heading3"/>
      </w:pPr>
      <w:r>
        <w:t>USD 100M–500M</w:t>
      </w:r>
    </w:p>
    <w:p>
      <w:r>
        <w:t>DG + simple majority Coordination Committee (remote vote)</w:t>
      </w:r>
    </w:p>
    <w:p>
      <w:r>
        <w:t>4-hour window</w:t>
      </w:r>
    </w:p>
    <w:p>
      <w:pPr>
        <w:pStyle w:val="Heading3"/>
      </w:pPr>
      <w:r>
        <w:t>USD 500M–2B</w:t>
      </w:r>
    </w:p>
    <w:p>
      <w:r>
        <w:t>DG + 55% weighted vote (full Committee)</w:t>
      </w:r>
    </w:p>
    <w:p>
      <w:r>
        <w:t>12-hour window</w:t>
      </w:r>
    </w:p>
    <w:p>
      <w:pPr>
        <w:pStyle w:val="Heading3"/>
      </w:pPr>
      <w:r>
        <w:t>&gt;USD 2B</w:t>
      </w:r>
    </w:p>
    <w:p>
      <w:r>
        <w:t>60% weighted assessment</w:t>
      </w:r>
    </w:p>
    <w:p>
      <w:r>
        <w:t>vote</w:t>
      </w:r>
    </w:p>
    <w:p>
      <w:r>
        <w:t>+</w:t>
      </w:r>
    </w:p>
    <w:p>
      <w:r>
        <w:t>independent</w:t>
      </w:r>
    </w:p>
    <w:p>
      <w:r>
        <w:t>impact</w:t>
      </w:r>
    </w:p>
    <w:p>
      <w:r>
        <w:t>5–7 days</w:t>
      </w:r>
    </w:p>
    <w:p>
      <w:r>
        <w:t>Emergency override: If the IEWC designates a case as Category 1 Red-Line (Section 2.2), the Director-General activates at the USD 500M tier without Committee vote for Phase 1 only. Phase 2+ requires standard tiered approval. Public Impact Assessment (v8.5): Before any Phase 2+ authorisation, member governments publish a standardised domestic impact assessment covering: consumer price effects, regional employment impacts, supply chain disruption estimates, and comparison of stabilisation measure costs to coercion harm. Judicial review is available in national courts, courts delay implementation for up to 14 days for procedural review, but is not permitted to veto coalition-authorised measures. This creates transparency and political accountability for the domestic costs of collective action.</w:t>
      </w:r>
    </w:p>
    <w:p>
      <w:pPr>
        <w:pStyle w:val="Heading2"/>
      </w:pPr>
      <w:r>
        <w:t>Section 8.6: Fund Architecture, Dual Pool</w:t>
      </w:r>
    </w:p>
    <w:p>
      <w:r>
        <w:t>To ensure members believe stabilisation capital exists when needed, the Fund is split into two separately</w:t>
      </w:r>
    </w:p>
    <w:p>
      <w:r>
        <w:t>capitalised and legally ring-fenced pools:</w:t>
      </w:r>
    </w:p>
    <w:p>
      <w:r>
        <w:t>Pool</w:t>
      </w:r>
    </w:p>
    <w:p>
      <w:r>
        <w:t>Allocation</w:t>
      </w:r>
    </w:p>
    <w:p>
      <w:r>
        <w:t>Purpose</w:t>
      </w:r>
    </w:p>
    <w:p>
      <w:r>
        <w:t>Stabilisation Fund</w:t>
      </w:r>
    </w:p>
    <w:p>
      <w:r>
        <w:t>80% of total</w:t>
      </w:r>
    </w:p>
    <w:p>
      <w:r>
        <w:t>Exclusively cases</w:t>
      </w:r>
    </w:p>
    <w:p>
      <w:r>
        <w:t>Peacetime Fund</w:t>
      </w:r>
    </w:p>
    <w:p>
      <w:r>
        <w:t>20% of total</w:t>
      </w:r>
    </w:p>
    <w:p>
      <w:r>
        <w:t>Pandemic, disaster, contagion</w:t>
      </w:r>
    </w:p>
    <w:p>
      <w:r>
        <w:t>Draw-Down Limit for</w:t>
      </w:r>
    </w:p>
    <w:p>
      <w:r>
        <w:t>coercion</w:t>
      </w:r>
    </w:p>
    <w:p>
      <w:r>
        <w:t>Max 40% of capital base per calendar year (prevents depletion in first 2–3 cases)</w:t>
      </w:r>
    </w:p>
    <w:p>
      <w:r>
        <w:t>climate financial</w:t>
      </w:r>
    </w:p>
    <w:p>
      <w:r>
        <w:t>Cannot be transferred to Stabilisation Fund without 75% weighted vote</w:t>
      </w:r>
    </w:p>
    <w:p>
      <w:r>
        <w:t>Peacetime Fund uses: Pandemic supply chain disruptions, climate disaster economic stabilisation, financial contagion containment. Accessible to all tiers. Builds institutional habit and trust before any coercion crisis. Emergency borrowing: If the Stabilisation Fund exceeds its annual draw-down limit, automatic emergency borrowing activates via 30-day pre-arranged credit lines from member central banks, capped at USD 10 billion per drawdown event. Capital replenishment: Members increase base contributions if either Fund drops below 50% of target capacity. Annual replenishment vote by Coordination Committee.</w:t>
      </w:r>
    </w:p>
    <w:p>
      <w:r>
        <w:t>Specialised Sub-Funds:</w:t>
      </w:r>
    </w:p>
    <w:p>
      <w:r>
        <w:t>Burden Equalisation Fund: Dedicated USD 10–20 billion for automatic burden-sharing transfers per the</w:t>
      </w:r>
    </w:p>
    <w:p>
      <w:r>
        <w:t>Section 8.4 formula. Disbursements formula-driven, requiring no discretionary approval.</w:t>
      </w:r>
    </w:p>
    <w:p>
      <w:r>
        <w:t>Defection Penalty Fund: Resources from members violating anti-fragmentation commitments. Used to compensate members harmed by defections.</w:t>
      </w:r>
    </w:p>
    <w:p>
      <w:pPr>
        <w:pStyle w:val="Heading2"/>
      </w:pPr>
      <w:r>
        <w:t>Section 8.8: Digital Infrastructure Resilience Fund</w:t>
      </w:r>
    </w:p>
    <w:p>
      <w:r>
        <w:t>A specialised USD 5–8 billion sub-fund for digital sovereignty and AI resilience, activated by a digital coercion finding or a peacetime stress test showing &gt;60% concentration in non-member AI/cloud providers: • Sovereign cloud infrastructure development (joint IMESI data centres) • Alternative AI model training capacity (pooled compute facilities) • Undersea cable diversification for digital traffic routing • Quantum-resistant cryptography transition support</w:t>
      </w:r>
    </w:p>
    <w:p>
      <w:pPr>
        <w:pStyle w:val="Heading2"/>
      </w:pPr>
      <w:r>
        <w:t>Section 8.9: Decoupling Acceleration Reserve (DAR)</w:t>
      </w:r>
    </w:p>
    <w:p>
      <w:pPr>
        <w:pStyle w:val="Heading3"/>
      </w:pPr>
      <w:r>
        <w:t>Section 8.9 (Addendum): Critical Minerals Fast-Track [NEW: v11.0]</w:t>
      </w:r>
    </w:p>
    <w:p>
      <w:r>
        <w:t>The Diversification and Re-Routing mechanism incorporates pre-negotiated contracts for critical minerals, including lithium, copper, and rare earths. These contracts activate immediately upon tariff application in these sectors, bypassing the standard 30-day consultation window.</w:t>
      </w:r>
    </w:p>
    <w:p>
      <w:r>
        <w:t>Re-engagement Clauses (v9.3A): 30% of DAR funding reserved for supply chain re-linking if the coercing state meets verified compliance milestones: (i) full coercion withdrawal certified by IEWC; (ii) 24-month monitored non-repetition period; (iii) acceptance of permanent IMESI compliance monitoring. Re-linking requires affected member consent, not automatic; and affected members decline re-linking without penalty. This creates conditional irreversibility: patient coercers face permanent market loss, but good-faith engagement creates a pathway back. A USD 15–20 billion pre-positioned fund enabling irreversible structural decoupling from a coercing state's supply chains. Unlike the reactive Substitution Acceleration Sub-Fund (Section 10.5), the DAR deploys before or during coercion to raise the permanent cost of economic coercion beyond any short-term gain: Element</w:t>
      </w:r>
    </w:p>
    <w:p>
      <w:r>
        <w:t>Design</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Any Phase 2+ activation; OR annual stress test showing &gt;40% dependency on coercing state in critical sectors</w:t>
      </w:r>
    </w:p>
    <w:p>
      <w:pPr>
        <w:pStyle w:val="Normal"/>
      </w:pPr>
      <w:r>
        <w:rPr>
          <w:rFonts w:ascii="Calibri" w:hAnsi="Calibri" w:eastAsia="Microsoft YaHei" w:cs="Calibri"/>
          <w:color w:val="263238"/>
          <w:sz w:val="21"/>
          <w:szCs w:val="21"/>
        </w:rPr>
        <w:t>Mandatory actions</w:t>
      </w:r>
    </w:p>
    <w:p>
      <w:pPr>
        <w:pStyle w:val="Normal"/>
      </w:pPr>
      <w:r>
        <w:rPr>
          <w:rFonts w:ascii="Calibri" w:hAnsi="Calibri" w:eastAsia="Microsoft YaHei" w:cs="Calibri"/>
          <w:color w:val="263238"/>
          <w:sz w:val="21"/>
          <w:szCs w:val="21"/>
        </w:rPr>
        <w:t>5-year procurement contracts with non-coercer suppliers; joint venture equity in alternative production; technology transfer agreements</w:t>
      </w:r>
    </w:p>
    <w:p>
      <w:pPr>
        <w:pStyle w:val="Normal"/>
      </w:pPr>
      <w:r>
        <w:rPr>
          <w:rFonts w:ascii="Calibri" w:hAnsi="Calibri" w:eastAsia="Microsoft YaHei" w:cs="Calibri"/>
          <w:color w:val="263238"/>
          <w:sz w:val="21"/>
          <w:szCs w:val="21"/>
        </w:rPr>
        <w:t>Irreversibility clause</w:t>
      </w:r>
    </w:p>
    <w:p>
      <w:pPr>
        <w:pStyle w:val="Normal"/>
      </w:pPr>
      <w:r>
        <w:rPr>
          <w:rFonts w:ascii="Calibri" w:hAnsi="Calibri" w:eastAsia="Microsoft YaHei" w:cs="Calibri"/>
          <w:color w:val="263238"/>
          <w:sz w:val="21"/>
          <w:szCs w:val="21"/>
        </w:rPr>
        <w:t>Contracts include 10-year minimum terms; early termination penalties paid by Fund if coercion ends before contract expiry</w:t>
      </w:r>
    </w:p>
    <w:p>
      <w:pPr>
        <w:pStyle w:val="Normal"/>
      </w:pPr>
      <w:r>
        <w:rPr>
          <w:rFonts w:ascii="Calibri" w:hAnsi="Calibri" w:eastAsia="Microsoft YaHei" w:cs="Calibri"/>
          <w:color w:val="263238"/>
          <w:sz w:val="21"/>
          <w:szCs w:val="21"/>
        </w:rPr>
        <w:t>Strategic effect: The coercing state knows that even rapid withdrawal of coercive measures cannot recover lost market share, raising the permanent structural cost of coercion, not just the temporary pain. Patient coercers willing to absorb short-term costs face irreversible supply chain restructuring. Re-engagement Clauses (v8.5): DAR-funded contracts include conditional reversibility: 30% of funding is reserved for supply chain re-linking if, within 36 months, the coercer: (a) withdraws all coercive measures; (b) accepts independent compliance monitoring for 24 months; and (c) contributes to a Re-engagement Fund at 0.1% GDP. Re-linking requires affected member consent, it is not automatic. Irreversibility becomes conditional on coercer behaviour, not absolute; member agency is preserved.</w:t>
      </w:r>
    </w:p>
    <w:p>
      <w:pPr>
        <w:pStyle w:val="Heading3"/>
      </w:pPr>
      <w:r>
        <w:rPr>
          <w:rFonts w:ascii="Calibri" w:hAnsi="Calibri" w:eastAsia="Microsoft YaHei" w:cs="Calibri"/>
          <w:b/>
          <w:color w:val="546E7A"/>
          <w:sz w:val="22"/>
          <w:szCs w:val="22"/>
        </w:rPr>
        <w:t>Section 8.9 (Second Addendum): Threat-Triggered Preliminary Procurement [NEW: v12.1]</w:t>
      </w:r>
    </w:p>
    <w:p>
      <w:pPr>
        <w:pStyle w:val="Normal"/>
      </w:pPr>
      <w:r>
        <w:rPr>
          <w:rFonts w:ascii="Calibri" w:hAnsi="Calibri" w:eastAsia="Microsoft YaHei" w:cs="Calibri"/>
          <w:color w:val="263238"/>
          <w:sz w:val="21"/>
          <w:szCs w:val="21"/>
        </w:rPr>
        <w:t>Where a head of state or competent minister of a state with documented coercive history announces credible consideration of tariffs, export restrictions, or licensing measures against a Member, the Decoupling Acceleration Reserve gains authorisation to begin preliminary contract negotiations with alternative suppliers immediately upon the announcement, without awaiting imposition or certification. Preliminary activity under this Addendum compresses the standard procurement planning horizon from 5 years to 18 months and creates no trade measure.</w:t>
      </w:r>
    </w:p>
    <w:p>
      <w:pPr>
        <w:pStyle w:val="Heading3"/>
      </w:pPr>
      <w:r>
        <w:t>Section 8.9 (Addendum): Decoupling Surge on Systemic Defection [NEW: v15.0]</w:t>
      </w:r>
    </w:p>
    <w:p>
      <w:r>
        <w:t>(h) Upon IEWC certification that a systemic economy has: (i) notified withdrawal under Section 3.7B; (ii) suspended implementation under Section 1.0A; or (iii) been certified as a coercer under Article II and is demonstrably engaged in divide-and-conquer tactics, the Decoupling Acceleration Reserve (DAR) activates at Surge level, with the following mandatory actions: (i) the DAR budget increases by 50% from its standard allocation; (ii) pre-negotiated 5-year procurement contracts with alternative suppliers execute within 14 days; (iii) the Fund provides 150% of standard grant rates for supply-chain diversification projects; and (iv) the Joint Procurement Consortium prioritises sourcing from non-coercer suppliers exclusively for the duration of the case.</w:t>
      </w:r>
    </w:p>
    <w:p>
      <w:r>
        <w:t>(i) The exclusive sourcing preference in subsection (h)(iv): (i) operates only during an active case certified under Section 9.1B, resting on GATT Article XXI; (ii) respects the government procurement carve-out in GATT Article III:8(a) and the security exceptions available to GPA-party Members; and (iii) applies no domestic content requirement, keeping all grants decoupled from export performance and import substitution consistent with the SCM Agreement.</w:t>
      </w:r>
    </w:p>
    <w:p>
      <w:r>
        <w:t>(j) The DAR Surge operates for a minimum of 36 months, renewable by 55% CC vote, and is not suspended or reduced upon cessation of the triggering conduct until the 36-month period expires.</w:t>
      </w:r>
    </w:p>
    <w:p>
      <w:r>
        <w:t>Rationale: This makes defection structurally irreversible. The moment a systemic economy acts as a defector, the coalition begins a 36-month supply-chain decoupling. The defector loses market share on a lasting basis.</w:t>
      </w:r>
    </w:p>
    <w:p>
      <w:pPr>
        <w:pStyle w:val="Heading2"/>
      </w:pPr>
      <w:r>
        <w:rPr>
          <w:rFonts w:ascii="Calibri" w:hAnsi="Calibri" w:eastAsia="Microsoft YaHei" w:cs="Calibri"/>
          <w:b/>
          <w:color w:val="263238"/>
          <w:sz w:val="25"/>
          <w:szCs w:val="25"/>
        </w:rPr>
        <w:t>Section 8.10: Shadow Financial Infrastructure (SFI)</w:t>
      </w:r>
    </w:p>
    <w:p>
      <w:pPr>
        <w:pStyle w:val="Heading3"/>
      </w:pPr>
      <w:r>
        <w:rPr>
          <w:rFonts w:ascii="Calibri" w:hAnsi="Calibri" w:eastAsia="Microsoft YaHei" w:cs="Calibri"/>
          <w:b/>
          <w:color w:val="546E7A"/>
          <w:sz w:val="22"/>
          <w:szCs w:val="22"/>
        </w:rPr>
        <w:t>Section 8.10 (Addendum): Tariff Payment Surcharge [NEW: v11.0]</w:t>
      </w:r>
    </w:p>
    <w:p>
      <w:pPr>
        <w:pStyle w:val="Normal"/>
      </w:pPr>
      <w:r>
        <w:rPr>
          <w:rFonts w:ascii="Calibri" w:hAnsi="Calibri" w:eastAsia="Microsoft YaHei" w:cs="Calibri"/>
          <w:color w:val="263238"/>
          <w:sz w:val="21"/>
          <w:szCs w:val="21"/>
        </w:rPr>
        <w:t>Where a coercing state applies tariffs unilaterally, the SFI surcharge rate of 125% applies to all transactions settling in the coercing state’s currency, raising the cost of reserve-currency settlement for the coercing state’s trade.</w:t>
      </w:r>
    </w:p>
    <w:p>
      <w:pPr>
        <w:pStyle w:val="Normal"/>
      </w:pPr>
      <w:r>
        <w:rPr>
          <w:rFonts w:ascii="Calibri" w:hAnsi="Calibri" w:eastAsia="Microsoft YaHei" w:cs="Calibri"/>
          <w:color w:val="263238"/>
          <w:sz w:val="21"/>
          <w:szCs w:val="21"/>
        </w:rPr>
        <w:t>IMF/BIS Compatibility (v9.5): All SFI operations are designed and implemented in a manner consistent with members' obligations under the IMF Articles of Agreement and, where appropriate, in coordination with relevant BIS frameworks. A fully operational, 24/7-ready alternative settlement system ensuring that no reserve-currency issuer paralyses IMESI member trade through clearing system denial:</w:t>
      </w:r>
    </w:p>
    <w:p>
      <w:pPr>
        <w:pStyle w:val="Normal"/>
      </w:pPr>
      <w:r>
        <w:rPr>
          <w:rFonts w:ascii="Calibri" w:hAnsi="Calibri" w:eastAsia="Microsoft YaHei" w:cs="Calibri"/>
          <w:color w:val="263238"/>
          <w:sz w:val="21"/>
          <w:szCs w:val="21"/>
        </w:rPr>
        <w:t>Component</w:t>
      </w:r>
    </w:p>
    <w:p>
      <w:pPr>
        <w:pStyle w:val="Normal"/>
      </w:pPr>
      <w:r>
        <w:rPr>
          <w:rFonts w:ascii="Calibri" w:hAnsi="Calibri" w:eastAsia="Microsoft YaHei" w:cs="Calibri"/>
          <w:color w:val="263238"/>
          <w:sz w:val="21"/>
          <w:szCs w:val="21"/>
        </w:rPr>
        <w:t>Current (v4.2)</w:t>
      </w:r>
    </w:p>
    <w:p>
      <w:pPr>
        <w:pStyle w:val="Normal"/>
      </w:pPr>
      <w:r>
        <w:rPr>
          <w:rFonts w:ascii="Calibri" w:hAnsi="Calibri" w:eastAsia="Microsoft YaHei" w:cs="Calibri"/>
          <w:color w:val="263238"/>
          <w:sz w:val="21"/>
          <w:szCs w:val="21"/>
        </w:rPr>
        <w:t>Upgraded (v5.0)</w:t>
      </w:r>
    </w:p>
    <w:p>
      <w:pPr>
        <w:pStyle w:val="Normal"/>
      </w:pPr>
      <w:r>
        <w:rPr>
          <w:rFonts w:ascii="Calibri" w:hAnsi="Calibri" w:eastAsia="Microsoft YaHei" w:cs="Calibri"/>
          <w:color w:val="263238"/>
          <w:sz w:val="21"/>
          <w:szCs w:val="21"/>
        </w:rPr>
        <w:t>Swap lines</w:t>
      </w:r>
    </w:p>
    <w:p>
      <w:pPr>
        <w:pStyle w:val="Normal"/>
      </w:pPr>
      <w:r>
        <w:rPr>
          <w:rFonts w:ascii="Calibri" w:hAnsi="Calibri" w:eastAsia="Microsoft YaHei" w:cs="Calibri"/>
          <w:color w:val="263238"/>
          <w:sz w:val="21"/>
          <w:szCs w:val="21"/>
        </w:rPr>
        <w:t>Activated during disputes</w:t>
      </w:r>
    </w:p>
    <w:p>
      <w:pPr>
        <w:pStyle w:val="Normal"/>
      </w:pPr>
      <w:r>
        <w:rPr>
          <w:rFonts w:ascii="Calibri" w:hAnsi="Calibri" w:eastAsia="Microsoft YaHei" w:cs="Calibri"/>
          <w:color w:val="263238"/>
          <w:sz w:val="21"/>
          <w:szCs w:val="21"/>
        </w:rPr>
        <w:t>Permanent, unlimited, pre-negotiated among all Tier 2+ members</w:t>
      </w:r>
    </w:p>
    <w:p>
      <w:pPr>
        <w:pStyle w:val="Normal"/>
      </w:pPr>
      <w:r>
        <w:rPr>
          <w:rFonts w:ascii="Calibri" w:hAnsi="Calibri" w:eastAsia="Microsoft YaHei" w:cs="Calibri"/>
          <w:color w:val="263238"/>
          <w:sz w:val="21"/>
          <w:szCs w:val="21"/>
        </w:rPr>
        <w:t>Settlement currency</w:t>
      </w:r>
    </w:p>
    <w:p>
      <w:pPr>
        <w:pStyle w:val="Normal"/>
      </w:pPr>
      <w:r>
        <w:rPr>
          <w:rFonts w:ascii="Calibri" w:hAnsi="Calibri" w:eastAsia="Microsoft YaHei" w:cs="Calibri"/>
          <w:color w:val="263238"/>
          <w:sz w:val="21"/>
          <w:szCs w:val="21"/>
        </w:rPr>
        <w:t>Notional diversification</w:t>
      </w:r>
    </w:p>
    <w:p>
      <w:pPr>
        <w:pStyle w:val="Normal"/>
      </w:pPr>
      <w:r>
        <w:rPr>
          <w:rFonts w:ascii="Calibri" w:hAnsi="Calibri" w:eastAsia="Microsoft YaHei" w:cs="Calibri"/>
          <w:color w:val="263238"/>
          <w:sz w:val="21"/>
          <w:szCs w:val="21"/>
        </w:rPr>
        <w:t>Functional IMESI unit of account (IMU), blockchain-settled, reserve-backed</w:t>
      </w:r>
    </w:p>
    <w:p>
      <w:pPr>
        <w:pStyle w:val="Normal"/>
      </w:pPr>
      <w:r>
        <w:rPr>
          <w:rFonts w:ascii="Calibri" w:hAnsi="Calibri" w:eastAsia="Microsoft YaHei" w:cs="Calibri"/>
          <w:color w:val="263238"/>
          <w:sz w:val="21"/>
          <w:szCs w:val="21"/>
        </w:rPr>
        <w:t>Correspondent banking</w:t>
      </w:r>
    </w:p>
    <w:p>
      <w:pPr>
        <w:pStyle w:val="Normal"/>
      </w:pPr>
      <w:r>
        <w:rPr>
          <w:rFonts w:ascii="Calibri" w:hAnsi="Calibri" w:eastAsia="Microsoft YaHei" w:cs="Calibri"/>
          <w:color w:val="263238"/>
          <w:sz w:val="21"/>
          <w:szCs w:val="21"/>
        </w:rPr>
        <w:t>Ad hoc arrangements</w:t>
      </w:r>
    </w:p>
    <w:p>
      <w:pPr>
        <w:pStyle w:val="Normal"/>
      </w:pPr>
      <w:r>
        <w:rPr>
          <w:rFonts w:ascii="Calibri" w:hAnsi="Calibri" w:eastAsia="Microsoft YaHei" w:cs="Calibri"/>
          <w:color w:val="263238"/>
          <w:sz w:val="21"/>
          <w:szCs w:val="21"/>
        </w:rPr>
        <w:t>Dedicated IMESI clearing banks in 4 regions, capitalised, regulated under IMESI charter</w:t>
      </w:r>
    </w:p>
    <w:p>
      <w:pPr>
        <w:pStyle w:val="Normal"/>
      </w:pPr>
      <w:r>
        <w:rPr>
          <w:rFonts w:ascii="Calibri" w:hAnsi="Calibri" w:eastAsia="Microsoft YaHei" w:cs="Calibri"/>
          <w:color w:val="263238"/>
          <w:sz w:val="21"/>
          <w:szCs w:val="21"/>
        </w:rPr>
        <w:t>Market signalling</w:t>
      </w:r>
    </w:p>
    <w:p>
      <w:pPr>
        <w:pStyle w:val="Normal"/>
      </w:pPr>
      <w:r>
        <w:rPr>
          <w:rFonts w:ascii="Calibri" w:hAnsi="Calibri" w:eastAsia="Microsoft YaHei" w:cs="Calibri"/>
          <w:color w:val="263238"/>
          <w:sz w:val="21"/>
          <w:szCs w:val="21"/>
        </w:rPr>
        <w:t>Active programme, tradeable among members, creating alternative capital market</w:t>
      </w:r>
    </w:p>
    <w:p>
      <w:pPr>
        <w:pStyle w:val="Normal"/>
      </w:pPr>
      <w:r>
        <w:rPr>
          <w:rFonts w:ascii="Calibri" w:hAnsi="Calibri" w:eastAsia="Microsoft YaHei" w:cs="Calibri"/>
          <w:color w:val="263238"/>
          <w:sz w:val="21"/>
          <w:szCs w:val="21"/>
        </w:rPr>
        <w:t>Green programme</w:t>
      </w:r>
    </w:p>
    <w:p>
      <w:pPr>
        <w:pStyle w:val="Normal"/>
      </w:pPr>
      <w:r>
        <w:rPr>
          <w:rFonts w:ascii="Calibri" w:hAnsi="Calibri" w:eastAsia="Microsoft YaHei" w:cs="Calibri"/>
          <w:color w:val="263238"/>
          <w:sz w:val="21"/>
          <w:szCs w:val="21"/>
        </w:rPr>
        <w:t>bond</w:t>
      </w:r>
    </w:p>
    <w:p>
      <w:pPr>
        <w:pStyle w:val="Normal"/>
      </w:pPr>
      <w:r>
        <w:rPr>
          <w:rFonts w:ascii="Calibri" w:hAnsi="Calibri" w:eastAsia="Microsoft YaHei" w:cs="Calibri"/>
          <w:color w:val="263238"/>
          <w:sz w:val="21"/>
          <w:szCs w:val="21"/>
        </w:rPr>
        <w:t>Phased Operational Targets:</w:t>
      </w:r>
    </w:p>
    <w:p>
      <w:pPr>
        <w:pStyle w:val="Normal"/>
      </w:pPr>
      <w:r>
        <w:rPr>
          <w:rFonts w:ascii="Calibri" w:hAnsi="Calibri" w:eastAsia="Microsoft YaHei" w:cs="Calibri"/>
          <w:color w:val="263238"/>
          <w:sz w:val="21"/>
          <w:szCs w:val="21"/>
        </w:rPr>
        <w:t>Phase</w:t>
      </w:r>
    </w:p>
    <w:p>
      <w:pPr>
        <w:pStyle w:val="Normal"/>
      </w:pPr>
      <w:r>
        <w:rPr>
          <w:rFonts w:ascii="Calibri" w:hAnsi="Calibri" w:eastAsia="Microsoft YaHei" w:cs="Calibri"/>
          <w:color w:val="263238"/>
          <w:sz w:val="21"/>
          <w:szCs w:val="21"/>
        </w:rPr>
        <w:t>Target</w:t>
      </w:r>
    </w:p>
    <w:p>
      <w:pPr>
        <w:pStyle w:val="Normal"/>
      </w:pPr>
      <w:r>
        <w:rPr>
          <w:rFonts w:ascii="Calibri" w:hAnsi="Calibri" w:eastAsia="Microsoft YaHei" w:cs="Calibri"/>
          <w:color w:val="263238"/>
          <w:sz w:val="21"/>
          <w:szCs w:val="21"/>
        </w:rPr>
        <w:t>Participation</w:t>
      </w:r>
    </w:p>
    <w:p>
      <w:pPr>
        <w:pStyle w:val="Normal"/>
      </w:pPr>
      <w:r>
        <w:rPr>
          <w:rFonts w:ascii="Calibri" w:hAnsi="Calibri" w:eastAsia="Microsoft YaHei" w:cs="Calibri"/>
          <w:color w:val="263238"/>
          <w:sz w:val="21"/>
          <w:szCs w:val="21"/>
        </w:rPr>
        <w:t>Consequence of Shortfall</w:t>
      </w:r>
    </w:p>
    <w:p>
      <w:pPr>
        <w:pStyle w:val="Normal"/>
      </w:pPr>
      <w:r>
        <w:rPr>
          <w:rFonts w:ascii="Calibri" w:hAnsi="Calibri" w:eastAsia="Microsoft YaHei" w:cs="Calibri"/>
          <w:color w:val="263238"/>
          <w:sz w:val="21"/>
          <w:szCs w:val="21"/>
        </w:rPr>
        <w:t>Years 1–2</w:t>
      </w:r>
    </w:p>
    <w:p>
      <w:pPr>
        <w:pStyle w:val="Normal"/>
      </w:pPr>
      <w:r>
        <w:rPr>
          <w:rFonts w:ascii="Calibri" w:hAnsi="Calibri" w:eastAsia="Microsoft YaHei" w:cs="Calibri"/>
          <w:color w:val="263238"/>
          <w:sz w:val="21"/>
          <w:szCs w:val="21"/>
        </w:rPr>
        <w:t>0.5–1% of trade via SFI</w:t>
      </w:r>
    </w:p>
    <w:p>
      <w:pPr>
        <w:pStyle w:val="Normal"/>
      </w:pPr>
      <w:r>
        <w:rPr>
          <w:rFonts w:ascii="Calibri" w:hAnsi="Calibri" w:eastAsia="Microsoft YaHei" w:cs="Calibri"/>
          <w:color w:val="263238"/>
          <w:sz w:val="21"/>
          <w:szCs w:val="21"/>
        </w:rPr>
        <w:t>Voluntary; build and test infrastructure</w:t>
      </w:r>
    </w:p>
    <w:p>
      <w:pPr>
        <w:pStyle w:val="Normal"/>
      </w:pPr>
      <w:r>
        <w:rPr>
          <w:rFonts w:ascii="Calibri" w:hAnsi="Calibri" w:eastAsia="Microsoft YaHei" w:cs="Calibri"/>
          <w:color w:val="263238"/>
          <w:sz w:val="21"/>
          <w:szCs w:val="21"/>
        </w:rPr>
        <w:t>None, learning phase</w:t>
      </w:r>
    </w:p>
    <w:p>
      <w:pPr>
        <w:pStyle w:val="Normal"/>
      </w:pPr>
      <w:r>
        <w:rPr>
          <w:rFonts w:ascii="Calibri" w:hAnsi="Calibri" w:eastAsia="Microsoft YaHei" w:cs="Calibri"/>
          <w:color w:val="263238"/>
          <w:sz w:val="21"/>
          <w:szCs w:val="21"/>
        </w:rPr>
        <w:t>Year 3</w:t>
      </w:r>
    </w:p>
    <w:p>
      <w:pPr>
        <w:pStyle w:val="Normal"/>
      </w:pPr>
      <w:r>
        <w:rPr>
          <w:rFonts w:ascii="Calibri" w:hAnsi="Calibri" w:eastAsia="Microsoft YaHei" w:cs="Calibri"/>
          <w:color w:val="263238"/>
          <w:sz w:val="21"/>
          <w:szCs w:val="21"/>
        </w:rPr>
        <w:t>1–2% of trade</w:t>
      </w:r>
    </w:p>
    <w:p>
      <w:pPr>
        <w:pStyle w:val="Normal"/>
      </w:pPr>
      <w:r>
        <w:rPr>
          <w:rFonts w:ascii="Calibri" w:hAnsi="Calibri" w:eastAsia="Microsoft YaHei" w:cs="Calibri"/>
          <w:color w:val="263238"/>
          <w:sz w:val="21"/>
          <w:szCs w:val="21"/>
        </w:rPr>
        <w:t>Quarterly drills (voluntary); results published</w:t>
      </w:r>
    </w:p>
    <w:p>
      <w:pPr>
        <w:pStyle w:val="Normal"/>
      </w:pPr>
      <w:r>
        <w:rPr>
          <w:rFonts w:ascii="Calibri" w:hAnsi="Calibri" w:eastAsia="Microsoft YaHei" w:cs="Calibri"/>
          <w:color w:val="263238"/>
          <w:sz w:val="21"/>
          <w:szCs w:val="21"/>
        </w:rPr>
        <w:t>Published transparency only</w:t>
      </w:r>
    </w:p>
    <w:p>
      <w:pPr>
        <w:pStyle w:val="Normal"/>
      </w:pPr>
      <w:r>
        <w:rPr>
          <w:rFonts w:ascii="Calibri" w:hAnsi="Calibri" w:eastAsia="Microsoft YaHei" w:cs="Calibri"/>
          <w:color w:val="263238"/>
          <w:sz w:val="21"/>
          <w:szCs w:val="21"/>
        </w:rPr>
        <w:t>Year 4</w:t>
      </w:r>
    </w:p>
    <w:p>
      <w:pPr>
        <w:pStyle w:val="Normal"/>
      </w:pPr>
      <w:r>
        <w:rPr>
          <w:rFonts w:ascii="Calibri" w:hAnsi="Calibri" w:eastAsia="Microsoft YaHei" w:cs="Calibri"/>
          <w:color w:val="263238"/>
          <w:sz w:val="21"/>
          <w:szCs w:val="21"/>
        </w:rPr>
        <w:t>2–3% of trade</w:t>
      </w:r>
    </w:p>
    <w:p>
      <w:pPr>
        <w:pStyle w:val="Normal"/>
      </w:pPr>
      <w:r>
        <w:rPr>
          <w:rFonts w:ascii="Calibri" w:hAnsi="Calibri" w:eastAsia="Microsoft YaHei" w:cs="Calibri"/>
          <w:color w:val="263238"/>
          <w:sz w:val="21"/>
          <w:szCs w:val="21"/>
        </w:rPr>
        <w:t>Monthly drills binding for Tier 2+</w:t>
      </w:r>
    </w:p>
    <w:p>
      <w:pPr>
        <w:pStyle w:val="Normal"/>
      </w:pPr>
      <w:r>
        <w:rPr>
          <w:rFonts w:ascii="Calibri" w:hAnsi="Calibri" w:eastAsia="Microsoft YaHei" w:cs="Calibri"/>
          <w:color w:val="263238"/>
          <w:sz w:val="21"/>
          <w:szCs w:val="21"/>
        </w:rPr>
        <w:t>5% Fund surcharge for non-participation</w:t>
      </w:r>
    </w:p>
    <w:p>
      <w:pPr>
        <w:pStyle w:val="Normal"/>
      </w:pPr>
      <w:r>
        <w:rPr>
          <w:rFonts w:ascii="Calibri" w:hAnsi="Calibri" w:eastAsia="Microsoft YaHei" w:cs="Calibri"/>
          <w:color w:val="263238"/>
          <w:sz w:val="21"/>
          <w:szCs w:val="21"/>
        </w:rPr>
        <w:t>Year 5+</w:t>
      </w:r>
    </w:p>
    <w:p>
      <w:pPr>
        <w:pStyle w:val="Normal"/>
      </w:pPr>
      <w:r>
        <w:rPr>
          <w:rFonts w:ascii="Calibri" w:hAnsi="Calibri" w:eastAsia="Microsoft YaHei" w:cs="Calibri"/>
          <w:color w:val="263238"/>
          <w:sz w:val="21"/>
          <w:szCs w:val="21"/>
        </w:rPr>
        <w:t>3% by Year 5; 5% by Year 7; 10% by Year</w:t>
      </w:r>
    </w:p>
    <w:p>
      <w:pPr>
        <w:pStyle w:val="Normal"/>
      </w:pPr>
      <w:r>
        <w:rPr>
          <w:rFonts w:ascii="Calibri" w:hAnsi="Calibri" w:eastAsia="Microsoft YaHei" w:cs="Calibri"/>
          <w:color w:val="263238"/>
          <w:sz w:val="21"/>
          <w:szCs w:val="21"/>
        </w:rPr>
        <w:t>Binding settlement targets</w:t>
      </w:r>
    </w:p>
    <w:p>
      <w:pPr>
        <w:pStyle w:val="Normal"/>
      </w:pPr>
      <w:r>
        <w:rPr>
          <w:rFonts w:ascii="Calibri" w:hAnsi="Calibri" w:eastAsia="Microsoft YaHei" w:cs="Calibri"/>
          <w:color w:val="263238"/>
          <w:sz w:val="21"/>
          <w:szCs w:val="21"/>
        </w:rPr>
        <w:t>5% Fund surcharge for missed annual target</w:t>
      </w:r>
    </w:p>
    <w:p>
      <w:pPr>
        <w:pStyle w:val="Normal"/>
        <w:numPr>
          <w:ilvl w:val="0"/>
          <w:numId w:val="1"/>
        </w:numPr>
      </w:pPr>
      <w:r>
        <w:rPr>
          <w:rFonts w:ascii="Calibri" w:hAnsi="Calibri" w:eastAsia="Microsoft YaHei" w:cs="Calibri"/>
          <w:color w:val="263238"/>
          <w:sz w:val="21"/>
          <w:szCs w:val="21"/>
        </w:rPr>
        <w:t>IMU-denominated trade credit facility with automatic drawdown rights during coercion cases</w:t>
      </w:r>
    </w:p>
    <w:p>
      <w:pPr>
        <w:pStyle w:val="Normal"/>
      </w:pPr>
      <w:r>
        <w:rPr>
          <w:rFonts w:ascii="Calibri" w:hAnsi="Calibri" w:eastAsia="Microsoft YaHei" w:cs="Calibri"/>
          <w:color w:val="263238"/>
          <w:sz w:val="21"/>
          <w:szCs w:val="21"/>
        </w:rPr>
        <w:t>Pre-negotiated correspondent banking relationships with 3 neutral financial centres (Singapore, Switzerland, UAE) established before first crisis</w:t>
      </w:r>
    </w:p>
    <w:p>
      <w:pPr>
        <w:pStyle w:val="Normal"/>
      </w:pPr>
      <w:r>
        <w:rPr>
          <w:rFonts w:ascii="Calibri" w:hAnsi="Calibri" w:eastAsia="Microsoft YaHei" w:cs="Calibri"/>
          <w:color w:val="263238"/>
          <w:sz w:val="21"/>
          <w:szCs w:val="21"/>
        </w:rPr>
        <w:t>The phased approach allows SFI to achieve operational readiness before imposing binding use, reducing risk of early failure creating institutional distrust.</w:t>
      </w:r>
    </w:p>
    <w:p>
      <w:pPr>
        <w:pStyle w:val="Heading3"/>
      </w:pPr>
      <w:r>
        <w:rPr>
          <w:rFonts w:ascii="Calibri" w:hAnsi="Calibri" w:eastAsia="Microsoft YaHei" w:cs="Calibri"/>
          <w:b/>
          <w:color w:val="546E7A"/>
          <w:sz w:val="22"/>
          <w:szCs w:val="22"/>
        </w:rPr>
        <w:t xml:space="preserve">Section 8.10 (Second Addendum): Sanctions-Proof Letter of Credit Guarantee Protocol [NEW: v14.0]</w:t>
      </w:r>
    </w:p>
    <w:p>
      <w:pPr>
        <w:pStyle w:val="Normal"/>
      </w:pPr>
      <w:r>
        <w:rPr>
          <w:rFonts w:ascii="Calibri" w:hAnsi="Calibri" w:eastAsia="Microsoft YaHei" w:cs="Calibri"/>
          <w:color w:val="263238"/>
          <w:sz w:val="21"/>
          <w:szCs w:val="21"/>
        </w:rPr>
        <w:t xml:space="preserve">The SFI provides a 100% guarantee on trade finance Letters of Credit issued by IMESI clearing banks for goods destined for or originating from an IMESI member, including where the counterparty operates in a coercing state. The guarantee remains enforceable where the coercing state blocks payment settlement through its own clearing systems. Firms pay a premium of 0.5% to 1% of the Letter of Credit value, funding a dedicated LC Guarantee Reserve within the Fund; the reserve operates on actuarial models as a self-sustaining facility. The guarantee covers legitimate, lawful trade and operates as a liquidity and risk-management tool under the GATS Annex on Financial Services prudential carve-out rather than a trade restriction.</w:t>
      </w:r>
    </w:p>
    <w:p>
      <w:pPr>
        <w:pStyle w:val="Heading2"/>
      </w:pPr>
      <w:r>
        <w:rPr>
          <w:rFonts w:ascii="Calibri" w:hAnsi="Calibri" w:eastAsia="Microsoft YaHei" w:cs="Calibri"/>
          <w:b/>
          <w:color w:val="263238"/>
          <w:sz w:val="25"/>
          <w:szCs w:val="25"/>
        </w:rPr>
        <w:t>Section 8.10J: SFI Settlement Continuity Guarantee [NEW: v12.1]</w:t>
      </w:r>
    </w:p>
    <w:p>
      <w:pPr>
        <w:pStyle w:val="Normal"/>
      </w:pPr>
      <w:r>
        <w:rPr>
          <w:rFonts w:ascii="Calibri" w:hAnsi="Calibri" w:eastAsia="Microsoft YaHei" w:cs="Calibri"/>
          <w:color w:val="263238"/>
          <w:sz w:val="21"/>
          <w:szCs w:val="21"/>
        </w:rPr>
        <w:t>Upon IEWC certification of Unilateral Tariff Regime Disruption (Section 2.2B), Unannounced Trade Action (Section 5.0O), or Regulatory Surprise (Section 2.10C), the SFI maintains full settlement continuity for all transactions involving the affected Member, including: (a) automated failover to IMU-denominated settlement for transactions otherwise disrupted by coercer-imposed payment restrictions; (b) extended clearing hours and reduced margin requirements for transactions involving the Member; and (c) priority clearing for essential goods as defined in the Essential Goods Basket (Section 8.26). Continuity measures activate automatically upon certification without CC vote, and the SFI maintains IMU liquidity reserves sufficient for 90 days of continuity, replenished from Section 8.32 as needed. These measures remain strictly defensive, substitute for no multilateral infrastructure, and require no Member to act inconsistently with the IMF Articles of Agreement.</w:t>
      </w:r>
    </w:p>
    <w:p>
      <w:pPr>
        <w:pStyle w:val="Heading2"/>
      </w:pPr>
      <w:r>
        <w:rPr>
          <w:rFonts w:ascii="Calibri" w:hAnsi="Calibri" w:eastAsia="Microsoft YaHei" w:cs="Calibri"/>
          <w:b/>
          <w:color w:val="263238"/>
          <w:sz w:val="25"/>
          <w:szCs w:val="25"/>
        </w:rPr>
        <w:t>Section 8.10K: SFI Asset Protection and Jurisdictional Redundancy [NEW: v13.0]</w:t>
      </w:r>
    </w:p>
    <w:p>
      <w:pPr>
        <w:pStyle w:val="Normal"/>
      </w:pPr>
      <w:r>
        <w:rPr>
          <w:rFonts w:ascii="Calibri" w:hAnsi="Calibri" w:eastAsia="Microsoft YaHei" w:cs="Calibri"/>
          <w:color w:val="263238"/>
          <w:sz w:val="21"/>
          <w:szCs w:val="21"/>
        </w:rPr>
        <w:t>The SFI holds its core reserve assets in at least three geographically distributed, neutral jurisdictions with legal protections against asset freezes and expropriation. SFI clearing banks maintain jurisdictional diversification with at least two banks in each of three regions, and no single jurisdiction's assets exceed 30% of total SFI reserves. Where the IEWC certifies that a coercer has threatened or implemented an asset freeze against any SFI clearing bank, the SFI activates an automatic 72-hour failover to the backup jurisdictions, supported by a pre-negotiated emergency liquidity facility of USD 10 billion covering the transition. The threat or implementation of such an asset freeze constitutes Institutional Coercion (Red-Line I-1), triggering the full SFI standalone emergency protocol under Section 8.10D. These arrangements remain strictly defensive, substitute for no multilateral infrastructure, and require no Member to act inconsistently with the IMF Articles of Agreement.</w:t>
      </w:r>
    </w:p>
    <w:p>
      <w:pPr>
        <w:pStyle w:val="Heading2"/>
      </w:pPr>
      <w:r>
        <w:rPr>
          <w:rFonts w:ascii="Calibri" w:hAnsi="Calibri" w:eastAsia="Microsoft YaHei" w:cs="Calibri"/>
          <w:b/>
          <w:color w:val="263238"/>
          <w:sz w:val="25"/>
          <w:szCs w:val="25"/>
        </w:rPr>
        <w:t>Section 8.10Y: Market-Triggered SFI Activation [NEW: v12.1]</w:t>
      </w:r>
    </w:p>
    <w:p>
      <w:pPr>
        <w:pStyle w:val="Normal"/>
      </w:pPr>
      <w:r>
        <w:rPr>
          <w:rFonts w:ascii="Calibri" w:hAnsi="Calibri" w:eastAsia="Microsoft YaHei" w:cs="Calibri"/>
          <w:color w:val="263238"/>
          <w:sz w:val="21"/>
          <w:szCs w:val="21"/>
        </w:rPr>
        <w:t>The SFI activates upon IEWC certification of coercion or upon an anomalous devaluation of a Member's currency exceeding 10% against the coercer's currency within 72 hours of a policy announcement, whichever occurs first. The market-based trigger insulates the affected Member's trade immediately upon the market's reaction to unpredictable policy conduct, without awaiting completion of certification procedures. Activation under the market-based trigger limits to settlement continuity and liquidity functions and undergoes ex post IEWC review within 14 days.</w:t>
      </w:r>
    </w:p>
    <w:p>
      <w:pPr>
        <w:pStyle w:val="Heading2"/>
      </w:pPr>
      <w:r>
        <w:rPr>
          <w:rFonts w:ascii="Calibri" w:hAnsi="Calibri" w:eastAsia="Microsoft YaHei" w:cs="Calibri"/>
          <w:b/>
          <w:color w:val="263238"/>
          <w:sz w:val="25"/>
          <w:szCs w:val="25"/>
        </w:rPr>
        <w:t>Section 8.10C: Multilateral Financial Interoperability</w:t>
      </w:r>
    </w:p>
    <w:p>
      <w:pPr>
        <w:pStyle w:val="Heading3"/>
      </w:pPr>
      <w:r>
        <w:rPr>
          <w:rFonts w:ascii="Calibri" w:hAnsi="Calibri" w:eastAsia="Microsoft YaHei" w:cs="Calibri"/>
          <w:b/>
          <w:color w:val="546E7A"/>
          <w:sz w:val="22"/>
          <w:szCs w:val="22"/>
        </w:rPr>
        <w:t>Section 8.10C (Addendum): IMF Consultation Requirement [NEW: v12.0]</w:t>
      </w:r>
    </w:p>
    <w:p>
      <w:pPr>
        <w:pStyle w:val="Normal"/>
      </w:pPr>
      <w:r>
        <w:rPr>
          <w:rFonts w:ascii="Calibri" w:hAnsi="Calibri" w:eastAsia="Microsoft YaHei" w:cs="Calibri"/>
          <w:color w:val="263238"/>
          <w:sz w:val="21"/>
          <w:szCs w:val="21"/>
        </w:rPr>
        <w:t>Before any financial stabilisation measure enters implementation, the Secretariat consults with the IMF Managing Director and relevant departments to ensure consistency with the IMF Articles of Agreement. The Secretariat documents the consultation and publishes it in redacted form.</w:t>
      </w:r>
    </w:p>
    <w:p>
      <w:pPr>
        <w:pStyle w:val="Normal"/>
      </w:pPr>
      <w:r>
        <w:rPr>
          <w:rFonts w:ascii="Calibri" w:hAnsi="Calibri" w:eastAsia="Microsoft YaHei" w:cs="Calibri"/>
          <w:color w:val="263238"/>
          <w:sz w:val="21"/>
          <w:szCs w:val="21"/>
        </w:rPr>
        <w:t>Crisis Protocol: Upon systemic financial coercion (Category 2 Red-Line), automatic notification to IMF Managing Director and BIS General Manager within 4 hours. Swap Line Coordination: IMESI swap lines structured as IMF Article XIV-compatible, preserving member IMF drawing rights. SDR Linkage: IMU valuation basket includes SDR weighting; emergency SDR allocation to IMESI members triggers automatic Fund liquidity injection. Debt Standstill Coordination: IMESI stabilisation measures exempt from IMF debt sustainability assessments during active coercion cases.</w:t>
      </w:r>
    </w:p>
    <w:p>
      <w:pPr>
        <w:pStyle w:val="Heading3"/>
      </w:pPr>
      <w:r>
        <w:t>Section 8.10C (Addendum): Financial Architecture Resilience Protocol [NEW: v15.0]</w:t>
      </w:r>
    </w:p>
    <w:p>
      <w:r>
        <w:t>(g) Where the IEWC certifies that: (i) a certified coercer is exerting pressure on the IMF or BIS to restrict financial services to one or more Members; and (ii) such pressure has resulted in demonstrable delay exceeding 48 hours in IMF or BIS response to Member requests, the Standalone Financial Emergency Protocol (Section 8.10D) activates automatically, without requiring Category 2 Red-Line certification.</w:t>
      </w:r>
    </w:p>
    <w:p>
      <w:r>
        <w:t>(h) The automatic activation under subsection (g): (i) is limited to defensive liquidity and settlement functions operating under the GATS Annex on Financial Services prudential carve-out; (ii) authorises no offensive financial measures; and (iii) undergoes ex post IAC review within 14 days.</w:t>
      </w:r>
    </w:p>
    <w:p>
      <w:r>
        <w:t>(i) A documented influence campaign by a coercing state against the IMF or BIS credit lines: (i) constitutes Institutional Coercion (Red-Line I-2); (ii) triggers a full IAC investigation; and (iii) triggers a 75% CC vote on additional countermeasures.</w:t>
      </w:r>
    </w:p>
    <w:p>
      <w:r>
        <w:t>(j) The Secretariat maintains a standing dialogue channel with the IMF and BIS, establishing expedited procedures for: (i) notification of Member financial distress; (ii) coordination of liquidity support; and (iii) joint financial stability assessments.</w:t>
      </w:r>
    </w:p>
    <w:p>
      <w:r>
        <w:t>Rationale: This closes the grey zone. IMF/BIS blockage triggers automatic SFEP activation even without Category 2 Red-Line certification. A coercer cannot quietly pressure the IMF without triggering a response.</w:t>
      </w:r>
    </w:p>
    <w:p>
      <w:pPr>
        <w:pStyle w:val="Heading2"/>
      </w:pPr>
      <w:r>
        <w:rPr>
          <w:rFonts w:ascii="Calibri" w:hAnsi="Calibri" w:eastAsia="Microsoft YaHei" w:cs="Calibri"/>
          <w:b/>
          <w:color w:val="263238"/>
          <w:sz w:val="25"/>
          <w:szCs w:val="25"/>
        </w:rPr>
        <w:t>Section 8.10D: Standalone Financial Emergency Protocol (SFEP)</w:t>
      </w:r>
    </w:p>
    <w:p>
      <w:pPr>
        <w:pStyle w:val="Heading3"/>
      </w:pPr>
      <w:r>
        <w:rPr>
          <w:rFonts w:ascii="Calibri" w:hAnsi="Calibri" w:eastAsia="Microsoft YaHei" w:cs="Calibri"/>
          <w:b/>
          <w:color w:val="546E7A"/>
          <w:sz w:val="22"/>
          <w:szCs w:val="22"/>
        </w:rPr>
        <w:t>Section 8.10D (Addendum): Treasury Coordination [NEW: v11.0]</w:t>
      </w:r>
    </w:p>
    <w:p>
      <w:pPr>
        <w:pStyle w:val="Normal"/>
      </w:pPr>
      <w:r>
        <w:rPr>
          <w:rFonts w:ascii="Calibri" w:hAnsi="Calibri" w:eastAsia="Microsoft YaHei" w:cs="Calibri"/>
          <w:color w:val="263238"/>
          <w:sz w:val="21"/>
          <w:szCs w:val="21"/>
        </w:rPr>
        <w:t>A Standalone Financial Emergency Protocol activates where a state’s treasury authority manipulates its exchange rate assessment to justify tariffs. The protocol coordinates member central bank responses without waiting for the standard certification cycle.</w:t>
      </w:r>
    </w:p>
    <w:p>
      <w:pPr>
        <w:pStyle w:val="Normal"/>
      </w:pPr>
      <w:r>
        <w:rPr>
          <w:rFonts w:ascii="Calibri" w:hAnsi="Calibri" w:eastAsia="Microsoft YaHei" w:cs="Calibri"/>
          <w:color w:val="263238"/>
          <w:sz w:val="21"/>
          <w:szCs w:val="21"/>
        </w:rPr>
        <w:t>Gap Addressed: Section 8.10C assumes IMF/BIS cooperation. If these institutions are themselves subject to political blockage or coercer influence, IMESI lacks a financial backstop. Trigger: Category 2 Red-Line plus IMF Managing Director non-response or non-cooperation within 8 hours of IMESI notification.</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(a) Automatic activation of SFI full capacity, all pre-positioned settlement infrastructure goes live (b) IMU becomes sole settlement currency for intra-IMESI trade during SFEP period (c) Debt standstill coordinated through the IMESI Secretariat, not through the IMF (d) Emergency swap lines activated between member central banks using pre-negotiated protocols Duration: 180 days; renewable by 60% weighted vote. Post-Crisis Reconciliation: Upon SFEP expiry, the Secretariat initiates pre-negotiated reconciliation protocol with the IMF to reintegrate settlement and debt management into standard multilateral channels.</w:t>
      </w:r>
    </w:p>
    <w:p>
      <w:pPr>
        <w:pStyle w:val="Heading2"/>
      </w:pPr>
      <w:r>
        <w:rPr>
          <w:rFonts w:ascii="Calibri" w:hAnsi="Calibri" w:eastAsia="Microsoft YaHei" w:cs="Calibri"/>
          <w:b/>
          <w:color w:val="263238"/>
          <w:sz w:val="25"/>
          <w:szCs w:val="25"/>
        </w:rPr>
        <w:t>Section 8.10E: Capital Account Defence</w:t>
      </w:r>
    </w:p>
    <w:p>
      <w:pPr>
        <w:pStyle w:val="Normal"/>
      </w:pPr>
      <w:r>
        <w:rPr>
          <w:rFonts w:ascii="Calibri" w:hAnsi="Calibri" w:eastAsia="Microsoft YaHei" w:cs="Calibri"/>
          <w:color w:val="263238"/>
          <w:sz w:val="21"/>
          <w:szCs w:val="21"/>
        </w:rPr>
        <w:t>SFI maintains:</w:t>
      </w:r>
    </w:p>
    <w:p>
      <w:pPr>
        <w:pStyle w:val="Normal"/>
      </w:pPr>
      <w:r>
        <w:rPr>
          <w:rFonts w:ascii="Calibri" w:hAnsi="Calibri" w:eastAsia="Microsoft YaHei" w:cs="Calibri"/>
          <w:color w:val="263238"/>
          <w:sz w:val="21"/>
          <w:szCs w:val="21"/>
        </w:rPr>
        <w:t>(i) Pre-negotiated currency swap lines with non-member central banks (selected based on reserve currency diversity) (ii) Emergency sovereign bond purchase programme for IMESI members facing coercion-induced yield spikes (iii) Coordinated reserve diversification framework reducing member exposure to any single reserve currency Activation: Upon &gt;200 basis point sovereign spread widening or &gt;10% currency depreciation within 30 days of a coercion event. Bond purchase programme capped at 10% of affected member's annual GDP per event. Swap lines at market-equivalent rates with 90-day renewable terms.</w:t>
      </w:r>
    </w:p>
    <w:p>
      <w:pPr>
        <w:pStyle w:val="Heading2"/>
      </w:pPr>
      <w:r>
        <w:rPr>
          <w:rFonts w:ascii="Calibri" w:hAnsi="Calibri" w:eastAsia="Microsoft YaHei" w:cs="Calibri"/>
          <w:b/>
          <w:color w:val="263238"/>
          <w:sz w:val="25"/>
          <w:szCs w:val="25"/>
        </w:rPr>
        <w:t>Section 8.10G: Settlement Preference Adjustments During Coercion Certification [NEW: v9.8 Revision]</w:t>
      </w:r>
    </w:p>
    <w:p>
      <w:pPr>
        <w:pStyle w:val="Normal"/>
      </w:pPr>
      <w:r>
        <w:rPr>
          <w:rFonts w:ascii="Calibri" w:hAnsi="Calibri" w:eastAsia="Microsoft YaHei" w:cs="Calibri"/>
          <w:color w:val="263238"/>
          <w:sz w:val="21"/>
          <w:szCs w:val="21"/>
        </w:rPr>
        <w:t>Upon IEWC certification of coercion or SND against any state and CC affirmative vote per revised Section 8.14A (CRR Grade D), the Secretariat implements the following SFI settlement fee adjustments. Adjustments are not automatic but require Secretariat discretionary decision with 48-hour advance notice:</w:t>
      </w:r>
    </w:p>
    <w:p>
      <w:pPr>
        <w:pStyle w:val="Normal"/>
      </w:pPr>
      <w:r>
        <w:rPr>
          <w:rFonts w:ascii="Calibri" w:hAnsi="Calibri" w:eastAsia="Microsoft YaHei" w:cs="Calibri"/>
          <w:color w:val="263238"/>
          <w:sz w:val="21"/>
          <w:szCs w:val="21"/>
        </w:rPr>
        <w:t>Option A: Preference Shift (Secretariat-Directed)</w:t>
      </w:r>
    </w:p>
    <w:p>
      <w:pPr>
        <w:pStyle w:val="Normal"/>
      </w:pPr>
      <w:r>
        <w:rPr>
          <w:rFonts w:ascii="Calibri" w:hAnsi="Calibri" w:eastAsia="Microsoft YaHei" w:cs="Calibri"/>
          <w:color w:val="263238"/>
          <w:sz w:val="21"/>
          <w:szCs w:val="21"/>
        </w:rPr>
        <w:t>SFI settlement fees for transactions with certified coercer-state counterparties increase to 125% of standard rate;</w:t>
      </w:r>
    </w:p>
    <w:p>
      <w:pPr>
        <w:pStyle w:val="Normal"/>
      </w:pPr>
      <w:r>
        <w:rPr>
          <w:rFonts w:ascii="Calibri" w:hAnsi="Calibri" w:eastAsia="Microsoft YaHei" w:cs="Calibri"/>
          <w:color w:val="263238"/>
          <w:sz w:val="21"/>
          <w:szCs w:val="21"/>
        </w:rPr>
        <w:t>SFI settlement fees for intra-IMESI transactions in affected sectors decrease to 85% of standard rate;</w:t>
      </w:r>
    </w:p>
    <w:p>
      <w:pPr>
        <w:pStyle w:val="Normal"/>
      </w:pPr>
      <w:r>
        <w:rPr>
          <w:rFonts w:ascii="Calibri" w:hAnsi="Calibri" w:eastAsia="Microsoft YaHei" w:cs="Calibri"/>
          <w:color w:val="263238"/>
          <w:sz w:val="21"/>
          <w:szCs w:val="21"/>
        </w:rPr>
        <w:t>IMU-denominated settlement receives 48-hour clearing priority over non-IMU transactions from certified coercer states.</w:t>
      </w:r>
    </w:p>
    <w:p>
      <w:pPr>
        <w:pStyle w:val="Normal"/>
      </w:pPr>
      <w:r>
        <w:rPr>
          <w:rFonts w:ascii="Calibri" w:hAnsi="Calibri" w:eastAsia="Microsoft YaHei" w:cs="Calibri"/>
          <w:color w:val="263238"/>
          <w:sz w:val="21"/>
          <w:szCs w:val="21"/>
        </w:rPr>
        <w:t>Option B: Opt-Out for Members (Preserved Autonomy)</w:t>
      </w:r>
    </w:p>
    <w:p>
      <w:pPr>
        <w:pStyle w:val="Normal"/>
      </w:pPr>
      <w:r>
        <w:rPr>
          <w:rFonts w:ascii="Calibri" w:hAnsi="Calibri" w:eastAsia="Microsoft YaHei" w:cs="Calibri"/>
          <w:color w:val="263238"/>
          <w:sz w:val="21"/>
          <w:szCs w:val="21"/>
        </w:rPr>
        <w:t>Any member elects to: Settle transactions via non-IMESI channels without SFI fee adjustment applying to their transactions; OR Participate in SFI adjusted-fee arrangements and receive 0.01% GDP annual resilience fund allocation dedicated to supply-chain diversification. Member election is made within 14 days of Secretariat notice. Election applies for duration of coercion case (or until member changes election).</w:t>
      </w:r>
    </w:p>
    <w:p>
      <w:pPr>
        <w:pStyle w:val="Normal"/>
      </w:pPr>
      <w:r>
        <w:rPr>
          <w:rFonts w:ascii="Calibri" w:hAnsi="Calibri" w:eastAsia="Microsoft YaHei" w:cs="Calibri"/>
          <w:color w:val="263238"/>
          <w:sz w:val="21"/>
          <w:szCs w:val="21"/>
        </w:rPr>
        <w:t>Sunset and Review</w:t>
      </w:r>
    </w:p>
    <w:p>
      <w:pPr>
        <w:pStyle w:val="Normal"/>
      </w:pPr>
      <w:r>
        <w:rPr>
          <w:rFonts w:ascii="Calibri" w:hAnsi="Calibri" w:eastAsia="Microsoft YaHei" w:cs="Calibri"/>
          <w:color w:val="263238"/>
          <w:sz w:val="21"/>
          <w:szCs w:val="21"/>
        </w:rPr>
        <w:t>Preference shifts expire automatically upon case closure or de-escalation to Phase 0. Duration is prohibited from exceeding 24 months without 55% CC reauthorization. At 12-month mark, Secretariat publishes effectiveness report to CC (actual market impact, behavioral changes, feedback from SFI clearing banks).</w:t>
      </w:r>
    </w:p>
    <w:p>
      <w:pPr>
        <w:pStyle w:val="Heading2"/>
      </w:pPr>
      <w:r>
        <w:rPr>
          <w:rFonts w:ascii="Calibri" w:hAnsi="Calibri" w:eastAsia="Microsoft YaHei" w:cs="Calibri"/>
          <w:b/>
          <w:color w:val="263238"/>
          <w:sz w:val="25"/>
          <w:szCs w:val="25"/>
        </w:rPr>
        <w:t>Section 8.10H: Currency and Origin Neutrality Clause [NEW: v9.8A Political Inoculation]</w:t>
      </w:r>
    </w:p>
    <w:p>
      <w:pPr>
        <w:pStyle w:val="Normal"/>
      </w:pPr>
      <w:r>
        <w:rPr>
          <w:rFonts w:ascii="Calibri" w:hAnsi="Calibri" w:eastAsia="Microsoft YaHei" w:cs="Calibri"/>
          <w:color w:val="263238"/>
          <w:sz w:val="21"/>
          <w:szCs w:val="21"/>
        </w:rPr>
        <w:t>IMESI financial and infrastructure provisions, including SFI, IMU settlement, and Systemic Infrastructure Provider coordination, is designed and applied on a currency-neutral and origin-neutral basis. They are prohibited from targetting or disadvantage any specific currency or nationality as such, and operates in a manner consistent with Members' obligations under the IMF Articles of Agreement and applicable financial-stability frameworks.</w:t>
      </w:r>
    </w:p>
    <w:p>
      <w:pPr>
        <w:pStyle w:val="Heading2"/>
      </w:pPr>
      <w:r>
        <w:rPr>
          <w:rFonts w:ascii="Calibri" w:hAnsi="Calibri" w:eastAsia="Microsoft YaHei" w:cs="Calibri"/>
          <w:b/>
          <w:color w:val="263238"/>
          <w:sz w:val="25"/>
          <w:szCs w:val="25"/>
        </w:rPr>
        <w:t>Section 8.10I: Financial Instruments, Graduated Use Protocol [NEW: v9.8A Adoption Readiness]</w:t>
      </w:r>
    </w:p>
    <w:p>
      <w:pPr>
        <w:pStyle w:val="Normal"/>
      </w:pPr>
      <w:r>
        <w:rPr>
          <w:rFonts w:ascii="Calibri" w:hAnsi="Calibri" w:eastAsia="Microsoft YaHei" w:cs="Calibri"/>
          <w:color w:val="263238"/>
          <w:sz w:val="21"/>
          <w:szCs w:val="21"/>
        </w:rPr>
        <w:t>Financial stabilisation measures, including SFI settlement restrictions, asset-related measures, IMU clearing priority adjustments, swap-line conditionality, and any measures affecting capital flows or payment systems, are deployed only as second-phase or conditional instruments, never as first-response tools. Specifically:</w:t>
      </w:r>
    </w:p>
    <w:p>
      <w:pPr>
        <w:pStyle w:val="Normal"/>
      </w:pPr>
      <w:r>
        <w:rPr>
          <w:rFonts w:ascii="Calibri" w:hAnsi="Calibri" w:eastAsia="Microsoft YaHei" w:cs="Calibri"/>
          <w:color w:val="263238"/>
          <w:sz w:val="21"/>
          <w:szCs w:val="21"/>
        </w:rPr>
        <w:t>(a) Phase 1 activations consist exclusively of trade, procurement, regulatory, and diplomatic measures; financial instruments are excluded from Phase 1 packages;</w:t>
      </w:r>
    </w:p>
    <w:p>
      <w:pPr>
        <w:pStyle w:val="Normal"/>
      </w:pPr>
      <w:r>
        <w:rPr>
          <w:rFonts w:ascii="Calibri" w:hAnsi="Calibri" w:eastAsia="Microsoft YaHei" w:cs="Calibri"/>
          <w:color w:val="263238"/>
          <w:sz w:val="21"/>
          <w:szCs w:val="21"/>
        </w:rPr>
        <w:t>(b) Financial instruments become available only at Phase 2 or above, and only upon a separate 60% CC vote specifically authorising financial measures (distinct from the general Phase 2 authorisation vote);</w:t>
      </w:r>
    </w:p>
    <w:p>
      <w:pPr>
        <w:pStyle w:val="Normal"/>
      </w:pPr>
      <w:r>
        <w:rPr>
          <w:rFonts w:ascii="Calibri" w:hAnsi="Calibri" w:eastAsia="Microsoft YaHei" w:cs="Calibri"/>
          <w:color w:val="263238"/>
          <w:sz w:val="21"/>
          <w:szCs w:val="21"/>
        </w:rPr>
        <w:t>(c) Before any financial instrument is deployed, the Secretariat publishes a Financial Impact Assessment estimating effects on global payment systems, third-country financial institutions, and</w:t>
      </w:r>
    </w:p>
    <w:p>
      <w:pPr>
        <w:pStyle w:val="Normal"/>
      </w:pPr>
      <w:r>
        <w:rPr>
          <w:rFonts w:ascii="Calibri" w:hAnsi="Calibri" w:eastAsia="Microsoft YaHei" w:cs="Calibri"/>
          <w:color w:val="263238"/>
          <w:sz w:val="21"/>
          <w:szCs w:val="21"/>
        </w:rPr>
        <w:t>market stability;</w:t>
      </w:r>
    </w:p>
    <w:p>
      <w:pPr>
        <w:pStyle w:val="Normal"/>
      </w:pPr>
      <w:r>
        <w:rPr>
          <w:rFonts w:ascii="Calibri" w:hAnsi="Calibri" w:eastAsia="Microsoft YaHei" w:cs="Calibri"/>
          <w:color w:val="263238"/>
          <w:sz w:val="21"/>
          <w:szCs w:val="21"/>
        </w:rPr>
        <w:t>(d) Central bank swap-line instruments (Section 4.6H) are classified as defensive liquidity measures, not offensive financial weapons, and remain available at all phases for member protection.</w:t>
      </w:r>
    </w:p>
    <w:p>
      <w:pPr>
        <w:pStyle w:val="Normal"/>
      </w:pPr>
      <w:r>
        <w:rPr>
          <w:rFonts w:ascii="Calibri" w:hAnsi="Calibri" w:eastAsia="Microsoft YaHei" w:cs="Calibri"/>
          <w:color w:val="263238"/>
          <w:sz w:val="21"/>
          <w:szCs w:val="21"/>
        </w:rPr>
        <w:t>This protocol preserves IMESI's full financial capability while signalling restraint and reducing systemic risk perception among central banks and finance ministries.</w:t>
      </w:r>
    </w:p>
    <w:p>
      <w:pPr>
        <w:pStyle w:val="Heading3"/>
      </w:pPr>
      <w:r>
        <w:rPr>
          <w:rFonts w:ascii="Calibri" w:hAnsi="Calibri" w:eastAsia="Microsoft YaHei" w:cs="Calibri"/>
          <w:b/>
          <w:color w:val="546E7A"/>
          <w:sz w:val="22"/>
          <w:szCs w:val="22"/>
        </w:rPr>
        <w:t>Section 8.10I (Addendum): Threat-Based Financial Escalation Protocol [NEW: v13.0]</w:t>
      </w:r>
    </w:p>
    <w:p>
      <w:pPr>
        <w:pStyle w:val="Normal"/>
      </w:pPr>
      <w:r>
        <w:rPr>
          <w:rFonts w:ascii="Calibri" w:hAnsi="Calibri" w:eastAsia="Microsoft YaHei" w:cs="Calibri"/>
          <w:color w:val="263238"/>
          <w:sz w:val="21"/>
          <w:szCs w:val="21"/>
        </w:rPr>
        <w:t>A credible threat of financial measures, including a public statement by a head of state or finance minister that sanctions or payment-system exclusion is under consideration, suffices to trigger the Phase 2 Coordination Committee vote on financial instruments, even where the threatened measures have not yet been implemented. The vote proceeds on the standard Phase 2 timeline at the 60% threshold, and the affected Member receives immediate Track A stabilisation under Section 5.0F on the basis of the threat alone, without waiting for implementation. This protocol treats the threat itself as an escalatory act justifying collective financial stabilisation, while every deployment of financial instruments continues to require the standard voting and human-confirmation procedures of Sections 4.5B and 5.5B.</w:t>
      </w:r>
    </w:p>
    <w:p>
      <w:pPr>
        <w:pStyle w:val="Normal"/>
      </w:pPr>
      <w:r>
        <w:rPr>
          <w:rFonts w:ascii="Calibri" w:hAnsi="Calibri" w:eastAsia="Microsoft YaHei" w:cs="Calibri"/>
          <w:color w:val="263238"/>
          <w:sz w:val="21"/>
          <w:szCs w:val="21"/>
        </w:rPr>
        <w:t>Section 8.10 (Addendum): SFI Coverage of Emerging Payment Channels [NEW: v9.9]</w:t>
      </w:r>
    </w:p>
    <w:p>
      <w:pPr>
        <w:pStyle w:val="Normal"/>
      </w:pPr>
      <w:r>
        <w:rPr>
          <w:rFonts w:ascii="Calibri" w:hAnsi="Calibri" w:eastAsia="Microsoft YaHei" w:cs="Calibri"/>
          <w:color w:val="263238"/>
          <w:sz w:val="21"/>
          <w:szCs w:val="21"/>
        </w:rPr>
        <w:t>SFI coverage extends to emerging payment and settlement channels, including central bank digital currencies where used for cross-border transactions between Members, to the extent technically and legally feasible. This coverage is defensive only and is prohibited from prejudicing any Member's monetary sovereignty.</w:t>
      </w:r>
    </w:p>
    <w:p>
      <w:pPr>
        <w:pStyle w:val="Heading2"/>
      </w:pPr>
      <w:r>
        <w:rPr>
          <w:rFonts w:ascii="Calibri" w:hAnsi="Calibri" w:eastAsia="Microsoft YaHei" w:cs="Calibri"/>
          <w:b/>
          <w:color w:val="263238"/>
          <w:sz w:val="25"/>
          <w:szCs w:val="25"/>
        </w:rPr>
        <w:t>Section 8.10X: Central Bank Digital Currency (CBDC) Monitoring [NEW: v9.9]</w:t>
      </w:r>
    </w:p>
    <w:p>
      <w:pPr>
        <w:pStyle w:val="Normal"/>
      </w:pPr>
      <w:r>
        <w:rPr>
          <w:rFonts w:ascii="Calibri" w:hAnsi="Calibri" w:eastAsia="Microsoft YaHei" w:cs="Calibri"/>
          <w:color w:val="263238"/>
          <w:sz w:val="21"/>
          <w:szCs w:val="21"/>
        </w:rPr>
        <w:t>The Secretariat monitors developments in central bank digital currency (CBDC) systems relevant to cross-border settlement between Members, including interoperability arrangements, the use of programmable conditionality, and volume trends by currency. An annual, non-binding CBDC Surveillance Note is provided to the Coordination Committee and the IEWC for information only; this Section creates no interoperability obligation or presumption of legal incompatibility.</w:t>
      </w:r>
    </w:p>
    <w:p>
      <w:pPr>
        <w:pStyle w:val="Heading2"/>
      </w:pPr>
      <w:r>
        <w:rPr>
          <w:rFonts w:ascii="Calibri" w:hAnsi="Calibri" w:eastAsia="Microsoft YaHei" w:cs="Calibri"/>
          <w:b/>
          <w:color w:val="263238"/>
          <w:sz w:val="25"/>
          <w:szCs w:val="25"/>
        </w:rPr>
        <w:t>Section 8.11: Irreversible Commitment Bonds (ICB), Optional Mechanism</w:t>
      </w:r>
    </w:p>
    <w:p>
      <w:pPr>
        <w:pStyle w:val="Normal"/>
      </w:pPr>
      <w:r>
        <w:rPr>
          <w:rFonts w:ascii="Calibri" w:hAnsi="Calibri" w:eastAsia="Microsoft YaHei" w:cs="Calibri"/>
          <w:color w:val="263238"/>
          <w:sz w:val="21"/>
          <w:szCs w:val="21"/>
        </w:rPr>
        <w:t>ICBs provide a financial instrument for members to signal credible long-term commitment to IMESI, reducing Fund contribution requirements while raising the cost of defection.</w:t>
      </w:r>
    </w:p>
    <w:p>
      <w:pPr>
        <w:pStyle w:val="Normal"/>
      </w:pPr>
      <w:r>
        <w:rPr>
          <w:rFonts w:ascii="Calibri" w:hAnsi="Calibri" w:eastAsia="Microsoft YaHei" w:cs="Calibri"/>
          <w:color w:val="263238"/>
          <w:sz w:val="21"/>
          <w:szCs w:val="21"/>
        </w:rPr>
        <w:t>Eligibility:</w:t>
      </w:r>
    </w:p>
    <w:p>
      <w:pPr>
        <w:pStyle w:val="Normal"/>
      </w:pPr>
      <w:r>
        <w:rPr>
          <w:rFonts w:ascii="Calibri" w:hAnsi="Calibri" w:eastAsia="Microsoft YaHei" w:cs="Calibri"/>
          <w:color w:val="263238"/>
          <w:sz w:val="21"/>
          <w:szCs w:val="21"/>
        </w:rPr>
        <w:t>Tier</w:t>
      </w:r>
    </w:p>
    <w:p>
      <w:pPr>
        <w:pStyle w:val="Normal"/>
      </w:pPr>
      <w:r>
        <w:rPr>
          <w:rFonts w:ascii="Calibri" w:hAnsi="Calibri" w:eastAsia="Microsoft YaHei" w:cs="Calibri"/>
          <w:color w:val="263238"/>
          <w:sz w:val="21"/>
          <w:szCs w:val="21"/>
        </w:rPr>
        <w:t>ICB Status</w:t>
      </w:r>
    </w:p>
    <w:p>
      <w:pPr>
        <w:pStyle w:val="Normal"/>
      </w:pPr>
      <w:r>
        <w:rPr>
          <w:rFonts w:ascii="Calibri" w:hAnsi="Calibri" w:eastAsia="Microsoft YaHei" w:cs="Calibri"/>
          <w:color w:val="263238"/>
          <w:sz w:val="21"/>
          <w:szCs w:val="21"/>
        </w:rPr>
        <w:t>Benefit</w:t>
      </w:r>
    </w:p>
    <w:p>
      <w:pPr>
        <w:pStyle w:val="Normal"/>
      </w:pPr>
      <w:r>
        <w:rPr>
          <w:rFonts w:ascii="Calibri" w:hAnsi="Calibri" w:eastAsia="Microsoft YaHei" w:cs="Calibri"/>
          <w:color w:val="263238"/>
          <w:sz w:val="21"/>
          <w:szCs w:val="21"/>
        </w:rPr>
        <w:t>Observer+ / Associate</w:t>
      </w:r>
    </w:p>
    <w:p>
      <w:pPr>
        <w:pStyle w:val="Normal"/>
      </w:pPr>
      <w:r>
        <w:rPr>
          <w:rFonts w:ascii="Calibri" w:hAnsi="Calibri" w:eastAsia="Microsoft YaHei" w:cs="Calibri"/>
          <w:color w:val="263238"/>
          <w:sz w:val="21"/>
          <w:szCs w:val="21"/>
        </w:rPr>
        <w:t>Exempt</w:t>
      </w:r>
    </w:p>
    <w:p>
      <w:pPr>
        <w:pStyle w:val="Normal"/>
      </w:pPr>
      <w:r>
        <w:rPr>
          <w:rFonts w:ascii="Calibri" w:hAnsi="Calibri" w:eastAsia="Microsoft YaHei" w:cs="Calibri"/>
          <w:color w:val="263238"/>
          <w:sz w:val="21"/>
          <w:szCs w:val="21"/>
        </w:rPr>
        <w:t>Not applicable</w:t>
      </w:r>
    </w:p>
    <w:p>
      <w:pPr>
        <w:pStyle w:val="Normal"/>
      </w:pPr>
      <w:r>
        <w:rPr>
          <w:rFonts w:ascii="Calibri" w:hAnsi="Calibri" w:eastAsia="Microsoft YaHei" w:cs="Calibri"/>
          <w:color w:val="263238"/>
          <w:sz w:val="21"/>
          <w:szCs w:val="21"/>
        </w:rPr>
        <w:t>Full (Tier 2)</w:t>
      </w:r>
    </w:p>
    <w:p>
      <w:pPr>
        <w:pStyle w:val="Normal"/>
      </w:pPr>
      <w:r>
        <w:rPr>
          <w:rFonts w:ascii="Calibri" w:hAnsi="Calibri" w:eastAsia="Microsoft YaHei" w:cs="Calibri"/>
          <w:color w:val="263238"/>
          <w:sz w:val="21"/>
          <w:szCs w:val="21"/>
        </w:rPr>
        <w:t>Optional</w:t>
      </w:r>
    </w:p>
    <w:p>
      <w:pPr>
        <w:pStyle w:val="Normal"/>
      </w:pPr>
      <w:r>
        <w:rPr>
          <w:rFonts w:ascii="Calibri" w:hAnsi="Calibri" w:eastAsia="Microsoft YaHei" w:cs="Calibri"/>
          <w:color w:val="263238"/>
          <w:sz w:val="21"/>
          <w:szCs w:val="21"/>
        </w:rPr>
        <w:t>15% Fund contribution reduction</w:t>
      </w:r>
    </w:p>
    <w:p>
      <w:pPr>
        <w:pStyle w:val="Normal"/>
      </w:pPr>
      <w:r>
        <w:rPr>
          <w:rFonts w:ascii="Calibri" w:hAnsi="Calibri" w:eastAsia="Microsoft YaHei" w:cs="Calibri"/>
          <w:color w:val="263238"/>
          <w:sz w:val="21"/>
          <w:szCs w:val="21"/>
        </w:rPr>
        <w:t>Enhanced Solidarity (Tier 3)</w:t>
      </w:r>
    </w:p>
    <w:p>
      <w:pPr>
        <w:pStyle w:val="Normal"/>
      </w:pPr>
      <w:r>
        <w:rPr>
          <w:rFonts w:ascii="Calibri" w:hAnsi="Calibri" w:eastAsia="Microsoft YaHei" w:cs="Calibri"/>
          <w:color w:val="263238"/>
          <w:sz w:val="21"/>
          <w:szCs w:val="21"/>
        </w:rPr>
        <w:t>Mandatory</w:t>
      </w:r>
    </w:p>
    <w:p>
      <w:pPr>
        <w:pStyle w:val="Normal"/>
      </w:pPr>
      <w:r>
        <w:rPr>
          <w:rFonts w:ascii="Calibri" w:hAnsi="Calibri" w:eastAsia="Microsoft YaHei" w:cs="Calibri"/>
          <w:color w:val="263238"/>
          <w:sz w:val="21"/>
          <w:szCs w:val="21"/>
        </w:rPr>
        <w:t>Condition of membership</w:t>
      </w:r>
    </w:p>
    <w:p>
      <w:pPr>
        <w:pStyle w:val="Normal"/>
      </w:pPr>
      <w:r>
        <w:rPr>
          <w:rFonts w:ascii="Calibri" w:hAnsi="Calibri" w:eastAsia="Microsoft YaHei" w:cs="Calibri"/>
          <w:color w:val="263238"/>
          <w:sz w:val="21"/>
          <w:szCs w:val="21"/>
        </w:rPr>
        <w:t>Bond Terms:</w:t>
      </w:r>
    </w:p>
    <w:p>
      <w:pPr>
        <w:pStyle w:val="Normal"/>
        <w:numPr>
          <w:ilvl w:val="0"/>
          <w:numId w:val="1"/>
        </w:numPr>
      </w:pPr>
      <w:r>
        <w:rPr>
          <w:rFonts w:ascii="Calibri" w:hAnsi="Calibri" w:eastAsia="Microsoft YaHei" w:cs="Calibri"/>
          <w:color w:val="263238"/>
          <w:sz w:val="21"/>
          <w:szCs w:val="21"/>
        </w:rPr>
        <w:t>Denomination: IMESI Unit of Account (IMU) or member currency at option</w:t>
      </w:r>
    </w:p>
    <w:p>
      <w:pPr>
        <w:pStyle w:val="Normal"/>
        <w:numPr>
          <w:ilvl w:val="0"/>
          <w:numId w:val="1"/>
        </w:numPr>
      </w:pPr>
      <w:r>
        <w:rPr>
          <w:rFonts w:ascii="Calibri" w:hAnsi="Calibri" w:eastAsia="Microsoft YaHei" w:cs="Calibri"/>
          <w:color w:val="263238"/>
          <w:sz w:val="21"/>
          <w:szCs w:val="21"/>
        </w:rPr>
        <w:t>Maturity: 10 years. Coupon: 2% annually if member in good standing; 6% penalty rate upon Tier 2 violation; immediate 50% principal recall upon Tier 1 violation</w:t>
      </w:r>
    </w:p>
    <w:p>
      <w:pPr>
        <w:pStyle w:val="Normal"/>
      </w:pPr>
      <w:r>
        <w:rPr>
          <w:rFonts w:ascii="Calibri" w:hAnsi="Calibri" w:eastAsia="Microsoft YaHei" w:cs="Calibri"/>
          <w:color w:val="263238"/>
          <w:sz w:val="21"/>
          <w:szCs w:val="21"/>
        </w:rPr>
        <w:t>Principal: 0.5% of GDP for Tier 3; voluntary amount for Tier 2 (minimum 0.25% GDP to qualify for contribution reduction)</w:t>
      </w:r>
    </w:p>
    <w:p>
      <w:pPr>
        <w:pStyle w:val="Normal"/>
        <w:numPr>
          <w:ilvl w:val="0"/>
          <w:numId w:val="1"/>
        </w:numPr>
      </w:pPr>
      <w:r>
        <w:rPr>
          <w:rFonts w:ascii="Calibri" w:hAnsi="Calibri" w:eastAsia="Microsoft YaHei" w:cs="Calibri"/>
          <w:color w:val="263238"/>
          <w:sz w:val="21"/>
          <w:szCs w:val="21"/>
        </w:rPr>
        <w:t>Callability: Member calls after 5 years with 12-month notice and replacement capital from alternative source</w:t>
      </w:r>
    </w:p>
    <w:p>
      <w:pPr>
        <w:pStyle w:val="Normal"/>
      </w:pPr>
      <w:r>
        <w:rPr>
          <w:rFonts w:ascii="Calibri" w:hAnsi="Calibri" w:eastAsia="Microsoft YaHei" w:cs="Calibri"/>
          <w:color w:val="263238"/>
          <w:sz w:val="21"/>
          <w:szCs w:val="21"/>
        </w:rPr>
        <w:t>Use of Proceeds: ICB proceeds capitalise the Paid-In Base of the Mutual Economic Security Fund, increasing immediate liquidity without callable capital mobilisation delays. Secondary Market: ICBs trade among members. Price spreads over face value indicate market assessment of member commitment credibility. Secretariat publishes anonymised price indices quarterly. Optional Rehabilitation Bond: A state undergoing the Coercer Rehabilitation Protocol (Section 3.9A) deposits voluntarily 0.05% GDP as a rehabilitation bond. Returned with interest upon successful completion of Phase 3; partially or fully forfeited if IEWC confirms coercion recurrence. Non-tradeable; purely symbolic/signalling. Defection Trigger: Upon confirmation of Tier 1 anti-fragmentation violation: (a) coupon automatically resets to penalty rate (6%); (b) 50% of principal recalled immediately; (c) remaining 50% recalled within 90 days or converted to non-voting Observer+ status bonds at 3% coupon. This provision operates independently of Article VI penalties, financial and institutional consequences are cumulative.</w:t>
      </w:r>
    </w:p>
    <w:p>
      <w:pPr>
        <w:pStyle w:val="Heading2"/>
      </w:pPr>
      <w:r>
        <w:rPr>
          <w:rFonts w:ascii="Calibri" w:hAnsi="Calibri" w:eastAsia="Microsoft YaHei" w:cs="Calibri"/>
          <w:b/>
          <w:color w:val="263238"/>
          <w:sz w:val="25"/>
          <w:szCs w:val="25"/>
        </w:rPr>
        <w:t>Section 8.11: Third-Country Spillover Fund and Binding Compensation Mechanism [NEW: v9.8 Structural Fix]</w:t>
      </w:r>
    </w:p>
    <w:p>
      <w:pPr>
        <w:pStyle w:val="Normal"/>
      </w:pPr>
      <w:r>
        <w:rPr>
          <w:rFonts w:ascii="Calibri" w:hAnsi="Calibri" w:eastAsia="Microsoft YaHei" w:cs="Calibri"/>
          <w:color w:val="263238"/>
          <w:sz w:val="21"/>
          <w:szCs w:val="21"/>
        </w:rPr>
        <w:t>Mandatory Spillover Assessment</w:t>
      </w:r>
    </w:p>
    <w:p>
      <w:pPr>
        <w:pStyle w:val="Normal"/>
      </w:pPr>
      <w:r>
        <w:rPr>
          <w:rFonts w:ascii="Calibri" w:hAnsi="Calibri" w:eastAsia="Microsoft YaHei" w:cs="Calibri"/>
          <w:color w:val="263238"/>
          <w:sz w:val="21"/>
          <w:szCs w:val="21"/>
        </w:rPr>
        <w:t>Before authorizing Phase 2+ measures, IEWC conducts Third-Country Impact Assessment (TCIA): Direct trade impact; Indirect supply chain impact; Sectoral concentration flag (if 1 sector &gt;30% of non-member exports affected). Assessment published within 24 hours of CC vote.</w:t>
      </w:r>
    </w:p>
    <w:p>
      <w:pPr>
        <w:pStyle w:val="Normal"/>
      </w:pPr>
      <w:r>
        <w:rPr>
          <w:rFonts w:ascii="Calibri" w:hAnsi="Calibri" w:eastAsia="Microsoft YaHei" w:cs="Calibri"/>
          <w:color w:val="263238"/>
          <w:sz w:val="21"/>
          <w:szCs w:val="21"/>
        </w:rPr>
        <w:t>Spillover Threshold Activation</w:t>
      </w:r>
    </w:p>
    <w:p>
      <w:pPr>
        <w:pStyle w:val="Normal"/>
      </w:pPr>
      <w:r>
        <w:rPr>
          <w:rFonts w:ascii="Calibri" w:hAnsi="Calibri" w:eastAsia="Microsoft YaHei" w:cs="Calibri"/>
          <w:color w:val="263238"/>
          <w:sz w:val="21"/>
          <w:szCs w:val="21"/>
        </w:rPr>
        <w:t>If TCIA identifies spillover &gt;5% of any non-member's export flows: Measure authorized as planned (no veto); Automatic Spillover Compensation Fund (SCF) allocation triggered; SCF is separate pool (2% of Fund).</w:t>
      </w:r>
    </w:p>
    <w:p>
      <w:pPr>
        <w:pStyle w:val="Normal"/>
      </w:pPr>
      <w:r>
        <w:rPr>
          <w:rFonts w:ascii="Calibri" w:hAnsi="Calibri" w:eastAsia="Microsoft YaHei" w:cs="Calibri"/>
          <w:color w:val="263238"/>
          <w:sz w:val="21"/>
          <w:szCs w:val="21"/>
        </w:rPr>
        <w:t>Compensation Eligibility and Mechanism</w:t>
      </w:r>
    </w:p>
    <w:p>
      <w:pPr>
        <w:pStyle w:val="Normal"/>
      </w:pPr>
      <w:r>
        <w:rPr>
          <w:rFonts w:ascii="Calibri" w:hAnsi="Calibri" w:eastAsia="Microsoft YaHei" w:cs="Calibri"/>
          <w:color w:val="263238"/>
          <w:sz w:val="21"/>
          <w:szCs w:val="21"/>
        </w:rPr>
        <w:t>Non-members applies for SCF support documenting: Disrupted trade flows; Quantifiable harm; No viable alternative markets within 12 months. SCF provides grants (not loans) covering up to 50% of documented harm, managed through World Bank or IMF as neutral administrator. Grants contingent on non-member's agreement not to support coercer politically (non-binding but expected).</w:t>
      </w:r>
    </w:p>
    <w:p>
      <w:pPr>
        <w:pStyle w:val="Normal"/>
      </w:pPr>
      <w:r>
        <w:rPr>
          <w:rFonts w:ascii="Calibri" w:hAnsi="Calibri" w:eastAsia="Microsoft YaHei" w:cs="Calibri"/>
          <w:color w:val="263238"/>
          <w:sz w:val="21"/>
          <w:szCs w:val="21"/>
        </w:rPr>
        <w:t>Burden-Sharing for SCF</w:t>
      </w:r>
    </w:p>
    <w:p>
      <w:pPr>
        <w:pStyle w:val="Normal"/>
      </w:pPr>
      <w:r>
        <w:rPr>
          <w:rFonts w:ascii="Calibri" w:hAnsi="Calibri" w:eastAsia="Microsoft YaHei" w:cs="Calibri"/>
          <w:color w:val="263238"/>
          <w:sz w:val="21"/>
          <w:szCs w:val="21"/>
        </w:rPr>
        <w:t>50% from general Fund, 50% from implementing members (by trade-exposure ratio). SCF annual allocation capped at 0.5% of total Fund; if demand exceeds cap, Grand Review Convention votes on increase.</w:t>
      </w:r>
    </w:p>
    <w:p>
      <w:pPr>
        <w:pStyle w:val="Heading2"/>
      </w:pPr>
      <w:r>
        <w:rPr>
          <w:rFonts w:ascii="Calibri" w:hAnsi="Calibri" w:eastAsia="Microsoft YaHei" w:cs="Calibri"/>
          <w:b/>
          <w:color w:val="263238"/>
          <w:sz w:val="25"/>
          <w:szCs w:val="25"/>
        </w:rPr>
        <w:t>Section 8.11A: Non-Alignment of Development Support [NEW: v9.8A Political Inoculation]</w:t>
      </w:r>
    </w:p>
    <w:p>
      <w:pPr>
        <w:pStyle w:val="Normal"/>
      </w:pPr>
      <w:r>
        <w:rPr>
          <w:rFonts w:ascii="Calibri" w:hAnsi="Calibri" w:eastAsia="Microsoft YaHei" w:cs="Calibri"/>
          <w:color w:val="263238"/>
          <w:sz w:val="21"/>
          <w:szCs w:val="21"/>
        </w:rPr>
        <w:t>Development, adjustment, and spillover-mitigation support provided to non-member or developing countries under this Instrument is not conditioned on alignment with IMESI positions in any bilateral dispute with a non-member. Such support is strictly limited to mitigating unintended economic harm from stabilisation measures and are designed, to the maximum extent possible, on a commercially and geopolitically neutral basis.</w:t>
      </w:r>
    </w:p>
    <w:p>
      <w:pPr>
        <w:pStyle w:val="Heading3"/>
      </w:pPr>
      <w:r>
        <w:t>Section 8.11A (Addendum): Prohibition of Implicit Conditionality [NEW: v15.0]</w:t>
      </w:r>
    </w:p>
    <w:p>
      <w:r>
        <w:t>(b) For purposes of this Section, conditioned on alignment includes: (i) explicit conditions requiring alignment with IMESI positions; and (ii) implicit conditions that have the effect of requiring alignment, including: (A) differential treatment based on participation in IMESI activations; (B) eligibility criteria materially more difficult to satisfy for Members that participate in IMESI activations; (C) funding allocations reduced or delayed for Members that participate in IMESI activations; and (D) any other practice that creates a material disadvantage for Members that participate in IMESI activations.</w:t>
      </w:r>
    </w:p>
    <w:p>
      <w:r>
        <w:t>(c) The Secretariat: (i) maintains a public Registry of Development Assistance provided by IMESI Members to non-members; (ii) reviews all development assistance above USD 50 million annually for compliance with this Section; and (iii) investigates any pattern of differential treatment that suggests implicit conditionality.</w:t>
      </w:r>
    </w:p>
    <w:p>
      <w:r>
        <w:t>(d) Where the IEWC finds that a Member has engaged in implicit conditionality under subsection (b): (i) the conduct constitutes a Tier 1 anti-fragmentation violation; (ii) the Member faces a 100% Fund surcharge for 24 months; and (iii) the Member's voting rights are suspended for 12 months.</w:t>
      </w:r>
    </w:p>
    <w:p>
      <w:r>
        <w:t>(e) Nothing in this Section prohibits: (i) legitimate development assistance based on objective criteria, including poverty reduction, governance, and human rights; (ii) assistance genuinely linked to the recipient's domestic policies, provided such policies are unrelated to IMESI participation; and (iii) assistance provided through multilateral institutions (World Bank, IMF, UN) following their established criteria.</w:t>
      </w:r>
    </w:p>
    <w:p>
      <w:r>
        <w:t>Rationale: Subtle conditionality now stands prohibited. Differential treatment based on IMESI participation is explicitly forbidden. The Registry provides transparency and detection.</w:t>
      </w:r>
    </w:p>
    <w:p>
      <w:pPr>
        <w:pStyle w:val="Heading2"/>
      </w:pPr>
      <w:r>
        <w:rPr>
          <w:rFonts w:ascii="Calibri" w:hAnsi="Calibri" w:eastAsia="Microsoft YaHei" w:cs="Calibri"/>
          <w:b/>
          <w:color w:val="263238"/>
          <w:sz w:val="25"/>
          <w:szCs w:val="25"/>
        </w:rPr>
        <w:t>Section 8.11B: Track A Spillover Support for Non-Members [NEW: v9.9]</w:t>
      </w:r>
    </w:p>
    <w:p>
      <w:pPr>
        <w:pStyle w:val="Normal"/>
      </w:pPr>
      <w:r>
        <w:rPr>
          <w:rFonts w:ascii="Calibri" w:hAnsi="Calibri" w:eastAsia="Microsoft YaHei" w:cs="Calibri"/>
          <w:color w:val="263238"/>
          <w:sz w:val="21"/>
          <w:szCs w:val="21"/>
        </w:rPr>
        <w:t>Where a systemic disruption or coercion episode generates significant collateral economic harm to non-member states, particularly low-income or highly vulnerable economies, the Coordination Committee authorises the use of selected Phase 0 stabilisation tools (including supply-chain rerouting assistance, humanitarian SFI windows, and targeted Resilience Fund projects) for the benefit of such non-members. Such support is discretionary, defensive in character, and is prohibited from creating treaty obligations toward non-members. In systemic crises, IMESI's stabilisation tools are used, where appropriate, to support non-members harmed by the same disruption, reinforcing its contribution to global stability rather than creating a closed bloc.</w:t>
      </w:r>
    </w:p>
    <w:p>
      <w:pPr>
        <w:pStyle w:val="Heading3"/>
      </w:pPr>
      <w:r>
        <w:rPr>
          <w:rFonts w:ascii="Calibri" w:hAnsi="Calibri" w:eastAsia="Microsoft YaHei" w:cs="Calibri"/>
          <w:b/>
          <w:color w:val="546E7A"/>
          <w:sz w:val="22"/>
          <w:szCs w:val="22"/>
        </w:rPr>
        <w:t>Section 8.11B (Addendum): Strategic Non-Member Protection Protocol [NEW: v13.0]</w:t>
      </w:r>
    </w:p>
    <w:p>
      <w:pPr>
        <w:pStyle w:val="Normal"/>
      </w:pPr>
      <w:r>
        <w:rPr>
          <w:rFonts w:ascii="Calibri" w:hAnsi="Calibri" w:eastAsia="Microsoft YaHei" w:cs="Calibri"/>
          <w:color w:val="263238"/>
          <w:sz w:val="21"/>
          <w:szCs w:val="21"/>
        </w:rPr>
        <w:t>The IEWC maintains a Strategic Non-Member Vulnerability Register identifying non-member states that supply critical inputs to multiple IMESI Members and are known targets of coercive tactics. Where the IEWC certifies a credible threat of coercion against a registered non-member, the affected Members gain the option to pre-position spillover support, including supply-chain rerouting and alternative procurement, before the coercion is implemented, mirroring the Anticipatory Prevention Authority of Section 4.2E. Pre-positioned support under this Addendum does not constitute an activation requiring a Coordination Committee vote; the Secretariat reports it to the Committee within 72 hours for proportionality review. Such support remains defensive in character and creates no treaty obligations toward non-members.</w:t>
      </w:r>
    </w:p>
    <w:p>
      <w:pPr>
        <w:pStyle w:val="Heading2"/>
      </w:pPr>
      <w:r>
        <w:t>Section 8.11C: Coercion Impact Fund for Non-Members [NEW: v15.0]</w:t>
      </w:r>
    </w:p>
    <w:p>
      <w:r>
        <w:t>(a) The Mutual Economic Security Fund establishes a Coercion Impact Fund for Non-Members (CIF-NM), capitalised at 1% of total Fund size, providing support to non-member states that suffer economic harm as a result of coercion targeting one or more IMESI Members.</w:t>
      </w:r>
    </w:p>
    <w:p>
      <w:r>
        <w:t>(b) A non-member state applies for CIF-NM support where: (i) the non-member has suffered quantifiable economic harm (trade disruption, supply-chain interruption, or financial contagion) exceeding 0.1% of its GDP; (ii) the harm is directly attributable to a coercive measure certified under Section 2.1 or Section 1.4; and (iii) the harm is not primarily caused by the IMESI response.</w:t>
      </w:r>
    </w:p>
    <w:p>
      <w:r>
        <w:t>(c) CIF-NM support includes: (i) grants covering up to 50% of documented harm; (ii) supply-chain rerouting assistance through Annex 3B; (iii) SFI humanitarian settlement window access; and (iv) technical assistance for economic stabilisation.</w:t>
      </w:r>
    </w:p>
    <w:p>
      <w:r>
        <w:t>(d) CIF-NM support: (i) is administered through the World Bank or IMF as neutral administrator where feasible; (ii) attaches a single condition: the recipient provides no material support to the certified coercive measure during the active case, a condition confined to the measure itself and never extending to the recipient's general political alignment, consistent with the implicit-conditionality prohibition in Section 8.11A; and (iii) undergoes quarterly review by the Coordination Committee.</w:t>
      </w:r>
    </w:p>
    <w:p>
      <w:r>
        <w:t>(e) CIF-NM support is strictly defensive in character, creates no treaty obligations toward non-members, and operates without prejudice to any non-member's rights under international law.</w:t>
      </w:r>
    </w:p>
    <w:p>
      <w:r>
        <w:t>Rationale: This creates a credible commitment to protect non-members harmed by coercion targeting the coalition. It prevents coercers from weaponising non-members as expendable collateral, and it builds goodwill with non-members who stand as potential future members.</w:t>
      </w:r>
    </w:p>
    <w:p>
      <w:pPr>
        <w:pStyle w:val="Heading2"/>
      </w:pPr>
      <w:r>
        <w:rPr>
          <w:rFonts w:ascii="Calibri" w:hAnsi="Calibri" w:eastAsia="Microsoft YaHei" w:cs="Calibri"/>
          <w:b/>
          <w:color w:val="263238"/>
          <w:sz w:val="25"/>
          <w:szCs w:val="25"/>
        </w:rPr>
        <w:t>Section 8.12: Graduated Crisis Response with Opt-Out</w:t>
      </w:r>
    </w:p>
    <w:p>
      <w:pPr>
        <w:pStyle w:val="Normal"/>
      </w:pPr>
      <w:r>
        <w:rPr>
          <w:rFonts w:ascii="Calibri" w:hAnsi="Calibri" w:eastAsia="Microsoft YaHei" w:cs="Calibri"/>
          <w:color w:val="263238"/>
          <w:sz w:val="21"/>
          <w:szCs w:val="21"/>
        </w:rPr>
        <w:t>When a member faces coercion of existential economic magnitude, threatening humanitarian crisis, state solvency, or critical infrastructure collapse, enhanced solidarity mechanisms activate:</w:t>
      </w:r>
    </w:p>
    <w:p>
      <w:pPr>
        <w:pStyle w:val="Normal"/>
      </w:pPr>
      <w:r>
        <w:rPr>
          <w:rFonts w:ascii="Calibri" w:hAnsi="Calibri" w:eastAsia="Microsoft YaHei" w:cs="Calibri"/>
          <w:color w:val="263238"/>
          <w:sz w:val="21"/>
          <w:szCs w:val="21"/>
        </w:rPr>
        <w:t>Trigger Criteria (any one sufficient, IEWC-certified):</w:t>
      </w:r>
    </w:p>
    <w:p>
      <w:pPr>
        <w:pStyle w:val="Normal"/>
      </w:pPr>
      <w:r>
        <w:rPr>
          <w:rFonts w:ascii="Calibri" w:hAnsi="Calibri" w:eastAsia="Microsoft YaHei" w:cs="Calibri"/>
          <w:color w:val="263238"/>
          <w:sz w:val="21"/>
          <w:szCs w:val="21"/>
        </w:rPr>
        <w:t>(a) Coercion causing or credibly threatening &gt;5% GDP impact within 12 months (b) Comprehensive trade embargo or financial system exclusion (c) Coercion threatening humanitarian crisis, disruption to food, medicine, or energy supply affecting &gt;10% of population Response: All Tier 2+ members are expected to implement Phase 3 stabilisation measures within 7 days. Normal burden-sharing is suspended; costs distributed purely by GDP with relief for eligible members (Section 8.4). Full Stabilisation Fund and SFI resources mobilise without separate authorisation votes. Graduated Opt-Out: Members opt out of existential-level response with 7-day written notice. Opt-outs</w:t>
      </w:r>
    </w:p>
    <w:p>
      <w:pPr>
        <w:pStyle w:val="Normal"/>
      </w:pPr>
      <w:r>
        <w:rPr>
          <w:rFonts w:ascii="Calibri" w:hAnsi="Calibri" w:eastAsia="Microsoft YaHei" w:cs="Calibri"/>
          <w:color w:val="263238"/>
          <w:sz w:val="21"/>
          <w:szCs w:val="21"/>
        </w:rPr>
        <w:t>carry escalating surcharges:</w:t>
      </w:r>
    </w:p>
    <w:p>
      <w:pPr>
        <w:pStyle w:val="Normal"/>
      </w:pPr>
      <w:r>
        <w:rPr>
          <w:rFonts w:ascii="Calibri" w:hAnsi="Calibri" w:eastAsia="Microsoft YaHei" w:cs="Calibri"/>
          <w:color w:val="263238"/>
          <w:sz w:val="21"/>
          <w:szCs w:val="21"/>
        </w:rPr>
        <w:t>Opt-Out</w:t>
      </w:r>
    </w:p>
    <w:p>
      <w:pPr>
        <w:pStyle w:val="Normal"/>
      </w:pPr>
      <w:r>
        <w:rPr>
          <w:rFonts w:ascii="Calibri" w:hAnsi="Calibri" w:eastAsia="Microsoft YaHei" w:cs="Calibri"/>
          <w:color w:val="263238"/>
          <w:sz w:val="21"/>
          <w:szCs w:val="21"/>
        </w:rPr>
        <w:t>Fund Surcharge</w:t>
      </w:r>
    </w:p>
    <w:p>
      <w:pPr>
        <w:pStyle w:val="Normal"/>
      </w:pPr>
      <w:r>
        <w:rPr>
          <w:rFonts w:ascii="Calibri" w:hAnsi="Calibri" w:eastAsia="Microsoft YaHei" w:cs="Calibri"/>
          <w:color w:val="263238"/>
          <w:sz w:val="21"/>
          <w:szCs w:val="21"/>
        </w:rPr>
        <w:t>Additional Consequence</w:t>
      </w:r>
    </w:p>
    <w:p>
      <w:pPr>
        <w:pStyle w:val="Normal"/>
      </w:pPr>
      <w:r>
        <w:rPr>
          <w:rFonts w:ascii="Calibri" w:hAnsi="Calibri" w:eastAsia="Microsoft YaHei" w:cs="Calibri"/>
          <w:color w:val="263238"/>
          <w:sz w:val="21"/>
          <w:szCs w:val="21"/>
        </w:rPr>
        <w:t>First (per 10-year period)</w:t>
      </w:r>
    </w:p>
    <w:p>
      <w:pPr>
        <w:pStyle w:val="Normal"/>
      </w:pPr>
      <w:r>
        <w:rPr>
          <w:rFonts w:ascii="Calibri" w:hAnsi="Calibri" w:eastAsia="Microsoft YaHei" w:cs="Calibri"/>
          <w:color w:val="263238"/>
          <w:sz w:val="21"/>
          <w:szCs w:val="21"/>
        </w:rPr>
        <w:t>50% surcharge for remainder of case</w:t>
      </w:r>
    </w:p>
    <w:p>
      <w:pPr>
        <w:pStyle w:val="Normal"/>
      </w:pPr>
      <w:r>
        <w:rPr>
          <w:rFonts w:ascii="Calibri" w:hAnsi="Calibri" w:eastAsia="Microsoft YaHei" w:cs="Calibri"/>
          <w:color w:val="263238"/>
          <w:sz w:val="21"/>
          <w:szCs w:val="21"/>
        </w:rPr>
        <w:t>None</w:t>
      </w:r>
    </w:p>
    <w:p>
      <w:pPr>
        <w:pStyle w:val="Normal"/>
      </w:pPr>
      <w:r>
        <w:rPr>
          <w:rFonts w:ascii="Calibri" w:hAnsi="Calibri" w:eastAsia="Microsoft YaHei" w:cs="Calibri"/>
          <w:color w:val="263238"/>
          <w:sz w:val="21"/>
          <w:szCs w:val="21"/>
        </w:rPr>
        <w:t>Second</w:t>
      </w:r>
    </w:p>
    <w:p>
      <w:pPr>
        <w:pStyle w:val="Normal"/>
      </w:pPr>
      <w:r>
        <w:rPr>
          <w:rFonts w:ascii="Calibri" w:hAnsi="Calibri" w:eastAsia="Microsoft YaHei" w:cs="Calibri"/>
          <w:color w:val="263238"/>
          <w:sz w:val="21"/>
          <w:szCs w:val="21"/>
        </w:rPr>
        <w:t>100% surcharge</w:t>
      </w:r>
    </w:p>
    <w:p>
      <w:pPr>
        <w:pStyle w:val="Normal"/>
      </w:pPr>
      <w:r>
        <w:rPr>
          <w:rFonts w:ascii="Calibri" w:hAnsi="Calibri" w:eastAsia="Microsoft YaHei" w:cs="Calibri"/>
          <w:color w:val="263238"/>
          <w:sz w:val="21"/>
          <w:szCs w:val="21"/>
        </w:rPr>
        <w:t>Automatic downgrade to Associate for 24 months</w:t>
      </w:r>
    </w:p>
    <w:p>
      <w:pPr>
        <w:pStyle w:val="Normal"/>
      </w:pPr>
      <w:r>
        <w:rPr>
          <w:rFonts w:ascii="Calibri" w:hAnsi="Calibri" w:eastAsia="Microsoft YaHei" w:cs="Calibri"/>
          <w:color w:val="263238"/>
          <w:sz w:val="21"/>
          <w:szCs w:val="21"/>
        </w:rPr>
        <w:t>Third</w:t>
      </w:r>
    </w:p>
    <w:p>
      <w:pPr>
        <w:pStyle w:val="Normal"/>
      </w:pPr>
      <w:r>
        <w:rPr>
          <w:rFonts w:ascii="Calibri" w:hAnsi="Calibri" w:eastAsia="Microsoft YaHei" w:cs="Calibri"/>
          <w:color w:val="263238"/>
          <w:sz w:val="21"/>
          <w:szCs w:val="21"/>
        </w:rPr>
        <w:t>150% surcharge</w:t>
      </w:r>
    </w:p>
    <w:p>
      <w:pPr>
        <w:pStyle w:val="Normal"/>
      </w:pPr>
      <w:r>
        <w:rPr>
          <w:rFonts w:ascii="Calibri" w:hAnsi="Calibri" w:eastAsia="Microsoft YaHei" w:cs="Calibri"/>
          <w:color w:val="263238"/>
          <w:sz w:val="21"/>
          <w:szCs w:val="21"/>
        </w:rPr>
        <w:t>Permanent downgrade to Observer+</w:t>
      </w:r>
    </w:p>
    <w:p>
      <w:pPr>
        <w:pStyle w:val="Normal"/>
      </w:pPr>
      <w:r>
        <w:rPr>
          <w:rFonts w:ascii="Calibri" w:hAnsi="Calibri" w:eastAsia="Microsoft YaHei" w:cs="Calibri"/>
          <w:color w:val="263238"/>
          <w:sz w:val="21"/>
          <w:szCs w:val="21"/>
        </w:rPr>
        <w:t>Members downgraded due to opt-out applies for tier upgrade after 24 months with unanimous Tier 3 consent. This removes the forced-participation threat while ensuring that repeated non-solidarity carries real institutional consequences. Rolling Horizon: This clause persists at full strength and undergoes review at the 10-year mark; it renews by silence under the Nofade rule, and amendment or termination takes effect only through a 75% weighted written determination.</w:t>
      </w:r>
    </w:p>
    <w:p>
      <w:pPr>
        <w:pStyle w:val="Heading2"/>
      </w:pPr>
      <w:r>
        <w:rPr>
          <w:rFonts w:ascii="Calibri" w:hAnsi="Calibri" w:eastAsia="Microsoft YaHei" w:cs="Calibri"/>
          <w:b/>
          <w:color w:val="263238"/>
          <w:sz w:val="25"/>
          <w:szCs w:val="25"/>
        </w:rPr>
        <w:t>Section 8.13: Coercion-Induced Displacement Response</w:t>
      </w:r>
    </w:p>
    <w:p>
      <w:pPr>
        <w:pStyle w:val="Normal"/>
      </w:pPr>
      <w:r>
        <w:rPr>
          <w:rFonts w:ascii="Calibri" w:hAnsi="Calibri" w:eastAsia="Microsoft YaHei" w:cs="Calibri"/>
          <w:color w:val="263238"/>
          <w:sz w:val="21"/>
          <w:szCs w:val="21"/>
        </w:rPr>
        <w:t>Trigger: IEWC certifies economic coercion causing or threatening:</w:t>
      </w:r>
    </w:p>
    <w:p>
      <w:pPr>
        <w:pStyle w:val="Normal"/>
      </w:pPr>
      <w:r>
        <w:rPr>
          <w:rFonts w:ascii="Calibri" w:hAnsi="Calibri" w:eastAsia="Microsoft YaHei" w:cs="Calibri"/>
          <w:color w:val="263238"/>
          <w:sz w:val="21"/>
          <w:szCs w:val="21"/>
        </w:rPr>
        <w:t>(a) &gt;50,000 persons displaced across borders (b) &gt;500,000 persons internally displaced with humanitarian needs (c) Critical infrastructure collapse affecting &gt;10% of population Automatic Activation: Fund releases 5% of Peacetime Fund for humanitarian corridor maintenance; SFI humanitarian window expanded to non-member affected states; Resilience Fund provides 50% grants (not loans) for member border state support. Burden-Sharing Adjustment: Members receiving displacement flows receive 25% burden reduction for 12 months; surplus allocated from equalisation pool. Prevention Integration: Displacement risk assessment mandatory for all Phase 2+ authorisations; mitigation measures required if &gt;10,000 projected displaced. UN Coordination: Automatic notification to UNHCR, IOM, and OCHA; IMESI liaison deployed to affected region.</w:t>
      </w:r>
    </w:p>
    <w:p>
      <w:pPr>
        <w:pStyle w:val="Heading2"/>
      </w:pPr>
      <w:r>
        <w:rPr>
          <w:rFonts w:ascii="Calibri" w:hAnsi="Calibri" w:eastAsia="Microsoft YaHei" w:cs="Calibri"/>
          <w:b/>
          <w:color w:val="263238"/>
          <w:sz w:val="25"/>
          <w:szCs w:val="25"/>
        </w:rPr>
        <w:t>Section 8.14: Resilience Dividend Program (RDP)</w:t>
      </w:r>
    </w:p>
    <w:p>
      <w:pPr>
        <w:pStyle w:val="Normal"/>
      </w:pPr>
      <w:r>
        <w:rPr>
          <w:rFonts w:ascii="Calibri" w:hAnsi="Calibri" w:eastAsia="Microsoft YaHei" w:cs="Calibri"/>
          <w:color w:val="263238"/>
          <w:sz w:val="21"/>
          <w:szCs w:val="21"/>
        </w:rPr>
        <w:t>Annual cash-equivalent distribution from Peacetime Fund for members demonstrating supply chain diversification, paid regardless of whether coercion occurs. Converts peacetime participation into direct fiscal benefit. Eligibility: Any member completing IEWC-certified dependency audit and achieving &gt;10% reduction in single-source concentration in any Tier 1 sector. Calculation: Base dividend: 0.02% of member GDP; bonus: +0.01% for each additional sector diversified. Payment: Annual, from Peacetime Fund (15% of total Fund allocated to RDP); non-coercion use explicitly permitted. Payment is entitlement upon IEWC certification, not discretionary. Cumulative Recognition: Five consecutive years of RDP payments = Resilience Leader public designation + priority SFI access.</w:t>
      </w:r>
    </w:p>
    <w:p>
      <w:pPr>
        <w:pStyle w:val="Heading3"/>
      </w:pPr>
      <w:r>
        <w:rPr>
          <w:rFonts w:ascii="Calibri" w:hAnsi="Calibri" w:eastAsia="Microsoft YaHei" w:cs="Calibri"/>
          <w:b/>
          <w:color w:val="546E7A"/>
          <w:sz w:val="22"/>
          <w:szCs w:val="22"/>
        </w:rPr>
        <w:t xml:space="preserve">Section 8.14 (Addendum): Resilience Bond Certification and Private-Sector Resilience Dividend Protocol [NEW: v14.0]</w:t>
      </w:r>
    </w:p>
    <w:p>
      <w:pPr>
        <w:pStyle w:val="Normal"/>
      </w:pPr>
      <w:r>
        <w:rPr>
          <w:rFonts w:ascii="Calibri" w:hAnsi="Calibri" w:eastAsia="Microsoft YaHei" w:cs="Calibri"/>
          <w:color w:val="263238"/>
          <w:sz w:val="21"/>
          <w:szCs w:val="21"/>
        </w:rPr>
        <w:t xml:space="preserve">Sovereign and corporate bonds issued by IMESI members to finance supply-chain diversification (Section 8.28) or critical infrastructure resilience qualify for Secretariat certification as IMESI Resilience-Aligned. Members extend a standardised five-year interest tax exemption to certified bonds under domestic law; the tax expenditure rests with member states individually as foregone revenue and draws nothing from the Fund. Tax treatment of sovereign and corporate debt constitutes national fiscal policy rather than a trade measure. Parallel Dividend: the IMESI Business Council (Section 9.8A) administers a Private Sector Resilience Dividend for companies achieving a 15% reduction in single-source dependency in any Tier 1 strategic sector, including critical minerals, semiconductors, pharmaceuticals, and digital infrastructure. To preserve SCM Agreement compatibility, the Dividend operates as a standardised resilience diversification tax credit within member states under national fiscal authority, decoupled from export performance and production volumes; a 2% allocation of the annual Peacetime Fund covers certification, verification, and administration.</w:t>
      </w:r>
    </w:p>
    <w:p>
      <w:pPr>
        <w:pStyle w:val="Heading2"/>
      </w:pPr>
      <w:r>
        <w:rPr>
          <w:rFonts w:ascii="Calibri" w:hAnsi="Calibri" w:eastAsia="Microsoft YaHei" w:cs="Calibri"/>
          <w:b/>
          <w:color w:val="263238"/>
          <w:sz w:val="25"/>
          <w:szCs w:val="25"/>
        </w:rPr>
        <w:t>Section 8.14A: Coercion Resilience Rating</w:t>
      </w:r>
    </w:p>
    <w:p>
      <w:pPr>
        <w:pStyle w:val="Heading3"/>
      </w:pPr>
      <w:r>
        <w:rPr>
          <w:rFonts w:ascii="Calibri" w:hAnsi="Calibri" w:eastAsia="Microsoft YaHei" w:cs="Calibri"/>
          <w:b/>
          <w:color w:val="546E7A"/>
          <w:sz w:val="22"/>
          <w:szCs w:val="22"/>
        </w:rPr>
        <w:t>Section 8.14A (Addendum): Tariff Policy Volatility Metric [NEW: v11.0]</w:t>
      </w:r>
    </w:p>
    <w:p>
      <w:pPr>
        <w:pStyle w:val="Normal"/>
      </w:pPr>
      <w:r>
        <w:rPr>
          <w:rFonts w:ascii="Calibri" w:hAnsi="Calibri" w:eastAsia="Microsoft YaHei" w:cs="Calibri"/>
          <w:color w:val="263238"/>
          <w:sz w:val="21"/>
          <w:szCs w:val="21"/>
        </w:rPr>
        <w:t>The Coercion Resilience Rating incorporates a Tariff Policy Volatility metric. More than two changes to the same HS code within 12 months automatically downgrades the coercing state’s security grade to D without a case-by-case vote.</w:t>
      </w:r>
    </w:p>
    <w:p>
      <w:pPr>
        <w:pStyle w:val="Normal"/>
      </w:pPr>
      <w:r>
        <w:rPr>
          <w:rFonts w:ascii="Calibri" w:hAnsi="Calibri" w:eastAsia="Microsoft YaHei" w:cs="Calibri"/>
          <w:color w:val="263238"/>
          <w:sz w:val="21"/>
          <w:szCs w:val="21"/>
        </w:rPr>
        <w:t>Purpose: Translate IMESI membership into concrete financial market benefits by publishing annual advisory ratings for member sovereign debt. Methodology: The Secretariat publishes annual Coercion Resilience Ratings incorporating: supply chain diversification progress (RDP metrics), VCI scores (Annex 13A), Fund liquidity position (Section 8.1), and bilateral exposure concentration. Tariff Resilience Enhancement (v9.3A): CRR methodology expanded to include: tariff-specific diversification metrics (share of trade with Tariff Stability Compact members); SND preparedness score (joint procurement readiness, alternative supplier activation speed); and Tariff Sub-Fund access history. Higher CRR scores translate to: lower CRI premiums (5–15% discount per grade); priority Resilience Fund access during tariff events; and favourable sovereign debt assessment from ratings agencies engaged under Annex 10B. Status: Advisory only, not a credit rating. Structured for integration into ESG investment frameworks and institutional investor due diligence. No IMESI guarantee of sovereign debt is implied. Effect: Creates tangible market incentive for membership and tier progression; attracts institutional capital to member debt; purely informational, no enforcement risk. Members with higher ratings benefit from</w:t>
      </w:r>
    </w:p>
    <w:p>
      <w:pPr>
        <w:pStyle w:val="Normal"/>
      </w:pPr>
      <w:r>
        <w:rPr>
          <w:rFonts w:ascii="Calibri" w:hAnsi="Calibri" w:eastAsia="Microsoft YaHei" w:cs="Calibri"/>
          <w:color w:val="263238"/>
          <w:sz w:val="21"/>
          <w:szCs w:val="21"/>
        </w:rPr>
        <w:t>reduced borrowing costs as markets incorporate coercion resilience into pricing. Cost: Minimal, analyst time within existing Secretariat capacity.</w:t>
      </w:r>
    </w:p>
    <w:p>
      <w:pPr>
        <w:pStyle w:val="Heading3"/>
      </w:pPr>
      <w:r>
        <w:t>Section 8.14A (Addendum): Sovereign Debt Rating Premium (SDRP) [NEW: v15.0]</w:t>
      </w:r>
    </w:p>
    <w:p>
      <w:r>
        <w:t>(a) The Secretariat engages with major credit rating agencies (S&amp;P, Moody's, Fitch) to incorporate IMESI membership into sovereign credit assessments. Members receive consideration for a positive adjustment of at least one notch where they hold: (i) VCI-A or VCI-B status; (ii) full participation in at least 2 activations; and (iii) no anti-fragmentation violations in the preceding 24 months.</w:t>
      </w:r>
    </w:p>
    <w:p>
      <w:r>
        <w:t>(b) A one-notch rating upgrade reduces borrowing costs by an estimated 25-50 basis points. For a USD 500 billion sovereign debt stock, this represents USD 1.25-2.5 billion in annual interest savings.</w:t>
      </w:r>
    </w:p>
    <w:p>
      <w:r>
        <w:t>(c) The Secretariat provides data and analysis and never dictates ratings. Credit rating assessments remain market judgments, outside trade-measure classification.</w:t>
      </w:r>
    </w:p>
    <w:p>
      <w:r>
        <w:t>(d) The Secretariat establishes a Credit Rating Liaison Unit within 12 months of entry into force, with quarterly data sharing with rating agencies. The mechanism carries no Fund cost.</w:t>
      </w:r>
    </w:p>
    <w:p>
      <w:r>
        <w:t>Rationale: A one-notch rating premium saves billions in interest costs. Finance ministers fight to keep this benefit.</w:t>
      </w:r>
    </w:p>
    <w:p>
      <w:pPr>
        <w:pStyle w:val="Heading2"/>
      </w:pPr>
      <w:r>
        <w:rPr>
          <w:rFonts w:ascii="Calibri" w:hAnsi="Calibri" w:eastAsia="Microsoft YaHei" w:cs="Calibri"/>
          <w:b/>
          <w:color w:val="263238"/>
          <w:sz w:val="25"/>
          <w:szCs w:val="25"/>
        </w:rPr>
        <w:t>Section 8.14B: Accelerated Diversification Recognition</w:t>
      </w:r>
    </w:p>
    <w:p>
      <w:pPr>
        <w:pStyle w:val="Normal"/>
      </w:pPr>
      <w:r>
        <w:rPr>
          <w:rFonts w:ascii="Calibri" w:hAnsi="Calibri" w:eastAsia="Microsoft YaHei" w:cs="Calibri"/>
          <w:color w:val="263238"/>
          <w:sz w:val="21"/>
          <w:szCs w:val="21"/>
        </w:rPr>
        <w:t>Performance-Based: Members demonstrating &gt;10% reduction in single-source dependency within 24 months of accession are eligible for: priority Resilience Fund project consideration; expedited customs procedures for diversified supply chains; public recognition on the Institutional Readiness Dashboard. No Guaranteed Transfer: Recognition does not create entitlement to Fund disbursement; projects remain subject to standard assessment criteria. Reporting Support: Secretariat provides standardised methodology for diversification measurement; independent audit available upon member request.</w:t>
      </w:r>
    </w:p>
    <w:p>
      <w:pPr>
        <w:pStyle w:val="Normal"/>
      </w:pPr>
      <w:r>
        <w:rPr>
          <w:rFonts w:ascii="Calibri" w:hAnsi="Calibri" w:eastAsia="Microsoft YaHei" w:cs="Calibri"/>
          <w:color w:val="263238"/>
          <w:sz w:val="21"/>
          <w:szCs w:val="21"/>
        </w:rPr>
        <w:t>Section 8.14A (Expanded): Market Stability Watch Integration [v9.8 Revision: Grade D Vote Requirement Added]</w:t>
      </w:r>
    </w:p>
    <w:p>
      <w:pPr>
        <w:pStyle w:val="Normal"/>
      </w:pPr>
      <w:r>
        <w:rPr>
          <w:rFonts w:ascii="Calibri" w:hAnsi="Calibri" w:eastAsia="Microsoft YaHei" w:cs="Calibri"/>
          <w:color w:val="263238"/>
          <w:sz w:val="21"/>
          <w:szCs w:val="21"/>
        </w:rPr>
        <w:t>The Coercion Resilience Rating methodology incorporates a Market Stability Watch function. When the IEWC certifies an Adverse Economic Security Incident (Section 2.1B) or Systemic Non-Coercive Disruption (Section 1.4B) against any state, the Secretariat publishes an advisory Security Grade for that jurisdiction within 72 hours, following consultation with the certifying member state (if feasible within 72-hour window).</w:t>
      </w:r>
    </w:p>
    <w:p>
      <w:pPr>
        <w:pStyle w:val="Normal"/>
      </w:pPr>
      <w:r>
        <w:rPr>
          <w:rFonts w:ascii="Calibri" w:hAnsi="Calibri" w:eastAsia="Microsoft YaHei" w:cs="Calibri"/>
          <w:color w:val="263238"/>
          <w:sz w:val="21"/>
          <w:szCs w:val="21"/>
        </w:rPr>
        <w:t>Grades and Triggering Conditions</w:t>
      </w:r>
    </w:p>
    <w:p>
      <w:pPr>
        <w:pStyle w:val="Normal"/>
      </w:pPr>
      <w:r>
        <w:rPr>
          <w:rFonts w:ascii="Calibri" w:hAnsi="Calibri" w:eastAsia="Microsoft YaHei" w:cs="Calibri"/>
          <w:color w:val="263238"/>
          <w:sz w:val="21"/>
          <w:szCs w:val="21"/>
        </w:rPr>
        <w:t>Grade A: Standard market conditions. No additional action required.</w:t>
      </w:r>
    </w:p>
    <w:p>
      <w:pPr>
        <w:pStyle w:val="Normal"/>
      </w:pPr>
      <w:r>
        <w:rPr>
          <w:rFonts w:ascii="Calibri" w:hAnsi="Calibri" w:eastAsia="Microsoft YaHei" w:cs="Calibri"/>
          <w:color w:val="263238"/>
          <w:sz w:val="21"/>
          <w:szCs w:val="21"/>
        </w:rPr>
        <w:t>Grade B: Elevated political risk, enhanced due diligence recommended by SFIs. Secretariat issues public advisory; member states incorporate into domestic fiduciary standards through national legislation.</w:t>
      </w:r>
    </w:p>
    <w:p>
      <w:pPr>
        <w:pStyle w:val="Normal"/>
      </w:pPr>
      <w:r>
        <w:rPr>
          <w:rFonts w:ascii="Calibri" w:hAnsi="Calibri" w:eastAsia="Microsoft YaHei" w:cs="Calibri"/>
          <w:color w:val="263238"/>
          <w:sz w:val="21"/>
          <w:szCs w:val="21"/>
        </w:rPr>
        <w:t>Grade C: Active coercion environment, fiduciary review triggered. Secretariat publishes "Elevated Risk Assessment" with factual timeline of certified measures. SFIs self-imposes enhanced monitoring.</w:t>
      </w:r>
    </w:p>
    <w:p>
      <w:pPr>
        <w:pStyle w:val="Normal"/>
      </w:pPr>
      <w:r>
        <w:rPr>
          <w:rFonts w:ascii="Calibri" w:hAnsi="Calibri" w:eastAsia="Microsoft YaHei" w:cs="Calibri"/>
          <w:color w:val="263238"/>
          <w:sz w:val="21"/>
          <w:szCs w:val="21"/>
        </w:rPr>
        <w:t>Grade D: Systemic instability. Upon IEWC certification of Grade D, Secretariat issues alert within 72 hours. SFI settlement preference shifts do not activate automatically. Instead: Secretariat notifies CC within 24 hours of Grade D determination; CC votes (55% threshold) within 7 days on whether to activate SFI settlement preference restrictions (Section 8.10G); If CC votes affirmatively, SFI shifts activate immediately; If CC votes negatively or abstains, measures do not activate.</w:t>
      </w:r>
    </w:p>
    <w:p>
      <w:pPr>
        <w:pStyle w:val="Normal"/>
      </w:pPr>
      <w:r>
        <w:rPr>
          <w:rFonts w:ascii="Calibri" w:hAnsi="Calibri" w:eastAsia="Microsoft YaHei" w:cs="Calibri"/>
          <w:color w:val="263238"/>
          <w:sz w:val="21"/>
          <w:szCs w:val="21"/>
        </w:rPr>
        <w:t>Safeguards</w:t>
      </w:r>
    </w:p>
    <w:p>
      <w:pPr>
        <w:pStyle w:val="Normal"/>
      </w:pPr>
      <w:r>
        <w:rPr>
          <w:rFonts w:ascii="Calibri" w:hAnsi="Calibri" w:eastAsia="Microsoft YaHei" w:cs="Calibri"/>
          <w:color w:val="263238"/>
          <w:sz w:val="21"/>
          <w:szCs w:val="21"/>
        </w:rPr>
        <w:t>Grades are advisory only and non-binding on member states or private SFIs. Member states incorporate Security Grades into domestic fiduciary standards through national legislation at their discretion. No IMESI body directs private investment decisions. Grade D activation requires explicit member vote (55% CC threshold); no Secretariat unilateral authority. All Security Grade publications include: date of IEWC certification, certified measures, duration of certification, and next review date.</w:t>
      </w:r>
    </w:p>
    <w:p>
      <w:pPr>
        <w:pStyle w:val="Normal"/>
      </w:pPr>
      <w:r>
        <w:rPr>
          <w:rFonts w:ascii="Calibri" w:hAnsi="Calibri" w:eastAsia="Microsoft YaHei" w:cs="Calibri"/>
          <w:color w:val="263238"/>
          <w:sz w:val="21"/>
          <w:szCs w:val="21"/>
        </w:rPr>
        <w:t>De-escalation</w:t>
      </w:r>
    </w:p>
    <w:p>
      <w:pPr>
        <w:pStyle w:val="Normal"/>
      </w:pPr>
      <w:r>
        <w:rPr>
          <w:rFonts w:ascii="Calibri" w:hAnsi="Calibri" w:eastAsia="Microsoft YaHei" w:cs="Calibri"/>
          <w:color w:val="263238"/>
          <w:sz w:val="21"/>
          <w:szCs w:val="21"/>
        </w:rPr>
        <w:t>Grades are downgraded upon IEWC determination that: (a) underlying measures have ceased for &gt;60 days; (b) coercer state has entered Phase 2+ of Coercer Rehabilitation Protocol (Section 3.9); or (c) case is closed. Downgrade requires 30-day public notice period; affected member state requests IEWC review before downgrade takes effect.</w:t>
      </w:r>
    </w:p>
    <w:p>
      <w:pPr>
        <w:pStyle w:val="Normal"/>
      </w:pPr>
      <w:r>
        <w:rPr>
          <w:rFonts w:ascii="Calibri" w:hAnsi="Calibri" w:eastAsia="Microsoft YaHei" w:cs="Calibri"/>
          <w:color w:val="263238"/>
          <w:sz w:val="21"/>
          <w:szCs w:val="21"/>
        </w:rPr>
        <w:t>Cross-reference (Section 4.2A, Institutional Readiness Dashboard): "Security Grade publications (all grades) for active coercion and elevated pressure monitoring cases, updated in real time."</w:t>
      </w:r>
    </w:p>
    <w:p>
      <w:pPr>
        <w:pStyle w:val="Heading2"/>
      </w:pPr>
      <w:r>
        <w:rPr>
          <w:rFonts w:ascii="Calibri" w:hAnsi="Calibri" w:eastAsia="Microsoft YaHei" w:cs="Calibri"/>
          <w:b/>
          <w:color w:val="263238"/>
          <w:sz w:val="25"/>
          <w:szCs w:val="25"/>
        </w:rPr>
        <w:t>Section 8.15: Sovereign Cloud Sovereignty Credit (SCSC)</w:t>
      </w:r>
    </w:p>
    <w:p>
      <w:pPr>
        <w:pStyle w:val="Normal"/>
      </w:pPr>
      <w:r>
        <w:rPr>
          <w:rFonts w:ascii="Calibri" w:hAnsi="Calibri" w:eastAsia="Microsoft YaHei" w:cs="Calibri"/>
          <w:color w:val="263238"/>
          <w:sz w:val="21"/>
          <w:szCs w:val="21"/>
        </w:rPr>
        <w:t>Free technical assistance and subsidised infrastructure for establishing national digital sovereignty, before any digital coercion occurs. Eligibility: Any Tier 0+ member with &gt;60% dependence on non-member cloud/AI providers (IEWC-certified). Package: IEWC technical assessment of digital vulnerability; subsidised access to IMESI sovereign cloud infrastructure (Section 8.8) at 50% cost; joint AI training facility compute credits; data localisation compliance roadmap. Value: USD 50–200 million equivalent per member (depending on GDP). Funded from 20% allocation of Digital Infrastructure Resilience Fund (Section 8.8). Condition: Member commits to IEWC data sharing on digital trade flows; no policy harmonisation required. Member diversifies, not decouple, no obligation to restrict non-member providers. Digital Resilience Credit (expanded scope): Beyond sovereign cloud, Section 8.15 also covers broader digital resilience pre-positioning against private platform coercion. Eligible: Tier 0+ members with &gt;60% dependence on a single non-member platform for critical services. Package: IEWC tech assessment; subsidised interoperability preparation (not full migration); support on antitrust complaints. Funding capped at 5% of the Digital Infrastructure Resilience Fund. Duration: 24 months.</w:t>
      </w:r>
    </w:p>
    <w:p>
      <w:pPr>
        <w:pStyle w:val="Heading2"/>
      </w:pPr>
      <w:r>
        <w:rPr>
          <w:rFonts w:ascii="Calibri" w:hAnsi="Calibri" w:eastAsia="Microsoft YaHei" w:cs="Calibri"/>
          <w:b/>
          <w:color w:val="263238"/>
          <w:sz w:val="25"/>
          <w:szCs w:val="25"/>
        </w:rPr>
        <w:t>Section 8.16: Coercion Risk Insurance (CRI)</w:t>
      </w:r>
    </w:p>
    <w:p>
      <w:pPr>
        <w:pStyle w:val="Heading3"/>
      </w:pPr>
      <w:r>
        <w:rPr>
          <w:rFonts w:ascii="Calibri" w:hAnsi="Calibri" w:eastAsia="Microsoft YaHei" w:cs="Calibri"/>
          <w:b/>
          <w:color w:val="546E7A"/>
          <w:sz w:val="22"/>
          <w:szCs w:val="22"/>
        </w:rPr>
        <w:t>Section 8.16 (Addendum): Investor Confidence Guarantee [NEW: v12.0]</w:t>
      </w:r>
    </w:p>
    <w:p>
      <w:pPr>
        <w:pStyle w:val="Normal"/>
      </w:pPr>
      <w:r>
        <w:rPr>
          <w:rFonts w:ascii="Calibri" w:hAnsi="Calibri" w:eastAsia="Microsoft YaHei" w:cs="Calibri"/>
          <w:color w:val="263238"/>
          <w:sz w:val="21"/>
          <w:szCs w:val="21"/>
        </w:rPr>
        <w:t>CRI coverage extends to investors in IMESI Member states. Where a Member faces pre-emptive tariffs or sanctions for joining IMESI, investors in that Member’s sovereign debt, infrastructure, or strategic sectors gain eligibility for CRI payouts, maintaining capital flows and market confidence.</w:t>
      </w:r>
    </w:p>
    <w:p>
      <w:pPr>
        <w:pStyle w:val="Normal"/>
      </w:pPr>
      <w:r>
        <w:rPr>
          <w:rFonts w:ascii="Calibri" w:hAnsi="Calibri" w:eastAsia="Microsoft YaHei" w:cs="Calibri"/>
          <w:color w:val="263238"/>
          <w:sz w:val="21"/>
          <w:szCs w:val="21"/>
        </w:rPr>
        <w:t>Standalone, commercially tradable insurance product against economic coercion, available to members before any coalition activation. Product: Private-sector insurance (Lloyd's syndicates, national export credit agencies) backed by IMESI Resilience Fund partial guarantee. Insurance Guarantee Layer: 15% of Paid-In Base reserved for CRI backstop (approximately USD 3–4.5 billion for founding coalition). Standard Coverage: 30–50% of documented export revenue loss from coercion or tariff increases &gt;10 percentage points (v9.3); 60% of supply chain reconfiguration costs. Trigger: IEWC-certified coercion finding or SND certification (no coalition stabilisation measure required).</w:t>
      </w:r>
    </w:p>
    <w:p>
      <w:pPr>
        <w:pStyle w:val="Normal"/>
      </w:pPr>
      <w:r>
        <w:rPr>
          <w:rFonts w:ascii="Calibri" w:hAnsi="Calibri" w:eastAsia="Microsoft YaHei" w:cs="Calibri"/>
          <w:color w:val="263238"/>
          <w:sz w:val="21"/>
          <w:szCs w:val="21"/>
        </w:rPr>
        <w:t>Enhanced Tier 1 Strategic Sector Coverage: For sectors designated as Tier 1 strategic (semiconductors, rare earths, energy, green tech): 70–90% export loss coverage and 90% reconfiguration cost coverage with automatic 30-day payout upon IEWC preliminary certification. Speed: Standard CRI pays within 72 hours of IEWC preliminary certification. Enhanced Tier 1 coverage pays within 72 hours, before full case investigation completes. Overpayments reconciled post-case. Premium: Subsidised 40% for Tier 0/1 members (Fund covers subsidy); market rate for non-members. Key Feature: Pays out regardless of whether IMESI activates collective response, member receives compensation even if coalition abstains or delays. This makes the insurance framing literal, not metaphorical.</w:t>
      </w:r>
    </w:p>
    <w:p>
      <w:pPr>
        <w:pStyle w:val="Heading3"/>
      </w:pPr>
      <w:r>
        <w:rPr>
          <w:rFonts w:ascii="Calibri" w:hAnsi="Calibri" w:eastAsia="Microsoft YaHei" w:cs="Calibri"/>
          <w:b/>
          <w:color w:val="546E7A"/>
          <w:sz w:val="22"/>
          <w:szCs w:val="22"/>
        </w:rPr>
        <w:t>Section 8.16 (Second Addendum): Insurance Pool Integrity Protocol [NEW: v13.0]</w:t>
      </w:r>
    </w:p>
    <w:p>
      <w:pPr>
        <w:pStyle w:val="Normal"/>
      </w:pPr>
      <w:r>
        <w:rPr>
          <w:rFonts w:ascii="Calibri" w:hAnsi="Calibri" w:eastAsia="Microsoft YaHei" w:cs="Calibri"/>
          <w:color w:val="263238"/>
          <w:sz w:val="21"/>
          <w:szCs w:val="21"/>
        </w:rPr>
        <w:t>Coercion Risk Insurance payouts are reimbursed to the Insurance Guarantee Layer from the Retroactive Reinstatement Surcharge (Section 10.9 Second Addendum) or the General Fund where the coercer's measures are withdrawn within 90 days without a substantive policy change by the affected Member, preventing false-flag claims from depleting the pool. The Private Sector Liquidity Guarantee Programme (Section 8.33) operates a Trigger Verification mechanism under which a private entity demonstrates, through independent documentation, that the coercion is ongoing at the time of the guarantee request; a guarantee request withdrawn within 30 days of approval carries a 25% penalty fee to discourage speculative claims. The Secretariat maintains a Private Sector Integrity Monitor tracking claims patterns to identify potential manipulation by coercers or their proxies.</w:t>
      </w:r>
    </w:p>
    <w:p>
      <w:pPr>
        <w:pStyle w:val="Normal"/>
      </w:pPr>
      <w:r>
        <w:rPr>
          <w:rFonts w:ascii="Calibri" w:hAnsi="Calibri" w:eastAsia="Microsoft YaHei" w:cs="Calibri"/>
          <w:color w:val="263238"/>
          <w:sz w:val="21"/>
          <w:szCs w:val="21"/>
        </w:rPr>
        <w:t>Section 8.16(b): Sovereign Liquidity Insurance (SLI) (v8.8)</w:t>
      </w:r>
    </w:p>
    <w:p>
      <w:pPr>
        <w:pStyle w:val="Normal"/>
      </w:pPr>
      <w:r>
        <w:rPr>
          <w:rFonts w:ascii="Calibri" w:hAnsi="Calibri" w:eastAsia="Microsoft YaHei" w:cs="Calibri"/>
          <w:color w:val="263238"/>
          <w:sz w:val="21"/>
          <w:szCs w:val="21"/>
        </w:rPr>
        <w:t>Standalone product guaranteeing:</w:t>
      </w:r>
    </w:p>
    <w:p>
      <w:pPr>
        <w:pStyle w:val="Normal"/>
      </w:pPr>
      <w:r>
        <w:rPr>
          <w:rFonts w:ascii="Calibri" w:hAnsi="Calibri" w:eastAsia="Microsoft YaHei" w:cs="Calibri"/>
          <w:color w:val="263238"/>
          <w:sz w:val="21"/>
          <w:szCs w:val="21"/>
        </w:rPr>
        <w:t>(i) 90-day sovereign debt rollover at pre-crisis spreads (ii) Central bank FX intervention support (iii) Emergency budget financing at concessionary rates Trigger: IEWC coercion certification plus market stress indicator (sovereign spread &gt;300bps or reserves &lt;3 months import cover). Backed by 20% of Paid-In Base plus callable IMF resources (Section 8.20).</w:t>
      </w:r>
    </w:p>
    <w:p>
      <w:pPr>
        <w:pStyle w:val="Heading2"/>
      </w:pPr>
      <w:r>
        <w:rPr>
          <w:rFonts w:ascii="Calibri" w:hAnsi="Calibri" w:eastAsia="Microsoft YaHei" w:cs="Calibri"/>
          <w:b/>
          <w:color w:val="263238"/>
          <w:sz w:val="25"/>
          <w:szCs w:val="25"/>
        </w:rPr>
        <w:t>Section 8.17: Pre-Launch Binding Commitment (PLBC)</w:t>
      </w:r>
    </w:p>
    <w:p>
      <w:pPr>
        <w:pStyle w:val="Normal"/>
      </w:pPr>
      <w:r>
        <w:rPr>
          <w:rFonts w:ascii="Calibri" w:hAnsi="Calibri" w:eastAsia="Microsoft YaHei" w:cs="Calibri"/>
          <w:color w:val="263238"/>
          <w:sz w:val="21"/>
          <w:szCs w:val="21"/>
        </w:rPr>
        <w:t>Gap Addressed: Founding members commit before IMESI demonstrates operational capability. If a major coercion event occurs during the pilot exercise phase (Months 3–6), the institution lacks proven response capacity and fiscal reserves. Trigger: Founding conference achieves 8+ states with &gt;25% global GDP. Mechanism: Members deposit 0.1% GDP as activation bond into escrow; released to the Stabilisation Fund upon successful completion of the pilot exercise (Annex 13, Phase 1). Effect: Creates immediate fiscal capacity, estimated USD 15–25 billion for a founding coalition of 25–30% global GDP. Members have skin in the game before full operational readiness. Forfeit: If a member withdraws before pilot completion, the bond forfeits to remaining members, distributed through the Resilience Fund. Transition: Upon pilot completion, PLBC deposits convert to the member's first-year Fund contribution, credited against Section 8.2 obligations.</w:t>
      </w:r>
    </w:p>
    <w:p>
      <w:pPr>
        <w:pStyle w:val="Heading2"/>
      </w:pPr>
      <w:r>
        <w:rPr>
          <w:rFonts w:ascii="Calibri" w:hAnsi="Calibri" w:eastAsia="Microsoft YaHei" w:cs="Calibri"/>
          <w:b/>
          <w:color w:val="263238"/>
          <w:sz w:val="25"/>
          <w:szCs w:val="25"/>
        </w:rPr>
        <w:t>Section 8.18: Anticipatory Damage Facility (ADF)</w:t>
      </w:r>
    </w:p>
    <w:p>
      <w:pPr>
        <w:pStyle w:val="Heading3"/>
      </w:pPr>
      <w:r>
        <w:rPr>
          <w:rFonts w:ascii="Calibri" w:hAnsi="Calibri" w:eastAsia="Microsoft YaHei" w:cs="Calibri"/>
          <w:b/>
          <w:color w:val="546E7A"/>
          <w:sz w:val="22"/>
          <w:szCs w:val="22"/>
        </w:rPr>
        <w:t>Section 8.18 (Addendum): Phase 0+ Anticipatory Liquidity for Market Jitters [NEW: v11.0]</w:t>
      </w:r>
    </w:p>
    <w:p>
      <w:pPr>
        <w:pStyle w:val="Normal"/>
      </w:pPr>
      <w:r>
        <w:rPr>
          <w:rFonts w:ascii="Calibri" w:hAnsi="Calibri" w:eastAsia="Microsoft YaHei" w:cs="Calibri"/>
          <w:color w:val="263238"/>
          <w:sz w:val="21"/>
          <w:szCs w:val="21"/>
        </w:rPr>
        <w:t>The Anticipatory Defence Facility activates liquidity support not only on stock decline but also on a Tariff Volatility Index spike. The TVI tracks tariff-relevant market stress generated by presidential statements and executive orders.</w:t>
      </w:r>
    </w:p>
    <w:p>
      <w:pPr>
        <w:pStyle w:val="Heading3"/>
      </w:pPr>
      <w:r>
        <w:rPr>
          <w:rFonts w:ascii="Calibri" w:hAnsi="Calibri" w:eastAsia="Microsoft YaHei" w:cs="Calibri"/>
          <w:b/>
          <w:color w:val="546E7A"/>
          <w:sz w:val="22"/>
          <w:szCs w:val="22"/>
        </w:rPr>
        <w:t>Section 8.18C: Evidentiary Data-Auditing Safeguard [NEW: v12.0]</w:t>
      </w:r>
    </w:p>
    <w:p>
      <w:pPr>
        <w:pStyle w:val="Normal"/>
      </w:pPr>
      <w:r>
        <w:rPr>
          <w:rFonts w:ascii="Calibri" w:hAnsi="Calibri" w:eastAsia="Microsoft YaHei" w:cs="Calibri"/>
          <w:color w:val="263238"/>
          <w:sz w:val="21"/>
          <w:szCs w:val="21"/>
        </w:rPr>
        <w:t>The Secretariat maintains parallel independent data feeds for all automated indices, including the Tariff Volatility Index and the Customs Delay Index. Discrepancies exceeding 5% between primary and secondary feeds automatically suspend automated retaliation triggers pending technical reconciliation, preventing bad actors from gaming raw statistical feeds into false-positive Phase 1 actions.</w:t>
      </w:r>
    </w:p>
    <w:p>
      <w:pPr>
        <w:pStyle w:val="Normal"/>
      </w:pPr>
      <w:r>
        <w:rPr>
          <w:rFonts w:ascii="Calibri" w:hAnsi="Calibri" w:eastAsia="Microsoft YaHei" w:cs="Calibri"/>
          <w:color w:val="263238"/>
          <w:sz w:val="21"/>
          <w:szCs w:val="21"/>
        </w:rPr>
        <w:t>Gap Addressed: Existing compensation mechanisms (Resilience Fund, CRI, EBC) operate on post-harm verification. Systemic-economy coercion threats cause immediate capital flight, contract cancellations, and investment freezes before physical trade restrictions bite. By the time IEWC certification completes, irreversible economic damage alreadies have occurred. Trigger: Event Market &gt;80% probability (Section 4.2F Deterrence Signalling Protocol) plus &gt;15% stock price decline in affected sectors across member exchanges within 72 hours.</w:t>
      </w:r>
    </w:p>
    <w:p>
      <w:pPr>
        <w:pStyle w:val="Normal"/>
      </w:pPr>
      <w:r>
        <w:rPr>
          <w:rFonts w:ascii="Calibri" w:hAnsi="Calibri" w:eastAsia="Microsoft YaHei" w:cs="Calibri"/>
          <w:color w:val="263238"/>
          <w:sz w:val="21"/>
          <w:szCs w:val="21"/>
        </w:rPr>
        <w:t>Mechanism: Immediate liquidity injection of 0.5% of affected member's GDP, no IEWC coercion certification required. The ADF treats market-verified anticipatory damage as independently compensable. Repayment: If coercion materialises and IEWC certifies, ADF injection converts to standard Resilience Fund disbursement (non-repayable). If coercion does not materialise within 90 days, the injection becomes a</w:t>
      </w:r>
    </w:p>
    <w:p>
      <w:pPr>
        <w:pStyle w:val="Normal"/>
      </w:pPr>
      <w:r>
        <w:rPr>
          <w:rFonts w:ascii="Calibri" w:hAnsi="Calibri" w:eastAsia="Microsoft YaHei" w:cs="Calibri"/>
          <w:color w:val="263238"/>
          <w:sz w:val="21"/>
          <w:szCs w:val="21"/>
        </w:rPr>
        <w:t>low-interest loan repayable over 24 months. Tariff Shock ADF Activation (v9.3A): For SND-certified tariff shocks (Section 1.4B), ADF activation threshold is reduced: Event Market &gt;70% probability (from 80%) plus &gt;10% stock decline (from 15%) in tariff-affected sectors. Cost imposition: The aggressor faces financial consequences before physical trade restrictions bite, market-verified anticipatory damage is treated as independently compensable, making even tariff threats costly. Funding: ADF draws from the Stabilisation Fund (Section 8.6) up to 10% of annual capacity. Expenditures beyond 10% require 55% Coordination Committee vote. Interaction: ADF operates alongside CRI (Section 8.16) and DSP (Section 4.2F). A member receives ADF liquidity, CRI insurance payout, and DSP-triggered stabilisation measure protection simultaneously, each addresses a different damage channel.</w:t>
      </w:r>
    </w:p>
    <w:p>
      <w:pPr>
        <w:pStyle w:val="Heading2"/>
      </w:pPr>
      <w:r>
        <w:rPr>
          <w:rFonts w:ascii="Calibri" w:hAnsi="Calibri" w:eastAsia="Microsoft YaHei" w:cs="Calibri"/>
          <w:b/>
          <w:color w:val="263238"/>
          <w:sz w:val="25"/>
          <w:szCs w:val="25"/>
        </w:rPr>
        <w:t>Section 8.18B: Psychological Impact Guarantee [NEW: v12.1]</w:t>
      </w:r>
    </w:p>
    <w:p>
      <w:pPr>
        <w:pStyle w:val="Normal"/>
      </w:pPr>
      <w:r>
        <w:rPr>
          <w:rFonts w:ascii="Calibri" w:hAnsi="Calibri" w:eastAsia="Microsoft YaHei" w:cs="Calibri"/>
          <w:color w:val="263238"/>
          <w:sz w:val="21"/>
          <w:szCs w:val="21"/>
        </w:rPr>
        <w:t>Where a Member experiences sovereign bond spread widening exceeding 150 basis points solely upon the announcement of a threat by a certified High Political Volatility coercer (Section 4.2X), before any actual economic harm occurs, this sub-facility of the Anticipatory Damage Facility provides liquidity of up to 0.1% of the Member's GDP specifically to stabilise sovereign bond yields. The Guarantee funds the damage caused by engineered fear itself, denying irrational actors the cost-free weaponisation of announcements.</w:t>
      </w:r>
    </w:p>
    <w:p>
      <w:pPr>
        <w:pStyle w:val="Heading2"/>
      </w:pPr>
      <w:r>
        <w:rPr>
          <w:rFonts w:ascii="Calibri" w:hAnsi="Calibri" w:eastAsia="Microsoft YaHei" w:cs="Calibri"/>
          <w:b/>
          <w:color w:val="263238"/>
          <w:sz w:val="25"/>
          <w:szCs w:val="25"/>
        </w:rPr>
        <w:t>Section 8.18A: Debt Service Bridge Sub-Facility [NEW: v9.8 Revision]</w:t>
      </w:r>
    </w:p>
    <w:p>
      <w:pPr>
        <w:pStyle w:val="Normal"/>
      </w:pPr>
      <w:r>
        <w:rPr>
          <w:rFonts w:ascii="Calibri" w:hAnsi="Calibri" w:eastAsia="Microsoft YaHei" w:cs="Calibri"/>
          <w:color w:val="263238"/>
          <w:sz w:val="21"/>
          <w:szCs w:val="21"/>
        </w:rPr>
        <w:t>Scope and Eligibility</w:t>
      </w:r>
    </w:p>
    <w:p>
      <w:pPr>
        <w:pStyle w:val="Normal"/>
      </w:pPr>
      <w:r>
        <w:rPr>
          <w:rFonts w:ascii="Calibri" w:hAnsi="Calibri" w:eastAsia="Microsoft YaHei" w:cs="Calibri"/>
          <w:color w:val="263238"/>
          <w:sz w:val="21"/>
          <w:szCs w:val="21"/>
        </w:rPr>
        <w:t>Where an AESI threatens a member's sovereign debt service capacity, the ADF allocates up to 15% of triggered liquidity (not to exceed 0.5% of allocating member's GDP in any 12-month period) to: (a) Direct debt service payments to creditors of the member's selection; (b) Escrow arrangements through SFI clearing banks preserving payment obligations pending resolution; (c) Credit enhancement for member sovereign debt refinancing.</w:t>
      </w:r>
    </w:p>
    <w:p>
      <w:pPr>
        <w:pStyle w:val="Normal"/>
      </w:pPr>
      <w:r>
        <w:rPr>
          <w:rFonts w:ascii="Calibri" w:hAnsi="Calibri" w:eastAsia="Microsoft YaHei" w:cs="Calibri"/>
          <w:color w:val="263238"/>
          <w:sz w:val="21"/>
          <w:szCs w:val="21"/>
        </w:rPr>
        <w:t>Eligibility Conditions (satisfy all)</w:t>
      </w:r>
    </w:p>
    <w:p>
      <w:pPr>
        <w:pStyle w:val="Normal"/>
      </w:pPr>
      <w:r>
        <w:rPr>
          <w:rFonts w:ascii="Calibri" w:hAnsi="Calibri" w:eastAsia="Microsoft YaHei" w:cs="Calibri"/>
          <w:color w:val="263238"/>
          <w:sz w:val="21"/>
          <w:szCs w:val="21"/>
        </w:rPr>
        <w:t>Coercion Linkage Requirement: Member certifies, and provide independent credit analyst verification, that sovereign debt service impairment is directly attributable to coercion-linked rating downgrade or market-access restriction, not general macroeconomic mismanagement. Evidence bar: rating agency or IMF acknowledgment that policy linkage caused &gt;=150 basis point spread increase.</w:t>
      </w:r>
    </w:p>
    <w:p>
      <w:pPr>
        <w:pStyle w:val="Normal"/>
      </w:pPr>
      <w:r>
        <w:rPr>
          <w:rFonts w:ascii="Calibri" w:hAnsi="Calibri" w:eastAsia="Microsoft YaHei" w:cs="Calibri"/>
          <w:color w:val="263238"/>
          <w:sz w:val="21"/>
          <w:szCs w:val="21"/>
        </w:rPr>
        <w:t>Debt Vintage Restriction: Bridge support covers only debt incurred before coercion onset (documented by certification date). No support for new borrowing during crisis period.</w:t>
      </w:r>
    </w:p>
    <w:p>
      <w:pPr>
        <w:pStyle w:val="Normal"/>
      </w:pPr>
      <w:r>
        <w:rPr>
          <w:rFonts w:ascii="Calibri" w:hAnsi="Calibri" w:eastAsia="Microsoft YaHei" w:cs="Calibri"/>
          <w:color w:val="263238"/>
          <w:sz w:val="21"/>
          <w:szCs w:val="21"/>
        </w:rPr>
        <w:t>IMF Surveillance: Participating member submits to IMF Extended Fund Facility (EFF) or equivalent surveillance program. IMF confirms macroeconomic stability plan exists; if IMF program lapses, bridge is automatically suspended pending re-engagement.</w:t>
      </w:r>
    </w:p>
    <w:p>
      <w:pPr>
        <w:pStyle w:val="Normal"/>
      </w:pPr>
      <w:r>
        <w:rPr>
          <w:rFonts w:ascii="Calibri" w:hAnsi="Calibri" w:eastAsia="Microsoft YaHei" w:cs="Calibri"/>
          <w:color w:val="263238"/>
          <w:sz w:val="21"/>
          <w:szCs w:val="21"/>
        </w:rPr>
        <w:t>Creditor Consent and Transparency: All bridge allocations require written consent from creditors of record (or trustee/clearing bank holding on behalf of creditors). Creditor list and consent letters are publicly disclosed (redacted for proprietary data only).</w:t>
      </w:r>
    </w:p>
    <w:p>
      <w:pPr>
        <w:pStyle w:val="Normal"/>
      </w:pPr>
      <w:r>
        <w:rPr>
          <w:rFonts w:ascii="Calibri" w:hAnsi="Calibri" w:eastAsia="Microsoft YaHei" w:cs="Calibri"/>
          <w:color w:val="263238"/>
          <w:sz w:val="21"/>
          <w:szCs w:val="21"/>
        </w:rPr>
        <w:t>Allocation Process</w:t>
      </w:r>
    </w:p>
    <w:p>
      <w:pPr>
        <w:pStyle w:val="Normal"/>
      </w:pPr>
      <w:r>
        <w:rPr>
          <w:rFonts w:ascii="Calibri" w:hAnsi="Calibri" w:eastAsia="Microsoft YaHei" w:cs="Calibri"/>
          <w:color w:val="263238"/>
          <w:sz w:val="21"/>
          <w:szCs w:val="21"/>
        </w:rPr>
        <w:t>Member requests bridge allocation to Secretariat with supporting documentation (analyst verification, IMF letter, creditor consent); Secretariat presents to CC with recommendation (narrative: coercion impact + debt servicing timeline); CC votes (60% threshold) on allocation size and payment schedule; If approved, funds transfer to SFI clearing bank escrow within 5 business days.</w:t>
      </w:r>
    </w:p>
    <w:p>
      <w:pPr>
        <w:pStyle w:val="Normal"/>
      </w:pPr>
      <w:r>
        <w:rPr>
          <w:rFonts w:ascii="Calibri" w:hAnsi="Calibri" w:eastAsia="Microsoft YaHei" w:cs="Calibri"/>
          <w:color w:val="263238"/>
          <w:sz w:val="21"/>
          <w:szCs w:val="21"/>
        </w:rPr>
        <w:t>Review and Claw-Back</w:t>
      </w:r>
    </w:p>
    <w:p>
      <w:pPr>
        <w:pStyle w:val="Normal"/>
      </w:pPr>
      <w:r>
        <w:rPr>
          <w:rFonts w:ascii="Calibri" w:hAnsi="Calibri" w:eastAsia="Microsoft YaHei" w:cs="Calibri"/>
          <w:color w:val="263238"/>
          <w:sz w:val="21"/>
          <w:szCs w:val="21"/>
        </w:rPr>
        <w:t>Bridge allocation expires automatically 24 months after coercion case closure or de-escalation to Phase 0, whichever is earlier. Any bridge funds not deployed within 18 months return to Fund general reserves. Post-allocation: if member enters new coercion case against same coercer within 36 months, bridge support is reduced by 25% (promotes prevention/diversification).</w:t>
      </w:r>
    </w:p>
    <w:p>
      <w:pPr>
        <w:pStyle w:val="Normal"/>
      </w:pPr>
      <w:r>
        <w:rPr>
          <w:rFonts w:ascii="Calibri" w:hAnsi="Calibri" w:eastAsia="Microsoft YaHei" w:cs="Calibri"/>
          <w:color w:val="263238"/>
          <w:sz w:val="21"/>
          <w:szCs w:val="21"/>
        </w:rPr>
        <w:t>Reporting</w:t>
      </w:r>
    </w:p>
    <w:p>
      <w:pPr>
        <w:pStyle w:val="Normal"/>
      </w:pPr>
      <w:r>
        <w:rPr>
          <w:rFonts w:ascii="Calibri" w:hAnsi="Calibri" w:eastAsia="Microsoft YaHei" w:cs="Calibri"/>
          <w:color w:val="263238"/>
          <w:sz w:val="21"/>
          <w:szCs w:val="21"/>
        </w:rPr>
        <w:t>Recipient member submits quarterly reports to CC detailing: Debt service payments made (beneficiary creditors, amounts, dates); Remaining escrow balance; Macroeconomic indicators (debt-to-GDP, spreads, refinancing progress); IMF program status.</w:t>
      </w:r>
    </w:p>
    <w:p>
      <w:pPr>
        <w:pStyle w:val="Heading2"/>
      </w:pPr>
      <w:r>
        <w:t>Section 8.18D: First-Response Compensation Fund (FRCF) [NEW: v15.0]</w:t>
      </w:r>
    </w:p>
    <w:p>
      <w:r>
        <w:t>(a) Any Member that is a primary target of an IEWC-certified coercion event receives automatic compensation from the FRCF within 7 days of certification. Compensation covers: (i) 50% of documented export revenue loss; (ii) 100% of documented supply-chain reconfiguration costs; and (iii) 100% of legal defence costs (WTO, ISDS, IMF).</w:t>
      </w:r>
    </w:p>
    <w:p>
      <w:r>
        <w:t>(b) The FRCF pays out regardless of whether the coalition activates collective measures. A Member receives compensation even where the CC delays or blocks activation.</w:t>
      </w:r>
    </w:p>
    <w:p>
      <w:r>
        <w:t>(c) The FRCF: (i) is capitalised at 2% of total Fund size, replenished annually through standard contributions; (ii) caps payouts at 0.15% of the Member's GDP per event; and (iii) pays out automatically upon IEWC certification, requiring no CC vote.</w:t>
      </w:r>
    </w:p>
    <w:p>
      <w:r>
        <w:t>(d) FRCF compensation operates as adjustment assistance decoupled from export performance and import substitution, imposing no trade measure and remaining outside prohibited-subsidy classification under the SCM Agreement.</w:t>
      </w:r>
    </w:p>
    <w:p>
      <w:r>
        <w:t>Rationale: This is the ultimate insurance policy. A Member knows that even if the coalition falters, immediate, unconditional compensation arrives. This removes the fear of abandonment in a crisis.</w:t>
      </w:r>
    </w:p>
    <w:p>
      <w:pPr>
        <w:pStyle w:val="Heading2"/>
      </w:pPr>
      <w:r>
        <w:rPr>
          <w:rFonts w:ascii="Calibri" w:hAnsi="Calibri" w:eastAsia="Microsoft YaHei" w:cs="Calibri"/>
          <w:b/>
          <w:color w:val="263238"/>
          <w:sz w:val="25"/>
          <w:szCs w:val="25"/>
        </w:rPr>
        <w:t>Section 8.19: Post-Case Recovery Fast-Track</w:t>
      </w:r>
    </w:p>
    <w:p>
      <w:pPr>
        <w:pStyle w:val="Heading3"/>
      </w:pPr>
      <w:r>
        <w:rPr>
          <w:rFonts w:ascii="Calibri" w:hAnsi="Calibri" w:eastAsia="Microsoft YaHei" w:cs="Calibri"/>
          <w:b/>
          <w:color w:val="546E7A"/>
          <w:sz w:val="22"/>
          <w:szCs w:val="22"/>
        </w:rPr>
        <w:t>Section 8.19 (Addendum): Retroactive Draws [NEW: v11.0]</w:t>
      </w:r>
    </w:p>
    <w:p>
      <w:pPr>
        <w:pStyle w:val="Normal"/>
      </w:pPr>
      <w:r>
        <w:rPr>
          <w:rFonts w:ascii="Calibri" w:hAnsi="Calibri" w:eastAsia="Microsoft YaHei" w:cs="Calibri"/>
          <w:color w:val="263238"/>
          <w:sz w:val="21"/>
          <w:szCs w:val="21"/>
        </w:rPr>
        <w:t>Post-Case Recovery incorporates Retroactive Draws: where the coercing state withdraws and subsequently re-imposes tariffs, Members claim costs incurred during the initial unwinding phase.</w:t>
      </w:r>
    </w:p>
    <w:p>
      <w:pPr>
        <w:pStyle w:val="Normal"/>
      </w:pPr>
      <w:r>
        <w:rPr>
          <w:rFonts w:ascii="Calibri" w:hAnsi="Calibri" w:eastAsia="Microsoft YaHei" w:cs="Calibri"/>
          <w:color w:val="263238"/>
          <w:sz w:val="21"/>
          <w:szCs w:val="21"/>
        </w:rPr>
        <w:t>Tariff Case Recovery Benefits (v9.3A): Members achieving clean case closure (full participation, no MOAR opt-outs beyond allowance, VCI-A or VCI-B rating) receive: 12-month SFI fee waiver; priority Resilience Fund project finance (first-access queue); public 'Reliable Partner' designation on Coercion Risk Dashboard with PAS-style commercial benefits; and expedited joint procurement access for post-tariff supply chain rebuilding. Purpose: Positive incentive for rapid normalisation after coercion cases close. Rewards good behaviour without punishing others. Eligibility: Members achieving clean case closure, full implementation throughout the case, no anti-fragmentation violations, verified compliance through Month 12 post-closure.</w:t>
      </w:r>
    </w:p>
    <w:p>
      <w:pPr>
        <w:pStyle w:val="Normal"/>
      </w:pPr>
      <w:r>
        <w:rPr>
          <w:rFonts w:ascii="Calibri" w:hAnsi="Calibri" w:eastAsia="Microsoft YaHei" w:cs="Calibri"/>
          <w:color w:val="263238"/>
          <w:sz w:val="21"/>
          <w:szCs w:val="21"/>
        </w:rPr>
        <w:t>Benefits:</w:t>
      </w:r>
    </w:p>
    <w:p>
      <w:pPr>
        <w:pStyle w:val="Normal"/>
      </w:pPr>
      <w:r>
        <w:rPr>
          <w:rFonts w:ascii="Calibri" w:hAnsi="Calibri" w:eastAsia="Microsoft YaHei" w:cs="Calibri"/>
          <w:color w:val="263238"/>
          <w:sz w:val="21"/>
          <w:szCs w:val="21"/>
        </w:rPr>
        <w:t>(a) Automatic SFI settlement fee waiver for 12 months post-closure (b) Priority access to Resilience Fund project finance for supply chain reconfiguration (c) Public Reliable Partner designation in the Institutional Readiness Dashboard Effect: Accelerates post-crisis economic recovery; reinforces institutional memory of successful cooperation; creates visible reward for sustained implementation discipline. Uses existing Fund, SFI, and Dashboard infrastructure.</w:t>
      </w:r>
    </w:p>
    <w:p>
      <w:pPr>
        <w:pStyle w:val="Heading2"/>
      </w:pPr>
      <w:r>
        <w:rPr>
          <w:rFonts w:ascii="Calibri" w:hAnsi="Calibri" w:eastAsia="Microsoft YaHei" w:cs="Calibri"/>
          <w:b/>
          <w:color w:val="263238"/>
          <w:sz w:val="25"/>
          <w:szCs w:val="25"/>
        </w:rPr>
        <w:t>Section 8.20: Multilateral Financial Safety Net Integration</w:t>
      </w:r>
    </w:p>
    <w:p>
      <w:pPr>
        <w:pStyle w:val="Heading3"/>
      </w:pPr>
      <w:r>
        <w:rPr>
          <w:rFonts w:ascii="Calibri" w:hAnsi="Calibri" w:eastAsia="Microsoft YaHei" w:cs="Calibri"/>
          <w:b/>
          <w:color w:val="546E7A"/>
          <w:sz w:val="22"/>
          <w:szCs w:val="22"/>
        </w:rPr>
        <w:t>Section 8.20 (Addendum): Stabilisation Levy [NEW: v11.0]</w:t>
      </w:r>
    </w:p>
    <w:p>
      <w:pPr>
        <w:pStyle w:val="Normal"/>
      </w:pPr>
      <w:r>
        <w:rPr>
          <w:rFonts w:ascii="Calibri" w:hAnsi="Calibri" w:eastAsia="Microsoft YaHei" w:cs="Calibri"/>
          <w:color w:val="263238"/>
          <w:sz w:val="21"/>
          <w:szCs w:val="21"/>
        </w:rPr>
        <w:t>The IMESI Fund imposes a Stabilisation Levy equivalent to the coercing state’s tariff rate on imports entering IMESI states from the coercer. The levy neutralises the revenue benefit of the tariff for the coercing state.</w:t>
      </w:r>
    </w:p>
    <w:p>
      <w:pPr>
        <w:pStyle w:val="Heading3"/>
      </w:pPr>
      <w:r>
        <w:rPr>
          <w:rFonts w:ascii="Calibri" w:hAnsi="Calibri" w:eastAsia="Microsoft YaHei" w:cs="Calibri"/>
          <w:b/>
          <w:color w:val="546E7A"/>
          <w:sz w:val="22"/>
          <w:szCs w:val="22"/>
        </w:rPr>
        <w:t>Section 8.20 (Second Addendum): IMF Leverage Protocol [NEW: v12.0]</w:t>
      </w:r>
    </w:p>
    <w:p>
      <w:pPr>
        <w:pStyle w:val="Normal"/>
      </w:pPr>
      <w:r>
        <w:rPr>
          <w:rFonts w:ascii="Calibri" w:hAnsi="Calibri" w:eastAsia="Microsoft YaHei" w:cs="Calibri"/>
          <w:color w:val="263238"/>
          <w:sz w:val="21"/>
          <w:szCs w:val="21"/>
        </w:rPr>
        <w:t>Where a coercer uses its voting power or influence at the IMF to block financing access for an IMESI Member, or to condition IMF programmes on policy concessions, the conduct constitutes financial coercion. The Standalone Financial Emergency Protocol (Section 8.10D) activates, and the Member accesses the IMESI Fund without IMF approval.</w:t>
      </w:r>
    </w:p>
    <w:p>
      <w:pPr>
        <w:pStyle w:val="Heading3"/>
      </w:pPr>
      <w:r>
        <w:rPr>
          <w:rFonts w:ascii="Calibri" w:hAnsi="Calibri" w:eastAsia="Microsoft YaHei" w:cs="Calibri"/>
          <w:b/>
          <w:color w:val="546E7A"/>
          <w:sz w:val="22"/>
          <w:szCs w:val="22"/>
        </w:rPr>
        <w:t>Section 8.20 (Third Addendum): BIS Blocking Protocol [NEW: v12.0]</w:t>
      </w:r>
    </w:p>
    <w:p>
      <w:pPr>
        <w:pStyle w:val="Normal"/>
      </w:pPr>
      <w:r>
        <w:rPr>
          <w:rFonts w:ascii="Calibri" w:hAnsi="Calibri" w:eastAsia="Microsoft YaHei" w:cs="Calibri"/>
          <w:color w:val="263238"/>
          <w:sz w:val="21"/>
          <w:szCs w:val="21"/>
        </w:rPr>
        <w:t>Where a coercer pressures the Bank for International Settlements to restrict access to swap lines, liquidity facilities, or other financial services for an IMESI Member, the conduct constitutes financial coercion. The SFI (Section 8.10) fully activates, and the IMESI Fund provides emergency liquidity support.</w:t>
      </w:r>
    </w:p>
    <w:p>
      <w:pPr>
        <w:pStyle w:val="Normal"/>
      </w:pPr>
      <w:r>
        <w:rPr>
          <w:rFonts w:ascii="Calibri" w:hAnsi="Calibri" w:eastAsia="Microsoft YaHei" w:cs="Calibri"/>
          <w:color w:val="263238"/>
          <w:sz w:val="21"/>
          <w:szCs w:val="21"/>
        </w:rPr>
        <w:t>(a) Binding Coordination Protocol: IMESI members negotiate standing agreements with the IMF and BIS</w:t>
      </w:r>
    </w:p>
    <w:p>
      <w:pPr>
        <w:pStyle w:val="Normal"/>
      </w:pPr>
      <w:r>
        <w:rPr>
          <w:rFonts w:ascii="Calibri" w:hAnsi="Calibri" w:eastAsia="Microsoft YaHei" w:cs="Calibri"/>
          <w:color w:val="263238"/>
          <w:sz w:val="21"/>
          <w:szCs w:val="21"/>
        </w:rPr>
        <w:t>within 24 months of accession, providing:</w:t>
      </w:r>
    </w:p>
    <w:p>
      <w:pPr>
        <w:pStyle w:val="Normal"/>
        <w:numPr>
          <w:ilvl w:val="0"/>
          <w:numId w:val="1"/>
        </w:numPr>
      </w:pPr>
      <w:r>
        <w:rPr>
          <w:rFonts w:ascii="Calibri" w:hAnsi="Calibri" w:eastAsia="Microsoft YaHei" w:cs="Calibri"/>
          <w:color w:val="263238"/>
          <w:sz w:val="21"/>
          <w:szCs w:val="21"/>
        </w:rPr>
        <w:t>Automatic IMF Article XIV approval for IMESI-authorised capital controls</w:t>
      </w:r>
    </w:p>
    <w:p>
      <w:pPr>
        <w:pStyle w:val="Normal"/>
        <w:numPr>
          <w:ilvl w:val="0"/>
          <w:numId w:val="1"/>
        </w:numPr>
      </w:pPr>
      <w:r>
        <w:rPr>
          <w:rFonts w:ascii="Calibri" w:hAnsi="Calibri" w:eastAsia="Microsoft YaHei" w:cs="Calibri"/>
          <w:color w:val="263238"/>
          <w:sz w:val="21"/>
          <w:szCs w:val="21"/>
        </w:rPr>
        <w:t>Pre-qualified Rapid Financing Instrument access for coercion-affected members</w:t>
      </w:r>
    </w:p>
    <w:p>
      <w:pPr>
        <w:pStyle w:val="Normal"/>
        <w:numPr>
          <w:ilvl w:val="0"/>
          <w:numId w:val="1"/>
        </w:numPr>
      </w:pPr>
      <w:r>
        <w:rPr>
          <w:rFonts w:ascii="Calibri" w:hAnsi="Calibri" w:eastAsia="Microsoft YaHei" w:cs="Calibri"/>
          <w:color w:val="263238"/>
          <w:sz w:val="21"/>
          <w:szCs w:val="21"/>
        </w:rPr>
        <w:t>BIS coordinated central bank swap line expansion during Phase 2+ activations</w:t>
      </w:r>
    </w:p>
    <w:p>
      <w:pPr>
        <w:pStyle w:val="Normal"/>
      </w:pPr>
      <w:r>
        <w:rPr>
          <w:rFonts w:ascii="Calibri" w:hAnsi="Calibri" w:eastAsia="Microsoft YaHei" w:cs="Calibri"/>
          <w:color w:val="263238"/>
          <w:sz w:val="21"/>
          <w:szCs w:val="21"/>
        </w:rPr>
        <w:t>(b) Liquidity Support Triggers:</w:t>
      </w:r>
    </w:p>
    <w:p>
      <w:pPr>
        <w:pStyle w:val="Normal"/>
      </w:pPr>
      <w:r>
        <w:rPr>
          <w:rFonts w:ascii="Calibri" w:hAnsi="Calibri" w:eastAsia="Microsoft YaHei" w:cs="Calibri"/>
          <w:color w:val="263238"/>
          <w:sz w:val="21"/>
          <w:szCs w:val="21"/>
        </w:rPr>
        <w:t>Phase</w:t>
      </w:r>
    </w:p>
    <w:p>
      <w:pPr>
        <w:pStyle w:val="Normal"/>
      </w:pPr>
      <w:r>
        <w:rPr>
          <w:rFonts w:ascii="Calibri" w:hAnsi="Calibri" w:eastAsia="Microsoft YaHei" w:cs="Calibri"/>
          <w:color w:val="263238"/>
          <w:sz w:val="21"/>
          <w:szCs w:val="21"/>
        </w:rPr>
        <w:t>IMF Response</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Phase 2 activation</w:t>
      </w:r>
    </w:p>
    <w:p>
      <w:pPr>
        <w:pStyle w:val="Normal"/>
      </w:pPr>
      <w:r>
        <w:rPr>
          <w:rFonts w:ascii="Calibri" w:hAnsi="Calibri" w:eastAsia="Microsoft YaHei" w:cs="Calibri"/>
          <w:color w:val="263238"/>
          <w:sz w:val="21"/>
          <w:szCs w:val="21"/>
        </w:rPr>
        <w:t>Automatic assessment</w:t>
      </w:r>
    </w:p>
    <w:p>
      <w:pPr>
        <w:pStyle w:val="Normal"/>
      </w:pPr>
      <w:r>
        <w:rPr>
          <w:rFonts w:ascii="Calibri" w:hAnsi="Calibri" w:eastAsia="Microsoft YaHei" w:cs="Calibri"/>
          <w:color w:val="263238"/>
          <w:sz w:val="21"/>
          <w:szCs w:val="21"/>
        </w:rPr>
        <w:t>Phase 3 activation</w:t>
      </w:r>
    </w:p>
    <w:p>
      <w:pPr>
        <w:pStyle w:val="Normal"/>
      </w:pPr>
      <w:r>
        <w:rPr>
          <w:rFonts w:ascii="Calibri" w:hAnsi="Calibri" w:eastAsia="Microsoft YaHei" w:cs="Calibri"/>
          <w:color w:val="263238"/>
          <w:sz w:val="21"/>
          <w:szCs w:val="21"/>
        </w:rPr>
        <w:t>Joint IMF-IMESI standby credit line</w:t>
      </w:r>
    </w:p>
    <w:p>
      <w:pPr>
        <w:pStyle w:val="Normal"/>
      </w:pPr>
      <w:r>
        <w:rPr>
          <w:rFonts w:ascii="Calibri" w:hAnsi="Calibri" w:eastAsia="Microsoft YaHei" w:cs="Calibri"/>
          <w:color w:val="263238"/>
          <w:sz w:val="21"/>
          <w:szCs w:val="21"/>
        </w:rPr>
        <w:t>mission;</w:t>
      </w:r>
    </w:p>
    <w:p>
      <w:pPr>
        <w:pStyle w:val="Normal"/>
      </w:pPr>
      <w:r>
        <w:rPr>
          <w:rFonts w:ascii="Calibri" w:hAnsi="Calibri" w:eastAsia="Microsoft YaHei" w:cs="Calibri"/>
          <w:color w:val="263238"/>
          <w:sz w:val="21"/>
          <w:szCs w:val="21"/>
        </w:rPr>
        <w:t>72-hour deployment</w:t>
      </w:r>
    </w:p>
    <w:p>
      <w:pPr>
        <w:pStyle w:val="Normal"/>
      </w:pPr>
      <w:r>
        <w:rPr>
          <w:rFonts w:ascii="Calibri" w:hAnsi="Calibri" w:eastAsia="Microsoft YaHei" w:cs="Calibri"/>
          <w:color w:val="263238"/>
          <w:sz w:val="21"/>
          <w:szCs w:val="21"/>
        </w:rPr>
        <w:t>Category 2 Red-Line</w:t>
      </w:r>
    </w:p>
    <w:p>
      <w:pPr>
        <w:pStyle w:val="Normal"/>
      </w:pPr>
      <w:r>
        <w:rPr>
          <w:rFonts w:ascii="Calibri" w:hAnsi="Calibri" w:eastAsia="Microsoft YaHei" w:cs="Calibri"/>
          <w:color w:val="263238"/>
          <w:sz w:val="21"/>
          <w:szCs w:val="21"/>
        </w:rPr>
        <w:t>Immediate Managing Director consultation; SDR allocation request</w:t>
      </w:r>
    </w:p>
    <w:p>
      <w:pPr>
        <w:pStyle w:val="Normal"/>
      </w:pPr>
      <w:r>
        <w:rPr>
          <w:rFonts w:ascii="Calibri" w:hAnsi="Calibri" w:eastAsia="Microsoft YaHei" w:cs="Calibri"/>
          <w:color w:val="263238"/>
          <w:sz w:val="21"/>
          <w:szCs w:val="21"/>
        </w:rPr>
        <w:t>Same-day activation</w:t>
      </w:r>
    </w:p>
    <w:p>
      <w:pPr>
        <w:pStyle w:val="Normal"/>
      </w:pPr>
      <w:r>
        <w:rPr>
          <w:rFonts w:ascii="Calibri" w:hAnsi="Calibri" w:eastAsia="Microsoft YaHei" w:cs="Calibri"/>
          <w:color w:val="263238"/>
          <w:sz w:val="21"/>
          <w:szCs w:val="21"/>
        </w:rPr>
        <w:t>notification;</w:t>
      </w:r>
    </w:p>
    <w:p>
      <w:pPr>
        <w:pStyle w:val="Normal"/>
      </w:pPr>
      <w:r>
        <w:rPr>
          <w:rFonts w:ascii="Calibri" w:hAnsi="Calibri" w:eastAsia="Microsoft YaHei" w:cs="Calibri"/>
          <w:color w:val="263238"/>
          <w:sz w:val="21"/>
          <w:szCs w:val="21"/>
        </w:rPr>
        <w:t>preliminary</w:t>
      </w:r>
    </w:p>
    <w:p>
      <w:pPr>
        <w:pStyle w:val="Normal"/>
      </w:pPr>
      <w:r>
        <w:rPr>
          <w:rFonts w:ascii="Calibri" w:hAnsi="Calibri" w:eastAsia="Microsoft YaHei" w:cs="Calibri"/>
          <w:color w:val="263238"/>
          <w:sz w:val="21"/>
          <w:szCs w:val="21"/>
        </w:rPr>
        <w:t>assessment</w:t>
      </w:r>
    </w:p>
    <w:p>
      <w:pPr>
        <w:pStyle w:val="Normal"/>
      </w:pPr>
      <w:r>
        <w:rPr>
          <w:rFonts w:ascii="Calibri" w:hAnsi="Calibri" w:eastAsia="Microsoft YaHei" w:cs="Calibri"/>
          <w:color w:val="263238"/>
          <w:sz w:val="21"/>
          <w:szCs w:val="21"/>
        </w:rPr>
        <w:t>48-hour response commitment</w:t>
      </w:r>
    </w:p>
    <w:p>
      <w:pPr>
        <w:pStyle w:val="Normal"/>
      </w:pPr>
      <w:r>
        <w:rPr>
          <w:rFonts w:ascii="Calibri" w:hAnsi="Calibri" w:eastAsia="Microsoft YaHei" w:cs="Calibri"/>
          <w:color w:val="263238"/>
          <w:sz w:val="21"/>
          <w:szCs w:val="21"/>
        </w:rPr>
        <w:t>(c) Conditionality Firewall: IMF programmes for IMESI members are prohibited from including: pro-cyclical fiscal consolidation during coercion response; restrictions on IMESI-authorised stabilisation measures; structural</w:t>
      </w:r>
    </w:p>
    <w:p>
      <w:pPr>
        <w:pStyle w:val="Normal"/>
      </w:pPr>
      <w:r>
        <w:rPr>
          <w:rFonts w:ascii="Calibri" w:hAnsi="Calibri" w:eastAsia="Microsoft YaHei" w:cs="Calibri"/>
          <w:color w:val="263238"/>
          <w:sz w:val="21"/>
          <w:szCs w:val="21"/>
        </w:rPr>
        <w:t>reforms undermining supply chain resilience investments. (c.1) Crisis Accession IMF Coordination: The Secretariat pre-positions a standing understanding with the IMF that EPF-eligible states (Section 3.1D) accesses Rapid Financing Instrument or similar tools. Automatic IMF notification upon EPF activation with indicative 48-hour IMF response window. These are IMF resources; IMESI provides technical support but no automatic extra Fund capital. (d) Crisis Bridging Facility: If IMF response delayed &gt;72 hours during Category 2 Red-Line, IMESI Standalone Financial Emergency Protocol (Section 8.10D) activates with automatic 180-day IMF reconciliation timeline.</w:t>
      </w:r>
    </w:p>
    <w:p>
      <w:pPr>
        <w:pStyle w:val="Heading2"/>
      </w:pPr>
      <w:r>
        <w:rPr>
          <w:rFonts w:ascii="Calibri" w:hAnsi="Calibri" w:eastAsia="Microsoft YaHei" w:cs="Calibri"/>
          <w:b/>
          <w:color w:val="263238"/>
          <w:sz w:val="25"/>
          <w:szCs w:val="25"/>
        </w:rPr>
        <w:t>Section 8.20D: IMF Rapid Financing Coordination Protocol [NEW: v12.1]</w:t>
      </w:r>
    </w:p>
    <w:p>
      <w:pPr>
        <w:pStyle w:val="Normal"/>
      </w:pPr>
      <w:r>
        <w:rPr>
          <w:rFonts w:ascii="Calibri" w:hAnsi="Calibri" w:eastAsia="Microsoft YaHei" w:cs="Calibri"/>
          <w:color w:val="263238"/>
          <w:sz w:val="21"/>
          <w:szCs w:val="21"/>
        </w:rPr>
        <w:t>The Secretariat negotiates, within 12 months of entry into force, a standing Memorandum of Understanding with the IMF Managing Director establishing expedited procedures for Rapid Financing Instrument or equivalent access for Members facing Unilateral Tariff Regime Disruption (Section 2.2B) or Unannounced Trade Action (Section 5.0O). The Memorandum provides for automatic IMF notification upon certification, a presumptive 48-hour IMF response window, pre-qualified eligibility for Members in good standing with the IMF, and IMF-SFI coordination consistent with multilateral financial stability objectives. If the IMF does not respond within 48 hours, or responds inadequately to the Member's liquidity needs, the Standalone Financial Emergency Protocol (Section 8.10D) activates automatically. Nothing in this Section creates any obligation on the IMF or any Member inconsistent with the IMF Articles of Agreement.</w:t>
      </w:r>
    </w:p>
    <w:p>
      <w:pPr>
        <w:pStyle w:val="Heading2"/>
      </w:pPr>
      <w:r>
        <w:rPr>
          <w:rFonts w:ascii="Calibri" w:hAnsi="Calibri" w:eastAsia="Microsoft YaHei" w:cs="Calibri"/>
          <w:b/>
          <w:color w:val="263238"/>
          <w:sz w:val="25"/>
          <w:szCs w:val="25"/>
        </w:rPr>
        <w:t>Section 8.20A: Sovereign Yield Stabilisation Window</w:t>
      </w:r>
    </w:p>
    <w:p>
      <w:pPr>
        <w:pStyle w:val="Normal"/>
      </w:pPr>
      <w:r>
        <w:rPr>
          <w:rFonts w:ascii="Calibri" w:hAnsi="Calibri" w:eastAsia="Microsoft YaHei" w:cs="Calibri"/>
          <w:color w:val="263238"/>
          <w:sz w:val="21"/>
          <w:szCs w:val="21"/>
        </w:rPr>
        <w:t>(a) Purpose: Temporary liquidity support to members experiencing coercion-related sovereign financing stress, preventing trade and financial coercion from cascading into domestic fiscal crisis. (b) Trigger: The Window is activated where: (i) IEWC certifies an active economic coercion, GSD, or SND case affecting the member; and (ii) that member's average sovereign bond yields increase by more than 150 basis points over the 30 days following certification, relative to the prior 90-day average. (c) Instruments: Support takes the form of time-limited backstop purchases or guarantees of eligible sovereign debt instruments, or equivalent liquidity facilities, subject to prudential limits adopted by the Coordination Committee. (d) Caps and Rolling Review: Aggregate exposure is normally prohibited from exceeding 1% of IMESI members' combined GDP in any 12-month period. Individual member support is normally prohibited from exceeding 1% of that member's GDP and operates on a 12-month rolling horizon, renewing by silence at each boundary on a clean record; adjustment requires a 60% weighted written determination. (e) Coordination: The Secretariat consults, where feasible, with the IMF and relevant central banks prior to activation, to ensure consistency with broader financial-stability objectives. The Window operates in parallel with Sovereign Liquidity Insurance (Section 8.16(b)), SLI provides insurance-framed support; the Window provides direct backstop intervention.</w:t>
      </w:r>
    </w:p>
    <w:p>
      <w:pPr>
        <w:pStyle w:val="Heading2"/>
      </w:pPr>
      <w:r>
        <w:t>Section 8.20E: IMESI Liquidity Backstop Guarantee (ILBG) [NEW: v15.0]</w:t>
      </w:r>
    </w:p>
    <w:p>
      <w:r>
        <w:t>(a) The ILBG operates as a permanent, unconditional USD 100 billion liquidity facility for Members facing external financial pressure. Any IMESI Member experiencing a sudden capital outflow, currency depreciation, or sovereign yield spike draws on the ILBG within 24 hours of notification. The facility provides swap lines, emergency liquidity, and sovereign bond purchase support at IMF-equivalent rates, without IMF conditionality.</w:t>
      </w:r>
    </w:p>
    <w:p>
      <w:r>
        <w:t>(b) The facility is capitalised through a 0.01% GDP annual contribution from Tier 2+ members, supplemented by callable capital from member central banks. Draws are repaid with interest.</w:t>
      </w:r>
    </w:p>
    <w:p>
      <w:r>
        <w:t>(c) The facility is established within 12 months of entry into force. Draws require IEWC certification of financial stress and CC approval at a 60% threshold.</w:t>
      </w:r>
    </w:p>
    <w:p>
      <w:r>
        <w:t>(d) Financial stability measures sit outside the WTO mandate. The Secretariat conducts prior consultation with the IMF to preserve consistency with the IMF Articles of Agreement.</w:t>
      </w:r>
    </w:p>
    <w:p>
      <w:r>
        <w:t>Rationale: This operates as a lender of last resort for members. It removes the fear of financial isolation. A member that leaves IMESI loses access to this facility and stands vulnerable to financial coercion.</w:t>
      </w:r>
    </w:p>
    <w:p>
      <w:pPr>
        <w:pStyle w:val="Heading2"/>
      </w:pPr>
      <w:r>
        <w:rPr>
          <w:rFonts w:ascii="Calibri" w:hAnsi="Calibri" w:eastAsia="Microsoft YaHei" w:cs="Calibri"/>
          <w:b/>
          <w:color w:val="263238"/>
          <w:sz w:val="25"/>
          <w:szCs w:val="25"/>
        </w:rPr>
        <w:t>Section 8.21: Voluntary Implementation Commitment (VIC)</w:t>
      </w:r>
    </w:p>
    <w:p>
      <w:pPr>
        <w:pStyle w:val="Normal"/>
      </w:pPr>
      <w:r>
        <w:rPr>
          <w:rFonts w:ascii="Calibri" w:hAnsi="Calibri" w:eastAsia="Microsoft YaHei" w:cs="Calibri"/>
          <w:color w:val="263238"/>
          <w:sz w:val="21"/>
          <w:szCs w:val="21"/>
        </w:rPr>
        <w:t>Optional Mechanism: Tier 2+ members elect to deposit 0.02% GDP (vs. 0.05% standard contribution) as a visible commitment instrument. Deposit held in segregated account; released upon case closure with verification of good-faith participation. Benefits: VIC participants receive: priority technical assistance; enhanced voting weight (+5%) in burden-sharing disputes; public 'Verified Commitment' designation on Dashboard.</w:t>
      </w:r>
    </w:p>
    <w:p>
      <w:pPr>
        <w:pStyle w:val="Normal"/>
      </w:pPr>
      <w:r>
        <w:rPr>
          <w:rFonts w:ascii="Calibri" w:hAnsi="Calibri" w:eastAsia="Microsoft YaHei" w:cs="Calibri"/>
          <w:color w:val="263238"/>
          <w:sz w:val="21"/>
          <w:szCs w:val="21"/>
        </w:rPr>
        <w:t>No Penalty for Non-Participation: Standard contribution and participation rules apply to non-VIC members without prejudice. Withdrawal: VIC participants withdraw with 90-day notice; deposit returned pro rata.</w:t>
      </w:r>
    </w:p>
    <w:p>
      <w:pPr>
        <w:pStyle w:val="Heading2"/>
      </w:pPr>
      <w:r>
        <w:rPr>
          <w:rFonts w:ascii="Calibri" w:hAnsi="Calibri" w:eastAsia="Microsoft YaHei" w:cs="Calibri"/>
          <w:b/>
          <w:color w:val="263238"/>
          <w:sz w:val="25"/>
          <w:szCs w:val="25"/>
        </w:rPr>
        <w:t>Section 8.22: Stability Facility Activation</w:t>
      </w:r>
    </w:p>
    <w:p>
      <w:pPr>
        <w:pStyle w:val="Normal"/>
      </w:pPr>
      <w:r>
        <w:rPr>
          <w:rFonts w:ascii="Calibri" w:hAnsi="Calibri" w:eastAsia="Microsoft YaHei" w:cs="Calibri"/>
          <w:color w:val="263238"/>
          <w:sz w:val="21"/>
          <w:szCs w:val="21"/>
        </w:rPr>
        <w:t>Where the Independent Review Commission confirms that a Systemic Impact Metric threshold has been breached as a result of an AESI, the Mutual Economic Security Fund endeavours to deploy pre-agreed stability instruments within twenty-four (24) hours, subject to applicable domestic procedures. Stability instruments include: emergency liquidity lines, sovereign bond backstop guarantees, trade credit facilities, and SFI settlement acceleration. The Director-General authorises deployment of up to 0.1% of Fund assets pending formal CC confirmation within 72 hours.</w:t>
      </w:r>
    </w:p>
    <w:p>
      <w:pPr>
        <w:pStyle w:val="Heading2"/>
      </w:pPr>
      <w:r>
        <w:rPr>
          <w:rFonts w:ascii="Calibri" w:hAnsi="Calibri" w:eastAsia="Microsoft YaHei" w:cs="Calibri"/>
          <w:b/>
          <w:color w:val="263238"/>
          <w:sz w:val="25"/>
          <w:szCs w:val="25"/>
        </w:rPr>
        <w:t>Section 8.23: Stability Solidarity Contributions</w:t>
      </w:r>
    </w:p>
    <w:p>
      <w:pPr>
        <w:pStyle w:val="Normal"/>
      </w:pPr>
      <w:r>
        <w:rPr>
          <w:rFonts w:ascii="Calibri" w:hAnsi="Calibri" w:eastAsia="Microsoft YaHei" w:cs="Calibri"/>
          <w:color w:val="263238"/>
          <w:sz w:val="21"/>
          <w:szCs w:val="21"/>
        </w:rPr>
        <w:t>Members establish a predictable system of Stability Solidarity Contributions to the Mutual Economic Security Fund, linked to specified categories of intra-coalition transactions or reserve holdings, with modalities set out in an Annex and subject to periodic review. Contributions are calibrated to ensure Fund adequacy for simultaneous activation across multiple AESI cases without requiring emergency assessments. Modalities: The Coordination Committee, within 24 months of entry into force, adopts an Annex specifying: (a) contribution base (transaction levy, reserve-linked, or GDP-weighted hybrid); (b) rate bands by tier; (c) in-kind contribution equivalencies; (d) review cycle (not less than every 3 years). Until adoption, standard GDP-weighted contributions under Article VIII apply.</w:t>
      </w:r>
    </w:p>
    <w:p>
      <w:pPr>
        <w:pStyle w:val="Heading2"/>
      </w:pPr>
      <w:r>
        <w:rPr>
          <w:rFonts w:ascii="Calibri" w:hAnsi="Calibri" w:eastAsia="Microsoft YaHei" w:cs="Calibri"/>
          <w:b/>
          <w:color w:val="263238"/>
          <w:sz w:val="25"/>
          <w:szCs w:val="25"/>
        </w:rPr>
        <w:t>Section 8.24: Resilience Support Framework</w:t>
      </w:r>
    </w:p>
    <w:p>
      <w:pPr>
        <w:pStyle w:val="Normal"/>
      </w:pPr>
      <w:r>
        <w:rPr>
          <w:rFonts w:ascii="Calibri" w:hAnsi="Calibri" w:eastAsia="Microsoft YaHei" w:cs="Calibri"/>
          <w:color w:val="263238"/>
          <w:sz w:val="21"/>
          <w:szCs w:val="21"/>
        </w:rPr>
        <w:t>Where a Member incurs significant, verified losses as a result of an AESI, other Members provide financial support, market-access advantages, or other resilience measures calibrated according to an agreed equivalency framework set out in an Annex. Resilience support is additional to standard Fund disbursements and designed to address medium-term structural damage rather than short-term liquidity needs. (a) Financial support: Concessional loans, grant elements, or Fund top-up disbursements targeting verified loss sectors (b) Market-access advantages: Temporary tariff reductions, accelerated customs clearance, or quota relaxations for affected Member's exports in specified sectors (c) Technical assistance: Supply chain restructuring advisory, alternative market development, and workforce adjustment support Verification: Loss verification is conducted by the Secretariat using audited trade data, IEWC impact assessments, and independent economic analysis. Disputed assessments are referred to the IAC.</w:t>
      </w:r>
    </w:p>
    <w:p>
      <w:pPr>
        <w:pStyle w:val="Heading2"/>
      </w:pPr>
      <w:r>
        <w:rPr>
          <w:rFonts w:ascii="Calibri" w:hAnsi="Calibri" w:eastAsia="Microsoft YaHei" w:cs="Calibri"/>
          <w:b/>
          <w:color w:val="263238"/>
          <w:sz w:val="25"/>
          <w:szCs w:val="25"/>
        </w:rPr>
        <w:t>Section 8.25: Resilience Investment Credits</w:t>
      </w:r>
    </w:p>
    <w:p>
      <w:pPr>
        <w:pStyle w:val="Normal"/>
      </w:pPr>
      <w:r>
        <w:rPr>
          <w:rFonts w:ascii="Calibri" w:hAnsi="Calibri" w:eastAsia="Microsoft YaHei" w:cs="Calibri"/>
          <w:color w:val="263238"/>
          <w:sz w:val="21"/>
          <w:szCs w:val="21"/>
        </w:rPr>
        <w:t>Members grant Resilience Investment Credits, including tax, financing, or regulatory advantages, for investments that relocate or expand critical production and processing activities from high-risk jurisdictions to Member or Associate territories identified as lower-risk in accordance with this Instrument.</w:t>
      </w:r>
    </w:p>
    <w:p>
      <w:pPr>
        <w:pStyle w:val="Normal"/>
      </w:pPr>
      <w:r>
        <w:rPr>
          <w:rFonts w:ascii="Calibri" w:hAnsi="Calibri" w:eastAsia="Microsoft YaHei" w:cs="Calibri"/>
          <w:color w:val="263238"/>
          <w:sz w:val="21"/>
          <w:szCs w:val="21"/>
        </w:rPr>
        <w:t>Safeguards: Credits are: (a) non-discriminatory among IMESI members; (b) time-limited to 5 years with renewal by CC vote; (c) consistent with WTO subsidy disciplines or defended under applicable security exceptions; (d) published on the Institutional Readiness Dashboard for transparency.</w:t>
      </w:r>
    </w:p>
    <w:p>
      <w:pPr>
        <w:pStyle w:val="Heading2"/>
      </w:pPr>
      <w:r>
        <w:rPr>
          <w:rFonts w:ascii="Calibri" w:hAnsi="Calibri" w:eastAsia="Microsoft YaHei" w:cs="Calibri"/>
          <w:b/>
          <w:color w:val="263238"/>
          <w:sz w:val="25"/>
          <w:szCs w:val="25"/>
        </w:rPr>
        <w:t>Section 8.26: Essential Imports Safeguard</w:t>
      </w:r>
    </w:p>
    <w:p>
      <w:pPr>
        <w:pStyle w:val="Normal"/>
      </w:pPr>
      <w:r>
        <w:rPr>
          <w:rFonts w:ascii="Calibri" w:hAnsi="Calibri" w:eastAsia="Microsoft YaHei" w:cs="Calibri"/>
          <w:color w:val="263238"/>
          <w:sz w:val="21"/>
          <w:szCs w:val="21"/>
        </w:rPr>
        <w:t>In the event that a Member experiences a sharp and disorderly depreciation of its currency substantially linked to an AESI, other Members seek to maintain that Member's access to a specified basket of essential goods on terms broadly consistent with pre-incident conditions, through credits, guarantees, clearing arrangements, or other agreed mechanisms. Essential Goods Basket: The Secretariat maintains a standing list of essential import categories comprising: food and agricultural staples, pharmaceuticals and medical supplies, energy products, and critical industrial inputs. The list is reviewed annually and updated by 55% CC vote. Duration: Essential Imports Safeguard measures remain in effect for the duration of the AESI certification plus 90 days for orderly transition.</w:t>
      </w:r>
    </w:p>
    <w:p>
      <w:pPr>
        <w:pStyle w:val="Heading2"/>
      </w:pPr>
      <w:r>
        <w:rPr>
          <w:rFonts w:ascii="Calibri" w:hAnsi="Calibri" w:eastAsia="Microsoft YaHei" w:cs="Calibri"/>
          <w:b/>
          <w:color w:val="263238"/>
          <w:sz w:val="25"/>
          <w:szCs w:val="25"/>
        </w:rPr>
        <w:t>Section 8.27: Pre-Arranged Liquidity and Trade Credit Network</w:t>
      </w:r>
    </w:p>
    <w:p>
      <w:pPr>
        <w:pStyle w:val="Normal"/>
      </w:pPr>
      <w:r>
        <w:rPr>
          <w:rFonts w:ascii="Calibri" w:hAnsi="Calibri" w:eastAsia="Microsoft YaHei" w:cs="Calibri"/>
          <w:color w:val="263238"/>
          <w:sz w:val="21"/>
          <w:szCs w:val="21"/>
        </w:rPr>
        <w:t>Members establish a network of pre-arranged liquidity lines and trade credit guarantees that are activated when an AESI is confirmed to have systemic impact. Detailed terms are set out in an Annex. Structure: The network comprises: (a) bilateral central bank swap lines pre-negotiated among willing Tier 2+ members; (b) multilateral trade credit guarantee facility within the Fund; (c) SFI emergency settlement window with extended clearing hours and reduced margin requirements. Pre-arrangement ensures activation within hours, not weeks, of AESI certification. Coordination: The network operates in a manner consistent with members' obligations under the IMF Articles of Agreement and, where appropriate, in coordination with relevant BIS frameworks.</w:t>
      </w:r>
    </w:p>
    <w:p>
      <w:pPr>
        <w:pStyle w:val="Heading2"/>
      </w:pPr>
      <w:r>
        <w:rPr>
          <w:rFonts w:ascii="Calibri" w:hAnsi="Calibri" w:eastAsia="Microsoft YaHei" w:cs="Calibri"/>
          <w:b/>
          <w:color w:val="263238"/>
          <w:sz w:val="25"/>
          <w:szCs w:val="25"/>
        </w:rPr>
        <w:t>Section 8.28: Supply-Chain Resilience Pre-Investment Facility</w:t>
      </w:r>
    </w:p>
    <w:p>
      <w:pPr>
        <w:pStyle w:val="Normal"/>
      </w:pPr>
      <w:r>
        <w:rPr>
          <w:rFonts w:ascii="Calibri" w:hAnsi="Calibri" w:eastAsia="Microsoft YaHei" w:cs="Calibri"/>
          <w:color w:val="263238"/>
          <w:sz w:val="21"/>
          <w:szCs w:val="21"/>
        </w:rPr>
        <w:t>A Supply-Chain Resilience Pre-Investment Facility is established within the Mutual Economic Security Fund to support, on a preventative basis, diversification and reinforcement of critical supply chains among Members and Resilience Partners. (a) Purpose: Finance feasibility studies, pilot production facilities, alternative logistics routes, and strategic stockpiling for critical inputs identified through IEWC vulnerability assessments and Annex 13 stress tests (b) Instruments: Concessional loans, equity co-investment, risk guarantees, and technical assistance grants. Maximum single-project exposure: 5% of Facility capitalisation (c) Priority Sectors: Critical minerals and rare earths; semiconductors and advanced components; pharmaceuticals and active ingredients; energy transition materials; food security inputs. Sector list reviewed annually by CC (d) Capitalisation: Initial allocation of 10% of Peacetime Fund reserves; replenished through Stability Solidarity Contributions (Section 8.23) and voluntary member top-ups (e) Governance: Investment decisions by a Facility Board comprising Secretariat, IEWC, and 3 rotating member representatives. Annual portfolio review published on Institutional Readiness Dashboard</w:t>
      </w:r>
    </w:p>
    <w:p>
      <w:pPr>
        <w:pStyle w:val="Heading2"/>
      </w:pPr>
      <w:r>
        <w:t>Section 8.28A: Regional Logistics Surge Authority [NEW: v15.0]</w:t>
      </w:r>
    </w:p>
    <w:p>
      <w:r>
        <w:t>(a) The Secretariat designates, within 12 months of entry into force, at least three Regional Logistics Hubs (Americas, Europe, Asia-Pacific) with pre-delegated authority to: (i) activate Annex 3B Trade Facilitation Corridors for affected Members within their region; (ii) deploy pre-positioned humanitarian and essential goods stockpiles; (iii) reroute supply chains through alternative ports and transport corridors; and (iv) issue emergency procurement directives under Section 3.13 (Joint Procurement Consortium).</w:t>
      </w:r>
    </w:p>
    <w:p>
      <w:r>
        <w:t>(b) Activation of Regional Logistics Surge Authority requires: (i) IEWC certification of a Compound Emergency under Section 1.6; (ii) notification to the Coordination Committee within 24 hours; and (iii) ratification by 55% weighted vote within 7 days.</w:t>
      </w:r>
    </w:p>
    <w:p>
      <w:r>
        <w:t>(c) Each Regional Logistics Hub maintains a standing Rapid Logistics Coordination Team of five full-time staff, with pre-negotiated contracts with regional shipping lines, freight forwarders, and port authorities.</w:t>
      </w:r>
    </w:p>
    <w:p>
      <w:r>
        <w:t>Rationale: This decentralises logistics authority to where the disruption happens, cutting response time from days to hours and ensuring recovery completeness targets are met.</w:t>
      </w:r>
    </w:p>
    <w:p>
      <w:pPr>
        <w:pStyle w:val="Heading2"/>
      </w:pPr>
      <w:r>
        <w:t>Section 8.28B: Strategic Processed Minerals Reserve [NEW: v15.0]</w:t>
      </w:r>
    </w:p>
    <w:p>
      <w:r>
        <w:t>(a) The Mutual Economic Security Fund establishes and maintains a Strategic Processed Minerals Reserve, capitalised at 5% of total Fund size, dedicated to the physical stockpiling of: (i) processed rare earths (neodymium, praseodymium, dysprosium, terbium); (ii) magnet materials (sintered neodymium-iron-boron); (iii) battery minerals (lithium hydroxide, cobalt sulphate, nickel sulphate); and (iv) such other critical processed materials as the Coordination Committee designates by 55% weighted vote.</w:t>
      </w:r>
    </w:p>
    <w:p>
      <w:r>
        <w:t>(b) The Reserve maintains stockpiles sufficient to cover: (i) 12 months of IMESI Member consumption for Tier 1 strategic minerals (Section 2.3); and (ii) 24 months of IMESI Member consumption for minerals where a single non-Member source supplies more than 60% of Member demand.</w:t>
      </w:r>
    </w:p>
    <w:p>
      <w:r>
        <w:t>(c) Stockpiles are: (i) physically distributed across at least three Member jurisdictions; (ii) rotationally maintained to avoid degradation; (iii) subject to annual audit by the IEWC and an independent third party; and (iv) released only upon IEWC certification of coercion or systemic supply disruption under Sections 1.4 or 1.4B.</w:t>
      </w:r>
    </w:p>
    <w:p>
      <w:r>
        <w:t>(d) Release from the Reserve requires: (i) a 55% weighted CC vote; (ii) a published justification demonstrating that the release is necessary to prevent irreversible economic harm; and (iii) a replenishment plan for the released materials. Releases flow through sale or allocation without export prohibitions, preserving GATT Article XI consistency.</w:t>
      </w:r>
    </w:p>
    <w:p>
      <w:r>
        <w:t>Rationale: This directly addresses the physical bottleneck that no legal framework solves. A 24-month stockpile means the coalition absorbs the supply shock while building alternative capacity.</w:t>
      </w:r>
    </w:p>
    <w:p>
      <w:pPr>
        <w:pStyle w:val="Heading2"/>
      </w:pPr>
      <w:r>
        <w:t>Section 8.28C: IMESI Infrastructure Investment Fund (IIIF) [NEW: v15.0]</w:t>
      </w:r>
    </w:p>
    <w:p>
      <w:r>
        <w:t>(a) The IIIF operates as a dedicated USD 50-100 billion infrastructure fund for intra-IMESI connectivity projects: undersea cables, pipelines, rail corridors, digital infrastructure, and energy interconnectors. The IMESI Infrastructure Board, comprising member representatives, selects projects, and funding combines grants (40%), concessional loans (40%), and private capital (20%).</w:t>
      </w:r>
    </w:p>
    <w:p>
      <w:r>
        <w:t>(b) Infrastructure investment constitutes public investment in public goods, not a trade measure. Project selection follows transparent, published, objective, and non-discriminatory criteria, with the Board established within 12 months of entry into force.</w:t>
      </w:r>
    </w:p>
    <w:p>
      <w:r>
        <w:t>(c) The Fund is capitalised through a 0.02% GDP annual contribution from Tier 2+ members, supplemented by private capital and project returns. Concessional loan returns replenish the Fund.</w:t>
      </w:r>
    </w:p>
    <w:p>
      <w:r>
        <w:t>Rationale: This creates physical, irreversible economic integration. A member that leaves IMESI is excluded from new infrastructure projects and loses access to IMESI-funded infrastructure. The sunk costs of integration form a powerful barrier to exit.</w:t>
      </w:r>
    </w:p>
    <w:p>
      <w:pPr>
        <w:pStyle w:val="Heading2"/>
      </w:pPr>
      <w:r>
        <w:t>Section 8.28D: IMESI Energy Security Pool (ESP) [NEW: v15.0]</w:t>
      </w:r>
    </w:p>
    <w:p>
      <w:r>
        <w:t>(a) Members contribute 5% of their annual energy consumption to a collective strategic reserve covering oil, gas, coal, electricity, and green hydrogen. During supply disruption, members draw on the reserve at pre-agreed prices. The reserve is physically stored across 5-7 member locations, guaranteeing a 90-day strategic energy buffer with an emergency sharing mechanism.</w:t>
      </w:r>
    </w:p>
    <w:p>
      <w:r>
        <w:t>(b) Members contribute to the reserve through in-kind contributions. A small levy on energy imports covers operational costs.</w:t>
      </w:r>
    </w:p>
    <w:p>
      <w:r>
        <w:t>(c) The ESP is established within 18 months of entry into force. Storage locations are selected for geographic diversity.</w:t>
      </w:r>
    </w:p>
    <w:p>
      <w:r>
        <w:t>(d) Energy security measures operate consistent with GATT Article XXI. Reserve management imposes no export restrictions and no discriminatory treatment of non-member suppliers outside a certified emergency.</w:t>
      </w:r>
    </w:p>
    <w:p>
      <w:r>
        <w:t>Rationale: Energy security is existential. A member that leaves IMESI loses access to the collective reserve and stands vulnerable to energy coercion. This is a powerful deterrent for energy-dependent economies.</w:t>
      </w:r>
    </w:p>
    <w:p>
      <w:pPr>
        <w:pStyle w:val="Heading2"/>
      </w:pPr>
      <w:r>
        <w:rPr>
          <w:rFonts w:ascii="Calibri" w:hAnsi="Calibri" w:eastAsia="Microsoft YaHei" w:cs="Calibri"/>
          <w:b/>
          <w:color w:val="263238"/>
          <w:sz w:val="25"/>
          <w:szCs w:val="25"/>
        </w:rPr>
        <w:t>Section 8.29: Automatic Trade Diversification Acceleration Trigger</w:t>
      </w:r>
    </w:p>
    <w:p>
      <w:pPr>
        <w:pStyle w:val="Normal"/>
      </w:pPr>
      <w:r>
        <w:rPr>
          <w:rFonts w:ascii="Calibri" w:hAnsi="Calibri" w:eastAsia="Microsoft YaHei" w:cs="Calibri"/>
          <w:color w:val="263238"/>
          <w:sz w:val="21"/>
          <w:szCs w:val="21"/>
        </w:rPr>
        <w:t>Where a Member is subjected to new or increased tariff measures exceeding a specified threshold on a substantial share of its exports to a non-member, the Supply-Chain Resilience Pre-Investment Facility and related diversification instruments are automatically prioritised for that Member for a defined period. Trigger Criteria: (a) Tariff increase of 10 percentage points or more on goods representing at least 15% of the Member's bilateral exports to the non-member; OR (b) non-tariff barriers certified by IEWC as equivalent in trade impact to (a). Trigger assessment is automatic upon AESI certification; no additional CC vote required. Prioritisation: Triggered Members receive: (a) expedited Facility application processing (14-day decision); (b) enhanced concessional terms (interest rate reduction of 100 basis points below standard Facility terms); (c) priority allocation of up to 20% of available Facility resources; (d) dedicated Secretariat advisory team for diversification planning. Prioritisation period: 24 months from trigger, renewable once by CC vote.</w:t>
      </w:r>
    </w:p>
    <w:p>
      <w:pPr>
        <w:pStyle w:val="Heading2"/>
      </w:pPr>
      <w:r>
        <w:rPr>
          <w:rFonts w:ascii="Calibri" w:hAnsi="Calibri" w:eastAsia="Microsoft YaHei" w:cs="Calibri"/>
          <w:b/>
          <w:color w:val="263238"/>
          <w:sz w:val="25"/>
          <w:szCs w:val="25"/>
        </w:rPr>
        <w:t>Section 7.4A: Domestic Industry Safeguard Trigger [NEW: v9.8A Institutional Maturity]</w:t>
      </w:r>
    </w:p>
    <w:p>
      <w:pPr>
        <w:pStyle w:val="Normal"/>
      </w:pPr>
      <w:r>
        <w:rPr>
          <w:rFonts w:ascii="Calibri" w:hAnsi="Calibri" w:eastAsia="Microsoft YaHei" w:cs="Calibri"/>
          <w:color w:val="263238"/>
          <w:sz w:val="21"/>
          <w:szCs w:val="21"/>
        </w:rPr>
        <w:t>A Member adjusts temporarily specific stabilisation measures when objective domestic distress thresholds in a sector are crossed, subject to:</w:t>
      </w:r>
    </w:p>
    <w:p>
      <w:pPr>
        <w:pStyle w:val="Normal"/>
      </w:pPr>
      <w:r>
        <w:rPr>
          <w:rFonts w:ascii="Calibri" w:hAnsi="Calibri" w:eastAsia="Microsoft YaHei" w:cs="Calibri"/>
          <w:color w:val="263238"/>
          <w:sz w:val="21"/>
          <w:szCs w:val="21"/>
        </w:rPr>
        <w:t>(a) Objective trigger: the Member demonstrates that implementation of the specific measure would cause &gt;15% output decline or &gt;10% employment loss in a critical domestic sector, certified by national statistical authority or equivalent independent body;</w:t>
      </w:r>
    </w:p>
    <w:p>
      <w:pPr>
        <w:pStyle w:val="Normal"/>
      </w:pPr>
      <w:r>
        <w:rPr>
          <w:rFonts w:ascii="Calibri" w:hAnsi="Calibri" w:eastAsia="Microsoft YaHei" w:cs="Calibri"/>
          <w:color w:val="263238"/>
          <w:sz w:val="21"/>
          <w:szCs w:val="21"/>
        </w:rPr>
        <w:t>(b) IEWC/Secretariat review: the Secretariat reviews the claim within 7 days and publishes a recommendation (adjust, deny, or modify);</w:t>
      </w:r>
    </w:p>
    <w:p>
      <w:pPr>
        <w:pStyle w:val="Normal"/>
      </w:pPr>
      <w:r>
        <w:rPr>
          <w:rFonts w:ascii="Calibri" w:hAnsi="Calibri" w:eastAsia="Microsoft YaHei" w:cs="Calibri"/>
          <w:color w:val="263238"/>
          <w:sz w:val="21"/>
          <w:szCs w:val="21"/>
        </w:rPr>
        <w:t>(c) Compensating contributions: the Member makes reasonable efforts to contribute in other domains (e.g. enhanced financial contribution, diplomatic support, alternative regulatory measures) to offset the adjusted measure;</w:t>
      </w:r>
    </w:p>
    <w:p>
      <w:pPr>
        <w:pStyle w:val="Normal"/>
      </w:pPr>
      <w:r>
        <w:rPr>
          <w:rFonts w:ascii="Calibri" w:hAnsi="Calibri" w:eastAsia="Microsoft YaHei" w:cs="Calibri"/>
          <w:color w:val="263238"/>
          <w:sz w:val="21"/>
          <w:szCs w:val="21"/>
        </w:rPr>
        <w:t>(d) Rolling horizon: any adjustment persists through successive 90-day review points; the Secretariat reviews continuing distress at each boundary, and the adjustment continues by silence on a clean record.</w:t>
      </w:r>
    </w:p>
    <w:p>
      <w:pPr>
        <w:pStyle w:val="Normal"/>
      </w:pPr>
      <w:r>
        <w:rPr>
          <w:rFonts w:ascii="Calibri" w:hAnsi="Calibri" w:eastAsia="Microsoft YaHei" w:cs="Calibri"/>
          <w:color w:val="263238"/>
          <w:sz w:val="21"/>
          <w:szCs w:val="21"/>
        </w:rPr>
        <w:t>This gives political cover to governments facing acute domestic pressure without gutting the overall stabilisation measure package.</w:t>
      </w:r>
    </w:p>
    <w:p>
      <w:pPr>
        <w:pStyle w:val="Heading2"/>
      </w:pPr>
      <w:r>
        <w:rPr>
          <w:rFonts w:ascii="Calibri" w:hAnsi="Calibri" w:eastAsia="Microsoft YaHei" w:cs="Calibri"/>
          <w:b/>
          <w:color w:val="263238"/>
          <w:sz w:val="25"/>
          <w:szCs w:val="25"/>
        </w:rPr>
        <w:t>Section 7.5: Symmetric Restraint for Systemic-Economy Stabilisation Measures [NEW: v9.8A Institutional Maturity]</w:t>
      </w:r>
    </w:p>
    <w:p>
      <w:pPr>
        <w:pStyle w:val="Normal"/>
      </w:pPr>
      <w:r>
        <w:rPr>
          <w:rFonts w:ascii="Calibri" w:hAnsi="Calibri" w:eastAsia="Microsoft YaHei" w:cs="Calibri"/>
          <w:color w:val="263238"/>
          <w:sz w:val="21"/>
          <w:szCs w:val="21"/>
        </w:rPr>
        <w:t>Where proposed stabilisation or response measures would designate as the primary coercing state a Member identified as a systemic economy (GDP exceeding 5% of global GDP or trade flows exceeding 10% of global merchandise trade), such measures are not authorised unless:</w:t>
      </w:r>
    </w:p>
    <w:p>
      <w:pPr>
        <w:pStyle w:val="Normal"/>
      </w:pPr>
      <w:r>
        <w:rPr>
          <w:rFonts w:ascii="Calibri" w:hAnsi="Calibri" w:eastAsia="Microsoft YaHei" w:cs="Calibri"/>
          <w:color w:val="263238"/>
          <w:sz w:val="21"/>
          <w:szCs w:val="21"/>
        </w:rPr>
        <w:t>(a) a three-quarters majority of weighted votes in the Coordination Committee vote in favour of activation; and</w:t>
      </w:r>
    </w:p>
    <w:p>
      <w:pPr>
        <w:pStyle w:val="Normal"/>
      </w:pPr>
      <w:r>
        <w:rPr>
          <w:rFonts w:ascii="Calibri" w:hAnsi="Calibri" w:eastAsia="Microsoft YaHei" w:cs="Calibri"/>
          <w:color w:val="263238"/>
          <w:sz w:val="21"/>
          <w:szCs w:val="21"/>
        </w:rPr>
        <w:t>(b) concurrence of both the IEWC (by applicable weighted vote) and an Independent Economic Review Panel appointed under Annex 1, confirming that the proposed measures are necessary and proportionate to restore economic security and systemic stability.</w:t>
      </w:r>
    </w:p>
    <w:p>
      <w:pPr>
        <w:pStyle w:val="Normal"/>
      </w:pPr>
      <w:r>
        <w:rPr>
          <w:rFonts w:ascii="Calibri" w:hAnsi="Calibri" w:eastAsia="Microsoft YaHei" w:cs="Calibri"/>
          <w:color w:val="263238"/>
          <w:sz w:val="21"/>
          <w:szCs w:val="21"/>
        </w:rPr>
        <w:t>For any activation under this Section, the Secretariat prepares and publish an Enhanced Impact Assessment, including analysis of systemic financial and trade effects, third-country spillovers, and humanitarian implications, within 7 days of authorisation. Measures authorised under this Section is subject to mandatory review at intervals not exceeding 60 days, with a view to phased de-escalation where coercive conduct has ceased or materially reduced.</w:t>
      </w:r>
    </w:p>
    <w:p>
      <w:pPr>
        <w:pStyle w:val="Normal"/>
      </w:pPr>
      <w:r>
        <w:rPr>
          <w:rFonts w:ascii="Calibri" w:hAnsi="Calibri" w:eastAsia="Microsoft YaHei" w:cs="Calibri"/>
          <w:color w:val="263238"/>
          <w:sz w:val="21"/>
          <w:szCs w:val="21"/>
        </w:rPr>
        <w:t>Intent: Extra procedural brakes only when a systemic economy is the target, without weakening the ability to respond; reframes IMESI as a "stability cage" for great-power conduct.</w:t>
      </w:r>
    </w:p>
    <w:p>
      <w:pPr>
        <w:pStyle w:val="Heading2"/>
      </w:pPr>
      <w:r>
        <w:rPr>
          <w:rFonts w:ascii="Calibri" w:hAnsi="Calibri" w:eastAsia="Microsoft YaHei" w:cs="Calibri"/>
          <w:b/>
          <w:color w:val="263238"/>
          <w:sz w:val="25"/>
          <w:szCs w:val="25"/>
        </w:rPr>
        <w:t>Section 8.30: Coalition Capacity Insurance (CCI) [NEW: v9.8 Safe Addition]</w:t>
      </w:r>
    </w:p>
    <w:p>
      <w:pPr>
        <w:pStyle w:val="Normal"/>
      </w:pPr>
      <w:r>
        <w:rPr>
          <w:rFonts w:ascii="Calibri" w:hAnsi="Calibri" w:eastAsia="Microsoft YaHei" w:cs="Calibri"/>
          <w:color w:val="263238"/>
          <w:sz w:val="21"/>
          <w:szCs w:val="21"/>
        </w:rPr>
        <w:t>Purpose: Market mechanism ensuring coalition depth without procedural coercion.</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Members purchase "capacity insurance" from Fund: pay 0.02% GDP annually to guarantee that if &gt;30% of coalition abstains or opts out, their burden share is capped at 3% GDP regardless of actual participation shortfall.</w:t>
      </w:r>
    </w:p>
    <w:p>
      <w:pPr>
        <w:pStyle w:val="Normal"/>
      </w:pPr>
      <w:r>
        <w:rPr>
          <w:rFonts w:ascii="Calibri" w:hAnsi="Calibri" w:eastAsia="Microsoft YaHei" w:cs="Calibri"/>
          <w:color w:val="263238"/>
          <w:sz w:val="21"/>
          <w:szCs w:val="21"/>
        </w:rPr>
        <w:t>Trigger</w:t>
      </w:r>
    </w:p>
    <w:p>
      <w:pPr>
        <w:pStyle w:val="Normal"/>
      </w:pPr>
      <w:r>
        <w:rPr>
          <w:rFonts w:ascii="Calibri" w:hAnsi="Calibri" w:eastAsia="Microsoft YaHei" w:cs="Calibri"/>
          <w:color w:val="263238"/>
          <w:sz w:val="21"/>
          <w:szCs w:val="21"/>
        </w:rPr>
        <w:t>Insurance triggers automatically: Fund draws from Market Backstop layer; remaining participating members receive 25% burden-sharing bonus (funded from insurance pool, not general assessment). Uninsured members face standard burden-sharing recalculation if coalition fragments.</w:t>
      </w:r>
    </w:p>
    <w:p>
      <w:pPr>
        <w:pStyle w:val="Normal"/>
      </w:pPr>
      <w:r>
        <w:rPr>
          <w:rFonts w:ascii="Calibri" w:hAnsi="Calibri" w:eastAsia="Microsoft YaHei" w:cs="Calibri"/>
          <w:color w:val="263238"/>
          <w:sz w:val="21"/>
          <w:szCs w:val="21"/>
        </w:rPr>
        <w:t>Political Palatability</w:t>
      </w:r>
    </w:p>
    <w:p>
      <w:pPr>
        <w:pStyle w:val="Normal"/>
      </w:pPr>
      <w:r>
        <w:rPr>
          <w:rFonts w:ascii="Calibri" w:hAnsi="Calibri" w:eastAsia="Microsoft YaHei" w:cs="Calibri"/>
          <w:color w:val="263238"/>
          <w:sz w:val="21"/>
          <w:szCs w:val="21"/>
        </w:rPr>
        <w:t>Entirely voluntary; preserves all democratic choice; market-priced risk; no member forced to participate or penalized for non-participation beyond standard burden-sharing.</w:t>
      </w:r>
    </w:p>
    <w:p>
      <w:pPr>
        <w:pStyle w:val="Heading2"/>
      </w:pPr>
      <w:r>
        <w:rPr>
          <w:rFonts w:ascii="Calibri" w:hAnsi="Calibri" w:eastAsia="Microsoft YaHei" w:cs="Calibri"/>
          <w:b/>
          <w:color w:val="263238"/>
          <w:sz w:val="25"/>
          <w:szCs w:val="25"/>
        </w:rPr>
        <w:t>Section 8.31: Arbitrary Shock Diversification Facility [NEW: v12.1]</w:t>
      </w:r>
    </w:p>
    <w:p>
      <w:pPr>
        <w:pStyle w:val="Normal"/>
      </w:pPr>
      <w:r>
        <w:rPr>
          <w:rFonts w:ascii="Calibri" w:hAnsi="Calibri" w:eastAsia="Microsoft YaHei" w:cs="Calibri"/>
          <w:color w:val="263238"/>
          <w:sz w:val="21"/>
          <w:szCs w:val="21"/>
        </w:rPr>
        <w:t>A sub-facility of the Fund, capitalised at 0.5% of total Fund size, supports Members suffering arbitrary tariff shocks from a certified High Political Volatility coercer (Section 4.2X). The Facility reimburses documented incremental logistics, rerouting, and market-entry costs of trade diversion on a simplified flat-schedule basis that minimises claims administration, caps support at 0.1% of the Member's GDP per event, and limits disbursement to 12 months per event. Support under this Facility constitutes time-limited crisis adjustment assistance; it is not contingent on export performance, remains available regardless of destination market, and operates consistent with Members' obligations under the SCM Agreement.</w:t>
      </w:r>
    </w:p>
    <w:p>
      <w:pPr>
        <w:pStyle w:val="Heading2"/>
      </w:pPr>
      <w:r>
        <w:rPr>
          <w:rFonts w:ascii="Calibri" w:hAnsi="Calibri" w:eastAsia="Microsoft YaHei" w:cs="Calibri"/>
          <w:b/>
          <w:color w:val="263238"/>
          <w:sz w:val="25"/>
          <w:szCs w:val="25"/>
        </w:rPr>
        <w:t>Section 8.32: Unilateral Measure Stabilisation Fund [NEW: v12.1]</w:t>
      </w:r>
    </w:p>
    <w:p>
      <w:pPr>
        <w:pStyle w:val="Normal"/>
      </w:pPr>
      <w:r>
        <w:rPr>
          <w:rFonts w:ascii="Calibri" w:hAnsi="Calibri" w:eastAsia="Microsoft YaHei" w:cs="Calibri"/>
          <w:color w:val="263238"/>
          <w:sz w:val="21"/>
          <w:szCs w:val="21"/>
        </w:rPr>
        <w:t>The Unilateral Measure Stabilisation Fund (UMSF) operates as a sub-facility of the Mutual Economic Security Fund, capitalised at 5% of total Fund size. The UMSF activates upon IEWC certification of Unannounced Trade Action (Section 5.0O), Regulatory Surprise (Section 2.10C), a determination under the Deliberative-Process Acceleration Protocol (Section 5.0N), or Unilateral Tariff Regime Disruption (Section 2.2B). Upon activation the affected Member receives: (a) immediate liquidity support equivalent to 0.25% of its GDP within 24 hours; (b) automatic eligibility for supply-chain diversification grants at 150% of standard Resilience Fund rates; and (c) priority access to the Substitution Acceleration Sub-Fund (Section 10.5). UMSF draws do not count against standard Fund draw limits or annual exposure caps. The UMSF replenishes through standard Fund contributions and through Retroactive Reinstatement Surcharge proceeds credited under Section 10.9 (Second Addendum), maintaining consistency with the Instrument's WTO-compatible financing architecture.</w:t>
      </w:r>
    </w:p>
    <w:p>
      <w:pPr>
        <w:pStyle w:val="Heading2"/>
      </w:pPr>
      <w:r>
        <w:rPr>
          <w:rFonts w:ascii="Calibri" w:hAnsi="Calibri" w:eastAsia="Microsoft YaHei" w:cs="Calibri"/>
          <w:b/>
          <w:color w:val="263238"/>
          <w:sz w:val="25"/>
          <w:szCs w:val="25"/>
        </w:rPr>
        <w:t>Section 8.33: Private Sector Liquidity Guarantee Programme [NEW: v12.1]</w:t>
      </w:r>
    </w:p>
    <w:p>
      <w:pPr>
        <w:pStyle w:val="Normal"/>
      </w:pPr>
      <w:r>
        <w:rPr>
          <w:rFonts w:ascii="Calibri" w:hAnsi="Calibri" w:eastAsia="Microsoft YaHei" w:cs="Calibri"/>
          <w:color w:val="263238"/>
          <w:sz w:val="21"/>
          <w:szCs w:val="21"/>
        </w:rPr>
        <w:t>The Secretariat establishes a Private Sector Liquidity Guarantee Programme, operating through the SFI, providing short-term trade credit guarantees to private sector entities exporting from or importing into a Member affected by Unilateral Tariff Regime Disruption (Section 2.2B) or Unannounced Trade Action (Section 5.0O). Guarantees cover up to 90% of eligible trade credit exposure for no more than 180 days, limit to goods and services contracted or in transit prior to the coercive measure, denominate in IMU or Member currencies at the Member's option, and carry premiums subsidised at 50% of commercial rates funded from Section 8.32. Participation remains voluntary for private entities and requires no Member guarantee beyond Fund contributions. The Programme operates through commercial banks with existing SFI clearing relationships on a non-discriminatory, commercially reasonable basis, and its short-term, time-limited, crisis-specific design addresses systemic disruption rather than conferring competitive advantage, consistent with SCM Agreement disciplines.</w:t>
      </w:r>
    </w:p>
    <w:p>
      <w:pPr>
        <w:pStyle w:val="Heading3"/>
      </w:pPr>
      <w:r>
        <w:rPr>
          <w:rFonts w:ascii="Calibri" w:hAnsi="Calibri" w:eastAsia="Microsoft YaHei" w:cs="Calibri"/>
          <w:b/>
          <w:color w:val="546E7A"/>
          <w:sz w:val="22"/>
          <w:szCs w:val="22"/>
        </w:rPr>
        <w:t xml:space="preserve">Section 8.33 (Addendum): Trade Credit Insurance Premium Rebate Protocol [NEW: v14.0]</w:t>
      </w:r>
    </w:p>
    <w:p>
      <w:pPr>
        <w:pStyle w:val="Normal"/>
      </w:pPr>
      <w:r>
        <w:rPr>
          <w:rFonts w:ascii="Calibri" w:hAnsi="Calibri" w:eastAsia="Microsoft YaHei" w:cs="Calibri"/>
          <w:color w:val="263238"/>
          <w:sz w:val="21"/>
          <w:szCs w:val="21"/>
        </w:rPr>
        <w:t xml:space="preserve">Private export credit agencies and commercial insurers that offer trade credit insurance to firms exporting to or from an IMESI member during an active coercion case receive a 25% reinsurance premium rebate from the Resilience Fund for policies covering affected trade flows. The rebate draws on a small surcharge on the Retroactive Reinstatement Surcharge (Section 10.9) or on Private Sector Liquidity Guarantee Programme resources, at Secretariat discretion. Crisis-responsive reinsurance tied to specific, certified coercive events operates as a service-sector stabilisation measure consistent with GATS Article XIVbis security exceptions and prudential carve-outs. The incentive keeps trade credit insurance flowing at the point of maximum need, countering the coverage reductions and premium spikes that compound coercion damage.</w:t>
      </w:r>
    </w:p>
    <w:p>
      <w:pPr>
        <w:pStyle w:val="Heading3"/>
      </w:pPr>
      <w:r>
        <w:rPr>
          <w:rFonts w:ascii="Calibri" w:hAnsi="Calibri" w:eastAsia="Microsoft YaHei" w:cs="Calibri"/>
          <w:b/>
          <w:color w:val="546E7A"/>
          <w:sz w:val="22"/>
          <w:szCs w:val="22"/>
        </w:rPr>
        <w:t xml:space="preserve">Section 8.33 (Second Addendum): Business Continuity Safe Harbor Protocol [NEW: v14.0]</w:t>
      </w:r>
    </w:p>
    <w:p>
      <w:pPr>
        <w:pStyle w:val="Normal"/>
      </w:pPr>
      <w:r>
        <w:rPr>
          <w:rFonts w:ascii="Calibri" w:hAnsi="Calibri" w:eastAsia="Microsoft YaHei" w:cs="Calibri"/>
          <w:color w:val="263238"/>
          <w:sz w:val="21"/>
          <w:szCs w:val="21"/>
        </w:rPr>
        <w:t xml:space="preserve">Firms that maintain operations in a coercing state and face retaliatory pressure, including licence denial, asset freeze, or harassment, for complying with IMESI measures qualify for a binding Business Continuity Assistance package: legal defence cost reimbursement of up to 50%, diplomatic support through member missions, and expedited relocation assistance. The Private Sector Liquidity Guarantee Programme pre-funds the package as a form of political risk insurance with a low historical claims rate. The package functions as emergency assistance to firms facing coercive state action and imposes no border measure.</w:t>
      </w:r>
    </w:p>
    <w:p>
      <w:pPr>
        <w:pStyle w:val="Heading3"/>
      </w:pPr>
      <w:r>
        <w:t>Section 8.33 (Third Addendum): IMESI Export Credit Guarantee (IECG) [NEW: v15.0]</w:t>
      </w:r>
    </w:p>
    <w:p>
      <w:r>
        <w:t>(a) The SFI (Section 8.10) provides a full guarantee on Letters of Credit and export credit for goods traded between IMESI members. The guarantee covers 100% of the transaction value, including political risk (coercion, expropriation, currency inconvertibility).</w:t>
      </w:r>
    </w:p>
    <w:p>
      <w:r>
        <w:t>(b) The guarantee is funded by a premium of 0.5-1% of the LC value, paid by the exporter. The premium funds a dedicated Guarantee Reserve within the Fund. The premium rate is reviewed annually.</w:t>
      </w:r>
    </w:p>
    <w:p>
      <w:r>
        <w:t>(c) The IECG is operational within 6 months of entry into force. The guarantee follows the OECD Arrangement on Officially Supported Export Credits, remains market-conforming, and extends to all members equally.</w:t>
      </w:r>
    </w:p>
    <w:p>
      <w:r>
        <w:t>Rationale: This eliminates trade finance risk for intra-IMESI exports. Exporters sell with confidence, knowing payment is guaranteed even if a coercer blocks settlement. Intra-IMESI trade becomes financially risk-free.</w:t>
      </w:r>
    </w:p>
    <w:p>
      <w:pPr>
        <w:pStyle w:val="Heading2"/>
      </w:pPr>
      <w:r>
        <w:t>Section 8.34: Military Insurance Fund (MIF) [NEW: v15.0]</w:t>
      </w:r>
    </w:p>
    <w:p>
      <w:r>
        <w:t>(a) The Mutual Economic Security Fund establishes a dedicated Military Insurance Fund (MIF), capitalised at 5% of total Fund size, providing immediate, unconditional financial support to Members facing military coercion.</w:t>
      </w:r>
    </w:p>
    <w:p>
      <w:r>
        <w:t>(b) The MIF provides: (i) Emergency Liquidity Injection: 0.5% of the Member's GDP within 4 hours of Existential Threat certification; (ii) Defence Supply Chain Support: 100% grants for defence supply-chain diversification and hardening; (iii) Military-Readiness Support: grants for military-readiness expenses directly attributable to the coercer's military threat, including enhanced surveillance, border security, and reserve mobilisation; and (iv) Civilian Protection Support: grants for civilian protection measures, including early warning systems, bunkers, and evacuation infrastructure.</w:t>
      </w:r>
    </w:p>
    <w:p>
      <w:r>
        <w:t>(c) MIF disbursements are: (i) automatic upon Existential Threat certification (Section 5.14); (ii) non-repayable grants, not loans; (iii) exempt from standard Fund draw limits; and (iv) exempt from IMF conditionality. All MIF grants remain decoupled from export performance and import substitution, consistent with the SCM Agreement.</w:t>
      </w:r>
    </w:p>
    <w:p>
      <w:r>
        <w:t>(d) The MIF is replenished through: (i) standard Fund contributions; (ii) Retroactive Reinstatement Surcharge proceeds (Section 10.9); and (iii) voluntary Tier 3 Member top-ups.</w:t>
      </w:r>
    </w:p>
    <w:p>
      <w:r>
        <w:t>(e) The MIF is operational within 12 months of entry into force.</w:t>
      </w:r>
    </w:p>
    <w:p>
      <w:r>
        <w:t>Rationale: This creates a war chest for members under military threat. Cash arrives within hours, not weeks. The money funds defence, resilience, or civilian protection. It strips the economic leverage from military blackmail.</w:t>
      </w:r>
    </w:p>
    <w:p>
      <w:pPr>
        <w:pStyle w:val="Heading2"/>
      </w:pPr>
      <w:r>
        <w:t>Section 8.35: Civilian Evacuation Corridor [NEW: v15.0]</w:t>
      </w:r>
    </w:p>
    <w:p>
      <w:r>
        <w:t>(a) Upon IEWC certification of an Existential Threat (Section 5.14) that includes: (i) a credible threat to civilian populations; (ii) a declaration of a no-fly zone or exclusion zone; or (iii) a naval blockade affecting civilian maritime traffic, the following Civilian Evacuation Corridor measures activate automatically.</w:t>
      </w:r>
    </w:p>
    <w:p>
      <w:r>
        <w:t>(b) The SFI (Section 8.10): (i) establishes a dedicated Civilian Evacuation Settlement Window for all evacuation-related transactions covering transport, food, medicine, and temporary shelter; (ii) waives all SFI fees for evacuation-related transactions; and (iii) provides 100% guaranteed payment for evacuation-related services regardless of the coercer's settlement restrictions.</w:t>
      </w:r>
    </w:p>
    <w:p>
      <w:r>
        <w:t>(c) The Joint Procurement Consortium (Section 3.13): (i) pre-positions evacuation supplies (food, water, medicine, shelter) at designated collection points within 24 hours; (ii) coordinates with member states on evacuation logistics; and (iii) provides emergency transport at cost, with no profit margin.</w:t>
      </w:r>
    </w:p>
    <w:p>
      <w:r>
        <w:t>(d) The Civilian Evacuation Corridor: (i) is open to all civilians, regardless of nationality; (ii) is neutral in character and constitutes no military operation; (iii) operates through pre-designated safe zones; and (iv) continues until the CC votes (60%) to terminate.</w:t>
      </w:r>
    </w:p>
    <w:p>
      <w:r>
        <w:t>(e) The Secretariat: (i) notifies the UN Secretary-General, ICRC, and relevant humanitarian agencies within 24 hours; (ii) coordinates evacuation efforts with affected Member states; and (iii) reports weekly to the CC on evacuation progress.</w:t>
      </w:r>
    </w:p>
    <w:p>
      <w:r>
        <w:t>Rationale: This makes IMESI a humanitarian lifeline during military coercion. Civilians evacuate, and the coalition pays. The coercer's military threat carries no leverage over civilian populations.</w:t>
      </w:r>
    </w:p>
    <w:p>
      <w:pPr>
        <w:pStyle w:val="Heading2"/>
      </w:pPr>
      <w:r>
        <w:t>Section 8.36: Solidarity Bonus Amplifier [NEW: v15.0]</w:t>
      </w:r>
    </w:p>
    <w:p>
      <w:r>
        <w:t>(a) Upon IEWC certification of any attack under Section 1.7(a), the Solidarity Bonus Amplifier activates automatically.</w:t>
      </w:r>
    </w:p>
    <w:p>
      <w:r>
        <w:t>(b) The Solidarity Bonus Amplifier provides: (i) a 10% increase in all Fund allocation rates for Members that maintained full participation during the attack; (ii) a 10% reduction in burden-sharing contributions for Members that maintained full participation; (iii) priority access to all Fund facilities for 24 months; and (iv) a public Solidarity Partner designation on the Dashboard.</w:t>
      </w:r>
    </w:p>
    <w:p>
      <w:r>
        <w:t>(c) The Solidarity Bonus Amplifier applies cumulatively: (i) first attack survived: 10% bonus; (ii) second attack survived: 20% bonus; (iii) third attack survived: 30% bonus.</w:t>
      </w:r>
    </w:p>
    <w:p>
      <w:r>
        <w:t>(d) The Solidarity Bonus Amplifier applies to all Members except: (i) the certified coercer; (ii) Members that invoked MOAR (Section 3.5) more than twice during the attack; and (iii) Members that abstained from more than 30% of activation votes during the attack.</w:t>
      </w:r>
    </w:p>
    <w:p>
      <w:r>
        <w:t>(e) The Solidarity Bonus Amplifier operates for 24 months from the attack's resolution, renewable by 55% CC vote. Bonus allocations remain decoupled from export performance and import substitution, consistent with the SCM Agreement.</w:t>
      </w:r>
    </w:p>
    <w:p>
      <w:r>
        <w:t>Why This Works: Every attack makes solidarity more valuable. Members that resist earn Fund bonuses, reduced contributions, and priority access. The incentive to stay in the coalition increases with every attack.</w:t>
      </w:r>
    </w:p>
    <w:p>
      <w:pPr>
        <w:pStyle w:val="Heading1"/>
        <w:pageBreakBefore/>
      </w:pPr>
      <w:r>
        <w:rPr>
          <w:rFonts w:ascii="Calibri" w:hAnsi="Calibri" w:eastAsia="Microsoft YaHei" w:cs="Calibri"/>
          <w:b/>
          <w:color w:val="455A64"/>
          <w:sz w:val="30"/>
          <w:szCs w:val="30"/>
        </w:rPr>
        <w:t>ARTICLE IX: EXTERNAL ENGAGEMENT</w:t>
      </w:r>
      <w:bookmarkStart w:name="_Toc000023" w:id="23"/>
      <w:bookmarkEnd w:id="23"/>
    </w:p>
    <w:p>
      <w:pPr>
        <w:pStyle w:val="Heading3"/>
      </w:pPr>
      <w:r>
        <w:rPr>
          <w:rFonts w:ascii="Calibri" w:hAnsi="Calibri" w:eastAsia="Microsoft YaHei" w:cs="Calibri"/>
          <w:b/>
          <w:color w:val="546E7A"/>
          <w:sz w:val="22"/>
          <w:szCs w:val="22"/>
        </w:rPr>
        <w:t>Article IX (Addendum): Head of State Liability Declaration [NEW: v11.0]</w:t>
      </w:r>
    </w:p>
    <w:p>
      <w:pPr>
        <w:pStyle w:val="Normal"/>
      </w:pPr>
      <w:r>
        <w:rPr>
          <w:rFonts w:ascii="Calibri" w:hAnsi="Calibri" w:eastAsia="Microsoft YaHei" w:cs="Calibri"/>
          <w:color w:val="263238"/>
          <w:sz w:val="21"/>
          <w:szCs w:val="21"/>
        </w:rPr>
        <w:t>The Instrument declares that states using tariffs for political coercion stand subject to stabilisation responses, and the Parties recognise such tactics as a threat to international peace and security. This declaration prevents coercing states from sheltering behind the Political Question doctrine in domestic courts.</w:t>
      </w:r>
    </w:p>
    <w:p>
      <w:pPr>
        <w:pStyle w:val="Heading3"/>
      </w:pPr>
      <w:r>
        <w:rPr>
          <w:rFonts w:ascii="Calibri" w:hAnsi="Calibri" w:eastAsia="Microsoft YaHei" w:cs="Calibri"/>
          <w:b/>
          <w:color w:val="546E7A"/>
          <w:sz w:val="22"/>
          <w:szCs w:val="22"/>
        </w:rPr>
        <w:t>Article IX (Second Addendum): Without Prejudice to WTO Rights [NEW: v12.0]</w:t>
      </w:r>
    </w:p>
    <w:p>
      <w:pPr>
        <w:pStyle w:val="Normal"/>
      </w:pPr>
      <w:r>
        <w:rPr>
          <w:rFonts w:ascii="Calibri" w:hAnsi="Calibri" w:eastAsia="Microsoft YaHei" w:cs="Calibri"/>
          <w:color w:val="263238"/>
          <w:sz w:val="21"/>
          <w:szCs w:val="21"/>
        </w:rPr>
        <w:t>Nothing in this Instrument diminishes, waives, or prejudices the rights of Members under the WTO Agreements. Members retain full rights to initiate, defend, or participate in WTO dispute settlement proceedings.</w:t>
      </w:r>
    </w:p>
    <w:p>
      <w:pPr>
        <w:pStyle w:val="Heading2"/>
      </w:pPr>
      <w:r>
        <w:rPr>
          <w:rFonts w:ascii="Calibri" w:hAnsi="Calibri" w:eastAsia="Microsoft YaHei" w:cs="Calibri"/>
          <w:b/>
          <w:color w:val="263238"/>
          <w:sz w:val="25"/>
          <w:szCs w:val="25"/>
        </w:rPr>
        <w:t>Section 9.1: WTO and Multilateral Engagement</w:t>
      </w:r>
    </w:p>
    <w:p>
      <w:pPr>
        <w:pStyle w:val="Heading3"/>
      </w:pPr>
      <w:r>
        <w:rPr>
          <w:rFonts w:ascii="Calibri" w:hAnsi="Calibri" w:eastAsia="Microsoft YaHei" w:cs="Calibri"/>
          <w:b/>
          <w:color w:val="546E7A"/>
          <w:sz w:val="22"/>
          <w:szCs w:val="22"/>
        </w:rPr>
        <w:t>Section 9.1A: WTO Deference Clause [NEW: v12.0]</w:t>
      </w:r>
    </w:p>
    <w:p>
      <w:pPr>
        <w:pStyle w:val="Normal"/>
      </w:pPr>
      <w:r>
        <w:rPr>
          <w:rFonts w:ascii="Calibri" w:hAnsi="Calibri" w:eastAsia="Microsoft YaHei" w:cs="Calibri"/>
          <w:color w:val="263238"/>
          <w:sz w:val="21"/>
          <w:szCs w:val="21"/>
        </w:rPr>
        <w:t>Where a conflict arises between a Member’s obligations under this Instrument and its obligations under the WTO Agreements, the Member reconciles the two in good faith, with WTO obligations taking precedence absent a specific Coordination Committee determination under Article V that reconciliation proves impossible without undermining the core defensive purpose of this Instrument.</w:t>
      </w:r>
    </w:p>
    <w:p>
      <w:pPr>
        <w:pStyle w:val="Heading3"/>
      </w:pPr>
      <w:r>
        <w:rPr>
          <w:rFonts w:ascii="Calibri" w:hAnsi="Calibri" w:eastAsia="Microsoft YaHei" w:cs="Calibri"/>
          <w:b/>
          <w:color w:val="546E7A"/>
          <w:sz w:val="22"/>
          <w:szCs w:val="22"/>
        </w:rPr>
        <w:t>Section 9.1 (Addendum): Consultation Request Protocol [NEW: v12.0]</w:t>
      </w:r>
    </w:p>
    <w:p>
      <w:pPr>
        <w:pStyle w:val="Normal"/>
      </w:pPr>
      <w:r>
        <w:rPr>
          <w:rFonts w:ascii="Calibri" w:hAnsi="Calibri" w:eastAsia="Microsoft YaHei" w:cs="Calibri"/>
          <w:color w:val="263238"/>
          <w:sz w:val="21"/>
          <w:szCs w:val="21"/>
        </w:rPr>
        <w:t>Any WTO Member requests consultations with the Coordination Committee concerning any IMESI measure affecting its trade interests. The Secretariat responds within 14 days and provides relevant documentation.</w:t>
      </w:r>
    </w:p>
    <w:p>
      <w:pPr>
        <w:pStyle w:val="Normal"/>
      </w:pPr>
      <w:r>
        <w:rPr>
          <w:rFonts w:ascii="Calibri" w:hAnsi="Calibri" w:eastAsia="Microsoft YaHei" w:cs="Calibri"/>
          <w:color w:val="263238"/>
          <w:sz w:val="21"/>
          <w:szCs w:val="21"/>
        </w:rPr>
        <w:t>Observer Status: IMESI seeks formal WTO observer status within 90 days of the founding conference. Reform Coordination: The Director-General appoints a Liaison Officer to the WTO Secretariat, meeting monthly with the DG office to ensure IMESI developments inform WTO reform and vice versa. Ministerial Response: Within 30 days of each WTO Ministerial Conference conclusion, the Coordination Committee convenes to assess: WTO reform programme implications for IMESI operations; opportunities for formal IMESI-WTO cooperation agreement; need for charter amendments to maintain alignment. Anti-Fragmentation Alignment: IMESI anti-fragmentation provisions (Article VI) is interpreted consistently with WTO efforts to reduce forum shopping and preference fragmentation.</w:t>
      </w:r>
    </w:p>
    <w:p>
      <w:pPr>
        <w:pStyle w:val="Heading3"/>
      </w:pPr>
      <w:r>
        <w:t>Section 9.1 (Addendum): Pre-WTO Compatibility Assessment [NEW: v15.0]</w:t>
      </w:r>
    </w:p>
    <w:p>
      <w:r>
        <w:t>(c) Before any Phase 2 or Phase 3 activation, the Secretariat prepares and publishes a Compatibility Assessment, confirming that: (i) the proposed measures are consistent with Members' obligations under the WTO Agreements, or stand justified under GATT Article XXI; and (ii) the proposed measures create no new trade barrier against non-Members.</w:t>
      </w:r>
    </w:p>
    <w:p>
      <w:r>
        <w:t>(d) The Compatibility Assessment is: (i) transmitted to the WTO Secretariat; (ii) published on the Dashboard; and (iii) made available to any WTO Member upon request.</w:t>
      </w:r>
    </w:p>
    <w:p>
      <w:r>
        <w:t>(e) The Compatibility Assessment operates as a legal document, admissible in any WTO or other international proceeding.</w:t>
      </w:r>
    </w:p>
    <w:p>
      <w:r>
        <w:t>Rationale: This forces the coalition to front-load the legal justification for every major action, creating a standing record that resists later challenge.</w:t>
      </w:r>
    </w:p>
    <w:p>
      <w:pPr>
        <w:pStyle w:val="Heading3"/>
      </w:pPr>
      <w:r>
        <w:t>Section 9.1 (Second Addendum): Good Faith Engagement [NEW: v15.0]</w:t>
      </w:r>
    </w:p>
    <w:p>
      <w:r>
        <w:t>(f) The Parties to this Instrument commit to engaging in good faith with the WTO Secretariat and with any WTO Member that raises concerns about the consistency of this Instrument with WTO rules.</w:t>
      </w:r>
    </w:p>
    <w:p>
      <w:r>
        <w:t>(g) This engagement includes: (i) providing information about the Instrument's purpose and operation; (ii) responding to requests for consultation; and (iii) participating in technical discussions.</w:t>
      </w:r>
    </w:p>
    <w:p>
      <w:r>
        <w:t>(h) Nothing in this Section obliges the Parties to modify or suspend any measure authorised under this Instrument, where such modification or suspension would undermine its core defensive purpose.</w:t>
      </w:r>
    </w:p>
    <w:p>
      <w:r>
        <w:t>Rationale: This demonstrates a commitment to the WTO system, undercutting any bad-faith narrative.</w:t>
      </w:r>
    </w:p>
    <w:p>
      <w:pPr>
        <w:pStyle w:val="Heading2"/>
      </w:pPr>
      <w:r>
        <w:t>Section 9.1B: GATT Article XXI Pre-Certification [NEW: v15.0]</w:t>
      </w:r>
    </w:p>
    <w:p>
      <w:r>
        <w:t>(a) For the purposes of this Instrument, the IEWC's certification of an Adverse Economic Security Incident (AESI) or economic coercion under Article II constitutes a formal determination that an emergency in international relations exists, as defined in GATT Article XXI(b)(iii), and that the measures taken under this Instrument are necessary for the protection of the essential security interests of the Members.</w:t>
      </w:r>
    </w:p>
    <w:p>
      <w:r>
        <w:t>(b) This determination is: (i) documented in the Proportionality Certification Memo (Section 5.3A.2); (ii) transmitted to the WTO Secretariat and to all Members; and (iii) cited as the primary legal basis for any IMESI measure challenged under the WTO Agreements.</w:t>
      </w:r>
    </w:p>
    <w:p>
      <w:r>
        <w:t>(c) The IEWC certification under this Section carries deference before any WTO panel or adjudicatory body, consistent with the deferential standard established in the Russia, Traffic in Transit panel report.</w:t>
      </w:r>
    </w:p>
    <w:p>
      <w:r>
        <w:t>(d) Nothing in this Section precludes Members from invoking additional defences under GATT Article XX or other applicable WTO provisions.</w:t>
      </w:r>
    </w:p>
    <w:p>
      <w:r>
        <w:t>Rationale: This explicitly anchors every IMESI activation in the GATT Article XXI security exception, creating a formal legal record that a WTO panel cannot easily second-guess, given the deferential standard established in Russia, Traffic in Transit.</w:t>
      </w:r>
    </w:p>
    <w:p>
      <w:pPr>
        <w:pStyle w:val="Heading2"/>
      </w:pPr>
      <w:r>
        <w:rPr>
          <w:rFonts w:ascii="Calibri" w:hAnsi="Calibri" w:eastAsia="Microsoft YaHei" w:cs="Calibri"/>
          <w:b/>
          <w:color w:val="263238"/>
          <w:sz w:val="25"/>
          <w:szCs w:val="25"/>
        </w:rPr>
        <w:t>Section 9.2: Multilateral Coordination Protocol</w:t>
      </w:r>
    </w:p>
    <w:p>
      <w:pPr>
        <w:pStyle w:val="Heading3"/>
      </w:pPr>
      <w:r>
        <w:rPr>
          <w:rFonts w:ascii="Calibri" w:hAnsi="Calibri" w:eastAsia="Microsoft YaHei" w:cs="Calibri"/>
          <w:b/>
          <w:color w:val="546E7A"/>
          <w:sz w:val="22"/>
          <w:szCs w:val="22"/>
        </w:rPr>
        <w:t>Section 9.2A: WTO Secretariat Dialogue Channel [NEW: v12.0]</w:t>
      </w:r>
    </w:p>
    <w:p>
      <w:pPr>
        <w:pStyle w:val="Normal"/>
      </w:pPr>
      <w:r>
        <w:rPr>
          <w:rFonts w:ascii="Calibri" w:hAnsi="Calibri" w:eastAsia="Microsoft YaHei" w:cs="Calibri"/>
          <w:color w:val="263238"/>
          <w:sz w:val="21"/>
          <w:szCs w:val="21"/>
        </w:rPr>
        <w:t>The Secretariat maintains a formal dialogue channel with the WTO Secretariat for technical exchanges on compatibility issues. The channel serves pre-notification consultation and post-activation assessment.</w:t>
      </w:r>
    </w:p>
    <w:p>
      <w:pPr>
        <w:pStyle w:val="Normal"/>
      </w:pPr>
      <w:r>
        <w:rPr>
          <w:rFonts w:ascii="Calibri" w:hAnsi="Calibri" w:eastAsia="Microsoft YaHei" w:cs="Calibri"/>
          <w:color w:val="263238"/>
          <w:sz w:val="21"/>
          <w:szCs w:val="21"/>
        </w:rPr>
        <w:t>WTO Alignment: IMESI stabilisation measures automatically notified to WTO per Annex 1A; IMESI seeks formal plurilateral mutual insurance designation under WTO Article XXIV. RTA Coordination: IMESI members notify regional trade agreement partners of stabilisation measure obligations; RTA dispute settlement suspended during IMESI active cases. OECD/IFI Coordination: Quarterly consultation with OECD Trade Committee, World Bank, and IMF on coercion risk assessments. Fragmentation Prevention: IMESI members prohibited from initiating new RTA negotiations with coercing states during active cases without Coordination Committee clearance.</w:t>
      </w:r>
    </w:p>
    <w:p>
      <w:pPr>
        <w:pStyle w:val="Heading2"/>
      </w:pPr>
      <w:r>
        <w:rPr>
          <w:rFonts w:ascii="Calibri" w:hAnsi="Calibri" w:eastAsia="Microsoft YaHei" w:cs="Calibri"/>
          <w:b/>
          <w:color w:val="263238"/>
          <w:sz w:val="25"/>
          <w:szCs w:val="25"/>
        </w:rPr>
        <w:t>Section 9.2A: WTO Institutional Partnership</w:t>
      </w:r>
    </w:p>
    <w:p>
      <w:pPr>
        <w:pStyle w:val="Normal"/>
      </w:pPr>
      <w:r>
        <w:rPr>
          <w:rFonts w:ascii="Calibri" w:hAnsi="Calibri" w:eastAsia="Microsoft YaHei" w:cs="Calibri"/>
          <w:color w:val="263238"/>
          <w:sz w:val="21"/>
          <w:szCs w:val="21"/>
        </w:rPr>
        <w:t>The Secretariat establishes, subject to agreement on the WTO side, a standing Joint Working Group with the WTO Secretariat. Functions (non-binding): (a) Annual coherence review of IMESI–WTO interaction, with public summary; (b) 48-hour technical consultations in systemic cases; (c) non-binding reform proposals on coercion, mutual insurance, and security exceptions; (d) pre-litigation technical dialogue on potential disputes involving IMESI members. No Authority: The JWG has no decision-making or interpretive authority and cannot change IMESI or WTO obligations.</w:t>
      </w:r>
    </w:p>
    <w:p>
      <w:pPr>
        <w:pStyle w:val="Heading2"/>
      </w:pPr>
      <w:r>
        <w:t>Section 9.2B: WTO Coordination and Defence Unit [NEW: v15.0]</w:t>
      </w:r>
    </w:p>
    <w:p>
      <w:r>
        <w:t>(a) The Secretariat establishes a WTO Coordination and Defence Unit (WCDU), staffed by: (i) five international trade lawyers with WTO expertise; (ii) three trade economists with WTO dispute settlement experience; and (iii) two former WTO panellists or Appellate Body members.</w:t>
      </w:r>
    </w:p>
    <w:p>
      <w:r>
        <w:t>(b) The WCDU: (i) monitors all WTO activities relevant to IMESI; (ii) coordinates the legal defence of IMESI measures in any WTO dispute; (iii) develops model legal arguments for common attack vectors; (iv) provides legal support to Members facing WTO challenges for IMESI-related measures; and (v) maintains a public Legal Precedent Database of all WTO rulings relevant to economic coercion and the security exception.</w:t>
      </w:r>
    </w:p>
    <w:p>
      <w:r>
        <w:t>(c) The WCDU's findings and recommendations are advisory to the CC and carry significant legal weight.</w:t>
      </w:r>
    </w:p>
    <w:p>
      <w:r>
        <w:t>Rationale: This provides the institutional capacity to fight legal battles, rather than relying on individual Members to assemble legal arguments ad hoc.</w:t>
      </w:r>
    </w:p>
    <w:p>
      <w:pPr>
        <w:pStyle w:val="Heading2"/>
      </w:pPr>
      <w:r>
        <w:rPr>
          <w:rFonts w:ascii="Calibri" w:hAnsi="Calibri" w:eastAsia="Microsoft YaHei" w:cs="Calibri"/>
          <w:b/>
          <w:color w:val="263238"/>
          <w:sz w:val="25"/>
          <w:szCs w:val="25"/>
        </w:rPr>
        <w:t>Section 9.3: Treaty Compatibility Mechanism</w:t>
      </w:r>
    </w:p>
    <w:p>
      <w:pPr>
        <w:pStyle w:val="Heading3"/>
      </w:pPr>
      <w:r>
        <w:rPr>
          <w:rFonts w:ascii="Calibri" w:hAnsi="Calibri" w:eastAsia="Microsoft YaHei" w:cs="Calibri"/>
          <w:b/>
          <w:color w:val="546E7A"/>
          <w:sz w:val="22"/>
          <w:szCs w:val="22"/>
        </w:rPr>
        <w:t>Section 9.3 (Addendum): Third-Party Input Protocol [NEW: v12.0]</w:t>
      </w:r>
    </w:p>
    <w:p>
      <w:pPr>
        <w:pStyle w:val="Normal"/>
      </w:pPr>
      <w:r>
        <w:rPr>
          <w:rFonts w:ascii="Calibri" w:hAnsi="Calibri" w:eastAsia="Microsoft YaHei" w:cs="Calibri"/>
          <w:color w:val="263238"/>
          <w:sz w:val="21"/>
          <w:szCs w:val="21"/>
        </w:rPr>
        <w:t>The Secretariat invites affected third states and relevant international organisations to submit views on proposed stabilisation measures where such measures significantly affect their interests. Such views receive consideration without binding effect.</w:t>
      </w:r>
    </w:p>
    <w:p>
      <w:pPr>
        <w:pStyle w:val="Normal"/>
      </w:pPr>
      <w:r>
        <w:rPr>
          <w:rFonts w:ascii="Calibri" w:hAnsi="Calibri" w:eastAsia="Microsoft YaHei" w:cs="Calibri"/>
          <w:color w:val="263238"/>
          <w:sz w:val="21"/>
          <w:szCs w:val="21"/>
        </w:rPr>
        <w:t>Prior to stabilisation measure authorisation, the Secretariat seeks non-binding compatibility opinions from: (a) WTO Secretariat for trade-related stabilisation measures (b) IMF for financial stabilisation measures (c) OHCHR for humanitarian impact assessment</w:t>
      </w:r>
    </w:p>
    <w:p>
      <w:pPr>
        <w:pStyle w:val="Normal"/>
      </w:pPr>
      <w:r>
        <w:rPr>
          <w:rFonts w:ascii="Calibri" w:hAnsi="Calibri" w:eastAsia="Microsoft YaHei" w:cs="Calibri"/>
          <w:color w:val="263238"/>
          <w:sz w:val="21"/>
          <w:szCs w:val="21"/>
        </w:rPr>
        <w:t>Opinions are published within the coalition and inform stabilisation measure design. The Coordination Committee overrides a negative compatibility opinion by 60% weighted vote with published justification. This maximises compatibility without creating an external veto over IMESI's defensive responses.</w:t>
      </w:r>
    </w:p>
    <w:p>
      <w:pPr>
        <w:pStyle w:val="Heading2"/>
      </w:pPr>
      <w:r>
        <w:rPr>
          <w:rFonts w:ascii="Calibri" w:hAnsi="Calibri" w:eastAsia="Microsoft YaHei" w:cs="Calibri"/>
          <w:b/>
          <w:color w:val="263238"/>
          <w:sz w:val="25"/>
          <w:szCs w:val="25"/>
        </w:rPr>
        <w:t>Section 9.4: Hierarchy of Obligations and Regional Accommodation</w:t>
      </w:r>
    </w:p>
    <w:p>
      <w:pPr>
        <w:pStyle w:val="Heading3"/>
      </w:pPr>
      <w:r>
        <w:rPr>
          <w:rFonts w:ascii="Calibri" w:hAnsi="Calibri" w:eastAsia="Microsoft YaHei" w:cs="Calibri"/>
          <w:b/>
          <w:color w:val="546E7A"/>
          <w:sz w:val="22"/>
          <w:szCs w:val="22"/>
        </w:rPr>
        <w:t>Section 9.4A: FTA Coordination Protocol [NEW: v12.0]</w:t>
      </w:r>
    </w:p>
    <w:p>
      <w:pPr>
        <w:pStyle w:val="Normal"/>
      </w:pPr>
      <w:r>
        <w:rPr>
          <w:rFonts w:ascii="Calibri" w:hAnsi="Calibri" w:eastAsia="Microsoft YaHei" w:cs="Calibri"/>
          <w:color w:val="263238"/>
          <w:sz w:val="21"/>
          <w:szCs w:val="21"/>
        </w:rPr>
        <w:t>Members inform their FTA partners of IMESI measures affecting FTA trade. Where an FTA provides for dispute settlement, Members use the IMESI Internal Adjudication Chamber as a preliminary step before invoking FTA dispute settlement.</w:t>
      </w:r>
    </w:p>
    <w:p>
      <w:pPr>
        <w:pStyle w:val="Heading3"/>
      </w:pPr>
      <w:r>
        <w:rPr>
          <w:rFonts w:ascii="Calibri" w:hAnsi="Calibri" w:eastAsia="Microsoft YaHei" w:cs="Calibri"/>
          <w:b/>
          <w:color w:val="546E7A"/>
          <w:sz w:val="22"/>
          <w:szCs w:val="22"/>
        </w:rPr>
        <w:t>Section 9.4A (Addendum): Anti-Override Protocol [NEW: v13.0]</w:t>
      </w:r>
    </w:p>
    <w:p>
      <w:pPr>
        <w:pStyle w:val="Normal"/>
      </w:pPr>
      <w:r>
        <w:rPr>
          <w:rFonts w:ascii="Calibri" w:hAnsi="Calibri" w:eastAsia="Microsoft YaHei" w:cs="Calibri"/>
          <w:color w:val="263238"/>
          <w:sz w:val="21"/>
          <w:szCs w:val="21"/>
        </w:rPr>
        <w:t>A new bilateral or regional trade agreement signed by a Member during an active IMESI case includes a clause explicitly recognising IMESI obligations as pre-eminent for the duration of the case. Absence of such a clause creates a rebuttable presumption that the agreement was designed to circumvent IMESI, triggering automatic ACE expansion under Section 6.3 and a mandatory Internal Adjudication Chamber review within 14 days. A coercing state's offer of such an agreement receives treatment as a bilateral offer under Sections 6.3 and 6.12B, with the detection, consultation, and disclosure consequences of those Sections. This Addendum imposes no prohibition on entering any agreement; it preserves each Member's sovereign treaty-making freedom while protecting the integrity of an active case.</w:t>
      </w:r>
    </w:p>
    <w:p>
      <w:pPr>
        <w:pStyle w:val="Heading3"/>
      </w:pPr>
      <w:r>
        <w:rPr>
          <w:rFonts w:ascii="Calibri" w:hAnsi="Calibri" w:eastAsia="Microsoft YaHei" w:cs="Calibri"/>
          <w:b/>
          <w:color w:val="546E7A"/>
          <w:sz w:val="22"/>
          <w:szCs w:val="22"/>
        </w:rPr>
        <w:t>Section 9.4 (Addendum): Regional Court Protocol [NEW: v12.0]</w:t>
      </w:r>
    </w:p>
    <w:p>
      <w:pPr>
        <w:pStyle w:val="Normal"/>
      </w:pPr>
      <w:r>
        <w:rPr>
          <w:rFonts w:ascii="Calibri" w:hAnsi="Calibri" w:eastAsia="Microsoft YaHei" w:cs="Calibri"/>
          <w:color w:val="263238"/>
          <w:sz w:val="21"/>
          <w:szCs w:val="21"/>
        </w:rPr>
        <w:t>Where a regional court, including the CJEU or ECJ, issues a ruling inconsistent with IMESI obligations, the Member seeks reconciliation through the Internal Adjudication Chamber within 30 days. The IAC considers the regional court’s ruling and issues a recommendation for reconciliation.</w:t>
      </w:r>
    </w:p>
    <w:p>
      <w:pPr>
        <w:pStyle w:val="Heading3"/>
      </w:pPr>
      <w:r>
        <w:rPr>
          <w:rFonts w:ascii="Calibri" w:hAnsi="Calibri" w:eastAsia="Microsoft YaHei" w:cs="Calibri"/>
          <w:b/>
          <w:color w:val="546E7A"/>
          <w:sz w:val="22"/>
          <w:szCs w:val="22"/>
        </w:rPr>
        <w:t>Section 9.4 (Second Addendum): Regional Agreement Pretext [NEW: v12.0]</w:t>
      </w:r>
    </w:p>
    <w:p>
      <w:pPr>
        <w:pStyle w:val="Normal"/>
      </w:pPr>
      <w:r>
        <w:rPr>
          <w:rFonts w:ascii="Calibri" w:hAnsi="Calibri" w:eastAsia="Microsoft YaHei" w:cs="Calibri"/>
          <w:color w:val="263238"/>
          <w:sz w:val="21"/>
          <w:szCs w:val="21"/>
        </w:rPr>
        <w:t>Where a coercer uses a regional trade agreement, including USMCA/CUSMA, as cover for coercive measures, such as invoking national security exceptions in a regional agreement to impose tariffs, the regional agreement provisions provide no shield against IEWC certification or response. Obligation conflicts route through the WTO Deference Clause (Section 9.1A) reconciliation procedure; this Instrument asserts no automatic supremacy over a Member’s regional commitments.</w:t>
      </w:r>
    </w:p>
    <w:p>
      <w:pPr>
        <w:pStyle w:val="Normal"/>
      </w:pPr>
      <w:r>
        <w:rPr>
          <w:rFonts w:ascii="Calibri" w:hAnsi="Calibri" w:eastAsia="Microsoft YaHei" w:cs="Calibri"/>
          <w:color w:val="263238"/>
          <w:sz w:val="21"/>
          <w:szCs w:val="21"/>
        </w:rPr>
        <w:t>Priority Rules: (a) IMESI obligations prevail over RTA provisions only where: RTA lacks equivalent anti-coercion mechanism certified as 'functionally comparable'; or coercion case involves non-RTA member and RTA provisions would fragment collective response. (b) Where RTA provisions are functionally comparable, regional procedures operate in parallel with automatic information sharing and coordinated timing. (c) Regional court findings against IMESI-authorised measures trigger automatic IAC review within 14 days under expedited procedure.</w:t>
      </w:r>
    </w:p>
    <w:p>
      <w:pPr>
        <w:pStyle w:val="Normal"/>
      </w:pPr>
      <w:r>
        <w:rPr>
          <w:rFonts w:ascii="Calibri" w:hAnsi="Calibri" w:eastAsia="Microsoft YaHei" w:cs="Calibri"/>
          <w:color w:val="263238"/>
          <w:sz w:val="21"/>
          <w:szCs w:val="21"/>
        </w:rPr>
        <w:t>Regional Accommodation Mechanism:</w:t>
      </w:r>
    </w:p>
    <w:p>
      <w:pPr>
        <w:pStyle w:val="Normal"/>
      </w:pPr>
      <w:r>
        <w:rPr>
          <w:rFonts w:ascii="Calibri" w:hAnsi="Calibri" w:eastAsia="Microsoft YaHei" w:cs="Calibri"/>
          <w:color w:val="263238"/>
          <w:sz w:val="21"/>
          <w:szCs w:val="21"/>
        </w:rPr>
        <w:t>Element</w:t>
      </w:r>
    </w:p>
    <w:p>
      <w:pPr>
        <w:pStyle w:val="Normal"/>
      </w:pPr>
      <w:r>
        <w:rPr>
          <w:rFonts w:ascii="Calibri" w:hAnsi="Calibri" w:eastAsia="Microsoft YaHei" w:cs="Calibri"/>
          <w:color w:val="263238"/>
          <w:sz w:val="21"/>
          <w:szCs w:val="21"/>
        </w:rPr>
        <w:t>Requirement</w:t>
      </w:r>
    </w:p>
    <w:p>
      <w:pPr>
        <w:pStyle w:val="Normal"/>
      </w:pPr>
      <w:r>
        <w:rPr>
          <w:rFonts w:ascii="Calibri" w:hAnsi="Calibri" w:eastAsia="Microsoft YaHei" w:cs="Calibri"/>
          <w:color w:val="263238"/>
          <w:sz w:val="21"/>
          <w:szCs w:val="21"/>
        </w:rPr>
        <w:t>Notification</w:t>
      </w:r>
    </w:p>
    <w:p>
      <w:pPr>
        <w:pStyle w:val="Normal"/>
      </w:pPr>
      <w:r>
        <w:rPr>
          <w:rFonts w:ascii="Calibri" w:hAnsi="Calibri" w:eastAsia="Microsoft YaHei" w:cs="Calibri"/>
          <w:color w:val="263238"/>
          <w:sz w:val="21"/>
          <w:szCs w:val="21"/>
        </w:rPr>
        <w:t>48-hour written notice to DG with specific legal basis</w:t>
      </w:r>
    </w:p>
    <w:p>
      <w:pPr>
        <w:pStyle w:val="Normal"/>
      </w:pPr>
      <w:r>
        <w:rPr>
          <w:rFonts w:ascii="Calibri" w:hAnsi="Calibri" w:eastAsia="Microsoft YaHei" w:cs="Calibri"/>
          <w:color w:val="263238"/>
          <w:sz w:val="21"/>
          <w:szCs w:val="21"/>
        </w:rPr>
        <w:t>Substitution</w:t>
      </w:r>
    </w:p>
    <w:p>
      <w:pPr>
        <w:pStyle w:val="Normal"/>
      </w:pPr>
      <w:r>
        <w:rPr>
          <w:rFonts w:ascii="Calibri" w:hAnsi="Calibri" w:eastAsia="Microsoft YaHei" w:cs="Calibri"/>
          <w:color w:val="263238"/>
          <w:sz w:val="21"/>
          <w:szCs w:val="21"/>
        </w:rPr>
        <w:t>Mandatory burden in alternative domains: 150% standard rate (presumptive); DG reduces to 125% with 60% CC vote</w:t>
      </w:r>
    </w:p>
    <w:p>
      <w:pPr>
        <w:pStyle w:val="Normal"/>
      </w:pPr>
      <w:r>
        <w:rPr>
          <w:rFonts w:ascii="Calibri" w:hAnsi="Calibri" w:eastAsia="Microsoft YaHei" w:cs="Calibri"/>
          <w:color w:val="263238"/>
          <w:sz w:val="21"/>
          <w:szCs w:val="21"/>
        </w:rPr>
        <w:t>Temporal limit</w:t>
      </w:r>
    </w:p>
    <w:p>
      <w:pPr>
        <w:pStyle w:val="Normal"/>
      </w:pPr>
      <w:r>
        <w:rPr>
          <w:rFonts w:ascii="Calibri" w:hAnsi="Calibri" w:eastAsia="Microsoft YaHei" w:cs="Calibri"/>
          <w:color w:val="263238"/>
          <w:sz w:val="21"/>
          <w:szCs w:val="21"/>
        </w:rPr>
        <w:t>Accommodation expires at case closure or 12 months, whichever first</w:t>
      </w:r>
    </w:p>
    <w:p>
      <w:pPr>
        <w:pStyle w:val="Normal"/>
      </w:pPr>
      <w:r>
        <w:rPr>
          <w:rFonts w:ascii="Calibri" w:hAnsi="Calibri" w:eastAsia="Microsoft YaHei" w:cs="Calibri"/>
          <w:color w:val="263238"/>
          <w:sz w:val="21"/>
          <w:szCs w:val="21"/>
        </w:rPr>
        <w:t>Review</w:t>
      </w:r>
    </w:p>
    <w:p>
      <w:pPr>
        <w:pStyle w:val="Normal"/>
      </w:pPr>
      <w:r>
        <w:rPr>
          <w:rFonts w:ascii="Calibri" w:hAnsi="Calibri" w:eastAsia="Microsoft YaHei" w:cs="Calibri"/>
          <w:color w:val="263238"/>
          <w:sz w:val="21"/>
          <w:szCs w:val="21"/>
        </w:rPr>
        <w:t>Mandatory IAC review of good-faith invocation</w:t>
      </w:r>
    </w:p>
    <w:p>
      <w:pPr>
        <w:pStyle w:val="Normal"/>
      </w:pPr>
      <w:r>
        <w:rPr>
          <w:rFonts w:ascii="Calibri" w:hAnsi="Calibri" w:eastAsia="Microsoft YaHei" w:cs="Calibri"/>
          <w:color w:val="263238"/>
          <w:sz w:val="21"/>
          <w:szCs w:val="21"/>
        </w:rPr>
        <w:t>IMESI-RTA Coordination Side Letters: Template side letters for major RTAs provided in Annex 9A. Members deposit executed side letters within 12 months of accession or RTA entry into force. CJEU and Similar Regional Court Protocol: Members subject to regional court jurisdiction with supremacy claims: pre-deposit declaration accepting IAC review of conflicts; CJEU preliminary reference runs parallel to IAC review; IAC finding binds IMESI implementation, not CJEU jurisdiction. In case of irreconcilable conflict, member invokes regional accommodation. Negotiation status: Tier 3 protected secondary priority. Surcharge rates negotiable; side letter timeline extendable; core: explicit parallel procedure and IAC review pathway.</w:t>
      </w:r>
    </w:p>
    <w:p>
      <w:pPr>
        <w:pStyle w:val="Heading2"/>
      </w:pPr>
      <w:r>
        <w:t>Section 9.4B: WTO Non-Violation Rebuttal Protocol [NEW: v15.0]</w:t>
      </w:r>
    </w:p>
    <w:p>
      <w:r>
        <w:t>(a) Where a Member or non-Member brings a non-violation complaint under GATT Article XXIII, alleging that IMESI measures nullify or impair benefits reasonably expected under the WTO Agreements, the following rebuttal applies.</w:t>
      </w:r>
    </w:p>
    <w:p>
      <w:r>
        <w:t>(b) The Parties: (i) held no reasonable expectation that WTO Members would not respond collectively to economic coercion; (ii) held no reasonable expectation that WTO rules would protect coercive economic statecraft; and (iii) held no reasonable expectation that the WTO would provide a remedy for economic coercion.</w:t>
      </w:r>
    </w:p>
    <w:p>
      <w:r>
        <w:t>(c) The non-violation complaint therefore stands: (i) without merit; (ii) contrary to the object and purpose of the WTO Agreements; and (iii) an attempt to weaponise WTO dispute settlement for coercive purposes.</w:t>
      </w:r>
    </w:p>
    <w:p>
      <w:r>
        <w:t>Rationale: This anticipates and pre-emptively rebuts a non-violation complaint.</w:t>
      </w:r>
    </w:p>
    <w:p>
      <w:pPr>
        <w:pStyle w:val="Heading2"/>
      </w:pPr>
      <w:r>
        <w:t>Section 9.4C: Affirmation of the Security Exception [NEW: v15.0]</w:t>
      </w:r>
    </w:p>
    <w:p>
      <w:r>
        <w:t>(a) The Parties affirm that GATT Article XXI, and the corresponding provisions of the GATS and other WTO Agreements, apply to all WTO Members, regardless of size or power.</w:t>
      </w:r>
    </w:p>
    <w:p>
      <w:r>
        <w:t>(b) The security exception constitutes no unilateral privilege of any single WTO Member: it operates as a right of all WTO Members to protect their essential security interests.</w:t>
      </w:r>
    </w:p>
    <w:p>
      <w:r>
        <w:t>(c) The invocation of the security exception by any Member is subject to the objective review standard established in the Russia, Traffic in Transit panel report, which requires: (i) a plausible connection between the measure and the essential security interest; and (ii) a plausible connection between the measure and the emergency in international relations.</w:t>
      </w:r>
    </w:p>
    <w:p>
      <w:r>
        <w:t>(d) IMESI measures meet this standard, as demonstrated by the IEWC certification process and the Proportionality Certification Memo.</w:t>
      </w:r>
    </w:p>
    <w:p>
      <w:r>
        <w:t>Rationale: This directly counters the narrative that the security exception operates as a unilateral privilege of powerful states.</w:t>
      </w:r>
    </w:p>
    <w:p>
      <w:pPr>
        <w:pStyle w:val="Heading2"/>
      </w:pPr>
      <w:r>
        <w:rPr>
          <w:rFonts w:ascii="Calibri" w:hAnsi="Calibri" w:eastAsia="Microsoft YaHei" w:cs="Calibri"/>
          <w:b/>
          <w:color w:val="263238"/>
          <w:sz w:val="25"/>
          <w:szCs w:val="25"/>
        </w:rPr>
        <w:t>Section 9.5: Systemic-Economy Cooperation Track</w:t>
      </w:r>
    </w:p>
    <w:p>
      <w:pPr>
        <w:pStyle w:val="Normal"/>
      </w:pPr>
      <w:r>
        <w:rPr>
          <w:rFonts w:ascii="Calibri" w:hAnsi="Calibri" w:eastAsia="Microsoft YaHei" w:cs="Calibri"/>
          <w:color w:val="263238"/>
          <w:sz w:val="21"/>
          <w:szCs w:val="21"/>
        </w:rPr>
        <w:t>Purpose: To provide systemic economies (&gt;10% global GDP) a structured engagement pathway without requiring membership, reducing misperception of IMESI as hostile and creating channels for de-escalation.</w:t>
      </w:r>
    </w:p>
    <w:p>
      <w:pPr>
        <w:pStyle w:val="Normal"/>
      </w:pPr>
      <w:r>
        <w:rPr>
          <w:rFonts w:ascii="Calibri" w:hAnsi="Calibri" w:eastAsia="Microsoft YaHei" w:cs="Calibri"/>
          <w:color w:val="263238"/>
          <w:sz w:val="21"/>
          <w:szCs w:val="21"/>
        </w:rPr>
        <w:t>Cooperation Instruments:</w:t>
      </w:r>
    </w:p>
    <w:p>
      <w:pPr>
        <w:pStyle w:val="Normal"/>
      </w:pPr>
      <w:r>
        <w:rPr>
          <w:rFonts w:ascii="Calibri" w:hAnsi="Calibri" w:eastAsia="Microsoft YaHei" w:cs="Calibri"/>
          <w:color w:val="263238"/>
          <w:sz w:val="21"/>
          <w:szCs w:val="21"/>
        </w:rPr>
        <w:t>(a) Observer briefings: quarterly non-classified IEWC analytical summaries shared with designated systemic-economy liaison officers (b) Joint stress tests: annual bilateral stress tests simulating coercion scenarios, building mutual understanding of vulnerabilities and response capacity (c) Shared resilience studies: collaborative research on supply chain resilience, payment system redundancy, and crisis management, published jointly (d) Standing communication channel: permanent DG-level hotline for early warning and de-escalation during emerging disputes No Obligations: Cooperation Track participation creates no IMESI obligations, no voting rights, and no access to classified intelligence. Participation is suspended during active coercion cases involving the systemic economy in question.</w:t>
      </w:r>
    </w:p>
    <w:p>
      <w:pPr>
        <w:pStyle w:val="Normal"/>
      </w:pPr>
      <w:r>
        <w:rPr>
          <w:rFonts w:ascii="Calibri" w:hAnsi="Calibri" w:eastAsia="Microsoft YaHei" w:cs="Calibri"/>
          <w:color w:val="263238"/>
          <w:sz w:val="21"/>
          <w:szCs w:val="21"/>
        </w:rPr>
        <w:t>This track ensures systemic economies have a cooperative channel, reducing the probability that IMESI activation is perceived as unprovoked hostility.</w:t>
      </w:r>
    </w:p>
    <w:p>
      <w:pPr>
        <w:pStyle w:val="Heading2"/>
      </w:pPr>
      <w:r>
        <w:rPr>
          <w:rFonts w:ascii="Calibri" w:hAnsi="Calibri" w:eastAsia="Microsoft YaHei" w:cs="Calibri"/>
          <w:b/>
          <w:color w:val="263238"/>
          <w:sz w:val="25"/>
          <w:szCs w:val="25"/>
        </w:rPr>
        <w:t>Section 9.6: Resilience Partner Status</w:t>
      </w:r>
    </w:p>
    <w:p>
      <w:pPr>
        <w:pStyle w:val="Normal"/>
      </w:pPr>
      <w:r>
        <w:rPr>
          <w:rFonts w:ascii="Calibri" w:hAnsi="Calibri" w:eastAsia="Microsoft YaHei" w:cs="Calibri"/>
          <w:color w:val="263238"/>
          <w:sz w:val="21"/>
          <w:szCs w:val="21"/>
        </w:rPr>
        <w:t>A Resilience Partner status is hereby established for non-member states that wish to cooperate on economic security and resilience without assuming full reciprocal obligations under this Instrument. Benefits: Resilience Partners: (a) receive technical assistance on supply chain diversification, AESI preparedness, and economic resilience planning; (b) participate in the Early-Warning and Transparency Platform (Section 4.2A.1) on terms agreed with the Secretariat; (c) access specified Joint Procurement Consortium facilities at commercial rates; (d) attend Public-Private Liaison Forum sessions as observers. Limitations: Resilience Partners are not permitted to: have voting rights; access classified IEWC intelligence; receive Fund disbursements; or participate in collective response measures. Resilience Partner status does not constitute a pathway to membership unless the Partner subsequently applies under standard accession procedures. Designation: Resilience Partner status is conferred by 55% CC weighted vote upon application by the non-member state. Status is reviewed every 3 years and are suspended during active AESI cases involving the Resilience Partner.</w:t>
      </w:r>
    </w:p>
    <w:p>
      <w:pPr>
        <w:pStyle w:val="Heading2"/>
      </w:pPr>
      <w:r>
        <w:rPr>
          <w:rFonts w:ascii="Calibri" w:hAnsi="Calibri" w:eastAsia="Microsoft YaHei" w:cs="Calibri"/>
          <w:b/>
          <w:color w:val="263238"/>
          <w:sz w:val="25"/>
          <w:szCs w:val="25"/>
        </w:rPr>
        <w:t>Section 9.7: Political-Military Liaison Channel [NEW: v9.8A Military-Economic Nexus]</w:t>
      </w:r>
    </w:p>
    <w:p>
      <w:pPr>
        <w:pStyle w:val="Normal"/>
      </w:pPr>
      <w:r>
        <w:rPr>
          <w:rFonts w:ascii="Calibri" w:hAnsi="Calibri" w:eastAsia="Microsoft YaHei" w:cs="Calibri"/>
          <w:color w:val="263238"/>
          <w:sz w:val="21"/>
          <w:szCs w:val="21"/>
        </w:rPr>
        <w:t>Purpose: Creates structured but limited interface with defence institutions, ensuring IMESI economic responses are informed by military context without becoming subordinate to military objectives.</w:t>
      </w:r>
    </w:p>
    <w:p>
      <w:pPr>
        <w:pStyle w:val="Normal"/>
      </w:pPr>
      <w:r>
        <w:rPr>
          <w:rFonts w:ascii="Calibri" w:hAnsi="Calibri" w:eastAsia="Microsoft YaHei" w:cs="Calibri"/>
          <w:color w:val="263238"/>
          <w:sz w:val="21"/>
          <w:szCs w:val="21"/>
        </w:rPr>
        <w:t>Designated National Points of Contact</w:t>
      </w:r>
    </w:p>
    <w:p>
      <w:pPr>
        <w:pStyle w:val="Normal"/>
      </w:pPr>
      <w:r>
        <w:rPr>
          <w:rFonts w:ascii="Calibri" w:hAnsi="Calibri" w:eastAsia="Microsoft YaHei" w:cs="Calibri"/>
          <w:color w:val="263238"/>
          <w:sz w:val="21"/>
          <w:szCs w:val="21"/>
        </w:rPr>
        <w:t>Each member designates one senior official from defence/economic security ministry as "Military-Economic Liaison" to IEWC, not for operational coordination, but for contextual intelligence sharing. Liaisons provide non-binding "strategic context briefings" when military developments affect economic coercion assessments.</w:t>
      </w:r>
    </w:p>
    <w:p>
      <w:pPr>
        <w:pStyle w:val="Normal"/>
      </w:pPr>
      <w:r>
        <w:rPr>
          <w:rFonts w:ascii="Calibri" w:hAnsi="Calibri" w:eastAsia="Microsoft YaHei" w:cs="Calibri"/>
          <w:color w:val="263238"/>
          <w:sz w:val="21"/>
          <w:szCs w:val="21"/>
        </w:rPr>
        <w:t>Strict Firewall</w:t>
      </w:r>
    </w:p>
    <w:p>
      <w:pPr>
        <w:pStyle w:val="Normal"/>
      </w:pPr>
      <w:r>
        <w:rPr>
          <w:rFonts w:ascii="Calibri" w:hAnsi="Calibri" w:eastAsia="Microsoft YaHei" w:cs="Calibri"/>
          <w:color w:val="263238"/>
          <w:sz w:val="21"/>
          <w:szCs w:val="21"/>
        </w:rPr>
        <w:t>No IMESI intelligence collection on military matters; No coordination of military operations; No economic measures designed to achieve military objectives; Liaison input is advisory; IEWC retains independent economic coercion certification authority.</w:t>
      </w:r>
    </w:p>
    <w:p>
      <w:pPr>
        <w:pStyle w:val="Normal"/>
      </w:pPr>
      <w:r>
        <w:rPr>
          <w:rFonts w:ascii="Calibri" w:hAnsi="Calibri" w:eastAsia="Microsoft YaHei" w:cs="Calibri"/>
          <w:color w:val="263238"/>
          <w:sz w:val="21"/>
          <w:szCs w:val="21"/>
        </w:rPr>
        <w:t>Transparency</w:t>
      </w:r>
    </w:p>
    <w:p>
      <w:pPr>
        <w:pStyle w:val="Normal"/>
      </w:pPr>
      <w:r>
        <w:rPr>
          <w:rFonts w:ascii="Calibri" w:hAnsi="Calibri" w:eastAsia="Microsoft YaHei" w:cs="Calibri"/>
          <w:color w:val="263238"/>
          <w:sz w:val="21"/>
          <w:szCs w:val="21"/>
        </w:rPr>
        <w:t>All liaison communications logged; summary published to CC quarterly; any attempt to use channel for military operational coordination triggers automatic IAC review. Members designate economic ministry official instead of defence official, preserving non-alignment.</w:t>
      </w:r>
    </w:p>
    <w:p>
      <w:pPr>
        <w:pStyle w:val="Heading2"/>
      </w:pPr>
      <w:r>
        <w:rPr>
          <w:rFonts w:ascii="Calibri" w:hAnsi="Calibri" w:eastAsia="Microsoft YaHei" w:cs="Calibri"/>
          <w:b/>
          <w:color w:val="263238"/>
          <w:sz w:val="25"/>
          <w:szCs w:val="25"/>
        </w:rPr>
        <w:t>Section 9.8: Private Sector Stabilisation Channel [NEW: v9.8A Adoption Readiness]</w:t>
      </w:r>
    </w:p>
    <w:p>
      <w:pPr>
        <w:pStyle w:val="Heading3"/>
      </w:pPr>
      <w:r>
        <w:rPr>
          <w:rFonts w:ascii="Calibri" w:hAnsi="Calibri" w:eastAsia="Microsoft YaHei" w:cs="Calibri"/>
          <w:b/>
          <w:color w:val="546E7A"/>
          <w:sz w:val="22"/>
          <w:szCs w:val="22"/>
        </w:rPr>
        <w:t>Section 9.8 (Addendum): Private Sector Sensor Protection [NEW: v11.0]</w:t>
      </w:r>
    </w:p>
    <w:p>
      <w:pPr>
        <w:pStyle w:val="Normal"/>
      </w:pPr>
      <w:r>
        <w:rPr>
          <w:rFonts w:ascii="Calibri" w:hAnsi="Calibri" w:eastAsia="Microsoft YaHei" w:cs="Calibri"/>
          <w:color w:val="263238"/>
          <w:sz w:val="21"/>
          <w:szCs w:val="21"/>
        </w:rPr>
        <w:t>Companies that report early warnings of supply chain manipulation, including sudden order cancellations attributable to political pressure, receive explicit immunity under the Private Sector Channel. No Member treats such reporting as unpatriotic conduct or grounds for retaliation against the reporting company.</w:t>
      </w:r>
    </w:p>
    <w:p>
      <w:pPr>
        <w:pStyle w:val="Normal"/>
      </w:pPr>
      <w:r>
        <w:rPr>
          <w:rFonts w:ascii="Calibri" w:hAnsi="Calibri" w:eastAsia="Microsoft YaHei" w:cs="Calibri"/>
          <w:color w:val="263238"/>
          <w:sz w:val="21"/>
          <w:szCs w:val="21"/>
        </w:rPr>
        <w:t>The Secretariat establishes a structured Private Sector Stabilisation Channel providing a formal interface with major firms, logistics networks, and financial institutions for the purposes of:</w:t>
      </w:r>
    </w:p>
    <w:p>
      <w:pPr>
        <w:pStyle w:val="Normal"/>
      </w:pPr>
      <w:r>
        <w:rPr>
          <w:rFonts w:ascii="Calibri" w:hAnsi="Calibri" w:eastAsia="Microsoft YaHei" w:cs="Calibri"/>
          <w:color w:val="263238"/>
          <w:sz w:val="21"/>
          <w:szCs w:val="21"/>
        </w:rPr>
        <w:t>(a) Supply chain rerouting: Pre-negotiated agreements with major logistics providers and shipping lines for emergency rerouting of critical goods during active coercion cases;</w:t>
      </w:r>
    </w:p>
    <w:p>
      <w:pPr>
        <w:pStyle w:val="Normal"/>
      </w:pPr>
      <w:r>
        <w:rPr>
          <w:rFonts w:ascii="Calibri" w:hAnsi="Calibri" w:eastAsia="Microsoft YaHei" w:cs="Calibri"/>
          <w:color w:val="263238"/>
          <w:sz w:val="21"/>
          <w:szCs w:val="21"/>
        </w:rPr>
        <w:t>(b) Shock absorption: Standing arrangements with commodity traders and strategic reserve operators for emergency procurement at pre-agreed terms;</w:t>
      </w:r>
    </w:p>
    <w:p>
      <w:pPr>
        <w:pStyle w:val="Normal"/>
      </w:pPr>
      <w:r>
        <w:rPr>
          <w:rFonts w:ascii="Calibri" w:hAnsi="Calibri" w:eastAsia="Microsoft YaHei" w:cs="Calibri"/>
          <w:color w:val="263238"/>
          <w:sz w:val="21"/>
          <w:szCs w:val="21"/>
        </w:rPr>
        <w:t>(c) Early warning: Voluntary reporting mechanism for private-sector actors to flag anomalous trade restrictions, contract cancellations, or supply disruptions that indicate emerging coercion;</w:t>
      </w:r>
    </w:p>
    <w:p>
      <w:pPr>
        <w:pStyle w:val="Normal"/>
      </w:pPr>
      <w:r>
        <w:rPr>
          <w:rFonts w:ascii="Calibri" w:hAnsi="Calibri" w:eastAsia="Microsoft YaHei" w:cs="Calibri"/>
          <w:color w:val="263238"/>
          <w:sz w:val="21"/>
          <w:szCs w:val="21"/>
        </w:rPr>
        <w:t>(d) Financial stabilisation: Coordination with major financial institutions on settlement continuity, trade finance availability, and credit-line preservation during active cases.</w:t>
      </w:r>
    </w:p>
    <w:p>
      <w:pPr>
        <w:pStyle w:val="Normal"/>
      </w:pPr>
      <w:r>
        <w:rPr>
          <w:rFonts w:ascii="Calibri" w:hAnsi="Calibri" w:eastAsia="Microsoft YaHei" w:cs="Calibri"/>
          <w:color w:val="263238"/>
          <w:sz w:val="21"/>
          <w:szCs w:val="21"/>
        </w:rPr>
        <w:t>Governance</w:t>
      </w:r>
    </w:p>
    <w:p>
      <w:pPr>
        <w:pStyle w:val="Normal"/>
      </w:pPr>
      <w:r>
        <w:rPr>
          <w:rFonts w:ascii="Calibri" w:hAnsi="Calibri" w:eastAsia="Microsoft YaHei" w:cs="Calibri"/>
          <w:color w:val="263238"/>
          <w:sz w:val="21"/>
          <w:szCs w:val="21"/>
        </w:rPr>
        <w:t>The Channel operates under strict confidentiality rules; private-sector participants receive no IEWC classified intelligence and have no role in activation or stabilisation measure decisions. Participation is voluntary and governed by standard NDAs. The Channel is overseen by a Private Sector Advisory Board (5 members appointed by the CC, 3-year terms) that reports to the CC quarterly. This makes the system more effective in practice and increases business community support for IMESI membership.</w:t>
      </w:r>
    </w:p>
    <w:p>
      <w:pPr>
        <w:pStyle w:val="Heading3"/>
      </w:pPr>
      <w:r>
        <w:rPr>
          <w:rFonts w:ascii="Calibri" w:hAnsi="Calibri" w:eastAsia="Microsoft YaHei" w:cs="Calibri"/>
          <w:b/>
          <w:color w:val="546E7A"/>
          <w:sz w:val="22"/>
          <w:szCs w:val="22"/>
        </w:rPr>
        <w:t xml:space="preserve">Section 9.8 (Second Addendum): Certified-Firm Fast-Track Adjudication and Compliance Credit Protocol [NEW: v14.0]</w:t>
      </w:r>
    </w:p>
    <w:p>
      <w:pPr>
        <w:pStyle w:val="Normal"/>
      </w:pPr>
      <w:r>
        <w:rPr>
          <w:rFonts w:ascii="Calibri" w:hAnsi="Calibri" w:eastAsia="Microsoft YaHei" w:cs="Calibri"/>
          <w:color w:val="263238"/>
          <w:sz w:val="21"/>
          <w:szCs w:val="21"/>
        </w:rPr>
        <w:t xml:space="preserve">Firms holding IMESI Resilience Certified status that face coercive trade actions, including discriminatory tariffs, customs harassment, or contract cancellation, gain access to an expedited 30-day arbitration track through the Internal Adjudication Chamber, bypassing standard 90-day timelines. The track complements and does not supersede bilateral investment treaty or investor-state dispute mechanisms, providing an alternative remedy for intra-coalition trade disputes. Certified firms pay an annual Fast-Track Access Fee of $50,000 to cover Internal Adjudication Chamber costs, with overage covered by the Fund. Compliance Credit: firms that voluntarily participate in the Private Sector Stabilisation Channel and report early warnings of supply-chain manipulation, including sudden cancellations, customs harassment, or discriminatory contract terms, receive Compliance Credits redeemable for a 10% reduction in the annual certification fee, priority access to Fast-Track customs clearance, and enhanced dispute resolution speed. The credits function as administrative cooperation incentives and constitute no trade measure.</w:t>
      </w:r>
    </w:p>
    <w:p>
      <w:pPr>
        <w:pStyle w:val="Heading2"/>
      </w:pPr>
      <w:r>
        <w:rPr>
          <w:rFonts w:ascii="Calibri" w:hAnsi="Calibri" w:eastAsia="Microsoft YaHei" w:cs="Calibri"/>
          <w:b/>
          <w:color w:val="263238"/>
          <w:sz w:val="25"/>
          <w:szCs w:val="25"/>
        </w:rPr>
        <w:t>Section 9.8A: IMESI Business Council [NEW: v9.8B]</w:t>
      </w:r>
    </w:p>
    <w:p>
      <w:pPr>
        <w:pStyle w:val="Normal"/>
      </w:pPr>
      <w:r>
        <w:rPr>
          <w:rFonts w:ascii="Calibri" w:hAnsi="Calibri" w:eastAsia="Microsoft YaHei" w:cs="Calibri"/>
          <w:color w:val="263238"/>
          <w:sz w:val="21"/>
          <w:szCs w:val="21"/>
        </w:rPr>
        <w:t>The Private Sector Stabilisation Channel (Section 9.8) is formalised as the IMESI Business Council, with the following structure:</w:t>
      </w:r>
    </w:p>
    <w:p>
      <w:pPr>
        <w:pStyle w:val="Normal"/>
      </w:pPr>
      <w:r>
        <w:rPr>
          <w:rFonts w:ascii="Calibri" w:hAnsi="Calibri" w:eastAsia="Microsoft YaHei" w:cs="Calibri"/>
          <w:color w:val="263238"/>
          <w:sz w:val="21"/>
          <w:szCs w:val="21"/>
        </w:rPr>
        <w:t>Composition and Status</w:t>
      </w:r>
    </w:p>
    <w:p>
      <w:pPr>
        <w:pStyle w:val="Normal"/>
      </w:pPr>
      <w:r>
        <w:rPr>
          <w:rFonts w:ascii="Calibri" w:hAnsi="Calibri" w:eastAsia="Microsoft YaHei" w:cs="Calibri"/>
          <w:color w:val="263238"/>
          <w:sz w:val="21"/>
          <w:szCs w:val="21"/>
        </w:rPr>
        <w:t>The Business Council comprises representatives from major trading firms, logistics networks, financial institutions, and technology providers nominated by Member states. The Council has advisory status to the Secretariat and IEWC, it submits recommendations and risk assessments but has no decision-making authority over activations or stabilisation measures.</w:t>
      </w:r>
    </w:p>
    <w:p>
      <w:pPr>
        <w:pStyle w:val="Normal"/>
      </w:pPr>
      <w:r>
        <w:rPr>
          <w:rFonts w:ascii="Calibri" w:hAnsi="Calibri" w:eastAsia="Microsoft YaHei" w:cs="Calibri"/>
          <w:color w:val="263238"/>
          <w:sz w:val="21"/>
          <w:szCs w:val="21"/>
        </w:rPr>
        <w:t>Supply-Chain Certification Mark</w:t>
      </w:r>
    </w:p>
    <w:p>
      <w:pPr>
        <w:pStyle w:val="Normal"/>
      </w:pPr>
      <w:r>
        <w:rPr>
          <w:rFonts w:ascii="Calibri" w:hAnsi="Calibri" w:eastAsia="Microsoft YaHei" w:cs="Calibri"/>
          <w:color w:val="263238"/>
          <w:sz w:val="21"/>
          <w:szCs w:val="21"/>
        </w:rPr>
        <w:t>The Council administers a voluntary "IMESI Resilience Certified" supply-chain certification mark, recognising firms that maintain diversified sourcing, transparent ownership structures, and contingency logistics plans meeting standards defined by the Secretariat. Certified firms receive: preferred eligibility in Joint Procurement Consortium tenders (Section 3.13); priority access to Substitution Acceleration Sub-Fund projects (Section 10.5); and expedited regulatory processing in Member states for supply-chain rerouting during active cases.</w:t>
      </w:r>
    </w:p>
    <w:p>
      <w:pPr>
        <w:pStyle w:val="Normal"/>
      </w:pPr>
      <w:r>
        <w:rPr>
          <w:rFonts w:ascii="Calibri" w:hAnsi="Calibri" w:eastAsia="Microsoft YaHei" w:cs="Calibri"/>
          <w:color w:val="263238"/>
          <w:sz w:val="21"/>
          <w:szCs w:val="21"/>
        </w:rPr>
        <w:t>Governance</w:t>
      </w:r>
    </w:p>
    <w:p>
      <w:pPr>
        <w:pStyle w:val="Normal"/>
      </w:pPr>
      <w:r>
        <w:rPr>
          <w:rFonts w:ascii="Calibri" w:hAnsi="Calibri" w:eastAsia="Microsoft YaHei" w:cs="Calibri"/>
          <w:color w:val="263238"/>
          <w:sz w:val="21"/>
          <w:szCs w:val="21"/>
        </w:rPr>
        <w:t>The Council is overseen by the Private Sector Advisory Board (5 members, 3-year terms, appointed by CC). Council members sign standard NDAs and conflict-of-interest declarations. Council meetings are minuted; summaries published quarterly. No classified IEWC intelligence is shared with the Council.</w:t>
      </w:r>
    </w:p>
    <w:p>
      <w:pPr>
        <w:pStyle w:val="Normal"/>
      </w:pPr>
      <w:r>
        <w:rPr>
          <w:rFonts w:ascii="Calibri" w:hAnsi="Calibri" w:eastAsia="Microsoft YaHei" w:cs="Calibri"/>
          <w:color w:val="263238"/>
          <w:sz w:val="21"/>
          <w:szCs w:val="21"/>
        </w:rPr>
        <w:t>Section 9.8A (Addendum): Corporate Early Warning Role [NEW: v9.8B]</w:t>
      </w:r>
    </w:p>
    <w:p>
      <w:pPr>
        <w:pStyle w:val="Normal"/>
      </w:pPr>
      <w:r>
        <w:rPr>
          <w:rFonts w:ascii="Calibri" w:hAnsi="Calibri" w:eastAsia="Microsoft YaHei" w:cs="Calibri"/>
          <w:color w:val="263238"/>
          <w:sz w:val="21"/>
          <w:szCs w:val="21"/>
        </w:rPr>
        <w:t>Through the IMESI Business Council, firms: (a) submit anonymised early-warning information on anomalous trade restrictions, contract cancellations, regulatory harassment, or supply-chain disruptions that signal emerging coercion, all submissions are voluntary, not a legal duty; (b) receive early access to supply-chain rerouting options, alternative-supplier databases, and Joint Procurement Consortium tenders before full public activation; (c) participate in pre-positioned contingency planning (transport rerouting, stockpile access, settlement channel testing) without operational commitment. Governments tell accurately their business communities: "Our firms are sensors and beneficiaries, not cannon fodder."</w:t>
      </w:r>
    </w:p>
    <w:p>
      <w:pPr>
        <w:pStyle w:val="Heading3"/>
      </w:pPr>
      <w:r>
        <w:rPr>
          <w:rFonts w:ascii="Calibri" w:hAnsi="Calibri" w:eastAsia="Microsoft YaHei" w:cs="Calibri"/>
          <w:b/>
          <w:color w:val="546E7A"/>
          <w:sz w:val="22"/>
          <w:szCs w:val="22"/>
        </w:rPr>
        <w:t xml:space="preserve">Section 9.8A (Second Addendum): Fast-Lane Customs Clearance Protocol [NEW: v14.0]</w:t>
      </w:r>
    </w:p>
    <w:p>
      <w:pPr>
        <w:pStyle w:val="Normal"/>
      </w:pPr>
      <w:r>
        <w:rPr>
          <w:rFonts w:ascii="Calibri" w:hAnsi="Calibri" w:eastAsia="Microsoft YaHei" w:cs="Calibri"/>
          <w:color w:val="263238"/>
          <w:sz w:val="21"/>
          <w:szCs w:val="21"/>
        </w:rPr>
        <w:t xml:space="preserve">Companies holding IMESI Resilience Certified status receive a binding 24-hour customs clearance guarantee for all shipments entering any IMESI member state, with a 12-hour target for perishables and critical medical supplies. A small customs processing fee of 0.1% of declared value, paid by certified firms, funds an automatic compensation pool for delayed shipments; any surplus accrues to the Fund. The programme operates as an authorised-operator arrangement of the kind the WTO Trade Facilitation Agreement expressly permits, with transparent, objective, and non-discriminatory eligibility criteria open to any firm that meets certification standards.</w:t>
      </w:r>
    </w:p>
    <w:p>
      <w:pPr>
        <w:pStyle w:val="Heading2"/>
      </w:pPr>
      <w:r>
        <w:rPr>
          <w:rFonts w:ascii="Calibri" w:hAnsi="Calibri" w:eastAsia="Microsoft YaHei" w:cs="Calibri"/>
          <w:b/>
          <w:color w:val="263238"/>
          <w:sz w:val="25"/>
          <w:szCs w:val="25"/>
        </w:rPr>
        <w:t>Section 9.8B: Private-Sector Compliance Principles [NEW: v9.8B]</w:t>
      </w:r>
    </w:p>
    <w:p>
      <w:pPr>
        <w:pStyle w:val="Normal"/>
      </w:pPr>
      <w:r>
        <w:rPr>
          <w:rFonts w:ascii="Calibri" w:hAnsi="Calibri" w:eastAsia="Microsoft YaHei" w:cs="Calibri"/>
          <w:color w:val="263238"/>
          <w:sz w:val="21"/>
          <w:szCs w:val="21"/>
        </w:rPr>
        <w:t>All obligations on private-sector actors under this Instrument are governed by four principles:</w:t>
      </w:r>
    </w:p>
    <w:p>
      <w:pPr>
        <w:pStyle w:val="Normal"/>
      </w:pPr>
      <w:r>
        <w:rPr>
          <w:rFonts w:ascii="Calibri" w:hAnsi="Calibri" w:eastAsia="Microsoft YaHei" w:cs="Calibri"/>
          <w:color w:val="263238"/>
          <w:sz w:val="21"/>
          <w:szCs w:val="21"/>
        </w:rPr>
        <w:t>(a) Proportionality: obligations scale with phase and sector. Phase 0-1 imposes minimal or no firm obligations; Phase 2+ obligations are targeted to affected sectors only.</w:t>
      </w:r>
    </w:p>
    <w:p>
      <w:pPr>
        <w:pStyle w:val="Normal"/>
      </w:pPr>
      <w:r>
        <w:rPr>
          <w:rFonts w:ascii="Calibri" w:hAnsi="Calibri" w:eastAsia="Microsoft YaHei" w:cs="Calibri"/>
          <w:color w:val="263238"/>
          <w:sz w:val="21"/>
          <w:szCs w:val="21"/>
        </w:rPr>
        <w:t>(b) Predictability: no surprise obligations. Pre-notified sectoral playbooks, published in advance for each pre-authorised scenario, specify what firms in each sector is asked to do, at what phase, and with</w:t>
      </w:r>
    </w:p>
    <w:p>
      <w:pPr>
        <w:pStyle w:val="Normal"/>
      </w:pPr>
      <w:r>
        <w:rPr>
          <w:rFonts w:ascii="Calibri" w:hAnsi="Calibri" w:eastAsia="Microsoft YaHei" w:cs="Calibri"/>
          <w:color w:val="263238"/>
          <w:sz w:val="21"/>
          <w:szCs w:val="21"/>
        </w:rPr>
        <w:t>what timeline.</w:t>
      </w:r>
    </w:p>
    <w:p>
      <w:pPr>
        <w:pStyle w:val="Normal"/>
      </w:pPr>
      <w:r>
        <w:rPr>
          <w:rFonts w:ascii="Calibri" w:hAnsi="Calibri" w:eastAsia="Microsoft YaHei" w:cs="Calibri"/>
          <w:color w:val="263238"/>
          <w:sz w:val="21"/>
          <w:szCs w:val="21"/>
        </w:rPr>
        <w:t>(c) Due process: clear advance notice (minimum 30 days for Phase 2+ obligations); appeal channels through the IAC for firms that believe obligations are disproportionate or incorrectly applied.</w:t>
      </w:r>
    </w:p>
    <w:p>
      <w:pPr>
        <w:pStyle w:val="Normal"/>
      </w:pPr>
      <w:r>
        <w:rPr>
          <w:rFonts w:ascii="Calibri" w:hAnsi="Calibri" w:eastAsia="Microsoft YaHei" w:cs="Calibri"/>
          <w:color w:val="263238"/>
          <w:sz w:val="21"/>
          <w:szCs w:val="21"/>
        </w:rPr>
        <w:t>(d) Non-punitive stance: firms complying in good faith with domestic law in a coercer state's jurisdiction is not penalised or disadvantaged under this Instrument for such compliance. IMESI targets state conduct, not private actors caught in crossfire.</w:t>
      </w:r>
    </w:p>
    <w:p>
      <w:pPr>
        <w:pStyle w:val="Heading2"/>
      </w:pPr>
      <w:r>
        <w:rPr>
          <w:rFonts w:ascii="Calibri" w:hAnsi="Calibri" w:eastAsia="Microsoft YaHei" w:cs="Calibri"/>
          <w:b/>
          <w:color w:val="263238"/>
          <w:sz w:val="25"/>
          <w:szCs w:val="25"/>
        </w:rPr>
        <w:t>Section 9.8C: Independent Media and Fact-Checking Partnership Program [NEW: v12.1]</w:t>
      </w:r>
    </w:p>
    <w:p>
      <w:pPr>
        <w:pStyle w:val="Normal"/>
      </w:pPr>
      <w:r>
        <w:rPr>
          <w:rFonts w:ascii="Calibri" w:hAnsi="Calibri" w:eastAsia="Microsoft YaHei" w:cs="Calibri"/>
          <w:color w:val="263238"/>
          <w:sz w:val="21"/>
          <w:szCs w:val="21"/>
        </w:rPr>
        <w:t>The Secretariat establishes a standing Independent Media and Fact-Checking Partnership Program under a formal Memorandum of Understanding with accredited international and regional fact-checking networks, journalism associations, and academic media-monitoring institutions. Under the Program the Secretariat provides, on a non-exclusive basis, access to unclassified IEWC data, certified AESI findings, and public Dashboard information for independent verification and journalistic use; partner organisations publish their own assessments of claims made by coercing states regarding IMESI activations, and the Secretariat links to these assessments without endorsement on the Dashboard. Partner organisations remain independently funded and receive no direct financial support from the IMESI Fund; the Program covers only administrative coordination and data-access costs. The Program creates no obligation on partners to adopt IMESI positions, authorises no Secretariat influence over editorial outputs, and provides no classified or commercially sensitive information.</w:t>
      </w:r>
    </w:p>
    <w:p>
      <w:pPr>
        <w:pStyle w:val="Heading2"/>
      </w:pPr>
      <w:r>
        <w:t>Section 9.8D: Digital Market Access Pass (DMAP) [NEW: v15.0]</w:t>
      </w:r>
    </w:p>
    <w:p>
      <w:r>
        <w:t>(a) Certified digital service providers (SaaS, cloud, AI, fintech, e-commerce, data analytics) receive a 30-day regulatory approval for market access in any IMESI member state. The approval holds validity for 2 years and renews. The DMAP establishes a common set of data protection, cybersecurity, and consumer protection standards.</w:t>
      </w:r>
    </w:p>
    <w:p>
      <w:r>
        <w:t>(b) The DMAP operates as a mutual recognition arrangement under GATS Article VII: it opens to accession by any WTO member that demonstrates equivalent standards, and the Secretariat negotiates accession terms with any requesting WTO member in good faith. This open architecture removes any GATS Article II most-favoured-nation exposure.</w:t>
      </w:r>
    </w:p>
    <w:p>
      <w:r>
        <w:t>(c) The DMAP is issued at a nominal fee (USD 500) covering administrative costs. The IMESI Digital Governance Council develops the standards. The DMAP is established within 18 months of entry into force.</w:t>
      </w:r>
    </w:p>
    <w:p>
      <w:r>
        <w:t>Rationale: Digital services are the fastest-growing sector of the global economy. A binding market access passport reduces regulatory friction, cuts compliance costs, and creates a pan-IMESI digital market. Leaving IMESI means losing streamlined access to the coalition's digital markets.</w:t>
      </w:r>
    </w:p>
    <w:p>
      <w:pPr>
        <w:pStyle w:val="Heading2"/>
      </w:pPr>
      <w:r>
        <w:t>Section 9.8E: Corporate Integrity Pledge [NEW: v15.0]</w:t>
      </w:r>
    </w:p>
    <w:p>
      <w:r>
        <w:t>(a) The IMESI Business Council (Section 9.8A) administers a voluntary Corporate Integrity Pledge.</w:t>
      </w:r>
    </w:p>
    <w:p>
      <w:r>
        <w:t>(b) The Pledge commits signatory corporations to: (i) publicly support IMESI membership and implementation; (ii) never lobby their home governments to withdraw from IMESI; (iii) never accept or solicit bribes, inducements, or preferential treatment from any state or non-state actor in exchange for influencing IMESI decisions; (iv) report any attempts by any state or non-state actor to pressure them to lobby against IMESI; and (v) maintain supply-chain transparency and diversified sourcing.</w:t>
      </w:r>
    </w:p>
    <w:p>
      <w:r>
        <w:t>(c) Signatory corporations receive: (i) a 5% price preference in IMESI Joint Procurement Consortium tenders (Section 3.13), internal to the Consortium and identical for certified firms of every member origin, consistent with GPA Article V and general exceptions; (ii) priority access to Fast-Lane Customs Clearance (Section 9.8A Second Addendum); (iii) priority access to the Private Sector Liquidity Guarantee Programme (Section 8.33); and (iv) public recognition as an IMESI Integrity Partner on the Dashboard.</w:t>
      </w:r>
    </w:p>
    <w:p>
      <w:r>
        <w:t>(d) Violation of the Pledge: (i) revokes all benefits under subsection (c); (ii) publicly names the corporation on the Dashboard; (iii) bars the corporation from all IMESI procurement and supply-chain programmes for 36 months; and (iv) triggers an IAC investigation of the corporation's home state for potential complicity.</w:t>
      </w:r>
    </w:p>
    <w:p>
      <w:r>
        <w:t>(e) The Pledge is voluntary. Non-signatory corporations retain standard IMESI benefits and receive none of the preferential treatment under subsection (c).</w:t>
      </w:r>
    </w:p>
    <w:p>
      <w:r>
        <w:t>Rationale: This aligns corporate incentives with IMESI membership. A corporation that lobbies against IMESI loses preferential access and faces public naming. A corporation that supports IMESI gains competitive advantages.</w:t>
      </w:r>
    </w:p>
    <w:p>
      <w:pPr>
        <w:pStyle w:val="Heading2"/>
      </w:pPr>
      <w:r>
        <w:rPr>
          <w:rFonts w:ascii="Calibri" w:hAnsi="Calibri" w:eastAsia="Microsoft YaHei" w:cs="Calibri"/>
          <w:b/>
          <w:color w:val="263238"/>
          <w:sz w:val="25"/>
          <w:szCs w:val="25"/>
        </w:rPr>
        <w:t>Section 9.6A: Open Architecture for Partial Accession [NEW: v9.8B]</w:t>
      </w:r>
    </w:p>
    <w:p>
      <w:pPr>
        <w:pStyle w:val="Heading3"/>
      </w:pPr>
      <w:r>
        <w:rPr>
          <w:rFonts w:ascii="Calibri" w:hAnsi="Calibri" w:eastAsia="Microsoft YaHei" w:cs="Calibri"/>
          <w:b/>
          <w:color w:val="546E7A"/>
          <w:sz w:val="22"/>
          <w:szCs w:val="22"/>
        </w:rPr>
        <w:t>Section 9.6A (Addendum): No Exclusivity Guarantee [NEW: v12.0]</w:t>
      </w:r>
    </w:p>
    <w:p>
      <w:pPr>
        <w:pStyle w:val="Normal"/>
      </w:pPr>
      <w:r>
        <w:rPr>
          <w:rFonts w:ascii="Calibri" w:hAnsi="Calibri" w:eastAsia="Microsoft YaHei" w:cs="Calibri"/>
          <w:color w:val="263238"/>
          <w:sz w:val="21"/>
          <w:szCs w:val="21"/>
        </w:rPr>
        <w:t>IMESI is non-exclusive. No Member chooses between IMESI and any other arrangement. Members participate simultaneously in other coalitions, regional agreements, and economic partnerships. IMESI creates no obligation of exclusive alignment.</w:t>
      </w:r>
    </w:p>
    <w:p>
      <w:pPr>
        <w:pStyle w:val="Normal"/>
      </w:pPr>
      <w:r>
        <w:rPr>
          <w:rFonts w:ascii="Calibri" w:hAnsi="Calibri" w:eastAsia="Microsoft YaHei" w:cs="Calibri"/>
          <w:color w:val="263238"/>
          <w:sz w:val="21"/>
          <w:szCs w:val="21"/>
        </w:rPr>
        <w:t>Non-member states, including those participating in other coalitions or economic arrangements, accede to selected non-coercion, transparency, and supply-chain modules without full IMESI membership. Partial accession options include:</w:t>
      </w:r>
    </w:p>
    <w:p>
      <w:pPr>
        <w:pStyle w:val="Normal"/>
      </w:pPr>
      <w:r>
        <w:rPr>
          <w:rFonts w:ascii="Calibri" w:hAnsi="Calibri" w:eastAsia="Microsoft YaHei" w:cs="Calibri"/>
          <w:color w:val="263238"/>
          <w:sz w:val="21"/>
          <w:szCs w:val="21"/>
        </w:rPr>
        <w:t>(a) Supply-Chain Transparency Module: participation in trade-flow data sharing and vulnerability-mapping (Annex 3) without coercion-response obligations;</w:t>
      </w:r>
    </w:p>
    <w:p>
      <w:pPr>
        <w:pStyle w:val="Normal"/>
      </w:pPr>
      <w:r>
        <w:rPr>
          <w:rFonts w:ascii="Calibri" w:hAnsi="Calibri" w:eastAsia="Microsoft YaHei" w:cs="Calibri"/>
          <w:color w:val="263238"/>
          <w:sz w:val="21"/>
          <w:szCs w:val="21"/>
        </w:rPr>
        <w:t>(b) Joint Procurement Module: eligibility for Joint Procurement Consortium tenders (Section 3.13) in specified sectors;</w:t>
      </w:r>
    </w:p>
    <w:p>
      <w:pPr>
        <w:pStyle w:val="Normal"/>
      </w:pPr>
      <w:r>
        <w:rPr>
          <w:rFonts w:ascii="Calibri" w:hAnsi="Calibri" w:eastAsia="Microsoft YaHei" w:cs="Calibri"/>
          <w:color w:val="263238"/>
          <w:sz w:val="21"/>
          <w:szCs w:val="21"/>
        </w:rPr>
        <w:t>(c) Early-Warning Module: access to Dashboard risk indicators and IEWC unclassified publications;</w:t>
      </w:r>
    </w:p>
    <w:p>
      <w:pPr>
        <w:pStyle w:val="Normal"/>
      </w:pPr>
      <w:r>
        <w:rPr>
          <w:rFonts w:ascii="Calibri" w:hAnsi="Calibri" w:eastAsia="Microsoft YaHei" w:cs="Calibri"/>
          <w:color w:val="263238"/>
          <w:sz w:val="21"/>
          <w:szCs w:val="21"/>
        </w:rPr>
        <w:t>(d) Standards Cooperation Module: mutual recognition of regulatory standards under Sections 2.7/2.8 without membership obligations.</w:t>
      </w:r>
    </w:p>
    <w:p>
      <w:pPr>
        <w:pStyle w:val="Normal"/>
      </w:pPr>
      <w:r>
        <w:rPr>
          <w:rFonts w:ascii="Calibri" w:hAnsi="Calibri" w:eastAsia="Microsoft YaHei" w:cs="Calibri"/>
          <w:color w:val="263238"/>
          <w:sz w:val="21"/>
          <w:szCs w:val="21"/>
        </w:rPr>
        <w:t>Partial accession does not require alignment with any bloc, coalition, or geopolitical position. Partial acceding states are not obligated to participate in any activation or stabilisation measure. This extends IMESI's practical reach while preserving its non-exclusive, non-bloc character and providing a natural on-ramp for states that later seek full membership.</w:t>
      </w:r>
    </w:p>
    <w:p>
      <w:pPr>
        <w:pStyle w:val="Heading3"/>
      </w:pPr>
      <w:r>
        <w:t>Section 9.6A (Addendum): Open Architecture as Legal Defence [NEW: v15.0]</w:t>
      </w:r>
    </w:p>
    <w:p>
      <w:r>
        <w:t>(f) The Open Architecture provided for in this Section demonstrates that this Instrument opens to all WTO Members on a non-discriminatory basis and raises no barriers against non-Members.</w:t>
      </w:r>
    </w:p>
    <w:p>
      <w:r>
        <w:t>(g) The availability of Observer+ status to any WTO Member, and the absence of any exclusivity requirement, confirm that this Instrument constitutes no discriminatory trade bloc within the meaning of GATT Article XXIV.</w:t>
      </w:r>
    </w:p>
    <w:p>
      <w:r>
        <w:t>(h) The Open Architecture's non-discriminatory and non-exclusive character rebuts any claim that this Instrument violates WTO principles.</w:t>
      </w:r>
    </w:p>
    <w:p>
      <w:r>
        <w:t>Rationale: This builds the non-exclusive and open nature of IMESI into its legal identity, making the Instrument harder to characterise as a closed, discriminatory bloc.</w:t>
      </w:r>
    </w:p>
    <w:p>
      <w:pPr>
        <w:pStyle w:val="Heading1"/>
        <w:pageBreakBefore/>
      </w:pPr>
      <w:r>
        <w:rPr>
          <w:rFonts w:ascii="Calibri" w:hAnsi="Calibri" w:eastAsia="Microsoft YaHei" w:cs="Calibri"/>
          <w:b/>
          <w:color w:val="455A64"/>
          <w:sz w:val="30"/>
          <w:szCs w:val="30"/>
        </w:rPr>
        <w:t>ARTICLE X: INSTITUTIONAL EVOLUTION</w:t>
      </w:r>
      <w:bookmarkStart w:name="_Toc000024" w:id="24"/>
      <w:bookmarkEnd w:id="24"/>
    </w:p>
    <w:p>
      <w:pPr>
        <w:pStyle w:val="Heading3"/>
      </w:pPr>
      <w:r>
        <w:rPr>
          <w:rFonts w:ascii="Calibri" w:hAnsi="Calibri" w:eastAsia="Microsoft YaHei" w:cs="Calibri"/>
          <w:b/>
          <w:color w:val="546E7A"/>
          <w:sz w:val="22"/>
          <w:szCs w:val="22"/>
        </w:rPr>
        <w:t>Section 10.14: Services Stabilisation Protocol [NEW: v12.0]</w:t>
      </w:r>
    </w:p>
    <w:p>
      <w:pPr>
        <w:pStyle w:val="Normal"/>
      </w:pPr>
      <w:r>
        <w:rPr>
          <w:rFonts w:ascii="Calibri" w:hAnsi="Calibri" w:eastAsia="Microsoft YaHei" w:cs="Calibri"/>
          <w:color w:val="263238"/>
          <w:sz w:val="21"/>
          <w:szCs w:val="21"/>
        </w:rPr>
        <w:t>Measures affecting services trade operate consistently with GATS obligations, including most-favoured-nation and national treatment, except as necessary to respond to coercion. Services measures undergo review every 90 days under the Nofade rolling review procedure.</w:t>
      </w:r>
    </w:p>
    <w:p>
      <w:pPr>
        <w:pStyle w:val="Heading3"/>
      </w:pPr>
      <w:r>
        <w:rPr>
          <w:rFonts w:ascii="Calibri" w:hAnsi="Calibri" w:eastAsia="Microsoft YaHei" w:cs="Calibri"/>
          <w:b/>
          <w:color w:val="546E7A"/>
          <w:sz w:val="22"/>
          <w:szCs w:val="22"/>
        </w:rPr>
        <w:t>Section 10.1A: Sub-National Political Targeting [NEW: v12.0]</w:t>
      </w:r>
    </w:p>
    <w:p>
      <w:pPr>
        <w:pStyle w:val="Normal"/>
      </w:pPr>
      <w:r>
        <w:rPr>
          <w:rFonts w:ascii="Calibri" w:hAnsi="Calibri" w:eastAsia="Microsoft YaHei" w:cs="Calibri"/>
          <w:color w:val="263238"/>
          <w:sz w:val="21"/>
          <w:szCs w:val="21"/>
        </w:rPr>
        <w:t>In designing stabilisation responses, Members target goods from politically sensitive regions, electoral districts, or sub-national jurisdictions within the coercing state. Targeting calibration maximises domestic political pressure on the coercing administration while minimising consumer harm to IMESI Members. The IEWC maintains a Political-Economic Targeting Database updated quarterly.</w:t>
      </w:r>
    </w:p>
    <w:p>
      <w:pPr>
        <w:pStyle w:val="Heading2"/>
      </w:pPr>
      <w:r>
        <w:rPr>
          <w:rFonts w:ascii="Calibri" w:hAnsi="Calibri" w:eastAsia="Microsoft YaHei" w:cs="Calibri"/>
          <w:b/>
          <w:color w:val="263238"/>
          <w:sz w:val="25"/>
          <w:szCs w:val="25"/>
        </w:rPr>
        <w:t>Section 10.1B: Standing Political-Economy Vulnerability Assessment [NEW: v12.1]</w:t>
      </w:r>
    </w:p>
    <w:p>
      <w:pPr>
        <w:pStyle w:val="Normal"/>
      </w:pPr>
      <w:r>
        <w:rPr>
          <w:rFonts w:ascii="Calibri" w:hAnsi="Calibri" w:eastAsia="Microsoft YaHei" w:cs="Calibri"/>
          <w:color w:val="263238"/>
          <w:sz w:val="21"/>
          <w:szCs w:val="21"/>
        </w:rPr>
        <w:t>The IEWC maintains, on a standing basis and without requiring any coercion certification, a comprehensive Political-Economy Vulnerability Assessment for each state representing more than 5% of global GDP or more than 10% of Members' combined trade volume. The Assessment includes: (a) sectoral export concentration mapping by geographic region, electoral district, and sub-national jurisdiction; (b) sensitivity analysis identifying products whose targeting maximises political pressure while minimising consumer harm to Members; and (c) legislative and stakeholder contact directories for rapid distribution under Section 10.2. The Assessment updates annually, reviews quarterly, classifies as Restricted (Section 4.2K), and deploys automatically to inform stabilisation measure design upon activation, consistent with the Non-Discrimination Certification requirement (Section 4.2V Addendum). The Assessment constitutes a defensive preparedness function and creates no trade measure.</w:t>
      </w:r>
    </w:p>
    <w:p>
      <w:pPr>
        <w:pStyle w:val="Heading2"/>
      </w:pPr>
      <w:r>
        <w:rPr>
          <w:rFonts w:ascii="Calibri" w:hAnsi="Calibri" w:eastAsia="Microsoft YaHei" w:cs="Calibri"/>
          <w:b/>
          <w:color w:val="263238"/>
          <w:sz w:val="25"/>
          <w:szCs w:val="25"/>
        </w:rPr>
        <w:t>Section 10A.1: Grand Review Convention</w:t>
      </w:r>
    </w:p>
    <w:p>
      <w:pPr>
        <w:pStyle w:val="Heading3"/>
      </w:pPr>
      <w:r>
        <w:rPr>
          <w:rFonts w:ascii="Calibri" w:hAnsi="Calibri" w:eastAsia="Microsoft YaHei" w:cs="Calibri"/>
          <w:b/>
          <w:color w:val="546E7A"/>
          <w:sz w:val="22"/>
          <w:szCs w:val="22"/>
        </w:rPr>
        <w:t>Section 10A.1 (Addendum): Grand Review Transparency [NEW: v12.0]</w:t>
      </w:r>
    </w:p>
    <w:p>
      <w:pPr>
        <w:pStyle w:val="Normal"/>
      </w:pPr>
      <w:r>
        <w:rPr>
          <w:rFonts w:ascii="Calibri" w:hAnsi="Calibri" w:eastAsia="Microsoft YaHei" w:cs="Calibri"/>
          <w:color w:val="263238"/>
          <w:sz w:val="21"/>
          <w:szCs w:val="21"/>
        </w:rPr>
        <w:t>The Grand Review Convention opens to WTO and IMF observers. The Convention publishes its findings in full, demonstrating IMESI’s commitment to accountability and continuous improvement.</w:t>
      </w:r>
    </w:p>
    <w:p>
      <w:pPr>
        <w:pStyle w:val="Normal"/>
      </w:pPr>
      <w:r>
        <w:rPr>
          <w:rFonts w:ascii="Calibri" w:hAnsi="Calibri" w:eastAsia="Microsoft YaHei" w:cs="Calibri"/>
          <w:color w:val="263238"/>
          <w:sz w:val="21"/>
          <w:szCs w:val="21"/>
        </w:rPr>
        <w:t>Every 6 years, IMESI convenes a mandatory Constituent Assembly: all member states, all tiers, with external observers from the United Nations, WTO, and civil society organisations. Scope: The Convention reviews, amend, or reaffirm any provision of the Charter, operational annexes, and institutional architecture. Mandatory Tariff Capability Assessment (v9.3): The Convention assesses specifically: (f) effectiveness of tariff shock response mechanisms (SND, Scenario Theta-Tariff, Tariff Stabilisation Sub-Fund); (g) adequacy of SND doctrine thresholds in light of evolving tariff threats; (h) uptake and effectiveness of Tariff Stability Compact and whether binding conversion is warranted. Amendment Thresholds: Charter amendments to Core provisions (Articles I–VI) require 70% weighted vote (reduced from 80%). Operational annex amendments require 55% weighted vote. This lower threshold reflects the maturation of the institution and the need for adaptive evolution. Withdrawal Without Penalty: If the Convention rejects a member's proposed amendments, that member withdraws from IMESI without penalty within 90 days of Convention closure. This ensures that periodic re-founding is a legitimate option, not a betrayal, and that the institution evolves with its members' consent. Principle: The Grand Review Convention treats IMESI as a living institution, periodically re-legitimised through constituent deliberation, not permanently fixed by its founders. Independent Review Commission (v9.5): An Independent Review Commission of external experts, comprising not fewer than 5 and not more than 9 persons of recognised competence in international trade law, economics, and institutional governance, none of whom is current employees or officials of any IMESI member government or IMESI institution, is convened at Year 5 of IMESI operations. The Commission assesses: (a) proportionality of IMESI responses to certified coercion cases; (b) effectiveness of deterrence and stabilisation mechanisms; (c) systemic risks arising from IMESI operations, including unintended effects on non-members; (d) governance adequacy, transparency, and accountability. The Commission reports to the Grand Review Convention with recommendations for adjustment. The report is published in full. The Coordination Committee responds to each recommendation within 90 days, accepting, modifying, or explaining non-adoption.</w:t>
      </w:r>
    </w:p>
    <w:p>
      <w:pPr>
        <w:pStyle w:val="Heading2"/>
      </w:pPr>
      <w:r>
        <w:rPr>
          <w:rFonts w:ascii="Calibri" w:hAnsi="Calibri" w:eastAsia="Microsoft YaHei" w:cs="Calibri"/>
          <w:b/>
          <w:color w:val="263238"/>
          <w:sz w:val="25"/>
          <w:szCs w:val="25"/>
        </w:rPr>
        <w:t>Section 10A.1A: Founding Period Confidential Review</w:t>
      </w:r>
    </w:p>
    <w:p>
      <w:pPr>
        <w:pStyle w:val="Normal"/>
      </w:pPr>
      <w:r>
        <w:rPr>
          <w:rFonts w:ascii="Calibri" w:hAnsi="Calibri" w:eastAsia="Microsoft YaHei" w:cs="Calibri"/>
          <w:color w:val="263238"/>
          <w:sz w:val="21"/>
          <w:szCs w:val="21"/>
        </w:rPr>
        <w:t>Trigger: Following the first activation involving a systemic economy (or 3 years from entry into force, whichever comes first), the Director-General convenes a confidential founding-members review at heads-of-government level. Scope: The review: adjusts response floors and thresholds; recalibrate burden-sharing formulas; modify module packaging for systemic-economy cases; update Annex 10 operational parameters. Adjustments require 60% weighted vote and enter into force within 90 days. Framing: This is a scheduled founders' review, an integral element of institutional evolution (Article X), not an emergency valve. It reflects the principle that real-world operational experience informs calibration before the first full Grand Review Convention cycle. Confidentiality: Proceedings classified for 5 years. Published summary limited to: decisions taken, rationale (redacted for operational security), and timeline for implementation.</w:t>
      </w:r>
    </w:p>
    <w:p>
      <w:pPr>
        <w:pStyle w:val="Heading2"/>
      </w:pPr>
      <w:r>
        <w:rPr>
          <w:rFonts w:ascii="Calibri" w:hAnsi="Calibri" w:eastAsia="Microsoft YaHei" w:cs="Calibri"/>
          <w:b/>
          <w:color w:val="263238"/>
          <w:sz w:val="25"/>
          <w:szCs w:val="25"/>
        </w:rPr>
        <w:t>Section 10A.2: Staged Entry into Force</w:t>
      </w:r>
    </w:p>
    <w:p>
      <w:pPr>
        <w:pStyle w:val="Normal"/>
      </w:pPr>
      <w:r>
        <w:rPr>
          <w:rFonts w:ascii="Calibri" w:hAnsi="Calibri" w:eastAsia="Microsoft YaHei" w:cs="Calibri"/>
          <w:color w:val="263238"/>
          <w:sz w:val="21"/>
          <w:szCs w:val="21"/>
        </w:rPr>
        <w:t>Phase-0 Core Implementation Profile (v9.4): If 10–12 founding members want to launch with minimal</w:t>
      </w:r>
    </w:p>
    <w:p>
      <w:r>
        <w:t>overhead, the following 6 modules are mandatory in Years 1–3:</w:t>
      </w:r>
    </w:p>
    <w:p>
      <w:r>
        <w:t>Module</w:t>
      </w:r>
    </w:p>
    <w:p>
      <w:r>
        <w:t>What It Requires</w:t>
      </w:r>
    </w:p>
    <w:p>
      <w:r>
        <w:t>1. IEWC Core</w:t>
      </w:r>
    </w:p>
    <w:p>
      <w:r>
        <w:t>Coercion/GSD/SND certification, monitoring, Tariff Intelligence Unit</w:t>
      </w:r>
    </w:p>
    <w:p>
      <w:r>
        <w:t>basic</w:t>
      </w:r>
    </w:p>
    <w:p>
      <w:r>
        <w:t>Staff: 15–20 analysts (shared cost ~USD 8M/yr)</w:t>
      </w:r>
    </w:p>
    <w:p>
      <w:r>
        <w:t>2. Minimal SFI</w:t>
      </w:r>
    </w:p>
    <w:p>
      <w:r>
        <w:t>Settlement preference for intra-IMESI trade; not full parallel payment system</w:t>
      </w:r>
    </w:p>
    <w:p>
      <w:r>
        <w:t>Infrastructure: USD 25–40M setup; USD 5M/yr operations</w:t>
      </w:r>
    </w:p>
    <w:p>
      <w:r>
        <w:t>Fund</w:t>
      </w:r>
    </w:p>
    <w:p>
      <w:r>
        <w:t>GDP-capped initial capital: 0.05–0.1% GDP over 3 years (phased). In-kind contributions accepted (stockpile hosting, analytical capacity)</w:t>
      </w:r>
    </w:p>
    <w:p>
      <w:r>
        <w:t>For 12 members at avg 1% global GDP: ~USD 3–6B total over 3 years</w:t>
      </w:r>
    </w:p>
    <w:p>
      <w:r>
        <w:t>4. Pre-Authorised Scenarios (5 core)</w:t>
      </w:r>
    </w:p>
    <w:p>
      <w:r>
        <w:t>Scenarios Alpha, Beta, Gamma, Delta, Theta-Tariff only. Remaining scenarios deferred to Year 3+</w:t>
      </w:r>
    </w:p>
    <w:p>
      <w:r>
        <w:t>Operational planning additional cost</w:t>
      </w:r>
    </w:p>
    <w:p>
      <w:r>
        <w:t>5. Anti-Fragmentation Core</w:t>
      </w:r>
    </w:p>
    <w:p>
      <w:r>
        <w:t>Transparency disclosure (TSR), ACE basic triggers, Constructive Abstention mechanism</w:t>
      </w:r>
    </w:p>
    <w:p>
      <w:r>
        <w:t>Secretariat 2M/yr</w:t>
      </w:r>
    </w:p>
    <w:p>
      <w:r>
        <w:t>6. Communications Framework</w:t>
      </w:r>
    </w:p>
    <w:p>
      <w:r>
        <w:t>Annex 16/16B/16C: core messaging,</w:t>
      </w:r>
    </w:p>
    <w:p>
      <w:r>
        <w:t>domestic communication guidance, leader talking points</w:t>
      </w:r>
    </w:p>
    <w:p>
      <w:r>
        <w:t>Minimal: political coordination only</w:t>
      </w:r>
    </w:p>
    <w:p>
      <w:r>
        <w:t>3. Mutual (small)</w:t>
      </w:r>
    </w:p>
    <w:p>
      <w:r>
        <w:t>Approximate Cost</w:t>
      </w:r>
    </w:p>
    <w:p>
      <w:r>
        <w:t>only;</w:t>
      </w:r>
    </w:p>
    <w:p>
      <w:r>
        <w:t>administration:</w:t>
      </w:r>
    </w:p>
    <w:p>
      <w:r>
        <w:t>no</w:t>
      </w:r>
    </w:p>
    <w:p>
      <w:r>
        <w:t>~USD</w:t>
      </w:r>
    </w:p>
    <w:p>
      <w:r>
        <w:t>Everything else, Year 3+ opt-in: Stress tests, red-team exercises, advanced financial instruments (CRI, DAR, Digital Infrastructure Fund), ADAI/CFM optional pilots, green tech modules, CBDC interoperability, complex annexes. Ministers say: "Joining now means a very modest financial and institutional commitment, approximately 0.05% of GDP annually. We scale up later by vote." Complex institutional mechanisms enter in stages, allowing capacity building and trust development: Stage</w:t>
      </w:r>
    </w:p>
    <w:p>
      <w:r>
        <w:t>Timelin e</w:t>
      </w:r>
    </w:p>
    <w:p>
      <w:r>
        <w:t>Instruments</w:t>
      </w:r>
    </w:p>
    <w:p>
      <w:r>
        <w:t>Activation Requirement</w:t>
      </w:r>
    </w:p>
    <w:p>
      <w:r>
        <w:t>Immediate</w:t>
      </w:r>
    </w:p>
    <w:p>
      <w:r>
        <w:t>Year 0</w:t>
      </w:r>
    </w:p>
    <w:p>
      <w:r>
        <w:t>Foundational Charter (Arts I–III core); Basic IEWC; Core SFI; Stabilisation Fund basic capitalisation</w:t>
      </w:r>
    </w:p>
    <w:p>
      <w:r>
        <w:t>Founding Conference ratification</w:t>
      </w:r>
    </w:p>
    <w:p>
      <w:r>
        <w:t>Year Review</w:t>
      </w:r>
    </w:p>
    <w:p>
      <w:r>
        <w:t>Year 3</w:t>
      </w:r>
    </w:p>
    <w:p>
      <w:r>
        <w:t>Climate-Trade Protocol full features (Sec 2.7); Cognitive coercion measures (Sec 2.9); Emergency Accession Protocol (Sec 3.15); ADAI/CFM pilot (if adopted)</w:t>
      </w:r>
    </w:p>
    <w:p>
      <w:r>
        <w:t>Successful stress test + 60% weighted vote + minimum 10 member opt-ins</w:t>
      </w:r>
    </w:p>
    <w:p>
      <w:r>
        <w:t>Year Review</w:t>
      </w:r>
    </w:p>
    <w:p>
      <w:r>
        <w:t>Year 5</w:t>
      </w:r>
    </w:p>
    <w:p>
      <w:r>
        <w:t>Decoupling Acceleration Reserve full activation; SFI advanced features; Coalition Fracture Reinsurance</w:t>
      </w:r>
    </w:p>
    <w:p>
      <w:r>
        <w:t>Successful stress test + 60% weighted vote + minimum 10 member opt-ins</w:t>
      </w:r>
    </w:p>
    <w:p>
      <w:r>
        <w:t>Staged Entry Oversight: A Coordination Committee sub-body tracks readiness for each module. Non-adoption of an optional module at its review date does not affect core membership. Staged entry is combined with the 6-year Grand Review cycle, the first Grand Review Convention assesses all Year 3 and Year 5 modules comprehensively.</w:t>
      </w:r>
    </w:p>
    <w:p>
      <w:pPr>
        <w:pStyle w:val="Heading2"/>
      </w:pPr>
      <w:r>
        <w:t>Section 10A.3: Graduated Universalisation Roadmap</w:t>
      </w:r>
    </w:p>
    <w:p>
      <w:r>
        <w:t>Year</w:t>
      </w:r>
    </w:p>
    <w:p>
      <w:r>
        <w:t>Milestone</w:t>
      </w:r>
    </w:p>
    <w:p>
      <w:r>
        <w:t>Mechanism</w:t>
      </w:r>
    </w:p>
    <w:p>
      <w:r>
        <w:t>WTO plurilateral designation</w:t>
      </w:r>
    </w:p>
    <w:p>
      <w:r>
        <w:t>MC14 proposal; coordination</w:t>
      </w:r>
    </w:p>
    <w:p>
      <w:r>
        <w:t>Secretariat</w:t>
      </w:r>
    </w:p>
    <w:p>
      <w:r>
        <w:t>If MC14 fails: defer to MC15; maintain bilateral MOUs</w:t>
      </w:r>
    </w:p>
    <w:p>
      <w:r>
        <w:t>UNGA Status</w:t>
      </w:r>
    </w:p>
    <w:p>
      <w:r>
        <w:t>Annual report to UNGA; formal observer request with 60% CC vote</w:t>
      </w:r>
    </w:p>
    <w:p>
      <w:r>
        <w:t>If blocked: enhanced NGO/civil society forum</w:t>
      </w:r>
    </w:p>
    <w:p>
      <w:r>
        <w:t>Open Accession</w:t>
      </w:r>
    </w:p>
    <w:p>
      <w:r>
        <w:t>All UN members eligible for Observer+; differentiated obligations</w:t>
      </w:r>
    </w:p>
    <w:p>
      <w:r>
        <w:t>If capacity constraints: regional hub model</w:t>
      </w:r>
    </w:p>
    <w:p>
      <w:r>
        <w:t>WTO integration</w:t>
      </w:r>
    </w:p>
    <w:p>
      <w:r>
        <w:t>Seek Article XXIV bis regional mutual insurance</w:t>
      </w:r>
    </w:p>
    <w:p>
      <w:r>
        <w:t>Contingent on WTO reform progress</w:t>
      </w:r>
    </w:p>
    <w:p>
      <w:r>
        <w:t>Quasi-universal regime</w:t>
      </w:r>
    </w:p>
    <w:p>
      <w:r>
        <w:t>Opt-out via certification</w:t>
      </w:r>
    </w:p>
    <w:p>
      <w:r>
        <w:t>IMESI-Compatible becomes de facto global standard</w:t>
      </w:r>
    </w:p>
    <w:p>
      <w:r>
        <w:t>Observer</w:t>
      </w:r>
    </w:p>
    <w:p>
      <w:r>
        <w:t>reform</w:t>
      </w:r>
    </w:p>
    <w:p>
      <w:r>
        <w:t>Contingency</w:t>
      </w:r>
    </w:p>
    <w:p>
      <w:r>
        <w:t>IMESI-Compatible</w:t>
      </w:r>
    </w:p>
    <w:p>
      <w:r>
        <w:t>Exit Ramps: At each milestone, CC votes to: proceed to next stage (55% vote); extend current stage (simple majority); pivot to alternative pathway (60% vote with published justification). No automatic progression, each stage requires affirmative political choice. Major Power Integration: Specific pathways for economies &gt;10% global GDP: Observer+ with enhanced intelligence sharing (no obligations); 'Strategic Dialogue' status for annual consultations and joint stress tests; full accession with modified voting caps and enhanced contribution requirements. No expectation of accession. Negotiation status: Tier 3 protected secondary priority. Entirely aspirational; no binding commitments. Are 'indicative framework' with explicit 'subject to CC vote at each stage' language.</w:t>
      </w:r>
    </w:p>
    <w:p>
      <w:pPr>
        <w:pStyle w:val="Heading2"/>
      </w:pPr>
      <w:r>
        <w:t>Section 10A.4: Adaptive Institutional Mutation (AIM) [NEW: v9.8 Revision]</w:t>
      </w:r>
    </w:p>
    <w:p>
      <w:pPr>
        <w:pStyle w:val="Heading3"/>
      </w:pPr>
      <w:r>
        <w:t>Section 10A.4 (Addendum): Troll Amendment Blocking [NEW: v11.0]</w:t>
      </w:r>
    </w:p>
    <w:p>
      <w:r>
        <w:t>A member identified as a Current Coercer is prohibited from proposing AIM Mutations or amendments that dilute the response directed against it. This rule excludes bad-faith procedural manoeuvres from the mutation process.</w:t>
      </w:r>
    </w:p>
    <w:p>
      <w:pPr>
        <w:pStyle w:val="Heading3"/>
      </w:pPr>
      <w:r>
        <w:t>Section 10A.4 (Second Addendum): WTO Conflict Protocol [NEW: v12.0]</w:t>
      </w:r>
    </w:p>
    <w:p>
      <w:r>
        <w:t>Where a WTO dispute settlement body finds that a specific IMESI measure violates WTO obligations, the Coordination Committee, within 60 days, amends or adjusts that measure into compliance, or maintains it through a 75% supermajority vote with published justification.</w:t>
      </w:r>
    </w:p>
    <w:p>
      <w:r>
        <w:t>Purpose: Constitutional mechanism enabling rapid institutional evolution (55% vote, 18-month experimental term) without full amendment process when: (a) new coercion tactic detected in 3+ cases; (b) existing response proves &lt;60% effective; or (c) 75% of affected members request review.</w:t>
      </w:r>
    </w:p>
    <w:p>
      <w:r>
        <w:t>Proposal and Voting Process</w:t>
      </w:r>
    </w:p>
    <w:p>
      <w:r>
        <w:t>IEWC or 20+ CC members propose AIM Mutation; Proposal includes: specific problem statement, proposed provision language, 18-month experimental scope, rolling review point, and assessment criteria for Grand Review Convention (Section 10A.5); CC votes (55% threshold); if approved, Mutation takes effect immediately; Automatic Secretariat performance report required at 12-month mark.</w:t>
      </w:r>
    </w:p>
    <w:p>
      <w:r>
        <w:t>Limitations on Mutations</w:t>
      </w:r>
    </w:p>
    <w:p>
      <w:r>
        <w:t>Single Functional Objective: Each Mutation addresses one distinct tactical gap or institutional problem. Multi-issue mutations are not permitted. No-Expansion Rule: Mutations modify only existing provisions; new institutional authorities not previously contemplated are not permitted via Mutation. Non-Recurrence Clause: An AIM Mutation that is rejected is not re-proposed in substantially the same form for 36 months. Proposal Frequency Limit: No member proposes more than 2 AIM Mutations per 24-month period; aggregate membership proposals capped at 10 per 24 months.</w:t>
      </w:r>
    </w:p>
    <w:p>
      <w:r>
        <w:t>Grand Review Convention Review</w:t>
      </w:r>
    </w:p>
    <w:p>
      <w:r>
        <w:t>At 12-month mark, Grand Review Convention conducts mandatory review. Rolling Review (Nofade): A Mutation persists in provisional force past the 18-month review point; the Grand Review Convention votes (70% Core, 60% Operational) to ratify, modify, or terminate it by written decision. Ratification: If ratified, the Mutation becomes permanent. Modification: If the GRC votes to modify before the review point, the modified version takes effect immediately; the review point extends by 6 months. Early Termination: GRC terminates early; status quo ante prevails.</w:t>
      </w:r>
    </w:p>
    <w:p>
      <w:r>
        <w:t>Decision Documentation: GRC publishes written decision on every Mutation with: Assessment of effectiveness; Unintended consequences identified; Member feedback summary; Rationale for decision; If rejection or termination: guidance on alternative approaches or timing for resubmission (earliest: 36 months later).</w:t>
      </w:r>
    </w:p>
    <w:p>
      <w:r>
        <w:t>AIM Registry</w:t>
      </w:r>
    </w:p>
    <w:p>
      <w:r>
        <w:t>All Mutations (approved and rejected) are catalogued in public AIM Registry maintained by Secretariat: Proposal text and voting record; 12-month effectiveness report; Grand Review outcome and written decision; Date of review determination or ratification. Registry is accessible to all members and published annually in Institutional Review Report (Section 4.3).</w:t>
      </w:r>
    </w:p>
    <w:p>
      <w:pPr>
        <w:pStyle w:val="Heading2"/>
      </w:pPr>
      <w:r>
        <w:t>Section 10A.2B: Minimum Viable Coalition [NEW: v9.8A Political Roadmap]</w:t>
      </w:r>
    </w:p>
    <w:p>
      <w:pPr>
        <w:pStyle w:val="Heading3"/>
      </w:pPr>
      <w:r>
        <w:t>Section 10A.2B (Addendum): Collective Solidarity Endorsement [NEW: v12.0]</w:t>
      </w:r>
    </w:p>
    <w:p>
      <w:r>
        <w:t>Any state facing coercion for joining IMESI requests a Collective Solidarity Endorsement from existing Members. The Endorsement constitutes a public declaration that the coalition considers the coercion an attack on all Members and responds collectively where the coercion persists beyond 30 days.</w:t>
      </w:r>
    </w:p>
    <w:p>
      <w:r>
        <w:t>This Instrument enters into force provisionally with as few as 6 Full Members totalling at least 15% of global GDP. Initial obligations under provisional entry into force are limited to: (a) tariff coercion response (Article V, Phase 1 trade measures only); (b) basic liquidity support (Resilience Fund, Section 8.9); (c) intelligence sharing and IEWC participation; and (d) Phase 0 stabilisation (Track A). Full operational scope activates upon reaching 12 Full Members or 25% of global GDP, whichever comes first. This ensures officials know: "We don't need 30 members and every annex live on day one."</w:t>
      </w:r>
    </w:p>
    <w:p>
      <w:pPr>
        <w:pStyle w:val="Heading3"/>
      </w:pPr>
      <w:r>
        <w:t>Section 10A.2B (Addendum): Ratification Threshold [NEW: v15.0]</w:t>
      </w:r>
    </w:p>
    <w:p>
      <w:r>
        <w:t>(e) This Instrument enters into force upon the deposit of instruments of ratification, acceptance, or approval by at least: (i) 6 Member states; (ii) those Member states collectively representing at least 15% of global GDP, measured by the most recent IMF World Economic Outlook; and (iii) those Member states representing at least 3 geographic regions.</w:t>
      </w:r>
    </w:p>
    <w:p>
      <w:r>
        <w:t>(f) For purposes of this Section: (i) geographic regions means Americas, Europe, Asia-Pacific, and Africa-Middle East; (ii) instrument of ratification means the formal instrument deposited with the Depositary (Section 4.8); and (iii) global GDP means global GDP measured by the most recent IMF World Economic Outlook.</w:t>
      </w:r>
    </w:p>
    <w:p>
      <w:r>
        <w:t>(g) Upon entry into force, the Instrument binds all Member states that have deposited instruments of ratification.</w:t>
      </w:r>
    </w:p>
    <w:p>
      <w:r>
        <w:t>(h) States that have not ratified accede to the Instrument under the standard accession procedures in Article III.</w:t>
      </w:r>
    </w:p>
    <w:p>
      <w:r>
        <w:t>(i) This Section does not affect the provisional operation of any provisions designated as provisional under Section 10A.2.</w:t>
      </w:r>
    </w:p>
    <w:p>
      <w:r>
        <w:t>Rationale: This closes the ratification gap. A clear threshold now governs entry into force: 6 members, 15% of global GDP, and 3 geographic regions.</w:t>
      </w:r>
    </w:p>
    <w:p>
      <w:pPr>
        <w:pStyle w:val="Heading2"/>
      </w:pPr>
      <w:r>
        <w:t>Section 10A.2C: Founding Phase Operational Scope [NEW: v9.8A Political Roadmap]</w:t>
      </w:r>
    </w:p>
    <w:p>
      <w:r>
        <w:t>During the Founding Phase (entry into force until the first Grand Review Convention), the operational mandate is limited to:</w:t>
      </w:r>
    </w:p>
    <w:p>
      <w:r>
        <w:t>Phase-One Authority (immediate): trade/tariff response measures; basic payment and settlement coordination; Resilience Fund liquidity and supply-chain assistance; IEWC intelligence and certification.</w:t>
      </w:r>
    </w:p>
    <w:p>
      <w:r>
        <w:t>Phase-Two Authority (activated only after first 5-year review by Grand Review Convention vote): financial sanctions and SFI settlement restrictions; technology and platform controls; complex systemic infrastructure measures; GSD/SND full-scope activation.</w:t>
      </w:r>
    </w:p>
    <w:p>
      <w:r>
        <w:t>This makes the first version politically lighter while keeping the full architecture available for later activation by democratic decision.</w:t>
      </w:r>
    </w:p>
    <w:p>
      <w:pPr>
        <w:pStyle w:val="Heading2"/>
      </w:pPr>
      <w:r>
        <w:t>Section 10A.2D: Pre-Activated Core (Standing Cooperation) [NEW: v9.8B]</w:t>
      </w:r>
    </w:p>
    <w:p>
      <w:r>
        <w:t>For the first 12 months after entry into force, and continuing thereafter as permanent standing functions, the following cooperation modules are pre-authorised and operational without requiring any coercion case activation:</w:t>
      </w:r>
    </w:p>
    <w:p>
      <w:r>
        <w:t>(a) Supply-chain intelligence sharing: Members exchange anonymised trade-flow data, critical-input dependency maps, and vulnerability assessments through the IEWC Systemic Monitoring Unit;</w:t>
      </w:r>
    </w:p>
    <w:p>
      <w:r>
        <w:t>(b) Joint procurement pilots: the Joint Procurement Consortium (Section 3.13) conducts pilot tenders in 2-3 strategic sectors (energy, critical minerals, pharmaceuticals) to establish operational capacity;</w:t>
      </w:r>
    </w:p>
    <w:p>
      <w:r>
        <w:t>(c) Early-warning and risk dashboards: the Institutional Readiness Dashboard (Section 4.2A) operates in real-time, providing Members with coercion-risk indicators, trade-pattern anomaly alerts, and market-stability signals.</w:t>
      </w:r>
    </w:p>
    <w:p>
      <w:r>
        <w:t>These standing functions deliver immediate peacetime value to Members from day one of accession, independent of whether any coercion case is ever activated. They fit within Track A stabilisation logic (Section 5.0F) and create no new legal obligations beyond data sharing and voluntary procurement participation.</w:t>
      </w:r>
    </w:p>
    <w:p>
      <w:pPr>
        <w:pStyle w:val="Heading2"/>
      </w:pPr>
      <w:r>
        <w:t>Section 10A.5A: Mandatory Renewal and Performance Audit [NEW: v9.8B]</w:t>
      </w:r>
    </w:p>
    <w:p>
      <w:r>
        <w:t>At the 5-year mark from entry into force, the following renewal requirements apply:</w:t>
      </w:r>
    </w:p>
    <w:p>
      <w:r>
        <w:t>(a) Independent Performance Audit: an external audit panel (appointed by the IAC, comprising economists, trade lawyers, and former government officials from non-member states) conducts a comprehensive assessment of IMESI's first 5 years, covering: cases activated and outcomes; Fund performance and solvency; institutional governance quality; member compliance patterns; and impact on global trade and financial stability;</w:t>
      </w:r>
    </w:p>
    <w:p>
      <w:r>
        <w:t>(b) Audit published 90 days before renewal vote;</w:t>
      </w:r>
    </w:p>
    <w:p>
      <w:r>
        <w:t>(c) Scope Renewal Vote: expansion beyond the Founding Phase Operational Scope (Section 10A.2C), i.e. activation of Phase-Two Authority (financial sanctions, tech controls, GSD/SND full scope), requires a 70% supermajority of the Grand Review Convention;</w:t>
      </w:r>
    </w:p>
    <w:p>
      <w:r>
        <w:t>(d) Core Renewal Vote: continuation of the Instrument itself requires a simple majority (&gt;50%) of the Grand Review Convention. If not renewed, a 24-month wind-down period applies.</w:t>
      </w:r>
    </w:p>
    <w:p>
      <w:r>
        <w:t>This gives sceptics a credible "we have to actively renew this" safeguard while protecting institutional continuity for the core functions that have proven their value.</w:t>
      </w:r>
    </w:p>
    <w:p>
      <w:pPr>
        <w:pStyle w:val="Heading2"/>
      </w:pPr>
      <w:r>
        <w:t>Section 10A.6: Trust Accelerator Protocol [NEW: v15.0]</w:t>
      </w:r>
    </w:p>
    <w:p>
      <w:r>
        <w:t>(a) Upon IEWC certification of any attack under Section 1.7(a), the Trust Accelerator Protocol activates automatically.</w:t>
      </w:r>
    </w:p>
    <w:p>
      <w:r>
        <w:t>(b) The Trust Accelerator Protocol provides: (i) accelerated tier progression: Members that maintained full participation during the attack advance one tier level automatically; (ii) accelerated VCI progression: Members that maintained full participation receive a one-level VCI upgrade (Annex 13A); (iii) accelerated accession: non-members that supported the coalition through Protective Association or Resilience Partner status receive a 50% reduction in accession timelines; and (iv) accelerated institutional review: the next Grand Review Convention (Section 10A.1) advances by 12 months, with a specific mandate to assess and strengthen any vulnerabilities the attack exposed.</w:t>
      </w:r>
    </w:p>
    <w:p>
      <w:r>
        <w:t>(c) The Trust Accelerator Protocol applies automatically and runs without a separate CC vote.</w:t>
      </w:r>
    </w:p>
    <w:p>
      <w:r>
        <w:t>(d) The Trust Accelerator Protocol operates under the Nofade Protocol (Annex 25) and persists until the next Grand Review Convention.</w:t>
      </w:r>
    </w:p>
    <w:p>
      <w:r>
        <w:t>Why This Works: Every attack makes the coalition deeper and more integrated. Members that resist earn tier upgrades. The institution accelerates its own development because it has been tested and proven resilient.</w:t>
      </w:r>
    </w:p>
    <w:p>
      <w:pPr>
        <w:pStyle w:val="Heading2"/>
      </w:pPr>
      <w:r>
        <w:t>Section 10A.7: Phoenix Protocol [NEW: v15.0]</w:t>
      </w:r>
    </w:p>
    <w:p>
      <w:r>
        <w:t>(a) Upon IEWC certification of any attack under Section 1.7(a), the Phoenix Protocol activates automatically.</w:t>
      </w:r>
    </w:p>
    <w:p>
      <w:r>
        <w:t>(b) The Phoenix Protocol provides: (i) mandatory coalition expansion: the Secretariat immediately extends Observer+ offers to all WTO members that are not currently Members or Observers; (ii) accelerated accession: non-members that applied for accession within 30 days of the attack receive a 50% reduction in accession timelines; (iii) strategic repositioning: the Decoupling Acceleration Reserve (Section 8.9) activates at Surge level against the certified coercer, regardless of whether the coercer is a Member or non-member, under the Section 9.1B pre-certification anchoring of GATT Article XXI; (iv) infrastructure acceleration: the Infrastructure Investment Fund (Section 8.28C) receives a 50% capital increase, with projects prioritised to reduce dependency on the certified coercer; and (v) narrative hardening: the Departure Communications Playbook (Section 4.2AE) activates, framing the attack as evidence of IMESI's necessity and resilience.</w:t>
      </w:r>
    </w:p>
    <w:p>
      <w:r>
        <w:t>(c) The Phoenix Protocol operates for a minimum of 180 days from the attack's certification, renewable by 55% CC vote, and persists until the CC votes (60%) to terminate it.</w:t>
      </w:r>
    </w:p>
    <w:p>
      <w:r>
        <w:t>(d) The Phoenix Protocol applies automatically, runs without a separate CC vote, and operates under the Nofade Protocol (Annex 25).</w:t>
      </w:r>
    </w:p>
    <w:p>
      <w:r>
        <w:t>Why This Works: Every attack makes the coalition bigger, stronger, and more resilient. Attackers cannot shrink the coalition: they only trigger expansion. The Phoenix Protocol ensures that IMESI emerges from every attack larger and more formidable than before.</w:t>
      </w:r>
    </w:p>
    <w:p>
      <w:pPr>
        <w:pStyle w:val="Heading2"/>
      </w:pPr>
      <w:r>
        <w:t>Section 10A.16: Living Document Protocol [NEW: v15.0]</w:t>
      </w:r>
    </w:p>
    <w:p>
      <w:pPr>
        <w:pStyle w:val="Heading3"/>
      </w:pPr>
      <w:r>
        <w:t>Article 1: Purpose and Principles</w:t>
      </w:r>
    </w:p>
    <w:p>
      <w:r>
        <w:t>1.1 Purpose. This Protocol establishes a framework for the continuous, low-friction evolution of this Instrument, ensuring that it remains operationally current, legally coherent, and responsive to emerging threats, without requiring frequent treaty amendments that would burden Members' ratification processes.</w:t>
      </w:r>
    </w:p>
    <w:p>
      <w:r>
        <w:t>1.2 Core Principles: (a) Stability with Agility: the Charter remains stable and subject to treaty amendment only; the Operational Manual and Technical Reference evolve continuously to reflect operational experience, emerging threats, and technical developments. (b) Transparency: all updates are published, notified to Members, and subject to review and objection. (c) Proportionality: updates are limited to procedural refinements, clarifications, and technical updates; substantive changes to rights and obligations require treaty amendment. (d) Member Control: Members retain ultimate control through objection rights, review periods, and voting thresholds. (e) Nofade Continuity: all updates operate under the Nofade Protocol (Annex 25); no update causes any commitment to fade, expire, or decay.</w:t>
      </w:r>
    </w:p>
    <w:p>
      <w:pPr>
        <w:pStyle w:val="Heading3"/>
      </w:pPr>
      <w:r>
        <w:t>Article 2: The Tiered Document Architecture</w:t>
      </w:r>
    </w:p>
    <w:p>
      <w:r>
        <w:t>2.1 The Three Tiers. This Instrument is maintained in three tiers: Tier 1, the Charter (30 pages maximum), containing core principles, structure, rights, and obligations, amended through treaty amendment at a 70-80% vote; Tier 2, the Operational Manual (150 pages maximum), containing detailed procedures, timelines, and operational annexes, updated through the Living Document Protocol at a 55% vote; and Tier 3, the Technical Reference (50 pages maximum), containing technical annexes, thresholds, formulas, and lists, updated through the Living Document Protocol at a 55% vote.</w:t>
      </w:r>
    </w:p>
    <w:p>
      <w:r>
        <w:t>2.2 Legal Status: (a) the Charter (Tier 1) is the legally binding document for purposes of ratification, accession, and enforcement; (b) the Operational Manual (Tier 2) and Technical Reference (Tier 3) are interpretive and procedural aids, binding on Members for operational purposes, and do not modify the substantive rights and obligations established in the Charter; (c) in the event of any inconsistency between the Charter and the Operational Manual or Technical Reference, the Charter prevails; and (d) the Secretariat maintains all three tiers, updated in accordance with this Protocol.</w:t>
      </w:r>
    </w:p>
    <w:p>
      <w:pPr>
        <w:pStyle w:val="Heading3"/>
      </w:pPr>
      <w:r>
        <w:t>Article 3: The Charter (Tier 1)</w:t>
      </w:r>
    </w:p>
    <w:p>
      <w:r>
        <w:t>3.1 Scope and Content. The Charter contains: (a) the Philosophical Preamble and Declaration of Principles; (b) Article I: Collective Economic Security Doctrine (Core Principles); (c) Article II: Definitions and Scope (Essential Definitions); (d) Article III: Tiered Membership (Core Structure); (e) Article IV: Governance (Essential Governance Provisions); (f) Article V: Activation Procedures (Essential Activation Framework); (g) Article VI: Anti-Fragmentation (Essential Anti-Fragmentation Provisions); (h) Article VII: Strategic Counter-Coercion Escalation (Essential Escalation Framework); (i) Article VIII: Mutual Economic Security Fund (Essential Fund Provisions); (j) Article IX: External Engagement (Essential Engagement Provisions); (k) Article X: Institutional Evolution (Essential Evolution Provisions); and (l) the Nofade Protocol (Annex 25) as an integral part of the Charter.</w:t>
      </w:r>
    </w:p>
    <w:p>
      <w:r>
        <w:t>3.2 Amendment Process. (a) The Charter is amended only through the treaty amendment process: Core Provisions (Articles I-VI) require a 70% weighted vote; Operational Provisions (Articles VII-X) require a 60% weighted vote; technical amendments require a 55% weighted vote. (b) All Charter amendments require: (i) written proposal by any Member or the Secretariat; (ii) 30-day notice to all Members; (iii) debate at a regular or special CC session; (iv) ratification by Members in accordance with their domestic procedures; and (v) entry into force 30 days after ratification.</w:t>
      </w:r>
    </w:p>
    <w:p>
      <w:r>
        <w:t>3.3 Charter Stability Commitment. (a) The Charter is amended no more than once per calendar year, except in cases of existential emergency certified by the IEWC. (b) The Charter undergoes a comprehensive review at each Grand Review Convention (Section 10A.1), without any obligation to amend.</w:t>
      </w:r>
    </w:p>
    <w:p>
      <w:pPr>
        <w:pStyle w:val="Heading3"/>
      </w:pPr>
      <w:r>
        <w:t>Article 4: The Operational Manual (Tier 2)</w:t>
      </w:r>
    </w:p>
    <w:p>
      <w:r>
        <w:t>4.1 Scope and Content. The Operational Manual contains: (a) detailed activation procedures and timelines; (b) operational annexes, including Annex 1 (Legal Foundations and Defence), Annex 1A (WTO Compatibility Protocol), Annex 2 (Proportionality Guidelines Matrix), Annex 2A (Functional State-Adjoining Sector List), Annex 3 (Supply Chain Resilience Strategy), Annex 3A (Supply Chain Red Team Exercise), Annex 3B (Trade Facilitation Corridors), Annex 3C (Re-Routing and Diversification Advisories), Annex 4 (Pre-Authorised Scenario Library), Annex 5 (IEWC Operational Procedures), Annex 6 (Burden-Sharing Calculation Methodologies), Annex 7 (Anti-Fragmentation Enforcement Mechanisms), Annex 8 (Face-Saving Off-Ramp Protocols), Annex 9 (Founding Coalition Strategy), Annex 10 (Large-Economy Market Access Protocol), Annex 10B (Market Infrastructure Transparency Protocol), Annex 11 (AI Sovereignty Shield), Annex 11A (Platform Certification), Annex 11B (Open Standards Protocol), Annex 11C (Alternative Payment System Coordination Protocol), Annex 12 (Digital and AI Governance Protocol), Annex 13 (Coalition Stress Test Protocol), Annex 13A (Verified Capability Index), Annex 14 (Coercion Forecast Market Protocols), Annex 15 (Strategic Stalemate Declared Doctrine), Annex 16 (Strategic Communications Charter), Annex 16B (Domestic Communication Guidance), Annex 16C (Leader Talking Points), Annex 20 (Contingency Architecture for Future Review), Annex 21 (Tariff Stability Compact), Annex 22 (Founding Coalition Pledge), Annex 22A (Micro-State Participation Framework), Annex 23 (Institutional Hosting Options), and Annex 8A (Illustrative Capitalisation Model); (c) operational decision trees and flowcharts; (d) standard operating procedures for all IMESI bodies; (e) model legal justifications and defence pleadings; and (f) implementation checklists for each tier and module.</w:t>
      </w:r>
    </w:p>
    <w:p>
      <w:r>
        <w:t>4.2 Update Process. (a) The Secretariat proposes updates to the Operational Manual at any time. (b) Proposed updates are: (i) published on the Dashboard with a 30-day notice period; (ii) notified to all Members through official channels; and (iii) accompanied by a justification memorandum explaining the need for the update. (c) Members object to any proposed update within the 30-day notice period. (d) If no Member objects within the notice period, the update takes effect automatically. (e) If 1-2 Members object, the update requires a 55% CC vote for approval. (f) If 3 or more Members object, the update is referred to the next regular CC session for deliberation and requires a 60% vote for approval. (g) Emergency updates, certified by the IEWC as necessary to respond to an active coercion case, take effect immediately, subject to 30-day retroactive ratification by the CC.</w:t>
      </w:r>
    </w:p>
    <w:p>
      <w:r>
        <w:t>4.3 Scope Limitations. (a) Updates to the Operational Manual are limited to: (i) procedural refinements; (ii) clarifications of existing provisions; (iii) technical updates to annexes and schedules; (iv) updates to standard operating procedures; (v) updates to model legal justifications; (vi) updates to implementation checklists; and (vii) updates to decision trees and flowcharts. (b) Updates to the Operational Manual never: (i) modify the substantive rights or obligations of Members; (ii) alter any core principle or definition; (iii) change any voting threshold; (iv) change any Fund contribution formula or cap; (v) remove or weaken any humanitarian safeguard; (vi) remove or weaken any small-state protection; or (vii) remove or weaken any anti-fragmentation provision.</w:t>
      </w:r>
    </w:p>
    <w:p>
      <w:pPr>
        <w:pStyle w:val="Heading3"/>
      </w:pPr>
      <w:r>
        <w:t>Article 5: The Technical Reference (Tier 3)</w:t>
      </w:r>
    </w:p>
    <w:p>
      <w:r>
        <w:t>5.1 Scope and Content. The Technical Reference contains: Annex 24 (Operational Thresholds and Calibration Bands), Annex 6 (Burden-Sharing Calculation Methodologies, detailed), Annex 8A (Illustrative Capitalisation Model, detailed), Annex 14 (Coercion Forecast Market Protocols, technical), Annex 13A (Verified Capability Index, technical), Annex 1A.1 (WTO Defence-in-Depth Protocol, technical), Annex 1B (Investment Treaty Coordination, technical), Annex 1C (Sovereign Debt Coercion Protocol), Annex 2A (Functional State-Adjoining Sector List), Annex 2B (Biological Security Information Coercion Protocol), Annex 5A (Constitutional Conflict Procedures), Annex 6B (Internal Adjudication Charter), Annex 11B (Open Standards Protocol, technical), Annex 11C (Alternative Payment System Coordination Protocol, technical), Annex 12 (Digital and AI Governance Protocol), and Annex 20 (Contingency Architecture for Future Review, including Module G: Monetary Resilience Options Paper, Module A: Institutional Resilience Scenarios, Module B: Major Economy Integration, Module C: Federal System Implementation, Module D: Corporate Coercion Response, Module E: Sub-National Economic Security Cooperation, and Module F: Inter-Institutional Concordat Pathway).</w:t>
      </w:r>
    </w:p>
    <w:p>
      <w:r>
        <w:t>5.2 Update Process. (a) The Secretariat updates the Technical Reference at any time. (b) Updates are: (i) published on the Dashboard; (ii) notified to all Members through official channels; and (iii) accompanied by a technical justification memorandum. (c) Members hold 14 days to object to any update. (d) If no Member objects, the update takes effect automatically. (e) If any Member objects, the update is referred to the next regular CC session and requires a 55% vote for approval. (f) Emergency updates, certified by the IEWC as necessary to respond to an active coercion case, take effect immediately, subject to 14-day retroactive ratification by the CC.</w:t>
      </w:r>
    </w:p>
    <w:p>
      <w:r>
        <w:t>5.3 Scope Limitations. (a) Updates to the Technical Reference are limited to: (i) numeric threshold adjustments; (ii) formula updates; (iii) list updates covering sectors, products, and countries; (iv) timeline adjustments; (v) technical methodology updates; (vi) data source updates; and (vii) technical corrections. (b) Updates to the Technical Reference never: (i) modify the substantive rights or obligations of Members; (ii) alter any core principle or definition; (iii) change any voting threshold; (iv) change any Fund contribution formula or cap; (v) remove or weaken any humanitarian safeguard; (vi) remove or weaken any small-state protection; or (vii) remove or weaken any anti-fragmentation provision.</w:t>
      </w:r>
    </w:p>
    <w:p>
      <w:pPr>
        <w:pStyle w:val="Heading3"/>
      </w:pPr>
      <w:r>
        <w:t>Article 6: The Living Document Dashboard</w:t>
      </w:r>
    </w:p>
    <w:p>
      <w:r>
        <w:t>6.1 Establishment. The Secretariat maintains a Living Document Dashboard, accessible to all Members and the public.</w:t>
      </w:r>
    </w:p>
    <w:p>
      <w:r>
        <w:t>6.2 Content. The Dashboard displays: (a) the current version of all three tiers (Charter, Operational Manual, Technical Reference); (b) a version history showing all changes made under this Protocol; (c) all proposed updates currently under notice period; (d) all objections filed by Members; (e) all votes on proposed updates; and (f) a searchable database of all provisions, cross-referenced.</w:t>
      </w:r>
    </w:p>
    <w:p>
      <w:r>
        <w:t>6.3 Notifications. The Secretariat: (a) notifies all Members of any proposed update through official channels; (b) provides a 30-day notice period for Operational Manual updates; (c) provides a 14-day notice period for Technical Reference updates; and (d) provides immediate notification for emergency updates.</w:t>
      </w:r>
    </w:p>
    <w:p>
      <w:pPr>
        <w:pStyle w:val="Heading3"/>
      </w:pPr>
      <w:r>
        <w:t>Article 7: Annual Review</w:t>
      </w:r>
    </w:p>
    <w:p>
      <w:r>
        <w:t>7.1 Annual Living Document Review. (a) The Secretariat conducts an annual Living Document Review. (b) The Review assesses: (i) all updates made in the preceding year; (ii) any operational gaps identified; (iii) any emerging threats not addressed; (iv) any Member feedback received; and (v) any necessary adjustments to the Protocol itself. (c) The Review is: (i) published on the Dashboard; (ii) presented to the CC; and (iii) used to inform the next year's update priorities.</w:t>
      </w:r>
    </w:p>
    <w:p>
      <w:r>
        <w:t>7.2 Grand Review Convention Integration. (a) The Living Document Protocol is reviewed at each Grand Review Convention (Section 10A.1). (b) The Grand Review Convention elects to: (i) approve the Protocol as operating effectively; (ii) propose amendments to the Protocol; or (iii) recommend changes to the tiered architecture.</w:t>
      </w:r>
    </w:p>
    <w:p>
      <w:pPr>
        <w:pStyle w:val="Heading3"/>
      </w:pPr>
      <w:r>
        <w:t>Article 8: Safeguards and Limitations</w:t>
      </w:r>
    </w:p>
    <w:p>
      <w:r>
        <w:t>8.1 No Modification of Core Rights. (a) Nothing in this Protocol authorises any update that would modify the substantive rights or obligations of Members. (b) Any update that would modify such rights or obligations proceeds through the treaty amendment process (Article 3.2). (c) The Secretariat certifies that every proposed update complies with this limitation.</w:t>
      </w:r>
    </w:p>
    <w:p>
      <w:r>
        <w:t>8.2 Member Challenge Rights. (a) Any Member challenges any update under this Protocol. (b) Challenges are: (i) filed with the Secretariat within 14 days of the update; (ii) adjudicated by the Internal Adjudication Chamber (Section 6.9); and (iii) resolved within 30 days of filing. (c) The IAC: (i) upholds the update; (ii) strikes down the update as exceeding the scope of this Protocol; or (iii) refers the update to the treaty amendment process.</w:t>
      </w:r>
    </w:p>
    <w:p>
      <w:r>
        <w:t>8.3 Emergency Updates. (a) Emergency updates are limited to cases certified by the IEWC as necessary to respond to an active coercion case. (b) Emergency updates are: (i) narrowly tailored to the specific emergency; (ii) time-limited to the duration of the emergency; and (iii) subject to 30-day retroactive ratification. (c) If an emergency update fails ratification, it is automatically reversed, and any measures taken under it are subject to restitution.</w:t>
      </w:r>
    </w:p>
    <w:p>
      <w:r>
        <w:t>8.4 Nofade Protocol Integration. (a) All updates under this Protocol operate under the Nofade Protocol (Annex 25). (b) No update causes any commitment to fade, expire, or decay. (c) All updates persist at full strength until modified or terminated through the procedures of this Protocol.</w:t>
      </w:r>
    </w:p>
    <w:p>
      <w:pPr>
        <w:pStyle w:val="Heading3"/>
      </w:pPr>
      <w:r>
        <w:t>Article 9: Final Provisions</w:t>
      </w:r>
    </w:p>
    <w:p>
      <w:r>
        <w:t>9.1 Entry into Force. This Protocol enters into force upon adoption by the founding conference and binds all Members from the date of accession.</w:t>
      </w:r>
    </w:p>
    <w:p>
      <w:r>
        <w:t>9.2 Review. This Protocol is reviewed at each Grand Review Convention (Section 10A.1).</w:t>
      </w:r>
    </w:p>
    <w:p>
      <w:r>
        <w:t>9.3 Amendment. This Protocol is amended only through the treaty amendment process (Article 3.2).</w:t>
      </w:r>
    </w:p>
    <w:p>
      <w:r>
        <w:t>9.4 No Precedent. This Protocol is sui generis, tailored to the circumstances of August 2026. No provision creates an inference regarding any matter the text does not expressly address.</w:t>
      </w:r>
    </w:p>
    <w:p>
      <w:pPr>
        <w:pStyle w:val="Heading1"/>
      </w:pPr>
      <w:r>
        <w:t>ANNEX 22: FOUNDING COALITION PLEDGE</w:t>
      </w:r>
      <w:bookmarkStart w:name="_Toc000063" w:id="63"/>
      <w:bookmarkEnd w:id="63"/>
    </w:p>
    <w:p>
      <w:r>
        <w:t>Status: Non-binding political declaration. Is signed at founding conference and later upgraded to full ratification of the IMESI Charter.</w:t>
      </w:r>
    </w:p>
    <w:p>
      <w:r>
        <w:t>PLEDGE TEXT We, the undersigned, recognising that economic coercion and systemic trade disruption threaten the</w:t>
      </w:r>
    </w:p>
    <w:p>
      <w:r>
        <w:t>sovereignty, prosperity, and security of all nations:</w:t>
      </w:r>
    </w:p>
    <w:p>
      <w:r>
        <w:t>DECLARE our intent to establish the International Mutual Economic Security Initiative (IMESI) as a rules-based,</w:t>
      </w:r>
    </w:p>
    <w:p>
      <w:r>
        <w:t>non-aligned mutual insurance mechanism that:</w:t>
      </w:r>
    </w:p>
    <w:p>
      <w:r>
        <w:t>(a) Protects members against two threats: targeted economic coercion linked to policy demands, and systemic trade disruptions that threaten collective economic security regardless of stated intent (b) Operates as insurance, not alliance, no trade bloc formation, no required geopolitical alignment, no delegation of trade sovereignty (c) Applies equally to coercion from any source, is not directed at any specific state or group of states (d) Preserves full parliamentary control, all significant response measures require national implementation through existing democratic processes (e) Caps member costs at a fraction of 1% of GDP in initial contributions, with stabilisation measure burdens not exceeding 5% GDP without explicit parliamentary consent</w:t>
      </w:r>
    </w:p>
    <w:p>
      <w:pPr>
        <w:pStyle w:val="Heading3"/>
      </w:pPr>
      <w:r>
        <w:t>TIER 2 OBLIGATIONS IN PLAIN LANGUAGE:</w:t>
      </w:r>
    </w:p>
    <w:p>
      <w:r>
        <w:t>When a coercion or systemic disruption case is certified, Tier 2 (Full) members commit to: (a) Participate in collective stabilisation response within their chosen sectors (selected at accession) (b) Contribute to burden-sharing at their GDP-weighted rate (with MOAR safety valve for sensitive sectors) (c) Implement authorised stabilisation measures through national legislation (no direct IMESI enforcement) (d) Maintain transparency on parallel trade negotiations during active cases (e) Accept costs capped at Member Cost Band ceiling (5% GDP maximum without parliamentary consent) Members abstain from any specific case through Constructive Abstention (Section 3.5) with surcharge. Members opt out of specific sectors through MOAR (Section 3.4) for 6 months. No member is compelled to act against their Parliament's authority.</w:t>
      </w:r>
    </w:p>
    <w:p>
      <w:r>
        <w:t>SIGNATORIES [Signature lines for founding states]</w:t>
      </w:r>
    </w:p>
    <w:p>
      <w:pPr>
        <w:pStyle w:val="Heading1"/>
      </w:pPr>
      <w:r>
        <w:t>ANNEX 22A: MICRO-STATE PARTICIPATION FRAMEWORK [NEW: v9.8A Small-State Protection]</w:t>
      </w:r>
      <w:bookmarkStart w:name="_Toc000064" w:id="64"/>
      <w:bookmarkEnd w:id="64"/>
    </w:p>
    <w:p>
      <w:r>
        <w:t>Purpose: Enable very small economies to participate meaningfully in IMESI burden-sharing without disproportionate self-harm.</w:t>
      </w:r>
    </w:p>
    <w:p>
      <w:r>
        <w:t>Eligibility</w:t>
      </w:r>
    </w:p>
    <w:p>
      <w:r>
        <w:t>Members with GDP below USD 10 billion (PPP-adjusted) or population below 500,000.</w:t>
      </w:r>
    </w:p>
    <w:p>
      <w:r>
        <w:t>Substitution Measures</w:t>
      </w:r>
    </w:p>
    <w:p>
      <w:pPr>
        <w:pStyle w:val="Normal"/>
      </w:pPr>
      <w:r>
        <w:rPr>
          <w:rFonts w:ascii="Calibri" w:hAnsi="Calibri" w:eastAsia="Microsoft YaHei" w:cs="Calibri"/>
          <w:color w:val="263238"/>
          <w:sz w:val="21"/>
          <w:szCs w:val="21"/>
        </w:rPr>
        <w:t>Eligible micro-states substitutes symbolic or low-cost measures for heavy trade measures while still qualifying as "participating" in burden-sharing. Qualifying substitutions include: targeted visa restrictions on coercer-state officials; regulatory gestures (suspension of bilateral MoUs, review of investment screening thresholds); diplomatic signalling measures (co-signing joint statements, supporting IMESI positions in multilateral fora); and information-sharing and compliance-reporting contributions. Micro-state substitution measures are assessed at 100% compliance equivalence for burden-sharing purposes, provided at least two categories of substitution are implemented per case.</w:t>
      </w:r>
    </w:p>
    <w:p>
      <w:pPr>
        <w:pStyle w:val="Heading2"/>
      </w:pPr>
      <w:r>
        <w:rPr>
          <w:rFonts w:ascii="Calibri" w:hAnsi="Calibri" w:eastAsia="Microsoft YaHei" w:cs="Calibri"/>
          <w:b/>
          <w:color w:val="263238"/>
          <w:sz w:val="25"/>
          <w:szCs w:val="25"/>
        </w:rPr>
        <w:t>Section 10.13: Coalition Market Access Pool [NEW: v9.8A Small-State Protection]</w:t>
      </w:r>
    </w:p>
    <w:p>
      <w:pPr>
        <w:pStyle w:val="Normal"/>
      </w:pPr>
      <w:r>
        <w:rPr>
          <w:rFonts w:ascii="Calibri" w:hAnsi="Calibri" w:eastAsia="Microsoft YaHei" w:cs="Calibri"/>
          <w:color w:val="263238"/>
          <w:sz w:val="21"/>
          <w:szCs w:val="21"/>
        </w:rPr>
        <w:t>Purpose: Enable small states to achieve collective market leverage comparable to a medium-size power through aligned trade responses.</w:t>
      </w:r>
    </w:p>
    <w:p>
      <w:pPr>
        <w:pStyle w:val="Normal"/>
      </w:pPr>
      <w:r>
        <w:rPr>
          <w:rFonts w:ascii="Calibri" w:hAnsi="Calibri" w:eastAsia="Microsoft YaHei" w:cs="Calibri"/>
          <w:color w:val="263238"/>
          <w:sz w:val="21"/>
          <w:szCs w:val="21"/>
        </w:rPr>
        <w:t>Mechanism</w:t>
      </w:r>
    </w:p>
    <w:p>
      <w:pPr>
        <w:pStyle w:val="Normal"/>
      </w:pPr>
      <w:r>
        <w:rPr>
          <w:rFonts w:ascii="Calibri" w:hAnsi="Calibri" w:eastAsia="Microsoft YaHei" w:cs="Calibri"/>
          <w:color w:val="263238"/>
          <w:sz w:val="21"/>
          <w:szCs w:val="21"/>
        </w:rPr>
        <w:t>Small-state Members commit voluntarily to align specific tariff or procurement measures and negotiate jointly vis-a-vis a coercer in targeted sectors (e.g. rare earths, ports, fisheries, digital services). The Secretariat facilitates "Coalition Market Access Pool" negotiations, providing legal and economic analysis to optimise collective bargaining positions.</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Aligned procurement and tariffs across participating small markets are treated as a single market for the purposes of proportionality calculations under Annex 2. Pool participation is voluntary and sector-specific; Members join or leave specific pools with 30-day notice.</w:t>
      </w:r>
    </w:p>
    <w:p>
      <w:pPr>
        <w:pStyle w:val="Heading1"/>
      </w:pPr>
      <w:r>
        <w:rPr>
          <w:rFonts w:ascii="Calibri" w:hAnsi="Calibri" w:eastAsia="Microsoft YaHei" w:cs="Calibri"/>
          <w:b/>
          <w:color w:val="455A64"/>
          <w:sz w:val="30"/>
          <w:szCs w:val="30"/>
        </w:rPr>
        <w:t>Annex 23: Institutional Hosting Options [NEW: v9.8A Political Roadmap]</w:t>
      </w:r>
      <w:bookmarkStart w:name="_Toc000065" w:id="65"/>
      <w:bookmarkEnd w:id="65"/>
    </w:p>
    <w:p>
      <w:pPr>
        <w:pStyle w:val="Normal"/>
      </w:pPr>
      <w:r>
        <w:rPr>
          <w:rFonts w:ascii="Calibri" w:hAnsi="Calibri" w:eastAsia="Microsoft YaHei" w:cs="Calibri"/>
          <w:color w:val="263238"/>
          <w:sz w:val="21"/>
          <w:szCs w:val="21"/>
        </w:rPr>
        <w:t>Three models for institutional hosting, to be determined by Founding Conference:</w:t>
      </w:r>
    </w:p>
    <w:p>
      <w:pPr>
        <w:pStyle w:val="Normal"/>
      </w:pPr>
      <w:r>
        <w:rPr>
          <w:rFonts w:ascii="Calibri" w:hAnsi="Calibri" w:eastAsia="Microsoft YaHei" w:cs="Calibri"/>
          <w:color w:val="263238"/>
          <w:sz w:val="21"/>
          <w:szCs w:val="21"/>
        </w:rPr>
        <w:t>Option A: Hosted Within Existing Organisation</w:t>
      </w:r>
    </w:p>
    <w:p>
      <w:pPr>
        <w:pStyle w:val="Normal"/>
      </w:pPr>
      <w:r>
        <w:rPr>
          <w:rFonts w:ascii="Calibri" w:hAnsi="Calibri" w:eastAsia="Microsoft YaHei" w:cs="Calibri"/>
          <w:color w:val="263238"/>
          <w:sz w:val="21"/>
          <w:szCs w:val="21"/>
        </w:rPr>
        <w:t>IMESI Secretariat hosted within OECD, WTO-adjacent facility, or regional body. Advantages: lower start-up costs, existing infrastructure, diplomatic status. Disadvantages: perceived alignment with host organisation's membership.</w:t>
      </w:r>
    </w:p>
    <w:p>
      <w:pPr>
        <w:pStyle w:val="Normal"/>
      </w:pPr>
      <w:r>
        <w:rPr>
          <w:rFonts w:ascii="Calibri" w:hAnsi="Calibri" w:eastAsia="Microsoft YaHei" w:cs="Calibri"/>
          <w:color w:val="263238"/>
          <w:sz w:val="21"/>
          <w:szCs w:val="21"/>
        </w:rPr>
        <w:t>Option B: Stand-Alone Treaty Secretariat</w:t>
      </w:r>
    </w:p>
    <w:p>
      <w:pPr>
        <w:pStyle w:val="Normal"/>
      </w:pPr>
      <w:r>
        <w:rPr>
          <w:rFonts w:ascii="Calibri" w:hAnsi="Calibri" w:eastAsia="Microsoft YaHei" w:cs="Calibri"/>
          <w:color w:val="263238"/>
          <w:sz w:val="21"/>
          <w:szCs w:val="21"/>
        </w:rPr>
        <w:t>Independent secretariat with rotating host every 10 years. Advantages: full institutional independence, neutral perception. Disadvantages: higher start-up costs, longer establishment timeline.</w:t>
      </w:r>
    </w:p>
    <w:p>
      <w:pPr>
        <w:pStyle w:val="Normal"/>
      </w:pPr>
      <w:r>
        <w:rPr>
          <w:rFonts w:ascii="Calibri" w:hAnsi="Calibri" w:eastAsia="Microsoft YaHei" w:cs="Calibri"/>
          <w:color w:val="263238"/>
          <w:sz w:val="21"/>
          <w:szCs w:val="21"/>
        </w:rPr>
        <w:t>Option C: Distributed Model</w:t>
      </w:r>
    </w:p>
    <w:p>
      <w:pPr>
        <w:pStyle w:val="Normal"/>
      </w:pPr>
      <w:r>
        <w:rPr>
          <w:rFonts w:ascii="Calibri" w:hAnsi="Calibri" w:eastAsia="Microsoft YaHei" w:cs="Calibri"/>
          <w:color w:val="263238"/>
          <w:sz w:val="21"/>
          <w:szCs w:val="21"/>
        </w:rPr>
        <w:t>IEWC in one city (e.g. Singapore or Geneva), SFI node governance in another (e.g. London or Tokyo), Secretariat in a third (e.g. Ottawa or Seoul). Advantages: geographic balance, resilience, political inclusivity. Disadvantages: coordination complexity.</w:t>
      </w:r>
    </w:p>
    <w:p>
      <w:pPr>
        <w:pStyle w:val="Normal"/>
      </w:pPr>
      <w:r>
        <w:rPr>
          <w:rFonts w:ascii="Calibri" w:hAnsi="Calibri" w:eastAsia="Microsoft YaHei" w:cs="Calibri"/>
          <w:color w:val="263238"/>
          <w:sz w:val="21"/>
          <w:szCs w:val="21"/>
        </w:rPr>
        <w:t>Host selection requires 60% CC vote. Host state signs a binding hosting agreement per Section 4.6F. Host change requires 12-month transition period and 55% CC vote.</w:t>
      </w:r>
    </w:p>
    <w:p>
      <w:pPr>
        <w:pStyle w:val="Heading1"/>
        <w:pageBreakBefore/>
      </w:pPr>
      <w:r>
        <w:rPr>
          <w:rFonts w:ascii="Calibri" w:hAnsi="Calibri" w:eastAsia="Microsoft YaHei" w:cs="Calibri"/>
          <w:b/>
          <w:color w:val="455A64"/>
          <w:sz w:val="30"/>
          <w:szCs w:val="30"/>
        </w:rPr>
        <w:t>ANNEX 25: THE NOFADE RULE, PROTOCOL FOR CONTINUOUS EFFECT</w:t>
      </w:r>
      <w:bookmarkStart w:name="_Toc000068" w:id="68"/>
      <w:bookmarkEnd w:id="68"/>
    </w:p>
    <w:p>
      <w:pPr>
        <w:pStyle w:val="Normal"/>
      </w:pPr>
      <w:r>
        <w:rPr>
          <w:rFonts w:ascii="Calibri" w:hAnsi="Calibri" w:eastAsia="Microsoft YaHei" w:cs="Calibri"/>
          <w:color w:val="263238"/>
          <w:sz w:val="21"/>
          <w:szCs w:val="21"/>
        </w:rPr>
        <w:t>This Annex constitutes a standalone technical instrument dedicated to the principle of continuous effect. It governs the interpretation of every provision of this Instrument. It records no admission of fault, liability, or belligerency by any Member, and it creates no precedent.</w:t>
      </w:r>
    </w:p>
    <w:p>
      <w:pPr>
        <w:pStyle w:val="Heading2"/>
      </w:pPr>
      <w:r>
        <w:rPr>
          <w:rFonts w:ascii="Calibri" w:hAnsi="Calibri" w:eastAsia="Microsoft YaHei" w:cs="Calibri"/>
          <w:b/>
          <w:color w:val="263238"/>
          <w:sz w:val="25"/>
          <w:szCs w:val="25"/>
        </w:rPr>
        <w:t>Article 1: The Nofade Guarantee</w:t>
      </w:r>
    </w:p>
    <w:p>
      <w:pPr>
        <w:pStyle w:val="Normal"/>
      </w:pPr>
      <w:r>
        <w:rPr>
          <w:rFonts w:ascii="Calibri" w:hAnsi="Calibri" w:eastAsia="Microsoft YaHei" w:cs="Calibri"/>
          <w:color w:val="263238"/>
          <w:sz w:val="21"/>
          <w:szCs w:val="21"/>
        </w:rPr>
        <w:t>1.1 No Sunset. Every provision and commitment under this Instrument contains no sunset clauses, no silent expirations, and no decaying obligations. The architecture operates on a continuous horizon, by design, because a commitment that expires is a commitment that plans to fail.</w:t>
      </w:r>
    </w:p>
    <w:p>
      <w:pPr>
        <w:pStyle w:val="Normal"/>
      </w:pPr>
      <w:r>
        <w:rPr>
          <w:rFonts w:ascii="Calibri" w:hAnsi="Calibri" w:eastAsia="Microsoft YaHei" w:cs="Calibri"/>
          <w:color w:val="263238"/>
          <w:sz w:val="21"/>
          <w:szCs w:val="21"/>
        </w:rPr>
        <w:t>1.2 No Fade of Commitments. Every commitment persists at full strength from activation until the Members jointly amend it in writing. Time never dilutes an obligation; routine never weakens a verification right; political weather never erodes a standing rule.</w:t>
      </w:r>
    </w:p>
    <w:p>
      <w:pPr>
        <w:pStyle w:val="Normal"/>
      </w:pPr>
      <w:r>
        <w:rPr>
          <w:rFonts w:ascii="Calibri" w:hAnsi="Calibri" w:eastAsia="Microsoft YaHei" w:cs="Calibri"/>
          <w:color w:val="263238"/>
          <w:sz w:val="21"/>
          <w:szCs w:val="21"/>
        </w:rPr>
        <w:t>1.3 No Fade of Earned Benefits. Benefits earned through verified compliance persist. No earned benefit lapses through the passage of time, a change of government, or a change of mood. Only a defined compliance engine adjusts a benefit, and the earn-back mechanism always restores it.</w:t>
      </w:r>
    </w:p>
    <w:p>
      <w:pPr>
        <w:pStyle w:val="Normal"/>
      </w:pPr>
      <w:r>
        <w:rPr>
          <w:rFonts w:ascii="Calibri" w:hAnsi="Calibri" w:eastAsia="Microsoft YaHei" w:cs="Calibri"/>
          <w:color w:val="263238"/>
          <w:sz w:val="21"/>
          <w:szCs w:val="21"/>
        </w:rPr>
        <w:t>1.4 No Fade of Verification. Verification intensity never declines by default. The verification architecture, including inspector presence, telemetry feeds, custody seals, and audit rights, continues at full strength for the life of the Instrument. Any reduction of verification intensity constitutes an amendment and takes effect only through a joint written instrument.</w:t>
      </w:r>
    </w:p>
    <w:p>
      <w:pPr>
        <w:pStyle w:val="Normal"/>
      </w:pPr>
      <w:r>
        <w:rPr>
          <w:rFonts w:ascii="Calibri" w:hAnsi="Calibri" w:eastAsia="Microsoft YaHei" w:cs="Calibri"/>
          <w:color w:val="263238"/>
          <w:sz w:val="21"/>
          <w:szCs w:val="21"/>
        </w:rPr>
        <w:t>1.5 Exit is an Act, Not a Fade. Withdrawal constitutes a deliberate, notified, time-bound sovereign act. Nothing in this Instrument drifts away; everything either persists at full force or changes by joint signature.</w:t>
      </w:r>
    </w:p>
    <w:p>
      <w:pPr>
        <w:pStyle w:val="Heading2"/>
      </w:pPr>
      <w:r>
        <w:rPr>
          <w:rFonts w:ascii="Calibri" w:hAnsi="Calibri" w:eastAsia="Microsoft YaHei" w:cs="Calibri"/>
          <w:b/>
          <w:color w:val="263238"/>
          <w:sz w:val="25"/>
          <w:szCs w:val="25"/>
        </w:rPr>
        <w:t>Article 2: Core Operating Principles</w:t>
      </w:r>
    </w:p>
    <w:p>
      <w:pPr>
        <w:pStyle w:val="Normal"/>
      </w:pPr>
      <w:r>
        <w:rPr>
          <w:rFonts w:ascii="Calibri" w:hAnsi="Calibri" w:eastAsia="Microsoft YaHei" w:cs="Calibri"/>
          <w:color w:val="263238"/>
          <w:sz w:val="21"/>
          <w:szCs w:val="21"/>
        </w:rPr>
        <w:t>2.1 The No-Fade Rule. No framework commitment fades at any date boundary. Verified performance banks permanently. The Instrument recognises no sunset, no cliff, and no silent expiry. Every obligation persists exactly as written until the Members amend it in writing or a Member exits through an orderly transition procedure. This rule governs the interpretation of every other provision.</w:t>
      </w:r>
    </w:p>
    <w:p>
      <w:pPr>
        <w:pStyle w:val="Normal"/>
      </w:pPr>
      <w:r>
        <w:rPr>
          <w:rFonts w:ascii="Calibri" w:hAnsi="Calibri" w:eastAsia="Microsoft YaHei" w:cs="Calibri"/>
          <w:color w:val="263238"/>
          <w:sz w:val="21"/>
          <w:szCs w:val="21"/>
        </w:rPr>
        <w:t>2.2 Banked Performance. Each verified day banks. Every certification, audit, and compliance milestone accumulates as the factual baseline for every subsequent review, every renewal, and every graduation into successor instruments. No Member re-litigates a banked entry, and no classification reaches backward to erase one.</w:t>
      </w:r>
    </w:p>
    <w:p>
      <w:pPr>
        <w:pStyle w:val="Heading2"/>
      </w:pPr>
      <w:r>
        <w:rPr>
          <w:rFonts w:ascii="Calibri" w:hAnsi="Calibri" w:eastAsia="Microsoft YaHei" w:cs="Calibri"/>
          <w:b/>
          <w:color w:val="263238"/>
          <w:sz w:val="25"/>
          <w:szCs w:val="25"/>
        </w:rPr>
        <w:t>Article 3: Operational Application</w:t>
      </w:r>
    </w:p>
    <w:p>
      <w:r>
        <w:t>3.1 Renewal by Silence. Periodic elements, including budgets, rate schedules, certifications, and observer mandates, renew by silence at each cycle boundary on a clean record. A Member declines a renewal only through a written notice procedure, and a declined renewal routes to default continuity: the previous element carries forward at its previous level until the Members agree its successor. Silence renews; only writing changes.</w:t>
      </w:r>
    </w:p>
    <w:p>
      <w:r>
        <w:t>3.2 Administrative Rhythms, Not Expiries. Review points, reporting deadlines, certification cycles, and phase boundaries operate as administrative rhythms: at every boundary, the operational state carries forward by default, renewal occurs by silence, and the passing of any date suspends nothing, voids nothing, and resets nothing. The nominal boundary of a negotiation window operates as a review point, never as a deadline that erases the window.</w:t>
      </w:r>
    </w:p>
    <w:p>
      <w:pPr>
        <w:pStyle w:val="Normal"/>
      </w:pPr>
      <w:r>
        <w:rPr>
          <w:rFonts w:ascii="Calibri" w:hAnsi="Calibri" w:eastAsia="Microsoft YaHei" w:cs="Calibri"/>
          <w:color w:val="263238"/>
          <w:sz w:val="21"/>
          <w:szCs w:val="21"/>
        </w:rPr>
        <w:t>3.3 Default Continuity. Where a decision stalls, the standing procedures of the framework govern by default. A stalled budget question runs on the previous budget at the same level; a stalled rate question runs on the previous rate; a stalled procedure question runs on the existing annex text. Default continuity is the no-fade rule applied to administration: no deadlock suspends, degrades, or re-prices any operation.</w:t>
      </w:r>
    </w:p>
    <w:p>
      <w:pPr>
        <w:pStyle w:val="Heading2"/>
      </w:pPr>
      <w:r>
        <w:rPr>
          <w:rFonts w:ascii="Calibri" w:hAnsi="Calibri" w:eastAsia="Microsoft YaHei" w:cs="Calibri"/>
          <w:b/>
          <w:color w:val="263238"/>
          <w:sz w:val="25"/>
          <w:szCs w:val="25"/>
        </w:rPr>
        <w:t>Article 4: Final Provisions</w:t>
      </w:r>
    </w:p>
    <w:p>
      <w:pPr>
        <w:pStyle w:val="Normal"/>
      </w:pPr>
      <w:r>
        <w:rPr>
          <w:rFonts w:ascii="Calibri" w:hAnsi="Calibri" w:eastAsia="Microsoft YaHei" w:cs="Calibri"/>
          <w:color w:val="263238"/>
          <w:sz w:val="21"/>
          <w:szCs w:val="21"/>
        </w:rPr>
        <w:t>4.1 Review of Annexes. All annexes undergo review at each architecture review, and amendment occurs by consensus of the Members. An annex left unreviewed for consecutive review points stands automatically confirmed for a further review cycle. No annex expires by silence, consistent with the no-fade continuity rule.</w:t>
      </w:r>
    </w:p>
    <w:p>
      <w:pPr>
        <w:pStyle w:val="Normal"/>
      </w:pPr>
      <w:r>
        <w:rPr>
          <w:rFonts w:ascii="Calibri" w:hAnsi="Calibri" w:eastAsia="Microsoft YaHei" w:cs="Calibri"/>
          <w:color w:val="263238"/>
          <w:sz w:val="21"/>
          <w:szCs w:val="21"/>
        </w:rPr>
        <w:t>4.2 No Precedent. This Protocol is sui generis, tailored to the circumstances of July 2026. No provision creates an inference regarding any matter the text does not expressly address.</w:t>
      </w:r>
    </w:p>
    <w:p>
      <w:pPr>
        <w:pStyle w:val="Normal"/>
      </w:pPr>
      <w:r>
        <w:rPr>
          <w:rFonts w:ascii="Calibri" w:hAnsi="Calibri" w:eastAsia="Microsoft YaHei" w:cs="Calibri"/>
          <w:color w:val="263238"/>
          <w:sz w:val="21"/>
          <w:szCs w:val="21"/>
        </w:rPr>
        <w:t>4.3 Entry into Force. This Protocol enters into force upon adoption by the founding conference and binds all Members from the date of accession.</w:t>
      </w:r>
    </w:p>
    <w:p>
      <w:pPr>
        <w:pStyle w:val="Heading1"/>
      </w:pPr>
      <w:bookmarkStart w:name="_Toc000077" w:id="77"/>
      <w:r>
        <w:rPr>
          <w:rFonts w:ascii="Calibri" w:hAnsi="Calibri" w:eastAsia="Microsoft YaHei" w:cs="Calibri"/>
          <w:b/>
          <w:color w:val="455A64"/>
          <w:sz w:val="30"/>
          <w:szCs w:val="30"/>
        </w:rPr>
        <w:t>FOUNDING POLITICAL ROADMAP</w:t>
      </w:r>
      <w:bookmarkEnd w:id="77"/>
    </w:p>
    <w:p>
      <w:pPr>
        <w:pStyle w:val="Normal"/>
      </w:pPr>
      <w:r>
        <w:rPr>
          <w:rFonts w:ascii="Calibri" w:hAnsi="Calibri" w:eastAsia="Microsoft YaHei" w:cs="Calibri"/>
          <w:color w:val="263238"/>
          <w:sz w:val="21"/>
          <w:szCs w:val="21"/>
        </w:rPr>
        <w:t>This section outlines illustrative pathways to formal establishment. Nothing here is binding; it provides officials with concrete options for moving from concept to operation.</w:t>
      </w:r>
    </w:p>
    <w:p>
      <w:pPr>
        <w:pStyle w:val="Normal"/>
      </w:pPr>
      <w:r>
        <w:rPr>
          <w:rFonts w:ascii="Calibri" w:hAnsi="Calibri" w:eastAsia="Microsoft YaHei" w:cs="Calibri"/>
          <w:color w:val="263238"/>
          <w:sz w:val="21"/>
          <w:szCs w:val="21"/>
        </w:rPr>
        <w:t>Three Anchor Paths</w:t>
      </w:r>
    </w:p>
    <w:p>
      <w:pPr>
        <w:pStyle w:val="Normal"/>
      </w:pPr>
      <w:r>
        <w:rPr>
          <w:rFonts w:ascii="Calibri" w:hAnsi="Calibri" w:eastAsia="Microsoft YaHei" w:cs="Calibri"/>
          <w:color w:val="263238"/>
          <w:sz w:val="21"/>
          <w:szCs w:val="21"/>
        </w:rPr>
        <w:t>Path A: G7/G20 Task Force</w:t>
      </w:r>
    </w:p>
    <w:p>
      <w:pPr>
        <w:pStyle w:val="Normal"/>
      </w:pPr>
      <w:r>
        <w:rPr>
          <w:rFonts w:ascii="Calibri" w:hAnsi="Calibri" w:eastAsia="Microsoft YaHei" w:cs="Calibri"/>
          <w:color w:val="263238"/>
          <w:sz w:val="21"/>
          <w:szCs w:val="21"/>
        </w:rPr>
        <w:t>A G7 leader champions an "Economic Resilience Initiative" concept note. G7 foreign/trade ministers commission a joint task force. Task force reports within 12 months with a scoping mandate. G20 endorsement sought as broader political validation. Timeline to drafting conference: 18-24 months.</w:t>
      </w:r>
    </w:p>
    <w:p>
      <w:pPr>
        <w:pStyle w:val="Normal"/>
      </w:pPr>
      <w:r>
        <w:rPr>
          <w:rFonts w:ascii="Calibri" w:hAnsi="Calibri" w:eastAsia="Microsoft YaHei" w:cs="Calibri"/>
          <w:color w:val="263238"/>
          <w:sz w:val="21"/>
          <w:szCs w:val="21"/>
        </w:rPr>
        <w:t>Path B: OECD or WTO Joint Initiative</w:t>
      </w:r>
    </w:p>
    <w:p>
      <w:pPr>
        <w:pStyle w:val="Normal"/>
      </w:pPr>
      <w:r>
        <w:rPr>
          <w:rFonts w:ascii="Calibri" w:hAnsi="Calibri" w:eastAsia="Microsoft YaHei" w:cs="Calibri"/>
          <w:color w:val="263238"/>
          <w:sz w:val="21"/>
          <w:szCs w:val="21"/>
        </w:rPr>
        <w:t>An OECD working group on economic coercion produces a "Principles for Mutual Economic Security" paper. Joint initiative launched with willing WTO members. Drafting conducted within existing multilateral infrastructure. Timeline to drafting conference: 24-36 months (slower but higher multilateral legitimacy).</w:t>
      </w:r>
    </w:p>
    <w:p>
      <w:pPr>
        <w:pStyle w:val="Normal"/>
      </w:pPr>
      <w:r>
        <w:rPr>
          <w:rFonts w:ascii="Calibri" w:hAnsi="Calibri" w:eastAsia="Microsoft YaHei" w:cs="Calibri"/>
          <w:color w:val="263238"/>
          <w:sz w:val="21"/>
          <w:szCs w:val="21"/>
        </w:rPr>
        <w:t>Path C: Regional Pilot</w:t>
      </w:r>
    </w:p>
    <w:p>
      <w:pPr>
        <w:pStyle w:val="Normal"/>
      </w:pPr>
      <w:r>
        <w:rPr>
          <w:rFonts w:ascii="Calibri" w:hAnsi="Calibri" w:eastAsia="Microsoft YaHei" w:cs="Calibri"/>
          <w:color w:val="263238"/>
          <w:sz w:val="21"/>
          <w:szCs w:val="21"/>
        </w:rPr>
        <w:t>A coalition of 5-8 willing states (e.g. EU core + Japan + Canada + Australia + South Korea + 2 Global South partners) launches a "Founding Phase" pilot under a simplified scope (tariffs + basic liquidity only). Pilot runs 18-24 months; success triggers broader accession window. Timeline to operational pilot: 12-18 months (fastest path to proof of concept).</w:t>
      </w:r>
    </w:p>
    <w:p>
      <w:pPr>
        <w:pStyle w:val="Normal"/>
      </w:pPr>
      <w:r>
        <w:rPr>
          <w:rFonts w:ascii="Calibri" w:hAnsi="Calibri" w:eastAsia="Microsoft YaHei" w:cs="Calibri"/>
          <w:color w:val="263238"/>
          <w:sz w:val="21"/>
          <w:szCs w:val="21"/>
        </w:rPr>
        <w:t>Proposed Sequence</w:t>
      </w:r>
    </w:p>
    <w:p>
      <w:pPr>
        <w:pStyle w:val="Normal"/>
      </w:pPr>
      <w:r>
        <w:rPr>
          <w:rFonts w:ascii="Calibri" w:hAnsi="Calibri" w:eastAsia="Microsoft YaHei" w:cs="Calibri"/>
          <w:color w:val="263238"/>
          <w:sz w:val="21"/>
          <w:szCs w:val="21"/>
        </w:rPr>
        <w:t>Phase 1 (Months 0-6): Concept paper circulated among willing governments; informal consultations at ministerial margins (G7, OECD, WTO Ministerial). Phase 2 (Months 6-12): Scoping mandate agreed; Provisional Convening Group formed (any 3+ major economies + 2 small states). Phase 3 (Months 12-24): Drafting conference; text negotiation; indicative capitalisation commitments. Phase 4 (Months 24-30): Signature window opens; ratification processes begin. Phase 5 (Month 30+): Entry into force upon reaching Minimum Viable Coalition threshold (Section 10A.2B).</w:t>
      </w:r>
    </w:p>
    <w:p>
      <w:pPr>
        <w:pStyle w:val="Normal"/>
      </w:pPr>
      <w:r>
        <w:rPr>
          <w:rFonts w:ascii="Calibri" w:hAnsi="Calibri" w:eastAsia="Microsoft YaHei" w:cs="Calibri"/>
          <w:color w:val="263238"/>
          <w:sz w:val="21"/>
          <w:szCs w:val="21"/>
        </w:rPr>
        <w:t>Illustrative Convening Configuration</w:t>
      </w:r>
    </w:p>
    <w:p>
      <w:pPr>
        <w:pStyle w:val="Normal"/>
      </w:pPr>
      <w:r>
        <w:rPr>
          <w:rFonts w:ascii="Calibri" w:hAnsi="Calibri" w:eastAsia="Microsoft YaHei" w:cs="Calibri"/>
          <w:color w:val="263238"/>
          <w:sz w:val="21"/>
          <w:szCs w:val="21"/>
        </w:rPr>
        <w:t>Any three or more willing major economies plus at least two small states call jointly a Founding Conference and act as the Provisional Steering Group. These roles rotate annually and do not grant permanent institutional control. The Steering Group's mandate expires upon formal establishment of the Secretariat.</w:t>
      </w:r>
    </w:p>
    <w:p>
      <w:pPr>
        <w:pStyle w:val="Heading1"/>
      </w:pPr>
      <w:bookmarkStart w:name="_Toc000078" w:id="78"/>
      <w:r>
        <w:rPr>
          <w:rFonts w:ascii="Calibri" w:hAnsi="Calibri" w:eastAsia="Microsoft YaHei" w:cs="Calibri"/>
          <w:b/>
          <w:color w:val="455A64"/>
          <w:sz w:val="30"/>
          <w:szCs w:val="30"/>
        </w:rPr>
        <w:t>WHO MOVES FIRST</w:t>
      </w:r>
      <w:bookmarkEnd w:id="78"/>
    </w:p>
    <w:p>
      <w:pPr>
        <w:pStyle w:val="Normal"/>
      </w:pPr>
      <w:r>
        <w:rPr>
          <w:rFonts w:ascii="Calibri" w:hAnsi="Calibri" w:eastAsia="Microsoft YaHei" w:cs="Calibri"/>
          <w:color w:val="263238"/>
          <w:sz w:val="21"/>
          <w:szCs w:val="21"/>
        </w:rPr>
        <w:t>In practice, IMESI moves from concept to pilot if three willing major economies and two small states jointly task their sherpas, at a G7, OECD, or regional summit, to launch a 12-18 month pilot under simplified scope (tariffs + basic liquidity only). That is the minimum viable political action: five governments, one joint communique, one MoU, and a working group with a 12-month mandate. Everything else, full treaty text, institutional design, capitalisation, follows from that initial decision. The question is not "is this ready?" The question is: "which five governments pick up the phone?"</w:t>
      </w:r>
    </w:p>
    <w:p>
      <w:pPr>
        <w:pStyle w:val="Heading1"/>
      </w:pPr>
      <w:r>
        <w:rPr>
          <w:rFonts w:ascii="Calibri" w:hAnsi="Calibri" w:eastAsia="Microsoft YaHei" w:cs="Calibri"/>
          <w:b/>
          <w:color w:val="455A64"/>
          <w:sz w:val="30"/>
          <w:szCs w:val="30"/>
        </w:rPr>
        <w:t>PILOT SCENARIO PROPOSAL: TARIFF COERCION AGAINST SMALL AGRICULTURAL EXPORTERS</w:t>
      </w:r>
    </w:p>
    <w:p>
      <w:pPr>
        <w:pStyle w:val="Normal"/>
      </w:pPr>
      <w:r>
        <w:rPr>
          <w:rFonts w:ascii="Calibri" w:hAnsi="Calibri" w:eastAsia="Microsoft YaHei" w:cs="Calibri"/>
          <w:color w:val="263238"/>
          <w:sz w:val="21"/>
          <w:szCs w:val="21"/>
        </w:rPr>
        <w:t>A concrete, realistic pilot that a small group could run without full treaty entry into force. Designed for think-tank proposals, G7 sherpa agendas, or regional body working groups.</w:t>
      </w:r>
    </w:p>
    <w:p>
      <w:pPr>
        <w:pStyle w:val="Normal"/>
      </w:pPr>
      <w:r>
        <w:rPr>
          <w:rFonts w:ascii="Calibri" w:hAnsi="Calibri" w:eastAsia="Microsoft YaHei" w:cs="Calibri"/>
          <w:color w:val="263238"/>
          <w:sz w:val="21"/>
          <w:szCs w:val="21"/>
        </w:rPr>
        <w:t>Participating States</w:t>
      </w:r>
    </w:p>
    <w:p>
      <w:pPr>
        <w:pStyle w:val="Normal"/>
      </w:pPr>
      <w:r>
        <w:rPr>
          <w:rFonts w:ascii="Calibri" w:hAnsi="Calibri" w:eastAsia="Microsoft YaHei" w:cs="Calibri"/>
          <w:color w:val="263238"/>
          <w:sz w:val="21"/>
          <w:szCs w:val="21"/>
        </w:rPr>
        <w:t>3-5 volunteer governments (suggested mix: 1 major economy, 2 mid-size, 1-2 small states). Observers welcome. No formal ratification required, this is a simulation/exercise under a joint MoU.</w:t>
      </w:r>
    </w:p>
    <w:p>
      <w:pPr>
        <w:pStyle w:val="Normal"/>
      </w:pPr>
      <w:r>
        <w:rPr>
          <w:rFonts w:ascii="Calibri" w:hAnsi="Calibri" w:eastAsia="Microsoft YaHei" w:cs="Calibri"/>
          <w:color w:val="263238"/>
          <w:sz w:val="21"/>
          <w:szCs w:val="21"/>
        </w:rPr>
        <w:t>Scope</w:t>
      </w:r>
    </w:p>
    <w:p>
      <w:pPr>
        <w:pStyle w:val="Normal"/>
      </w:pPr>
      <w:r>
        <w:rPr>
          <w:rFonts w:ascii="Calibri" w:hAnsi="Calibri" w:eastAsia="Microsoft YaHei" w:cs="Calibri"/>
          <w:color w:val="263238"/>
          <w:sz w:val="21"/>
          <w:szCs w:val="21"/>
        </w:rPr>
        <w:t>Limited to tariff coercion in agricultural products. Simulated IEWC certification process (using real trade data and hypothetical scenario). Track A stabilisation measures: simulated joint procurement, supply-chain rerouting, and liquidity deployment. Track B: simulated coordinated tariff response (no actual tariff changes; paper exercise only).</w:t>
      </w:r>
    </w:p>
    <w:p>
      <w:pPr>
        <w:pStyle w:val="Normal"/>
      </w:pPr>
      <w:r>
        <w:rPr>
          <w:rFonts w:ascii="Calibri" w:hAnsi="Calibri" w:eastAsia="Microsoft YaHei" w:cs="Calibri"/>
          <w:color w:val="263238"/>
          <w:sz w:val="21"/>
          <w:szCs w:val="21"/>
        </w:rPr>
        <w:t>Timeline</w:t>
      </w:r>
    </w:p>
    <w:p>
      <w:pPr>
        <w:pStyle w:val="Normal"/>
      </w:pPr>
      <w:r>
        <w:rPr>
          <w:rFonts w:ascii="Calibri" w:hAnsi="Calibri" w:eastAsia="Microsoft YaHei" w:cs="Calibri"/>
          <w:color w:val="263238"/>
          <w:sz w:val="21"/>
          <w:szCs w:val="21"/>
        </w:rPr>
        <w:t>Month 1: MoU signed; scenario briefing distributed. Month 2: Simulated IEWC certification exercise. Month 3: Track A tabletop exercise (supply-chain rerouting, Fund deployment). Month 4: Track B tabletop exercise (coordinated tariff response, de-escalation). Month 5: After-action review; lessons-learned report. Month 6: Public report; recommendations for next steps.</w:t>
      </w:r>
    </w:p>
    <w:p>
      <w:pPr>
        <w:pStyle w:val="Normal"/>
      </w:pPr>
      <w:r>
        <w:rPr>
          <w:rFonts w:ascii="Calibri" w:hAnsi="Calibri" w:eastAsia="Microsoft YaHei" w:cs="Calibri"/>
          <w:color w:val="263238"/>
          <w:sz w:val="21"/>
          <w:szCs w:val="21"/>
        </w:rPr>
        <w:t>Conversion to Formal Entry</w:t>
      </w:r>
    </w:p>
    <w:p>
      <w:pPr>
        <w:pStyle w:val="Normal"/>
      </w:pPr>
      <w:r>
        <w:rPr>
          <w:rFonts w:ascii="Calibri" w:hAnsi="Calibri" w:eastAsia="Microsoft YaHei" w:cs="Calibri"/>
          <w:color w:val="263238"/>
          <w:sz w:val="21"/>
          <w:szCs w:val="21"/>
        </w:rPr>
        <w:t>If the pilot demonstrates operational viability: participants convert their MoU into a provisional accession instrument; pilot infrastructure (data sharing, legal templates, procurement networks) carries forward into formal operations; pilot participants qualify for Founding Member status and First-Mover Protection Package (Section 3.1F).</w:t>
      </w:r>
    </w:p>
    <w:p>
      <w:pPr>
        <w:pStyle w:val="Heading1"/>
        <w:pageBreakBefore/>
      </w:pPr>
      <w:bookmarkStart w:name="_Toc000086" w:id="86"/>
      <w:r>
        <w:rPr>
          <w:rFonts w:ascii="Calibri" w:hAnsi="Calibri" w:eastAsia="Microsoft YaHei" w:cs="Calibri"/>
          <w:b/>
          <w:color w:val="455A64"/>
          <w:sz w:val="30"/>
          <w:szCs w:val="30"/>
        </w:rPr>
        <w:t>CONCLUSION: A COALITION-READY FRAMEWORK</w:t>
      </w:r>
      <w:bookmarkEnd w:id="86"/>
    </w:p>
    <w:p>
      <w:pPr>
        <w:pStyle w:val="Normal"/>
      </w:pPr>
      <w:r>
        <w:rPr>
          <w:rFonts w:ascii="Calibri" w:hAnsi="Calibri" w:eastAsia="Microsoft YaHei" w:cs="Calibri"/>
          <w:color w:val="263238"/>
          <w:sz w:val="21"/>
          <w:szCs w:val="21"/>
        </w:rPr>
        <w:t>This framework balances five imperatives:</w:t>
      </w:r>
    </w:p>
    <w:p>
      <w:pPr>
        <w:pStyle w:val="Normal"/>
      </w:pPr>
      <w:r>
        <w:rPr>
          <w:rFonts w:ascii="Calibri" w:hAnsi="Calibri" w:eastAsia="Microsoft YaHei" w:cs="Calibri"/>
          <w:color w:val="263238"/>
          <w:sz w:val="21"/>
          <w:szCs w:val="21"/>
        </w:rPr>
        <w:t>Stabilisation Credibility • Automatic triggers and minimum response floors • Strategic targeting and horizontal escalation • Sustained pressure and reinstatement mechanisms • Binding commitments with real enforcement</w:t>
      </w:r>
    </w:p>
    <w:p>
      <w:pPr>
        <w:pStyle w:val="Normal"/>
      </w:pPr>
      <w:r>
        <w:rPr>
          <w:rFonts w:ascii="Calibri" w:hAnsi="Calibri" w:eastAsia="Microsoft YaHei" w:cs="Calibri"/>
          <w:color w:val="263238"/>
          <w:sz w:val="21"/>
          <w:szCs w:val="21"/>
        </w:rPr>
        <w:t>Political Viability • Insurance framing (mutual security rather than adversarial bloc) • Observer+ low-commitment entry tier • Constructive abstention for constrained members • Five-year review providing exit ramps • Peacetime benefits</w:t>
      </w:r>
    </w:p>
    <w:p>
      <w:pPr>
        <w:pStyle w:val="Normal"/>
      </w:pPr>
      <w:r>
        <w:rPr>
          <w:rFonts w:ascii="Calibri" w:hAnsi="Calibri" w:eastAsia="Microsoft YaHei" w:cs="Calibri"/>
          <w:color w:val="263238"/>
          <w:sz w:val="21"/>
          <w:szCs w:val="21"/>
        </w:rPr>
        <w:t>Coalition Durability • Burden-sharing equalisation • Anti-fragmentation enforcement • Emergency liquidity • Cost modelling preventing unsustainable escalation</w:t>
      </w:r>
    </w:p>
    <w:p>
      <w:pPr>
        <w:pStyle w:val="Normal"/>
      </w:pPr>
      <w:r>
        <w:rPr>
          <w:rFonts w:ascii="Calibri" w:hAnsi="Calibri" w:eastAsia="Microsoft YaHei" w:cs="Calibri"/>
          <w:color w:val="263238"/>
          <w:sz w:val="21"/>
          <w:szCs w:val="21"/>
        </w:rPr>
        <w:t>Responsible Escalation • Containment doctrine • Face-saving off-ramps • Graduated response with review gates • Systemic-economy protocol preventing accidents</w:t>
      </w:r>
    </w:p>
    <w:p>
      <w:pPr>
        <w:pStyle w:val="Normal"/>
      </w:pPr>
      <w:r>
        <w:rPr>
          <w:rFonts w:ascii="Calibri" w:hAnsi="Calibri" w:eastAsia="Microsoft YaHei" w:cs="Calibri"/>
          <w:color w:val="263238"/>
          <w:sz w:val="21"/>
          <w:szCs w:val="21"/>
        </w:rPr>
        <w:t>Institutional Sustainability • Protection against over-delegation • Mandatory reviews and amendments • Rolling review clauses for emergency powers • Professional independent Secretariat</w:t>
      </w:r>
    </w:p>
    <w:p>
      <w:pPr>
        <w:pStyle w:val="Normal"/>
      </w:pPr>
      <w:r>
        <w:rPr>
          <w:rFonts w:ascii="Calibri" w:hAnsi="Calibri" w:eastAsia="Microsoft YaHei" w:cs="Calibri"/>
          <w:color w:val="263238"/>
          <w:sz w:val="21"/>
          <w:szCs w:val="21"/>
        </w:rPr>
        <w:t>Accessibility Without Weakness • Provisional membership and reverse accession lower entry barriers • Sector opt-ins and rolling review cycles reduce perceived lock-in • Side letters and regional sub-committees preserve political flexibility • Peacetime Fund and Institutional Readiness Dashboard build pre-crisis institutional trust • Coalition activation and minimum response floors preserve stabilisation teeth</w:t>
      </w:r>
    </w:p>
    <w:p>
      <w:pPr>
        <w:pStyle w:val="Normal"/>
      </w:pPr>
      <w:r>
        <w:rPr>
          <w:rFonts w:ascii="Calibri" w:hAnsi="Calibri" w:eastAsia="Microsoft YaHei" w:cs="Calibri"/>
          <w:color w:val="263238"/>
          <w:sz w:val="21"/>
          <w:szCs w:val="21"/>
        </w:rPr>
        <w:t>Launch Strategy Year 1: EU core + UK + Japan + Canada + Australia + Korea = 10–12 states Year 2: Prove capability, operational intelligence cell, working reserves Years 3–5: Expand to 25–30 members, established track record Year 5+: Mature institution, 35–40 members, stabilisation equilibrium</w:t>
      </w:r>
    </w:p>
    <w:p>
      <w:pPr>
        <w:pStyle w:val="Normal"/>
      </w:pPr>
      <w:r>
        <w:rPr>
          <w:rFonts w:ascii="Calibri" w:hAnsi="Calibri" w:eastAsia="Microsoft YaHei" w:cs="Calibri"/>
          <w:color w:val="263238"/>
          <w:sz w:val="21"/>
          <w:szCs w:val="21"/>
        </w:rPr>
        <w:t>This document provides a complete framework for launching IMESI: a legal Charter ready for signature, operational procedures ready for implementation, financial mechanisms ready for capitalisation, strategic guidance ready for case application, an accession pathway ready for broader membership, and a founding coalition strategy ready for execution. The technical design phase is complete. The constraint is now politics, not architecture. The blueprint exists. The choice belongs to leaders willing to build it.</w:t>
      </w:r>
    </w:p>
    <w:p>
      <w:pPr>
        <w:pStyle w:val="Heading1"/>
        <w:pageBreakBefore w:val="1"/>
      </w:pPr>
      <w:r>
        <w:rPr>
          <w:rFonts w:ascii="Calibri" w:hAnsi="Calibri" w:eastAsia="Microsoft YaHei" w:cs="Calibri"/>
          <w:b/>
          <w:color w:val="455A64"/>
          <w:sz w:val="30"/>
          <w:szCs w:val="30"/>
        </w:rPr>
        <w:t>APPENDIX</w:t>
      </w:r>
    </w:p>
    <w:p>
      <w:pPr>
        <w:pStyle w:val="Normal"/>
      </w:pPr>
      <w:r>
        <w:rPr>
          <w:rFonts w:ascii="Calibri" w:hAnsi="Calibri" w:eastAsia="Microsoft YaHei" w:cs="Calibri"/>
          <w:color w:val="263238"/>
          <w:sz w:val="21"/>
          <w:szCs w:val="21"/>
        </w:rPr>
        <w:t>A. Glossary of Key Terms IMESI, International Mutual Economic Security Instrument Economic Coercion, The use of trade, investment, or financial measures to compel sovereign policy changes, meeting all five elements defined in Article II, Section 2.1 Constructive Abstention, Mechanism allowing a member to refrain from voting on a specific stabilisation measure without blocking coalition action, subject to compensatory contributions Enhanced Solidarity Mechanism, Tier 3 membership level involving the highest coordination commitments for major economies Resilience Fund, The Mutual Economic Security Fund's operational arm, structured as mutual insurance capacity (paid-in base, callable capital, market backstop) rather than standing cash pool. Used for burden-sharing, emergency disbursement, and compensation during coercion cases Reinstatement Mechanism, Automatic reactivation of previously authorised stabilisation measures when a coercing state violates resolution terms Strategic Multiplier, Clause that upgrades the severity classification of coercion targeting Tier 1 or Tier 2 strategic sectors Serial Coercer, Designation applied upon a third violation within 10 years, triggering permanent enhanced monitoring and reduced activation thresholds</w:t>
      </w:r>
    </w:p>
    <w:p>
      <w:pPr>
        <w:pStyle w:val="Normal"/>
      </w:pPr>
      <w:r>
        <w:rPr>
          <w:rFonts w:ascii="Calibri" w:hAnsi="Calibri" w:eastAsia="Microsoft YaHei" w:cs="Calibri"/>
          <w:color w:val="263238"/>
          <w:sz w:val="21"/>
          <w:szCs w:val="21"/>
        </w:rPr>
        <w:t>Reinstatement, Automatic reactivation of previously authorised stabilisation measures at 100% intensity within 48 hours of a verified Tier 3 violation, Resolution Voidance, or earn-back failure, with an additional 25% escalatory surcharge; the exception, not the default, operating as backstop to the Step-Back/Earn-Back Protocol Step-Back, Graduated reduction in non-humanitarian benefits scaling with the severity and duration of a compliance event; reversible upon compliance restoration Earn-Back, Automatic, defined pathway by which a Member restores full benefits after demonstrating sustained compliance; every step-back consequence carries an earn-back route, and no violation creates permanent exclusion Tier 1 (Technical Dispute), Minor administrative delays or technical reporting issues; no benefit reduction and no earn-back required Tier 2 (Material Disruption), Significant non-implementation, contribution default, or systematic non-compliance; 10-25% benefit reduction with a 14-day earn-back pathway Tier 3 (Deliberate Hostile Violation), Falsified data, sabotage of verification architecture, collusion with a certified coercer, or systematic bad faith; 25-50% benefit reduction with a 90-day earn-back pathway, failure of which triggers reinstatement Positive-Teeth Enforcement, Enforcement philosophy operating through the loss of earned benefits rather than the imposition of punishment</w:t>
      </w:r>
    </w:p>
    <w:p>
      <w:pPr>
        <w:pStyle w:val="Normal"/>
      </w:pPr>
      <w:r>
        <w:rPr>
          <w:rFonts w:ascii="Calibri" w:hAnsi="Calibri" w:eastAsia="Microsoft YaHei" w:cs="Calibri"/>
          <w:color w:val="263238"/>
          <w:sz w:val="21"/>
          <w:szCs w:val="21"/>
        </w:rPr>
        <w:t>IEWC, Integrated Early Warning Cell, permanent analytical unit within the Secretariat providing coercive signal monitoring, risk dashboards, and quarterly threat reports; staffed at 6–8 analysts for launch, scaling to 20–25 by Year 5 Horizontal Escalation, Cross-domain escalation of stabilisation measures, targeting coercer's strategic vulnerabilities beyond the affected sector Systemic-Economy Protocol, Enhanced procedural safeguards (dual/triple majority, heightened evidence, mandatory diplomacy) for cases involving G7 members, China, or states exceeding 15% of global GDP Minimum Response Floor, Binding obligation for</w:t>
      </w:r>
    </w:p>
    <w:p>
      <w:pPr>
        <w:pStyle w:val="Normal"/>
      </w:pPr>
      <w:r>
        <w:rPr>
          <w:rFonts w:ascii="Calibri" w:hAnsi="Calibri" w:eastAsia="Microsoft YaHei" w:cs="Calibri"/>
          <w:color w:val="263238"/>
          <w:sz w:val="21"/>
          <w:szCs w:val="21"/>
        </w:rPr>
        <w:t>Tier 2+ members to implement specified percentages of authorised stabilisation measures Burden-Sharing Equalisation, GDP-weighted mechanism ensuring all members bear approximately equal proportional economic burden from stabilisation measures Face-Saving Off-Ramp, Resolution pathway designed to allow coercing states to withdraw measures without domestic political humiliation Observer+, Tier 0 low-commitment entry status providing intelligence sharing and supply chain cooperation without stabilisation measure obligations Anti-Fragmentation, Enforcement provisions preventing members from undermining collective responses through side deals, substitute trade, or circumvention Coordination Committee, The principal decision-making body, operating under weighted voting with 15% cap and regional balance requirements Provisional Membership, 6-month trial entry with full intelligence and supply chain access, no obligations, automatic graduation to Associate unless opt-out filed Reverse Accession, Pathway for states to join as protection recipients only for up to 24 months, with obligations triggered by reciprocity or time Sector-Specific Opt-Ins, Mechanism allowing Associate/Full members to select 2–3 sectors for binding protection while other sectors receive diplomatic coordination only Rolling Review Clause, Review points by tier (1/3/5 years) with renewal by silence under the Nofade rule to reduce perceived lock-in risk Coalition of the Willing, Activation rule allowing stabilisation measure implementation by 60% of affected members even if others abstain, with surcharge for non-participants Side Letters, Confidential pre-negotiated red lines deposited by individual members, specifying measures they cannot implement regardless of authorisation Automatic De-Escalation, Mechanism reducing stabilisation measures 10% monthly during certified good-faith dialogue, demonstrating defensive intent Peacetime Fund, 20% Resilience Fund reserve for non-coercion emergencies including pandemic, climate, and financial contagion support Coercion Risk Dashboard, Real-time IEWC platform displaying active cases, developing situations, risk indicators by sector and state, member vulnerability assessments, and stabilisation measure preparedness status (Tier 2+ access) Regional Sub-Committee, Delegated authority body (Americas, Europe, Asia-Pacific, Africa/Middle East) handling procedural decisions with 15% voting weight</w:t>
      </w:r>
    </w:p>
    <w:p>
      <w:pPr>
        <w:pStyle w:val="Normal"/>
      </w:pPr>
      <w:r>
        <w:rPr>
          <w:rFonts w:ascii="Calibri" w:hAnsi="Calibri" w:eastAsia="Microsoft YaHei" w:cs="Calibri"/>
          <w:color w:val="263238"/>
          <w:sz w:val="21"/>
          <w:szCs w:val="21"/>
        </w:rPr>
        <w:t>Sub-National Political-Economy Targeting, Stabilisation measure prioritisation protocol selecting products from politically sensitive geographic regions within the coercing state Legislative and Stakeholder Consultation Protocol, Automatic distribution of impact assessments to the coercing state's legislature and industry associations before each escalation phase Reciprocal but Delayed, Staggered stabilisation measure implementation (25%/50%/100% at 30/60/90 days) creating a negotiating window while maintaining credible threat Commercial Stakeholder Mitigation Credit, Exemptions for companies in the coercing state that publicly oppose tariff policy or invest in IMESI member supply chains Substitution Acceleration, Dedicated USD 5 billion facility subsidising permanent structural shift from coercing-state suppliers to alternatives Regulatory Friction, Parallel non-tariff measures (customs delays, safety reviews, licensing delays) that are WTO-compliant and harder to respond to symmetrically Global Payment Diversification Module, Central bank swap line activation and reserve diversification among IMESI members to reduce dependence on the coercing state's reserve currency Reinstatement Plus, Enhanced reinstatement adding 25% penalty tariff above previously authorised levels if coercion is reimposed within 24 months of withdrawal WTO Article XXIII Coalition Case, Coordinated non-violation complaint preserving legal high ground and creating international forum for coercer isolation Escalation Ceiling, Binding principle that all collective measures remain proportional and reversible, with the objective of restoring equilibrium rather than escalating confrontation Phase 0 Consultation, Mandatory confirmation window with Provisional Phase 0 parallel processing: 72-hour quiet confirmation for Minor/Moderate (mobilisation begins in parallel), 48-hour rapid verification for Severe, 48 hours for Critical/Red-Line Modular Response Architecture, Four independent response modules (Trade, Financial, Technology, Strategic Materials) to which members pre-commit at accession, allowing scaled participation Founding Contribution Band, Collectively agreed contribution range proportional to GDP exposure, replacing fixed capitalisation targets for early-stage political palatability Insured Exposure Capacity, Maximum crisis response capacity across concurrent events, structured as paid-in base, callable capital, and market backstop, not standing liquid capital Non-Alignment Declaration, Explicit statement that IMESI is not directed at any specific state or alliance and does not preclude</w:t>
      </w:r>
    </w:p>
    <w:p>
      <w:pPr>
        <w:pStyle w:val="Normal"/>
      </w:pPr>
      <w:r>
        <w:rPr>
          <w:rFonts w:ascii="Calibri" w:hAnsi="Calibri" w:eastAsia="Microsoft YaHei" w:cs="Calibri"/>
          <w:color w:val="263238"/>
          <w:sz w:val="21"/>
          <w:szCs w:val="21"/>
        </w:rPr>
        <w:t>engagement with non-members Quiet Diplomatic Channel, Permanent confidential back-channel maintained by the Director-General to any coercing state's representative throughout active cases Presumptive Escalation, Phase 2 activation presumed within 24 hours upon IEWC-certified trigger (&gt;25% escalation, &gt;1 member targeted, Tier 1 sector threatened); mandatory human confirmation for Phase 2+; any member blocks with 24-hour notice and 5% surcharge Decoupling Acceleration Reserve, USD 15–20 billion pre-positioned fund enabling irreversible structural supply chain shifts through long-term procurement contracts and joint ventures Shadow Financial Infrastructure, Fully operational alternative settlement system including permanent swap lines, IMESI unit of account (IMU), dedicated clearing banks, and quarterly settlement drills</w:t>
      </w:r>
    </w:p>
    <w:p>
      <w:pPr>
        <w:pStyle w:val="Normal"/>
      </w:pPr>
      <w:r>
        <w:rPr>
          <w:rFonts w:ascii="Calibri" w:hAnsi="Calibri" w:eastAsia="Microsoft YaHei" w:cs="Calibri"/>
          <w:color w:val="263238"/>
          <w:sz w:val="21"/>
          <w:szCs w:val="21"/>
        </w:rPr>
        <w:t>Domestic Continuity Mechanisms, Recommended institutional safeguards (pre-commitment legislation, sub-national declarations, withdrawal referenda, cross-party briefings) preventing electoral-cycle exploitation ADAI, Adaptive Early Warning System, machine-learning augmentation of the IEWC with circuit breakers (suspend if confidence &lt;85%, anomalous data, or human/AI discrepancy); no auto-approval; silence maintains current phase Automatic Coalition Expansion, Mechanism triggering automatic expansion of stabilisation response to all members with &gt;5% trade exposure upon detection of bilateral offers or anomalous trade flows; reduces authorisation thresholds by 10 percentage points for 90 days Transparency Sanctions Regime, Mandatory annual disclosure system requiring deposit of trade agreements and investment screening decisions; IEWC pattern analysis; whistleblower protections; public naming protocol with safe harbour provisions Irreversible Commitment Bond, Optional 10-year financial instrument signalling credible commitment; reduces Fund contributions 15% for Tier 2; mandatory for Tier 3; penalty coupon and principal recall upon Tier 1 violation Pattern Presumption, Accelerated evidence standard for repeat coercers, where IEWC certifies prior coercion finding within 36 months, pattern analysis and expert validation elements are presumed satisfied Dual-Use Neutrality, Structural distinction between systemic (&gt;10% GDP) and non-systemic coercers with differentiated voting thresholds and scenario libraries Burden-Sharing Formula, Transparent 3-factor formula: 50% GDP share, 30% bilateral trade exposure, 20% tier level; optional relief capped at 25% for debt-stressed, trade-exposed, or crisis-affected members Coalition Integrity Trigger, Automatic tier review activated when &gt;30% of members abstain on a single case; members abstaining without severe domestic constraint certification face mandatory opt-down Rebuttable Presumption, In TSR context, a Tier 1 violation finding that is challenged by the member before the Coordination Committee, triggered when a member proceeds to signature on a flagged negotiation without clearance Coalition Stress Test, Annual live-fire exercise with real voting, small-scale stabilisation measures, and simulated defection; mandatory founding condition before first conference Graduated Crisis Response, Section 8.12 mechanism for existential-level coercion (&gt;5% GDP impact); members opt out with escalating surcharges rather than being forced to implement or withdraw; 10-year rolling review horizon Graduated Crisis Opt-Out, Mechanism allowing members to opt out of existential-level response with escalating surcharges (50/100/150%) and automatic tier downgrade for repeated non-participation Coercion Forecast Market, Permissioned prediction market (blockchain-settled, IMU-denominated) aggregating collective intelligence on geopolitical coercion risk; prices feed IEWC dashboards as advisory input Hard Cost Ceiling, 5% GDP cap on stabilisation measure cost to any single member regardless of tier level; exceeding threshold triggers automatic Tier 1 reclassification for that case Inter-Member Dispute Resolution, Binding arbitration mechanism for conflicts between IMESI members, with mandatory mediation cascade as prerequisite Green Strategic Reserves, Expanded stockpiling targets covering battery minerals, solar/wind components, green hydrogen, and grid-scale storage alongside traditional energy reserves</w:t>
      </w:r>
    </w:p>
    <w:p>
      <w:pPr>
        <w:pStyle w:val="Normal"/>
      </w:pPr>
      <w:r>
        <w:rPr>
          <w:rFonts w:ascii="Calibri" w:hAnsi="Calibri" w:eastAsia="Microsoft YaHei" w:cs="Calibri"/>
          <w:color w:val="263238"/>
          <w:sz w:val="21"/>
          <w:szCs w:val="21"/>
        </w:rPr>
        <w:t>AI Sovereignty Shield, Dedicated framework (Annex 11) for AI and digital coercion including cloud service denial, data flow restrictions, compute embargoes, and algorithmic trade barriers Green Transition Coercion, Element 6 of the coercion definition, economic measures explicitly weaponising climate or energy transition dependencies Digital Infrastructure Resilience Fund, USD 5–8 billion specialised sub-fund for sovereign cloud development, AI compute capacity, undersea cable diversification, and quantum-resistant cryptography Stabilisation Fund, Dedicated 80% pool of the Mutual Economic Security Fund for coercion</w:t>
      </w:r>
    </w:p>
    <w:p>
      <w:pPr>
        <w:pStyle w:val="Normal"/>
      </w:pPr>
      <w:r>
        <w:rPr>
          <w:rFonts w:ascii="Calibri" w:hAnsi="Calibri" w:eastAsia="Microsoft YaHei" w:cs="Calibri"/>
          <w:color w:val="263238"/>
          <w:sz w:val="21"/>
          <w:szCs w:val="21"/>
        </w:rPr>
        <w:t>cases only; ring-fenced from peacetime uses; max 40% annual draw-down De-Escalation Default, Section 1.3 principle requiring symmetry between automatic escalation and de-escalation triggers; standstill presumption when conflicting triggers activate simultaneously Documentation Hierarchy, Two-tier evidence standard: Tier 1 (primary source, sufficient for activation); Tier 2 (supplementary, insufficient alone); prevents activation based on correlation without documented state intent State-Adjoining Entity Doctrine, Section 2.5 presumption that entities meeting 2+ criteria (state ownership, board control, revenue dependence, coordination, pattern correlation) are state-directed for coercion purposes Protective Association, Section 3.9 status for non-member states supplying &gt;5% of Tier 1 strategic sectors; provides IEWC intelligence, SFI access, and optional stabilisation measure coverage at 25% rate; max 8 at any time Fast-Track Activation Override, Section 5.0A emergency clause compressing any severity tier by two levels when IEWC certifies irreversible harm; 55% weighted vote with 4-hour block window Provisional Phase 0, Parallel processing allowing IEWC mobilisation (stockpile positioning, SFI drills, burden-sharing pre-calculation) during formal consultation phase Pre-Positioned Tier 1 Authority, Section 4.2D authorising IEWC to deploy defensive positioning measures unilaterally for 72 hours upon detecting financial exclusion, tech weaponisation, or major supply disruption Cumulative Escalation Pause, Section 5.6 automatic 48-hour pause when stabilisation measures cross two or more domains; mandatory IEWC impact assessment before Coordination Committee proceeds Live Implementation Dashboard, Section 6.5 real-time verification of member stabilisation measure implementation through mandatory telemetry; discrepancy &gt;15% triggers inquiry; confirmed lag constitutes violation Live-Fire Micro-Exercise, Annex 13A quarterly unannounced 48–72 hour exercises with real implementation (SFI settlement, stockpile release, customs flagging); pass/fail on 6-hour window Institutional Memory Protocol, Section 4.6 continuity safeguards including knowledge codification, personnel alumni network, scenario persistence, minimum viable coalition hibernation protocol, and accession fast-track for rejoining states ADAI Circuit Breaker, Hard stop suspending ADAI recommendations when confidence &lt;85%, anomalous data detected, or human/AI assessment discrepancy; successful red-team exploit triggers 90-day suspension Climate-Trade Coercion, Section 2.7, economic measures weaponising climate or energy transition dependencies; auto-upgraded one severity tier; pre-authorised Scenario Kappa response ESG Standards Coercion, Section 2.8, discriminatory ESG measures linked to non-trade policy demands; response through Due Process Coalition and mutual certification recognition</w:t>
      </w:r>
    </w:p>
    <w:p>
      <w:pPr>
        <w:pStyle w:val="Normal"/>
      </w:pPr>
      <w:r>
        <w:rPr>
          <w:rFonts w:ascii="Calibri" w:hAnsi="Calibri" w:eastAsia="Microsoft YaHei" w:cs="Calibri"/>
          <w:color w:val="263238"/>
          <w:sz w:val="21"/>
          <w:szCs w:val="21"/>
        </w:rPr>
        <w:t>Cognitive Coercion, Section 2.9, AI-generated financial disinformation, algorithmic manipulation, deepfake communications; defensive response only, no offensive cognitive stabilisation measures Tiered Verification, Section 2.6, protocol for compressed timelines when intelligence is ambiguous; Preliminary Activation for 72 hours with automatic reversion if Tier 1 documentation is not confirmed Mandatory Democratic Safeguards, Section 3.8A, Tier 2+ implements 2 of 4 domestic legitimacy mechanisms by Year 3; 15% surcharge for non-compliance Due Diligence Passport, Section 3.10, IMESI mutual recognition of supply chain due diligence certifications; harmonised standard; anti-coercion shield for certified suppliers Emergency Flexibility, Section 4.1C, 45% weighted vote for provisional emergency measures (stockpile, SFI, procurement) for 30 days; 60% for extension Development Balance, Section 4.1D, 1.5x voting weight for LDC/developing members on measures &gt;1% GDP; development veto on tech transfer and climate adaptation; 30% IEWC representation by Year 3 Anticipatory Prevention, Section 4.2E, IEWC prevention authority when Event Market &gt;70% plus Tier 1 sector vulnerability; 90-day review point; no coercion finding required Continuous Review, Section 4.3A, annual thematic review with external validation panel; emergency reform by 30% petition Sub-National Protection, Section 6.6, IMESI protection extended to sub-national governments, universities, civil society, and strategic firms; petition-based activation; national co-authorisation required for tariffs Strategic Stalemate, Section 7.5, four declared options when Phase 3 at 100% intensity for &gt;90 days fails to resolve; default to Negotiated Standstill if no 60% vote achieved Development Status Adjustment, Section 8.2 addition, 25% contribution reduction for LDC/developing members with 40% cap on total relief; WTO S&amp;DT; alignment Exercise Accountability, Section 8.3A, micro-exercise participation counts toward 20% of Minimum Response Floor; protected Peacetime Fund</w:t>
      </w:r>
    </w:p>
    <w:p>
      <w:pPr>
        <w:pStyle w:val="Normal"/>
      </w:pPr>
      <w:r>
        <w:rPr>
          <w:rFonts w:ascii="Calibri" w:hAnsi="Calibri" w:eastAsia="Microsoft YaHei" w:cs="Calibri"/>
          <w:color w:val="263238"/>
          <w:sz w:val="21"/>
          <w:szCs w:val="21"/>
        </w:rPr>
        <w:t>allocation; 75% vote to modify Financial Interoperability, Section 8.10C, IMF/BIS automatic notification for Category 2 Red-Line; IMF-compatible swap lines; SDR-linked liquidity injection; debt standstill coordination Displacement Response, Section 8.13, automatic Peacetime Fund release when coercion displaces &gt;50,000 across borders or &gt;500,000 internally; UN coordination; burden-sharing adjustment for receiving states WTO Compatibility Protocol, Annex 1A, automatic WTO notification of stabilisation measures; dispute settlement firewall; Ministerial Conference alignment review Investment Treaty Coordination, Annex 1B, common ISDS defence; model BIT clause; existing treaty side letters; compensation pool for ISDS awards Technological Sovereignty Pooling, Annex 11 addition, pooled R&amp;D; in coercion-critical technologies; non-exclusive IP sharing; non-member access at premium cost; anti-fragmentation on member tech controls Strategic Stalemate Doctrine, Annex 15, published doctrine declaring four stalemate options (Structural Decoupling, Negotiated Standstill, Coalition Expansion Surge, Graduated Withdrawal); deterrence through transparency Differentiated Review, Section 3.7A, Core provisions permanent (80% to amend); Operational renews by silence at 10-year review points (60% to modify); Experimental provisions carry rolling review with mandatory evaluation</w:t>
      </w:r>
    </w:p>
    <w:p>
      <w:pPr>
        <w:pStyle w:val="Normal"/>
      </w:pPr>
      <w:r>
        <w:rPr>
          <w:rFonts w:ascii="Calibri" w:hAnsi="Calibri" w:eastAsia="Microsoft YaHei" w:cs="Calibri"/>
          <w:color w:val="263238"/>
          <w:sz w:val="21"/>
          <w:szCs w:val="21"/>
        </w:rPr>
        <w:t>Existential Speed Protocol, Section 5.5C, standing pre-authorisation for Phase 2 measures by 65% peacetime vote; Director-General deploys within 2 hours of IEWC certification; human confirmation required only for Phase 3; 12-month rolling authority with review point Climate-Trade Coercion Protocol, Section 2.7 full protocol, discriminatory CBAMs, critical mineral weaponisation, green subsidy coercion; two-tier severity upgrade; Scenario Kappa pre-authorised response; 40% automatic burden-sharing relief for developing members; mandatory climate dependency audit Defection Cascade Circuit Breaker, Section 6.7, automatic institutional stabilisation when &gt;30% members face simultaneous coercion offers; three-effect escalation: 72-hour freeze, Phase 3 auto-authorisation if &gt;2 defect, hibernation protocol if &gt;4 defect Verified Capability Index, Annex 13A, cumulative scoring replacing pass/fail exercises; VCI-A (top 20%) gains Enhanced Solidarity eligibility and priority SFI access; VCI-C (bottom 20%) faces mandatory tier review and 25% surcharge; feeds tier renewal threshold Recursive Review Mandate, Section 4.3B, automatic mandatory redesign when performance thresholds breached: &gt;20% Preliminary Activation failures, first defection, CNI cascade, CFM divergence, SFI target miss; makes IMESI self-correcting under specified conditions Reciprocal Transparency Ledger, Section 6.4A, mandatory disclosure of negotiations &gt;USD 250M or touching Tier 1 sectors within 14 days; safe harbour for proactive disclosure; public naming only for concealment; preventive complement to punitive TSR Preferred Alternative Status, Section 3.11, non-binding recognition rewarding &gt;15% increase in IMESI-internal trade; benefits include priority Fund disbursement, enhanced voting weight, procurement priority; creates positive loyalty incentive Strategic Entity Pre-Certification, Section 3.12, pre-crisis IEWC certification of up to 50 critical entities per member; automatic Phase 1 activation within 48 hours if certified entity faces coercion; free for Tier 0/1 Observer+ Fast-Track Procurement, Section 3.13, Tier 0 members access joint IMESI procurement at 8–15% below market for green tech, strategic minerals, pharma APIs, semiconductor equipment; 24-month duration; no obligation Resilience Dividend Program, Section 8.14, annual cash-equivalent distribution (0.02% GDP base + 0.01% per additional diversified sector) from Peacetime Fund for verified supply chain diversification; paid regardless of crisis Sovereign Cloud Sovereignty Credit, Section 8.15, USD 50–200M technical assistance package for members with &gt;60% non-member cloud/AI provider dependence; subsidised sovereign cloud infrastructure at 50% cost; 36-month duration Coercion Risk Insurance, Section 8.16, standalone commercially tradable insurance backed by Fund guarantee; 30–50% export loss coverage; 60% reconfiguration cost coverage; 40% premium subsidy for Tier 0/1; pays regardless of coalition activation Pre-Launch Binding Commitment, Section 8.17, 0.1% GDP activation bond deposited at founding conference; released to Stabilisation Fund upon pilot exercise completion; forfeits if member withdraws before pilot Systemic-Economy Fast-Track, Section 5.1A, 4-hour Phase 2 deployment against systemic coercers (&gt;10% global GDP) for Category 2 Red-Line; triple-lock (65% vote + 4 regions + 3 Tier 3) required only for Phase 3; 72-hour post-hoc review</w:t>
      </w:r>
    </w:p>
    <w:p>
      <w:pPr>
        <w:pStyle w:val="Normal"/>
      </w:pPr>
      <w:r>
        <w:rPr>
          <w:rFonts w:ascii="Calibri" w:hAnsi="Calibri" w:eastAsia="Microsoft YaHei" w:cs="Calibri"/>
          <w:color w:val="263238"/>
          <w:sz w:val="21"/>
          <w:szCs w:val="21"/>
        </w:rPr>
        <w:t>Deterrence Signalling Protocol, Section 4.2F, public amber alert when Event Market &gt;80% for specific member-sector; pre-announced scenario activates automatically if coercion materialises; 90-day review point with accountability review Existential Burden Cap, Section 8.4A, member burden capped at 2% GDP when IEWC certifies &gt;3% GDP impact; excess distributed to Tier 3 members and Fund; once per 5-year cycle; alternative to Graduated Opt-Out Standalone Financial Emergency Protocol, Section 8.10D, automatic SFI full capacity and IMU settlement when IMF non-responsive within 8 hours of Category 2 Red-Line; 180-day duration; pre-negotiated post-crisis IMF reconciliation Active Cognitive Defence, Section 2.9, permitted active measures including 1-hour market circuit breakers, mandatory algorithmic trading disclosure, rapid fact-checking coalition; no offensive disinformation; ADAI &gt;90% confidence trigger Technology Solidarity Pledge, Section 3.14, Tier 2+ mandatory licensing of Annex 11 coercion-critical technologies to members facing denial; 150% cost-recovery from Fund; refusal triggers VCI downgrade and Tier 2 violation Strategic Supplier Partnership, Section 3.9 SSP tier, non-members supplying &gt;10% global supply of Tier 1 sectors; no numerical cap; 75% member Fund rates; joint procurement access; automatic Tier 0 pathway Emergency Accession Protocol, Section 3.15, 72-hour expedited accession during active Phase 2+ cases; Tier 0 immediate, Tier 1 upon 0.05% GDP deposit; new members implement stabilisation measures within 7 days; max 5 per case Distributed Institutional Memory, Section 4.6 DIM, encrypted replication of IEWC methodologies across 5+ member nodes; 3-of-5 multi-signature for write access; auto-activation if headquarters non-operational &gt;72 hours; blockchain integrity verification Coalition Fracture Reinsurance, Section 6.8, external credit line (IMF/BIS/private) providing 50% of lapsed members' obligations when DCCB activates and &gt;2 members defect; 150% burden-share rate for remaining members; winds down when membership exceeds 12 states or 25% global GDP Systemic-Economy Asymmetry Adjustment, Section 8.4B, automatic adjustments when coercer meets systemic-economy classification under objective exposure and systemic-impact metrics: cost ceiling rises to 8% GDP, relief cap rises to 40%, automatic Tier 3 solidarity, 50% non-financial obligation reduction for &gt;30% trade-exposed members; suspends EBC cycle limit Anticipatory Damage Facility, Section 8.18, 0.5% GDP immediate liquidity injection when Event Market &gt;80% and &gt;15% stock decline in affected sectors; no IEWC certification required; converts to Fund disbursement if coercion materialises or low-interest loan if not; 10% Stabilisation Fund cap Enhanced CRI, Section 8.16 v8.2, Tier 1 strategic sectors receive 70–90% export loss and 90% reconfiguration coverage with 72-hour payout; Insurance Guarantee Layer expanded to 15% of Paid-In Base (~USD 3–4.5B) Graduated Solidarity Entry, Section 3.1A, Tier 0.5 Protected Observer with zero obligations, zero contributions for 12 months; automatic Observer+ graduation at 12 months or after receiving protection twice; funded by 0.5% levy on Tier 2+ members Modular Opt-Out with Automatic Re-engagement, Section 3.5 MOAR, up to 3 sector-specific 6-month opt-outs per case at 25% surcharge; confidential notification; automatic re-engagement at 120% intensity; third opt-out triggers standard CNI penalties</w:t>
      </w:r>
    </w:p>
    <w:p>
      <w:pPr>
        <w:pStyle w:val="Normal"/>
      </w:pPr>
      <w:r>
        <w:rPr>
          <w:rFonts w:ascii="Calibri" w:hAnsi="Calibri" w:eastAsia="Microsoft YaHei" w:cs="Calibri"/>
          <w:color w:val="263238"/>
          <w:sz w:val="21"/>
          <w:szCs w:val="21"/>
        </w:rPr>
        <w:t>Domestic Ratification Flexibility, Section 3.8A v8.3, 9-option compliance menu including judicial review, fiscal council certification, ombudsman oversight; constitutional court certification of equivalent mechanism accepted as full compliance Asymmetric Burden-Sharing with Visibility, Section 8.4C, 4 participation tiers (Core 100%, Contributing 75%, Protected 25%, Supporting 10%) delinking contribution from control; self-selection per case; aggregate capacity preserved Pre-Positioned Bilateral Safeguards, Section 5.3B v8.3, 5 weighted exemption categories with mandatory substitution (150–200% in alternative domains); mutual recognition; 5% surcharge per exemption; substitution not elimination Success-Contingent Deepening, Section 3.2A SCD, tier progression tied to demonstrated value: Provisional to Associate requires case observation or exercise; Reverse Accession accelerated to 12 months if protected; Tier 2/3 renewal requires VCI-B or case participation Cumulative Pressure Protocol, Section 2.10 CPP, 24-month rolling pressure ledger tracking sub-threshold measures; chronic coercion certification when cumulative impact &gt;0.5% GDP or 3+ measures target same policy demand; expedited 14-day investigation Crisis-Tested Supplier Certification, Section 3.16, formal recognition for companies maintaining &gt;90% supply volume during Phase 2+ cases; 3-year joint procurement eligibility, expedited customs, public</w:t>
      </w:r>
    </w:p>
    <w:p>
      <w:pPr>
        <w:pStyle w:val="Normal"/>
      </w:pPr>
      <w:r>
        <w:rPr>
          <w:rFonts w:ascii="Calibri" w:hAnsi="Calibri" w:eastAsia="Microsoft YaHei" w:cs="Calibri"/>
          <w:color w:val="263238"/>
          <w:sz w:val="21"/>
          <w:szCs w:val="21"/>
        </w:rPr>
        <w:t>Dashboard recognition Peer Learning Exchange Program, Section 4.6A, VCI-A members host 2-week immersion programmes for lower-tier officials; Fund-covered travel; spreads best practices and builds cross-member networks Effectiveness Verification Audit, Section 6.5A EVA, randomised outcome-based spot audits of 20% of implementing members; Green/Amber/Red finding tiers; safe harbour for self-reporting within 14 days Amber Alert Live-Fire Protocol, Annex 13A AALP, up to 2 unannounced 48-hour coalition-wide exercises annually with real SFI settlement, customs flagging, and burden-sharing pre-calculation; 60% Tier 2+ implementation within 6 hours Coercion Resilience Rating, Section 8.14A, annual advisory rating for member sovereign debt incorporating diversification progress, VCI scores, and Fund liquidity; structured for ESG integration; not a credit rating Automatic Trade Data Sharing Incentive, Section 3.2B, Observer+ members submitting complete quarterly data receive aggregated IMESI analytics, early IEWC vulnerability reports, and 10% graduation contribution reduction Coalition Procurement Preference Points, Section 3.11/PAS, members achieving Preferred Alternative Status gain 5% price advantage in IMESI joint procurement competitive bidding Post-Case Recovery Fast-Track, Section 8.19, clean case closure earns 12-month SFI fee waiver, priority Resilience Fund project finance, and public Reliable Partner designation 72-Hour Diplomatic Window, Section 5.5C v8.5, tiered temporal architecture: 72 hours for non-systemic coercers, 24 hours for systemic coercers; mandatory confidential dialogue before ESP deployment; overridable by 60% vote if irreversible harm certified Monthly Strategic Pulse, Section 5.7, mandatory 48-hour pause every 30 days during active cases; suspends new authorisations; leaders assess continuation, shifts, and off-ramps; prevents procedural momentum from outrunning political judgment</w:t>
      </w:r>
    </w:p>
    <w:p>
      <w:pPr>
        <w:pStyle w:val="Normal"/>
      </w:pPr>
      <w:r>
        <w:rPr>
          <w:rFonts w:ascii="Calibri" w:hAnsi="Calibri" w:eastAsia="Microsoft YaHei" w:cs="Calibri"/>
          <w:color w:val="263238"/>
          <w:sz w:val="21"/>
          <w:szCs w:val="21"/>
        </w:rPr>
        <w:t>Mediation-First Mandate, Section 5.0 v8.5, 14-day mandatory mediation window before Phase 1 for Minor/Moderate cases; independent mediator certifies absence of constructive engagement; mutual consent mediator selection Environmental Force Majeure, Section 2.11, automatic 180-day suspension of coercion triggers during UNFCCC-certified extreme weather or FAO/WFP acute food insecurity affecting coercer state; overridable by 60% vote if coercion continues Grand Review Convention, Article X, mandatory constituent assembly every 6 years; all members and external observers; 70% threshold for Core amendments; penalty-free withdrawal if proposed amendments rejected Constructive Alternative, Section 3.5 v8.5, abstaining members propose alternative stabilisation measure packages; if adopted by 55% vote, proposer participates at 75% burden share with full benefits; transforms dissent into contribution Sub-National Democratic Safeguard, Section 3.8B, federal systems consult affected sub-national governments; formal opposition triggers 15% burden-sharing relief; respects constitutional diversity without creating veto Reversible Diversification, Section 10.5 v8.5, 5-year re-evaluation windows for substitution subsidies; firms return to original suppliers without penalty if coercer meets compliance milestones DAR Re-engagement Clauses, Section 8.9 v8.5, 30% of DAR funding reserved for supply chain re-linking if coercer withdraws measures, accepts monitoring, and contributes 0.1% GDP; requires affected member consent Bounded Escalation Bands, Section 1.1 v8.6, hard caps replaced with ranges and presumptive midpoints (sector: 40-60% with 50% presumptive; cumulative: 6-10% GDP with 8% presumptive); deviation requires 75% supermajority with 12-month rolling review Best Efforts Review Panel, Section 3.4 v8.6, three-member panel (IEWC, affected member, independent) assessing good faith for Tier 2 underperformance; good-faith finding reduces surcharge by 50% Treaty Compatibility Mechanism, Section 9.3 v8.6, pre-authorisation non-binding compatibility opinions from WTO, IMF, OHCHR; overridable by 60% weighted vote with published justification Constitutional Protection Clause, Section 3.8C v8.6, explicit protection for domestic constitutional requirements; 30-day alternative timeline; 150% burden-sharing for delay; Constitutional Compliance Panel of 3 jurists Data Governance Protocol, Section 4.2G v8.6, IEWC data governance with 5-year retention limit, independent Data Protection Officer, whistleblower protection, annual data impact assessments Financial Toolbox, Article VIII v8.6, separation of Binding Core (SFI, swaps, IMU) from opt-in Financial Toolbox instruments (CRI, Digital Infrastructure, cognitive/climate measures); Tier 2+ adopts at least one by Year 3 Staged Entry into Force, Section 10A.2 v8.6, Year 0 core charter immediate; Year 3 review for advanced protocols; Year 5 review for</w:t>
      </w:r>
    </w:p>
    <w:p>
      <w:pPr>
        <w:pStyle w:val="Normal"/>
      </w:pPr>
      <w:r>
        <w:rPr>
          <w:rFonts w:ascii="Calibri" w:hAnsi="Calibri" w:eastAsia="Microsoft YaHei" w:cs="Calibri"/>
          <w:color w:val="263238"/>
          <w:sz w:val="21"/>
          <w:szCs w:val="21"/>
        </w:rPr>
        <w:t>complex financial instruments; each requiring stress test plus 60% vote plus 10 member opt-ins Global Systemic Disruption, Section 1.4 v8.8, non-discriminatory measures causing &gt;2% aggregate GDP impact across &gt;30% members, or &gt;40% trade disruption in Tier 1 sectors, or cascade failure in payment systems; triggers 72-hour automatic response without Phase 0 consultation</w:t>
      </w:r>
    </w:p>
    <w:p>
      <w:pPr>
        <w:pStyle w:val="Normal"/>
      </w:pPr>
      <w:r>
        <w:rPr>
          <w:rFonts w:ascii="Calibri" w:hAnsi="Calibri" w:eastAsia="Microsoft YaHei" w:cs="Calibri"/>
          <w:color w:val="263238"/>
          <w:sz w:val="21"/>
          <w:szCs w:val="21"/>
        </w:rPr>
        <w:t>Internal Adjudication Chamber, Section 6.9 v8.8, five-jurist panel for intra-coalition economic coercion disputes; restitution-based remedies; sealed proceedings; no stabilisation measures authorised Hybrid Coercion Doctrine, Section 2.12 v8.8, economic measures combined with cyber, data, platform, or infrastructure pressure; Hybrid Threat Cell provides integrated assessment; lowered attribution thresholds for non-economic vectors Gradual Pressure Register, Section 2.10(b) v8.8, IEWC tracking of regulatory changes, administrative delays, standards demands, and death-by-a-thousand-cuts patterns over 36 months; triggers consultation at 0.3% GDP and presumptive classification at 0.5% GDP Capital Account Defence, Section 8.10E v8.8, pre-negotiated currency swaps, emergency bond purchase programme, and reserve diversification framework; activates on &gt;200bps spread widening or &gt;10% currency depreciation within 30 days of coercion event Sovereign Liquidity Insurance, Section 8.16(b) v8.8, standalone product guaranteeing 90-day debt rollover, FX intervention support, and emergency budget financing; backed by 20% of Paid-In Base plus callable IMF resources Multilateral Safety Net Integration, Section 8.20 v8.8, binding IMF/BIS coordination with conditionality firewall, crisis bridging facility, and phased liquidity triggers from Phase 2 through Category 2 Red-Line Systemic Monitoring Unit, Section 4.2H v8.8, dedicated IEWC capacity tracking aggregate trade policy, capital flow anomalies, and commodity concentration; quarterly Systemic Risk Reports; recommend GSD activation by 55% vote Rolling Baseline Recalculation, Section 4.2J v8.8, annual trade/investment baseline update per member-coercer relationship; &gt;10% deviation sustained &gt;12 months triggers automatic Gradual Pressure Register entry Southern Partnership Track, Section 3.1B v8.9, enhanced technical assistance for AU members, LDCs, and SIDS: 24-month fee waiver, supply chain mapping, early RDP eligibility; same obligations upon graduation; voluntary Tier 3 funding Professional Standards and Data Stewardship, Section 4.2K v8.9, IEWC intelligence classification tiers (Public/Coalition/Restricted); 5-year data retention; annual audit; no domestic operations without host authorisation Shared Analysis Protection, Section 4.2L v8.9, good-faith shield for members sharing information with IEWC; no source attribution without consent; correction protocol for material errors Voluntary Implementation Commitment, Section 8.21 v8.9, optional 0.02% GDP deposit as visible commitment instrument; priority assistance and enhanced voting weight for participants; no penalty for non-participation Systemic Non-Coercive Disruption, Section 1.4B v9.3, response for non-discriminatory trade measures causing systemic harm regardless of intent; triggers stabilisation tools not stabilisation measures Tariff Shock Pathway, Section 1.4(a)(iv) v9.3, GSD trigger for non-discriminatory tariffs &gt;10% ad valorem affecting &gt;25% IMESI trade Scenario Theta-Tariff, Section 5.4 v9.3, pre-authorised 3-phase tariff shock response: procurement/SFI, alternative sourcing/DAR, comprehensive stabilisation measures Tariff Stabilisation Sub-Fund, Section 8.6 v9.3, USD 10-15B for export revenue bridging, supply chain reconfiguration, inventory costs, customs harmonisation</w:t>
      </w:r>
    </w:p>
    <w:p>
      <w:pPr>
        <w:pStyle w:val="Normal"/>
      </w:pPr>
      <w:r>
        <w:rPr>
          <w:rFonts w:ascii="Calibri" w:hAnsi="Calibri" w:eastAsia="Microsoft YaHei" w:cs="Calibri"/>
          <w:color w:val="263238"/>
          <w:sz w:val="21"/>
          <w:szCs w:val="21"/>
        </w:rPr>
        <w:t>Tariff Stability Compact, Annex 21 v9.3, voluntary 90-day notice, 30-day consultation, automatic response for violations; non-Compact members retain full protection WTO Notification Protocol, Annex 1A v9.8, 4-phase structured notification: Phase 0 informal 24hr, Phase 1 formal 48hr, Phase 2+ technical assessment 72hr, major measures advisory 14 days WTO Dispute Sequencing, Annex 1A v9.8, intra-IMESI WTO dispute restraint, common defence for non-member challenges, settlement notification WTO Integration Roadmap, Annex 1A.2, aspirational plurilateral framework within WTO; Year 10 review WTO Joint Working Group, Section 9.2A, standing IMESI-WTO working group; non-binding; annual coherence review Escalation Justification Memo, Section 5.5A, mandatory Phase 2+ justification with redacted public summary within 24 hours Integrated De-Escalation Pathway, Section 5.5A.1, mandatory Phase 1 de-escalation plan identifying rollback conditions Reinstatement Suspension, Section 5.2E, CC suspends reinstatement for up to 12 months by 60% vote Third-Country Protection, Article I, measures target coercer only; spillover &gt;5% requires mitigation plan Restraint Indicators, Section 4.2A.3, public</w:t>
      </w:r>
    </w:p>
    <w:p>
      <w:pPr>
        <w:pStyle w:val="Normal"/>
      </w:pPr>
      <w:r>
        <w:rPr>
          <w:rFonts w:ascii="Calibri" w:hAnsi="Calibri" w:eastAsia="Microsoft YaHei" w:cs="Calibri"/>
          <w:color w:val="263238"/>
          <w:sz w:val="21"/>
          <w:szCs w:val="21"/>
        </w:rPr>
        <w:t>dashboard metrics showing activation deliberateness Automation Review, Section 4.3C, periodic review of automatic triggers; triggers continue by silence under the Nofade rule and adjust only by written determination Narrow Automation Principle, Article I, automatic activation reserved for irreversible-harm scenarios only Emergency Protection Facility, Section 3.1D, 90-day limited support for non-members under coercion; bridging loans up to 0.1% GDP Crisis Accession Fast-Track, Section 3.15A, 24-hour DG certification + 55% CC vote for Critical/Red-Line cases Coercer Rehabilitation Protocol, Section 3.9A, phased path from coercer to member: cessation, confidence-building, integration Private Economic Coercion (PECP), Section 2.14, regulatory response to dominant private entities denying critical services Climate Policy Coordination, Section 2.15 (CPCC), 90-day notification, consultation, and IAC referral for member-on-member climate measures Platform Neutrality Certification, Annex 11A, voluntary certification for non-discriminatory platform behaviour Green Transition Solidarity, Section 8.3(b), 25% grants for supply-chain reconfiguration when climate measures cause &gt;2% GDP impact Proportionality Certification, Section 5.3A.2 -- concise memo documenting AESI nature, legal basis, proportionality, and de-escalatory character of activated measures; published summary; full text available to Members and IAC Sectoral Pilot Participation, Section 3.4A -- accession limited to specified policy domains (critical minerals, digital trade, food security, etc.); pathway to full membership after 24 months Supply-Chain Resilience Pre-Investment Facility, Section 8.28 -- preventative Fund facility for supply chain diversification; concessional loans, equity, guarantees; 10% of Peacetime Fund</w:t>
      </w:r>
    </w:p>
    <w:p>
      <w:pPr>
        <w:pStyle w:val="Normal"/>
      </w:pPr>
      <w:r>
        <w:rPr>
          <w:rFonts w:ascii="Calibri" w:hAnsi="Calibri" w:eastAsia="Microsoft YaHei" w:cs="Calibri"/>
          <w:color w:val="263238"/>
          <w:sz w:val="21"/>
          <w:szCs w:val="21"/>
        </w:rPr>
        <w:t>Automatic Diversification Trigger, Section 8.29 -- automatic Facility prioritisation when tariff increase exceeds 10pp on 15%+ of bilateral exports Coordinated Procurement Shield, Section 6.5C -- CC-activated mechanism for preferential intra-IMESI sourcing of critical goods during systemic barriers Financial Market Notification Protocol, Section 8 -- advance notice to central banks and regulators before major measures; 12-hour presumptive minimum AESI Scale-Down Obligation, Section 5.3A.0 -- mandatory 30-day review and scale-down when AESI is withdrawn or substantially modified Dispute Mediation Mechanism, Section 4.5 -- mandatory mediation before arbitration or withdrawal; 45-day facilitation period Adverse Economic Security Incident (AESI), Section 2.1B, any measure or pattern of measures by a non-member materially impairing trade flows, financial stability, or essential supply needs of a Member; classified Precursor/Active/Systemic Essential Security Interests Clause, Article I, measures under IMESI applied strictly as necessary to protect essential security interests in conformity with international obligations Stability Solidarity Contributions, Section 8.23, predictable contribution system to the Fund linked to intra-coalition transactions or reserve holdings Resilience Support Framework, Section 8.24, financial support, market-access advantages, and technical assistance for Members with verified AESI losses Resilience Investment Credits, Section 8.25, tax, financing, or regulatory advantages for investments relocating critical production from high-risk jurisdictions Essential Imports Safeguard, Section 8.26, maintains affected Member's access to essential goods basket during currency-crisis AESI Pre-Arranged Liquidity Network, Section 8.27, pre-negotiated swap lines and trade credit guarantees activated upon systemic AESI certification Trade Facilitation Corridors, Annex 3B, temporary enhanced customs clearance and simplified procedures for AESI-affected trade Re-Routing Advisories, Annex 3C, non-binding Secretariat advisories on trade diversification away from AESI risk points Resilience Partner, Section 9.6, non-member status for economic security cooperation without full IMESI obligations Public-Private Liaison Forum, Section 4.5A, structured dialogue between public authorities and private sector for AESI preparation and response Early-Warning and Transparency Platform, Section 4.2A.1, voluntary anonymised data-sharing for AESI detection Exit Adjustment Mechanism, Section 3.7, financial adjustment upon withdrawal to preserve Fund integrity; capped at 50% of net benefits Non-Bloc Declaration, Preamble v9.5, IMESI is prohibited from constituting a geopolitical alignment, defence pact, or exclusive economic bloc</w:t>
      </w:r>
    </w:p>
    <w:p>
      <w:pPr>
        <w:pStyle w:val="Normal"/>
      </w:pPr>
      <w:r>
        <w:rPr>
          <w:rFonts w:ascii="Calibri" w:hAnsi="Calibri" w:eastAsia="Microsoft YaHei" w:cs="Calibri"/>
          <w:color w:val="263238"/>
          <w:sz w:val="21"/>
          <w:szCs w:val="21"/>
        </w:rPr>
        <w:t>Systemic-Economy Identification, Section 1.1 v9.5, objective exposure and systemic-impact metrics determined by Secretariat and endorsed by CC; replaces fixed GDP-share thresholds Independent Review Commission, Section 4.3 v9.5, external expert body convened at Year 5 to assess proportionality,</w:t>
      </w:r>
    </w:p>
    <w:p>
      <w:pPr>
        <w:pStyle w:val="Normal"/>
      </w:pPr>
      <w:r>
        <w:rPr>
          <w:rFonts w:ascii="Calibri" w:hAnsi="Calibri" w:eastAsia="Microsoft YaHei" w:cs="Calibri"/>
          <w:color w:val="263238"/>
          <w:sz w:val="21"/>
          <w:szCs w:val="21"/>
        </w:rPr>
        <w:t>effectiveness, systemic risk, and governance; reports to Grand Review Convention SFI Financial Black Start, Section 1.5/4.6D v9.4, annual 72-hour simulation of total reserve-currency clearing incapacitation; tests IMU valuation, failover, and swap line activation Yield Stabilisation Window, Section 8.20A v9.4, temporary sovereign debt backstop for members with &gt;150bps yield spike during certified coercion/GSD/SND case; capped at 1% member GDP with a 12-month rolling review point Regulatory Calibration Option, Section 10.12 v9.4, illustrative Phase 2+ non-tariff instrument mirroring coercer's own standards; requires GATT XX defensibility and IEWC equivalence assessment Regulatory Integrity Safeguard, Section 1.1 v9.4, prohibition on coordinating disguised trade restrictions as technical regulation; all regulatory instruments meet independent legitimacy standards Persistent Opt-Out Review, Section 3.5 v9.4, automatic CC review when member invokes MOAR in same sector for &gt;2 consecutive periods; increase surcharge or reclassify obligations Phase-0 Core, Section 10A.2 v9.4, 6 mandatory modules for minimal-overhead founding: IEWC Core, Minimal SFI, Small Fund, 5 Core Scenarios, Anti-Fragmentation Core, Communications Framework Non-Bloc Declaration, Preamble v9.5, IMESI is prohibited from constituting a geopolitical alignment, defence pact, or exclusive economic bloc No Automatic Sanctions, Section 1.0A v9.5, nothing in this Instrument obliges any member to adopt sanctions without domestic legal authorisation Withdrawal Procedure, Section 3.7 v9.5, 12-month written notice to Depositary; no financial or legal penalties; pro rata Fund return; 24-month SFI transition; 5-year confidentiality survival Independent Review Commission, Section 10A.1 v9.5, 5-9 external experts convened at Year 5; assesses proportionality, effectiveness, systemic risk, governance; reports to Grand Review Convention Systemic-Economy Classification, Section 8.4B v9.5, objective exposure and systemic-impact metrics (trade share, financial centrality, supply chain dependency, reserve-currency role) replacing fixed GDP-share thresholds; methodology published by Secretariat Founding Coalition Pledge, Annex 22 v9.4, non-binding political declaration for founding conference signature; plain-language Tier 2 obligations; upgradeable to full Charter ratification Tariff Refugee Pathway, Section 3.1A v9.3A, 90-day zero-obligation Observer+ entry for states facing &gt;10% universal tariffs; automatic without CC vote; funded by 0.5% Tier 2+ levy MOAR-Tariff, Section 3.5 v9.3A, sector-specific 6-month opt-outs for tariff-sensitive industries at 25% surcharge with mandatory 120% re-engagement; preserves aggregate pressure Conditional Irreversibility, Sections 8.9/10.5 v9.3A, structural costs from DAR/Substitution that is reversed only if aggressor meets compliance milestones; re-linking requires affected member consent Constructive Tariff Coercion, Section 2.1 v9.3, rebuttable presumption of policy linkage from tariff/diplomatic friction correlation plus discriminatory targeting Domestic Sovereignty Safeguard, Section 1.0A v9.2, non-derogable safeguard confirming all IMESI implementation through existing national decision-making; no IMESI body imposes measures directly within</w:t>
      </w:r>
    </w:p>
    <w:p>
      <w:pPr>
        <w:pStyle w:val="Normal"/>
      </w:pPr>
      <w:r>
        <w:rPr>
          <w:rFonts w:ascii="Calibri" w:hAnsi="Calibri" w:eastAsia="Microsoft YaHei" w:cs="Calibri"/>
          <w:color w:val="263238"/>
          <w:sz w:val="21"/>
          <w:szCs w:val="21"/>
        </w:rPr>
        <w:t>member states Systemic-Economy Cooperation Track, Section 9.5 v9.2, observer briefings, joint stress tests, shared resilience studies, and standing DG hotline for systemic economies; no obligations or voting rights Market Stabilisation Reserve, Section 8.1 v9.2, 15% of Paid-In Base ring-fenced for member liquidity/FX support during activation; not for punishing third-country investors Founding Period Calibration, Section 5.3A.1 v9.2, 5-year window for CC to authorise narrower packages than scenario templates; expires at Year 5 or 3 successful cases Managed Learning Amnesty, Section 3.8 v9.2, one-time, one-tier penalty-free downgrade within 12 months of case closure during first 5 years Cooperation Incentive Window, Section 8.2 v9.1, 5% of Peacetime Fund earmarked for members exceeding diversification targets or running additional stress tests; competitive annual grants rewarding over-performance Early Reversal Incentive, Section 5.3A v9.1, technical cooperation and trade-facilitation gestures for coercers fully reversing within 30 days and accepting 24-month monitored non-repetition Institutional Sovereignty Doctrine, Section 1.5 v9.0, extension of coercion definition to IMESI infrastructure; three institutional Red-Line categories; distributed resilience mandate with 7-node architecture Compound Emergency Protocol, Section 1.6 v9.0, stacked crisis architecture for 2+ simultaneous emergencies; pure GDP burden-sharing; 12% hard cap; pre-authorised all-hazards packages Constructive Coercion Doctrine, Section 2.1A v9.0, pilot doctrine for implicit coercion by dominant suppliers without formal demands;</w:t>
      </w:r>
    </w:p>
    <w:p>
      <w:pPr>
        <w:pStyle w:val="Normal"/>
      </w:pPr>
      <w:r>
        <w:rPr>
          <w:rFonts w:ascii="Calibri" w:hAnsi="Calibri" w:eastAsia="Microsoft YaHei" w:cs="Calibri"/>
          <w:color w:val="263238"/>
          <w:sz w:val="21"/>
          <w:szCs w:val="21"/>
        </w:rPr>
        <w:t>4-element test with 14-day commercial justification window; 36-month pilot Systemic Infrastructure Provider, Section 2.5D v9.0, framework for dominant private infrastructure providers; neutral service obligations; no new competition authority; coordinates existing national tools IMESI-LDC Protocol, Section 3.1C v9.0, enhanced protections for AU/LDC/SIDS: secondary sanctions shield, great power capture insurance, collateral damage fund, development voting enhancements Withdrawal Authenticity Test, Section 5.3D v9.0, 5-criteria verification before Phase 2 reduction; rebuttable dirty compliance presumption; cosmetic tariff change definition Protectionism Review Mechanism, Section 6.10 v9.0, 3-member PRP with no sua sponte authority; weighted factor review; advisory findings unless CC adopts WTO Defence-in-Depth, Annex 1A.1 v9.0, three-layer litigation strategy: GATT XXI(c) primary, XX secondary, plurilateral mutual insurance tertiary; model pleadings repository Internal Adjudication Charter, Annex 6B v9.0, full IAC charter: 7-member standing panel, standards of review, 90-day timelines, political override by 75% CC vote, strategic partner access Future Architecture Compendium, Annex 20 v8.9, five non-operational planning modules (institutional resilience, major economy integration, federal coordination, corporate coercion scenarios, sub-national cooperation) for Grand Review consideration only</w:t>
      </w:r>
    </w:p>
    <w:sectPr>
      <w:headerReference w:type="default" r:id="R9354f791c10c4880"/>
      <w:footerReference w:type="default" r:id="R283c0bfd9a984a08"/>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http://schemas.openxmlformats.org/wordprocessingml/2006/main">
  <w:p>
    <w:pPr>
      <w:pStyle w:val="Normal"/>
      <w:jc w:val="right"/>
    </w:pPr>
    <w:r>
      <w:rPr>
        <w:rFonts w:ascii="Calibri" w:hAnsi="Calibri" w:eastAsia="Microsoft YaHei" w:cs="Calibri"/>
        <w:color w:val="78909C"/>
        <w:sz w:val="16"/>
        <w:szCs w:val="16"/>
      </w:rPr>
      <w:t>INTERNATIONAL MUTUAL ECONOMIC SECURITY INSTRUMENT  |  Version 15.0  |  August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evenAndOddHeaders/>
</w:settings>
</file>

<file path=word/styles.xml><?xml version="1.0" encoding="utf-8"?>
<w:styles xmlns:w="http://schemas.openxmlformats.org/wordprocessingml/2006/main">
  <w:style w:type="paragraph" w:styleId="Normal" w:default="true">
    <w:name w:val="Normal"/>
    <w:pPr>
      <w:spacing w:after="160" w:line="300" w:lineRule="auto"/>
      <w:jc w:val="both"/>
    </w:pPr>
    <w:rPr>
      <w:rFonts w:ascii="Calibri" w:hAnsi="Calibri" w:eastAsia="Microsoft YaHei"/>
      <w:color w:val="263238"/>
      <w:sz w:val="21"/>
    </w:rPr>
  </w:style>
  <w:style w:type="paragraph" w:styleId="Heading1">
    <w:name w:val="heading 1"/>
    <w:basedOn w:val="Normal"/>
    <w:pPr>
      <w:keepNext/>
      <w:keepLines/>
      <w:spacing w:before="480" w:after="200"/>
      <w:jc w:val="left"/>
      <w:outlineLvl w:val="0"/>
    </w:pPr>
    <w:rPr>
      <w:rFonts w:ascii="Calibri" w:hAnsi="Calibri" w:eastAsia="Microsoft YaHei"/>
      <w:b/>
      <w:color w:val="455A64"/>
      <w:sz w:val="30"/>
    </w:rPr>
  </w:style>
  <w:style w:type="paragraph" w:styleId="Heading2">
    <w:name w:val="heading 2"/>
    <w:basedOn w:val="Normal"/>
    <w:pPr>
      <w:keepNext/>
      <w:keepLines/>
      <w:spacing w:before="360" w:after="140"/>
      <w:jc w:val="left"/>
      <w:outlineLvl w:val="1"/>
    </w:pPr>
    <w:rPr>
      <w:rFonts w:ascii="Calibri" w:hAnsi="Calibri" w:eastAsia="Microsoft YaHei"/>
      <w:b/>
      <w:color w:val="263238"/>
      <w:sz w:val="25"/>
    </w:rPr>
  </w:style>
  <w:style w:type="paragraph" w:styleId="Heading3">
    <w:name w:val="heading 3"/>
    <w:basedOn w:val="Normal"/>
    <w:pPr>
      <w:keepNext/>
      <w:keepLines/>
      <w:spacing w:before="260" w:after="100"/>
      <w:jc w:val="left"/>
      <w:outlineLvl w:val="2"/>
    </w:pPr>
    <w:rPr>
      <w:rFonts w:ascii="Calibri" w:hAnsi="Calibri" w:eastAsia="Microsoft YaHei"/>
      <w:b/>
      <w:color w:val="546E7A"/>
      <w:sz w:val="22"/>
    </w:rPr>
  </w:style>
  <w:style w:type="paragraph" w:styleId="Caption">
    <w:name w:val="Caption"/>
    <w:basedOn w:val="Normal"/>
    <w:pPr>
      <w:spacing w:before="60" w:after="320"/>
      <w:jc w:val="center"/>
    </w:pPr>
    <w:rPr>
      <w:color w:val="78909C"/>
      <w:sz w:val="20"/>
    </w:rPr>
  </w:style>
  <w:style w:type="paragraph" w:styleId="TOC1">
    <w:name w:val="toc 1"/>
    <w:basedOn w:val="Normal"/>
    <w:pPr>
      <w:tabs>
        <w:tab w:val="right" w:leader="dot" w:pos="9026"/>
      </w:tabs>
      <w:spacing w:before="120" w:after="40"/>
      <w:ind w:left="0"/>
      <w:jc w:val="left"/>
    </w:pPr>
    <w:rPr>
      <w:rFonts w:ascii="Calibri" w:hAnsi="Calibri"/>
      <w:b/>
      <w:color w:val="37474F"/>
      <w:sz w:val="21"/>
    </w:rPr>
  </w:style>
  <w:style w:type="paragraph" w:styleId="TOC2">
    <w:name w:val="toc 2"/>
    <w:basedOn w:val="Normal"/>
    <w:pPr>
      <w:tabs>
        <w:tab w:val="right" w:leader="dot" w:pos="9026"/>
      </w:tabs>
      <w:spacing w:after="20"/>
      <w:ind w:left="360"/>
      <w:jc w:val="left"/>
    </w:pPr>
    <w:rPr>
      <w:rFonts w:ascii="Calibri" w:hAnsi="Calibri"/>
      <w:color w:val="212121"/>
      <w:sz w:val="20"/>
    </w:rPr>
  </w:style>
</w:styles>
</file>

<file path=word/_rels/document.xml.rels><?xml version='1.0' encoding='UTF-8'?>
<Relationships xmlns="http://schemas.openxmlformats.org/package/2006/relationships"><Relationship Id="rId1" Type="http://schemas.openxmlformats.org/officeDocument/2006/relationships/header" Target="header2.xml" /><Relationship Id="rId2" Type="http://schemas.openxmlformats.org/officeDocument/2006/relationships/footer" Target="footer2.xml" /><Relationship Id="rId3" Type="http://schemas.openxmlformats.org/officeDocument/2006/relationships/header" Target="header3.xml" /><Relationship Id="rId4" Type="http://schemas.openxmlformats.org/officeDocument/2006/relationships/footer" Target="footer3.xml" /><Relationship Id="rId5" Type="http://schemas.openxmlformats.org/officeDocument/2006/relationships/header" Target="header4.xml" /><Relationship Id="rId6" Type="http://schemas.openxmlformats.org/officeDocument/2006/relationships/footer" Target="footer4.xml" /><Relationship Id="R283c0bfd9a984a08" Type="http://schemas.openxmlformats.org/officeDocument/2006/relationships/footer" Target="footer1.xml" /><Relationship Id="R4bf79d4c029d467b" Type="http://schemas.openxmlformats.org/officeDocument/2006/relationships/numbering" Target="numbering.xml" /><Relationship Id="R9354f791c10c4880" Type="http://schemas.openxmlformats.org/officeDocument/2006/relationships/header" Target="header1.xml" /><Relationship Id="Ra22845a32fd84d72" Type="http://schemas.openxmlformats.org/officeDocument/2006/relationships/settings" Target="settings.xml" /><Relationship Id="Rc5a793b8d602430f" Type="http://schemas.openxmlformats.org/officeDocument/2006/relationships/styles" Target="styles.xml" /></Relationships>
</file>