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4259cb20cfd4a2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40" w:lineRule="atLeast"/>
        <w:jc w:val="center"/>
      </w:pPr>
      <w:r>
        <w:rPr>
          <w:sz w:val="2"/>
        </w:rPr>
        <w:drawing>
          <wp:inline distT="0" distB="0" distL="0" distR="0">
            <wp:extent cx="7560000" cy="10692000"/>
            <wp:effectExtent l="0" t="0" r="0" b="0"/>
            <wp:docPr id="1" name="CoverArt"/>
            <wp:cNvGraphicFramePr>
              <a:graphicFrameLocks noChangeAspect="1"/>
            </wp:cNvGraphicFramePr>
            <a:graphic>
              <a:graphicData uri="http://schemas.openxmlformats.org/drawingml/2006/picture">
                <pic:pic>
                  <pic:nvPicPr>
                    <pic:cNvPr id="0" name="CoverArt.png"/>
                    <pic:cNvPicPr/>
                  </pic:nvPicPr>
                  <pic:blipFill>
                    <a:blip r:embed="Reecaea7272bb4b28"/>
                    <a:stretch>
                      <a:fillRect/>
                    </a:stretch>
                  </pic:blipFill>
                  <pic:spPr>
                    <a:xfrm>
                      <a:off x="0" y="0"/>
                      <a:ext cx="7560000" cy="10692000"/>
                    </a:xfrm>
                    <a:prstGeom prst="rect"/>
                  </pic:spPr>
                </pic:pic>
              </a:graphicData>
            </a:graphic>
          </wp:inline>
        </w:drawing>
      </w:r>
    </w:p>
    <w:p>
      <w:pPr>
        <w:sectPr>
          <w:type w:val="nextPage"/>
          <w:pgSz w:w="11906" w:h="16838"/>
          <w:pgMar w:top="0" w:right="0" w:bottom="0" w:left="0" w:header="0" w:footer="0"/>
          <w:titlePg/>
        </w:sectPr>
      </w:pPr>
    </w:p>
    <w:p>
      <w:pPr>
        <w:keepNext/>
        <w:keepLines/>
        <w:pBdr>
          <w:bottom w:val="single" w:color="B8860B" w:sz="8" w:space="4"/>
        </w:pBdr>
        <w:spacing w:before="80" w:after="280"/>
        <w:jc w:val="left"/>
      </w:pPr>
      <w:r>
        <w:rPr>
          <w:rFonts w:ascii="Calibri" w:hAnsi="Calibri"/>
          <w:b/>
          <w:color w:val="37474F"/>
          <w:sz w:val="32"/>
        </w:rPr>
        <w:t>Document Control</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3200"/>
        <w:gridCol w:w="6100"/>
      </w:tblGrid>
      <w:tr>
        <w:trPr>
          <w:tblHeader/>
        </w:trPr>
        <w:tc>
          <w:tcPr>
            <w:tcW w:w="3200" w:type="dxa"/>
            <w:tcBorders>
              <w:bottom w:val="single" w:color="37474F" w:sz="6"/>
            </w:tcBorders>
            <w:shd w:val="clear" w:fill="ECEFF1"/>
            <w:vAlign w:val="center"/>
          </w:tcPr>
          <w:p>
            <w:pPr>
              <w:spacing w:before="30" w:after="30" w:line="240" w:lineRule="auto"/>
              <w:jc w:val="left"/>
            </w:pPr>
            <w:r>
              <w:rPr>
                <w:b/>
                <w:color w:val="37474F"/>
                <w:sz w:val="19"/>
              </w:rPr>
              <w:t xml:space="preserve">Field</w:t>
            </w:r>
          </w:p>
        </w:tc>
        <w:tc>
          <w:tcPr>
            <w:tcW w:w="6100" w:type="dxa"/>
            <w:tcBorders>
              <w:bottom w:val="single" w:color="37474F" w:sz="6"/>
            </w:tcBorders>
            <w:shd w:val="clear" w:fill="ECEFF1"/>
            <w:vAlign w:val="center"/>
          </w:tcPr>
          <w:p>
            <w:pPr>
              <w:spacing w:before="30" w:after="30" w:line="240" w:lineRule="auto"/>
              <w:jc w:val="left"/>
            </w:pPr>
            <w:r>
              <w:rPr>
                <w:b/>
                <w:color w:val="37474F"/>
                <w:sz w:val="19"/>
              </w:rPr>
              <w:t xml:space="preserve">Entry</w:t>
            </w:r>
          </w:p>
        </w:tc>
      </w:tr>
      <w:tr>
        <w:tc>
          <w:tcPr>
            <w:tcW w:w="3200" w:type="dxa"/>
            <w:vAlign w:val="center"/>
          </w:tcPr>
          <w:p>
            <w:pPr>
              <w:spacing w:before="30" w:after="30" w:line="240" w:lineRule="auto"/>
              <w:jc w:val="left"/>
            </w:pPr>
            <w:r>
              <w:rPr>
                <w:color w:val="263238"/>
                <w:sz w:val="19"/>
              </w:rPr>
              <w:t xml:space="preserve">Document title</w:t>
            </w:r>
          </w:p>
        </w:tc>
        <w:tc>
          <w:tcPr>
            <w:tcW w:w="6100" w:type="dxa"/>
            <w:vAlign w:val="center"/>
          </w:tcPr>
          <w:p>
            <w:pPr>
              <w:spacing w:before="30" w:after="30" w:line="240" w:lineRule="auto"/>
              <w:jc w:val="left"/>
            </w:pPr>
            <w:r>
              <w:rPr>
                <w:color w:val="263238"/>
                <w:sz w:val="19"/>
              </w:rPr>
              <w:t xml:space="preserve">IMESI Condensed v15.0</w:t>
            </w:r>
          </w:p>
        </w:tc>
      </w:tr>
      <w:tr>
        <w:tc>
          <w:tcPr>
            <w:tcW w:w="3200" w:type="dxa"/>
            <w:vAlign w:val="center"/>
          </w:tcPr>
          <w:p>
            <w:pPr>
              <w:spacing w:before="30" w:after="30" w:line="240" w:lineRule="auto"/>
              <w:jc w:val="left"/>
            </w:pPr>
            <w:r>
              <w:rPr>
                <w:color w:val="263238"/>
                <w:sz w:val="19"/>
              </w:rPr>
              <w:t xml:space="preserve">Full title</w:t>
            </w:r>
          </w:p>
        </w:tc>
        <w:tc>
          <w:tcPr>
            <w:tcW w:w="6100" w:type="dxa"/>
            <w:vAlign w:val="center"/>
          </w:tcPr>
          <w:p>
            <w:pPr>
              <w:spacing w:before="30" w:after="30" w:line="240" w:lineRule="auto"/>
              <w:jc w:val="left"/>
            </w:pPr>
            <w:r>
              <w:rPr>
                <w:color w:val="263238"/>
                <w:sz w:val="19"/>
              </w:rPr>
              <w:t xml:space="preserve">International Mutual Economic Security Instrument, Condensed Edition</w:t>
            </w:r>
          </w:p>
        </w:tc>
      </w:tr>
      <w:tr>
        <w:tc>
          <w:tcPr>
            <w:tcW w:w="3200" w:type="dxa"/>
            <w:vAlign w:val="center"/>
          </w:tcPr>
          <w:p>
            <w:pPr>
              <w:spacing w:before="30" w:after="30" w:line="240" w:lineRule="auto"/>
              <w:jc w:val="left"/>
            </w:pPr>
            <w:r>
              <w:rPr>
                <w:color w:val="263238"/>
                <w:sz w:val="19"/>
              </w:rPr>
              <w:t xml:space="preserve">Version</w:t>
            </w:r>
          </w:p>
        </w:tc>
        <w:tc>
          <w:tcPr>
            <w:tcW w:w="6100" w:type="dxa"/>
            <w:vAlign w:val="center"/>
          </w:tcPr>
          <w:p>
            <w:pPr>
              <w:spacing w:before="30" w:after="30" w:line="240" w:lineRule="auto"/>
              <w:jc w:val="left"/>
            </w:pPr>
            <w:r>
              <w:rPr>
                <w:color w:val="263238"/>
                <w:sz w:val="19"/>
              </w:rPr>
              <w:t xml:space="preserve">15.0 (Condensed Edition)</w:t>
            </w:r>
          </w:p>
        </w:tc>
      </w:tr>
      <w:tr>
        <w:tc>
          <w:tcPr>
            <w:tcW w:w="3200" w:type="dxa"/>
            <w:vAlign w:val="center"/>
          </w:tcPr>
          <w:p>
            <w:pPr>
              <w:spacing w:before="30" w:after="30" w:line="240" w:lineRule="auto"/>
              <w:jc w:val="left"/>
            </w:pPr>
            <w:r>
              <w:rPr>
                <w:color w:val="263238"/>
                <w:sz w:val="19"/>
              </w:rPr>
              <w:t xml:space="preserve">Status</w:t>
            </w:r>
          </w:p>
        </w:tc>
        <w:tc>
          <w:tcPr>
            <w:tcW w:w="6100" w:type="dxa"/>
            <w:vAlign w:val="center"/>
          </w:tcPr>
          <w:p>
            <w:pPr>
              <w:spacing w:before="30" w:after="30" w:line="240" w:lineRule="auto"/>
              <w:jc w:val="left"/>
            </w:pPr>
            <w:r>
              <w:rPr>
                <w:color w:val="263238"/>
                <w:sz w:val="19"/>
              </w:rPr>
              <w:t xml:space="preserve">Condensed reference edition of IMESI v15.0</w:t>
            </w:r>
          </w:p>
        </w:tc>
      </w:tr>
      <w:tr>
        <w:tc>
          <w:tcPr>
            <w:tcW w:w="3200" w:type="dxa"/>
            <w:vAlign w:val="center"/>
          </w:tcPr>
          <w:p>
            <w:pPr>
              <w:spacing w:before="30" w:after="30" w:line="240" w:lineRule="auto"/>
              <w:jc w:val="left"/>
            </w:pPr>
            <w:r>
              <w:rPr>
                <w:color w:val="263238"/>
                <w:sz w:val="19"/>
              </w:rPr>
              <w:t xml:space="preserve">Date of issue</w:t>
            </w:r>
          </w:p>
        </w:tc>
        <w:tc>
          <w:tcPr>
            <w:tcW w:w="6100" w:type="dxa"/>
            <w:vAlign w:val="center"/>
          </w:tcPr>
          <w:p>
            <w:pPr>
              <w:spacing w:before="30" w:after="30" w:line="240" w:lineRule="auto"/>
              <w:jc w:val="left"/>
            </w:pPr>
            <w:r>
              <w:rPr>
                <w:color w:val="263238"/>
                <w:sz w:val="19"/>
              </w:rPr>
              <w:t xml:space="preserve">August 2026</w:t>
            </w:r>
          </w:p>
        </w:tc>
      </w:tr>
      <w:tr>
        <w:tc>
          <w:tcPr>
            <w:tcW w:w="3200" w:type="dxa"/>
            <w:vAlign w:val="center"/>
          </w:tcPr>
          <w:p>
            <w:pPr>
              <w:spacing w:before="30" w:after="30" w:line="240" w:lineRule="auto"/>
              <w:jc w:val="left"/>
            </w:pPr>
            <w:r>
              <w:rPr>
                <w:color w:val="263238"/>
                <w:sz w:val="19"/>
              </w:rPr>
              <w:t xml:space="preserve">Source document</w:t>
            </w:r>
          </w:p>
        </w:tc>
        <w:tc>
          <w:tcPr>
            <w:tcW w:w="6100" w:type="dxa"/>
            <w:vAlign w:val="center"/>
          </w:tcPr>
          <w:p>
            <w:pPr>
              <w:spacing w:before="30" w:after="30" w:line="240" w:lineRule="auto"/>
              <w:jc w:val="left"/>
            </w:pPr>
            <w:r>
              <w:rPr>
                <w:color w:val="263238"/>
                <w:sz w:val="19"/>
              </w:rPr>
              <w:t xml:space="preserve">IMESI v15.0 (full consolidated text)</w:t>
            </w:r>
          </w:p>
        </w:tc>
      </w:tr>
      <w:tr>
        <w:tc>
          <w:tcPr>
            <w:tcW w:w="3200" w:type="dxa"/>
            <w:vAlign w:val="center"/>
          </w:tcPr>
          <w:p>
            <w:pPr>
              <w:spacing w:before="30" w:after="30" w:line="240" w:lineRule="auto"/>
              <w:jc w:val="left"/>
            </w:pPr>
            <w:r>
              <w:rPr>
                <w:color w:val="263238"/>
                <w:sz w:val="19"/>
              </w:rPr>
              <w:t xml:space="preserve">Drafting standard</w:t>
            </w:r>
          </w:p>
        </w:tc>
        <w:tc>
          <w:tcPr>
            <w:tcW w:w="6100" w:type="dxa"/>
            <w:vAlign w:val="center"/>
          </w:tcPr>
          <w:p>
            <w:pPr>
              <w:spacing w:before="30" w:after="30" w:line="240" w:lineRule="auto"/>
              <w:jc w:val="left"/>
            </w:pPr>
            <w:r>
              <w:rPr>
                <w:color w:val="263238"/>
                <w:sz w:val="19"/>
              </w:rPr>
              <w:t xml:space="preserve">Immutable Present-Tense Matrix</w:t>
            </w:r>
          </w:p>
        </w:tc>
      </w:tr>
      <w:tr>
        <w:tc>
          <w:tcPr>
            <w:tcW w:w="3200" w:type="dxa"/>
            <w:vAlign w:val="center"/>
          </w:tcPr>
          <w:p>
            <w:pPr>
              <w:spacing w:before="30" w:after="30" w:line="240" w:lineRule="auto"/>
              <w:jc w:val="left"/>
            </w:pPr>
            <w:r>
              <w:rPr>
                <w:color w:val="263238"/>
                <w:sz w:val="19"/>
              </w:rPr>
              <w:t xml:space="preserve">Custodian</w:t>
            </w:r>
          </w:p>
        </w:tc>
        <w:tc>
          <w:tcPr>
            <w:tcW w:w="6100" w:type="dxa"/>
            <w:vAlign w:val="center"/>
          </w:tcPr>
          <w:p>
            <w:pPr>
              <w:spacing w:before="30" w:after="30" w:line="240" w:lineRule="auto"/>
              <w:jc w:val="left"/>
            </w:pPr>
            <w:r>
              <w:rPr>
                <w:color w:val="263238"/>
                <w:sz w:val="19"/>
              </w:rPr>
              <w:t xml:space="preserve">IMESI Secretariat (upon establishment)</w:t>
            </w:r>
          </w:p>
        </w:tc>
      </w:tr>
      <w:tr>
        <w:tc>
          <w:tcPr>
            <w:tcW w:w="3200" w:type="dxa"/>
            <w:vAlign w:val="center"/>
          </w:tcPr>
          <w:p>
            <w:pPr>
              <w:spacing w:before="30" w:after="30" w:line="240" w:lineRule="auto"/>
              <w:jc w:val="left"/>
            </w:pPr>
            <w:r>
              <w:rPr>
                <w:color w:val="263238"/>
                <w:sz w:val="19"/>
              </w:rPr>
              <w:t xml:space="preserve">Classification</w:t>
            </w:r>
          </w:p>
        </w:tc>
        <w:tc>
          <w:tcPr>
            <w:tcW w:w="6100" w:type="dxa"/>
            <w:vAlign w:val="center"/>
          </w:tcPr>
          <w:p>
            <w:pPr>
              <w:spacing w:before="30" w:after="30" w:line="240" w:lineRule="auto"/>
              <w:jc w:val="left"/>
            </w:pPr>
            <w:r>
              <w:rPr>
                <w:color w:val="263238"/>
                <w:sz w:val="19"/>
              </w:rPr>
              <w:t xml:space="preserve">Open document</w:t>
            </w:r>
          </w:p>
        </w:tc>
      </w:tr>
    </w:tbl>
    <w:p>
      <w:r>
        <w:t xml:space="preserve">This Condensed Edition presents the complete architecture of IMESI v15.0 in compressed form. Every Part, Article, and Annex of the full instrument appears here in operative summary: all definitions, thresholds, vote shares, timelines, and automatic triggers that carry the meaning of the framework are preserved, while extended rationales, repeated addenda, and negotiating history are consolidated. Where this Condensed Edition and the full text of IMESI v15.0 diverge, the full text governs.</w:t>
      </w:r>
    </w:p>
    <w:p>
      <w:r>
        <w:t xml:space="preserve">Every sentence of this edition observes the Immutable Present-Tense Matrix: active present-tense drafting, no modal auxiliaries, no passive operational triggers, constraints attributed to the framework architecture rather than to any single Party, and automatic logic stated as immediate reality.</w:t>
      </w:r>
    </w:p>
    <w:p>
      <w:pPr>
        <w:sectPr>
          <w:type w:val="nextPage"/>
          <w:pgSz w:w="11906" w:h="16838"/>
          <w:pgMar w:top="1800" w:right="1440" w:bottom="1440" w:left="1440" w:header="720" w:footer="720"/>
        </w:sectPr>
      </w:pPr>
    </w:p>
    <w:p>
      <w:pPr>
        <w:keepNext/>
        <w:keepLines/>
        <w:pBdr>
          <w:bottom w:val="single" w:color="B8860B" w:sz="8" w:space="4"/>
        </w:pBdr>
        <w:spacing w:before="80" w:after="280"/>
        <w:jc w:val="left"/>
      </w:pPr>
      <w:r>
        <w:rPr>
          <w:rFonts w:ascii="Calibri" w:hAnsi="Calibri"/>
          <w:b/>
          <w:color w:val="37474F"/>
          <w:sz w:val="32"/>
        </w:rPr>
        <w:t>Table of Contents</w:t>
      </w:r>
    </w:p>
    <w:p>
      <w:r>
        <w:fldChar w:fldCharType="begin"/>
      </w:r>
      <w:r>
        <w:instrText xml:space="preserve"> TOC \o "1-2" \h \z \u </w:instrText>
      </w:r>
      <w:r>
        <w:fldChar w:fldCharType="separate"/>
      </w:r>
    </w:p>
    <w:p>
      <w:pPr>
        <w:pStyle w:val="TOC1"/>
      </w:pPr>
      <w:r>
        <w:t xml:space="preserve">Reader's Guide to the Condensed Instrument</w:t>
      </w:r>
      <w:r>
        <w:tab/>
      </w:r>
      <w:r>
        <w:t>5</w:t>
      </w:r>
    </w:p>
    <w:p>
      <w:pPr>
        <w:pStyle w:val="TOC2"/>
      </w:pPr>
      <w:r>
        <w:t xml:space="preserve">What IMESI Provides</w:t>
      </w:r>
      <w:r>
        <w:tab/>
      </w:r>
      <w:r>
        <w:t>5</w:t>
      </w:r>
    </w:p>
    <w:p>
      <w:pPr>
        <w:pStyle w:val="TOC2"/>
      </w:pPr>
      <w:r>
        <w:t xml:space="preserve">Financial Snapshot for Ministers</w:t>
      </w:r>
      <w:r>
        <w:tab/>
      </w:r>
      <w:r>
        <w:t>6</w:t>
      </w:r>
    </w:p>
    <w:p>
      <w:pPr>
        <w:pStyle w:val="TOC2"/>
      </w:pPr>
      <w:r>
        <w:t xml:space="preserve">How the Clock Works</w:t>
      </w:r>
      <w:r>
        <w:tab/>
      </w:r>
      <w:r>
        <w:t>7</w:t>
      </w:r>
    </w:p>
    <w:p>
      <w:pPr>
        <w:pStyle w:val="TOC2"/>
      </w:pPr>
      <w:r>
        <w:t xml:space="preserve">Governance Safeguards at a Glance</w:t>
      </w:r>
      <w:r>
        <w:tab/>
      </w:r>
      <w:r>
        <w:t>8</w:t>
      </w:r>
    </w:p>
    <w:p>
      <w:pPr>
        <w:pStyle w:val="TOC2"/>
      </w:pPr>
      <w:r>
        <w:t xml:space="preserve">Document Evolution, v10.0 to v15.0</w:t>
      </w:r>
      <w:r>
        <w:tab/>
      </w:r>
      <w:r>
        <w:t>8</w:t>
      </w:r>
    </w:p>
    <w:p>
      <w:pPr>
        <w:pStyle w:val="TOC1"/>
      </w:pPr>
      <w:r>
        <w:t xml:space="preserve">Philosophical Preamble</w:t>
      </w:r>
      <w:r>
        <w:tab/>
      </w:r>
      <w:r>
        <w:t>10</w:t>
      </w:r>
    </w:p>
    <w:p>
      <w:pPr>
        <w:pStyle w:val="TOC1"/>
      </w:pPr>
      <w:r>
        <w:t xml:space="preserve">Part A: Foundational Charter</w:t>
      </w:r>
      <w:r>
        <w:tab/>
      </w:r>
      <w:r>
        <w:t>11</w:t>
      </w:r>
    </w:p>
    <w:p>
      <w:pPr>
        <w:pStyle w:val="TOC2"/>
      </w:pPr>
      <w:r>
        <w:t xml:space="preserve">Article I: Collective Economic Security Doctrine</w:t>
      </w:r>
      <w:r>
        <w:tab/>
      </w:r>
      <w:r>
        <w:t>11</w:t>
      </w:r>
    </w:p>
    <w:p>
      <w:pPr>
        <w:pStyle w:val="TOC2"/>
      </w:pPr>
      <w:r>
        <w:t xml:space="preserve">Article II: Definitions and Scope</w:t>
      </w:r>
      <w:r>
        <w:tab/>
      </w:r>
      <w:r>
        <w:t>13</w:t>
      </w:r>
    </w:p>
    <w:p>
      <w:pPr>
        <w:pStyle w:val="TOC2"/>
      </w:pPr>
      <w:r>
        <w:t xml:space="preserve">Article III: Membership and Tiered Obligations</w:t>
      </w:r>
      <w:r>
        <w:tab/>
      </w:r>
      <w:r>
        <w:t>16</w:t>
      </w:r>
    </w:p>
    <w:p>
      <w:pPr>
        <w:pStyle w:val="TOC2"/>
      </w:pPr>
      <w:r>
        <w:t xml:space="preserve">Article IV: Institutional Architecture</w:t>
      </w:r>
      <w:r>
        <w:tab/>
      </w:r>
      <w:r>
        <w:t>18</w:t>
      </w:r>
    </w:p>
    <w:p>
      <w:pPr>
        <w:pStyle w:val="TOC2"/>
      </w:pPr>
      <w:r>
        <w:t xml:space="preserve">Article V: Activation Procedures</w:t>
      </w:r>
      <w:r>
        <w:tab/>
      </w:r>
      <w:r>
        <w:t>21</w:t>
      </w:r>
    </w:p>
    <w:p>
      <w:pPr>
        <w:pStyle w:val="TOC2"/>
      </w:pPr>
      <w:r>
        <w:t xml:space="preserve">Article VI: Anti-Fragmentation</w:t>
      </w:r>
      <w:r>
        <w:tab/>
      </w:r>
      <w:r>
        <w:t>26</w:t>
      </w:r>
    </w:p>
    <w:p>
      <w:pPr>
        <w:pStyle w:val="TOC2"/>
      </w:pPr>
      <w:r>
        <w:t xml:space="preserve">Article VII: Strategic Counter-Coercion Escalation</w:t>
      </w:r>
      <w:r>
        <w:tab/>
      </w:r>
      <w:r>
        <w:t>29</w:t>
      </w:r>
    </w:p>
    <w:p>
      <w:pPr>
        <w:pStyle w:val="TOC2"/>
      </w:pPr>
      <w:r>
        <w:t xml:space="preserve">Article VIII: Mutual Economic Security Fund</w:t>
      </w:r>
      <w:r>
        <w:tab/>
      </w:r>
      <w:r>
        <w:t>30</w:t>
      </w:r>
    </w:p>
    <w:p>
      <w:pPr>
        <w:pStyle w:val="TOC2"/>
      </w:pPr>
      <w:r>
        <w:t xml:space="preserve">Article IX: External Engagement</w:t>
      </w:r>
      <w:r>
        <w:tab/>
      </w:r>
      <w:r>
        <w:t>34</w:t>
      </w:r>
    </w:p>
    <w:p>
      <w:pPr>
        <w:pStyle w:val="TOC2"/>
      </w:pPr>
      <w:r>
        <w:t xml:space="preserve">Article X: Institutional Evolution</w:t>
      </w:r>
      <w:r>
        <w:tab/>
      </w:r>
      <w:r>
        <w:t>36</w:t>
      </w:r>
    </w:p>
    <w:p>
      <w:pPr>
        <w:pStyle w:val="TOC1"/>
      </w:pPr>
      <w:r>
        <w:t xml:space="preserve">Part B: Operational Annexes</w:t>
      </w:r>
      <w:r>
        <w:tab/>
      </w:r>
      <w:r>
        <w:t>38</w:t>
      </w:r>
    </w:p>
    <w:p>
      <w:pPr>
        <w:pStyle w:val="TOC2"/>
      </w:pPr>
      <w:r>
        <w:t xml:space="preserve">Annex 1: Legal Foundations</w:t>
      </w:r>
      <w:r>
        <w:tab/>
      </w:r>
      <w:r>
        <w:t>38</w:t>
      </w:r>
    </w:p>
    <w:p>
      <w:pPr>
        <w:pStyle w:val="TOC2"/>
      </w:pPr>
      <w:r>
        <w:t xml:space="preserve">Annex 1A: WTO Compatibility Protocol</w:t>
      </w:r>
      <w:r>
        <w:tab/>
      </w:r>
      <w:r>
        <w:t>38</w:t>
      </w:r>
    </w:p>
    <w:p>
      <w:pPr>
        <w:pStyle w:val="TOC2"/>
      </w:pPr>
      <w:r>
        <w:t xml:space="preserve">Annex 1B: Investment Treaty Alignment</w:t>
      </w:r>
      <w:r>
        <w:tab/>
      </w:r>
      <w:r>
        <w:t>39</w:t>
      </w:r>
    </w:p>
    <w:p>
      <w:pPr>
        <w:pStyle w:val="TOC2"/>
      </w:pPr>
      <w:r>
        <w:t xml:space="preserve">Annex 1C: Sovereign Debt Coercion Shield</w:t>
      </w:r>
      <w:r>
        <w:tab/>
      </w:r>
      <w:r>
        <w:t>39</w:t>
      </w:r>
    </w:p>
    <w:p>
      <w:pPr>
        <w:pStyle w:val="TOC2"/>
      </w:pPr>
      <w:r>
        <w:t xml:space="preserve">Annex 2: Proportionality Matrix</w:t>
      </w:r>
      <w:r>
        <w:tab/>
      </w:r>
      <w:r>
        <w:t>39</w:t>
      </w:r>
    </w:p>
    <w:p>
      <w:pPr>
        <w:pStyle w:val="TOC2"/>
      </w:pPr>
      <w:r>
        <w:t xml:space="preserve">Annex 2A: State-Adjoining Sector List</w:t>
      </w:r>
      <w:r>
        <w:tab/>
      </w:r>
      <w:r>
        <w:t>40</w:t>
      </w:r>
    </w:p>
    <w:p>
      <w:pPr>
        <w:pStyle w:val="TOC2"/>
      </w:pPr>
      <w:r>
        <w:t xml:space="preserve">Annex 2B: Biological Security Pilot</w:t>
      </w:r>
      <w:r>
        <w:tab/>
      </w:r>
      <w:r>
        <w:t>40</w:t>
      </w:r>
    </w:p>
    <w:p>
      <w:pPr>
        <w:pStyle w:val="TOC2"/>
      </w:pPr>
      <w:r>
        <w:t xml:space="preserve">Annex 3: Supply Chain Resilience Framework</w:t>
      </w:r>
      <w:r>
        <w:tab/>
      </w:r>
      <w:r>
        <w:t>40</w:t>
      </w:r>
    </w:p>
    <w:p>
      <w:pPr>
        <w:pStyle w:val="TOC2"/>
      </w:pPr>
      <w:r>
        <w:t xml:space="preserve">Annex 3A: Strategic Red Team</w:t>
      </w:r>
      <w:r>
        <w:tab/>
      </w:r>
      <w:r>
        <w:t>41</w:t>
      </w:r>
    </w:p>
    <w:p>
      <w:pPr>
        <w:pStyle w:val="TOC2"/>
      </w:pPr>
      <w:r>
        <w:t xml:space="preserve">Annex 3B: Resilience Corridors</w:t>
      </w:r>
      <w:r>
        <w:tab/>
      </w:r>
      <w:r>
        <w:t>41</w:t>
      </w:r>
    </w:p>
    <w:p>
      <w:pPr>
        <w:pStyle w:val="TOC2"/>
      </w:pPr>
      <w:r>
        <w:t xml:space="preserve">Annex 3C: Supply Chain Advisories</w:t>
      </w:r>
      <w:r>
        <w:tab/>
      </w:r>
      <w:r>
        <w:t>41</w:t>
      </w:r>
    </w:p>
    <w:p>
      <w:pPr>
        <w:pStyle w:val="TOC2"/>
      </w:pPr>
      <w:r>
        <w:t xml:space="preserve">Annex 4: Scenario Library</w:t>
      </w:r>
      <w:r>
        <w:tab/>
      </w:r>
      <w:r>
        <w:t>41</w:t>
      </w:r>
    </w:p>
    <w:p>
      <w:pPr>
        <w:pStyle w:val="TOC2"/>
      </w:pPr>
      <w:r>
        <w:t xml:space="preserve">Annex 5: IEWC Operating Procedures</w:t>
      </w:r>
      <w:r>
        <w:tab/>
      </w:r>
      <w:r>
        <w:t>41</w:t>
      </w:r>
    </w:p>
    <w:p>
      <w:pPr>
        <w:pStyle w:val="TOC2"/>
      </w:pPr>
      <w:r>
        <w:t xml:space="preserve">Annex 5A: Constitutional Conflict and Parliamentary Readiness</w:t>
      </w:r>
      <w:r>
        <w:tab/>
      </w:r>
      <w:r>
        <w:t>42</w:t>
      </w:r>
    </w:p>
    <w:p>
      <w:pPr>
        <w:pStyle w:val="TOC2"/>
      </w:pPr>
      <w:r>
        <w:t xml:space="preserve">Annex 6: Burden-Sharing Methodologies</w:t>
      </w:r>
      <w:r>
        <w:tab/>
      </w:r>
      <w:r>
        <w:t>42</w:t>
      </w:r>
    </w:p>
    <w:p>
      <w:pPr>
        <w:pStyle w:val="TOC2"/>
      </w:pPr>
      <w:r>
        <w:t xml:space="preserve">Annex 6B: IAC Charter</w:t>
      </w:r>
      <w:r>
        <w:tab/>
      </w:r>
      <w:r>
        <w:t>42</w:t>
      </w:r>
    </w:p>
    <w:p>
      <w:pPr>
        <w:pStyle w:val="TOC2"/>
      </w:pPr>
      <w:r>
        <w:t xml:space="preserve">Annex 7: Enforcement Protocols</w:t>
      </w:r>
      <w:r>
        <w:tab/>
      </w:r>
      <w:r>
        <w:t>42</w:t>
      </w:r>
    </w:p>
    <w:p>
      <w:pPr>
        <w:pStyle w:val="TOC2"/>
      </w:pPr>
      <w:r>
        <w:t xml:space="preserve">Annex 8: Face-Saving and De-escalation Language</w:t>
      </w:r>
      <w:r>
        <w:tab/>
      </w:r>
      <w:r>
        <w:t>43</w:t>
      </w:r>
    </w:p>
    <w:p>
      <w:pPr>
        <w:pStyle w:val="TOC2"/>
      </w:pPr>
      <w:r>
        <w:t xml:space="preserve">Annex 8A: Fund Capitalisation Model</w:t>
      </w:r>
      <w:r>
        <w:tab/>
      </w:r>
      <w:r>
        <w:t>43</w:t>
      </w:r>
    </w:p>
    <w:p>
      <w:pPr>
        <w:pStyle w:val="TOC2"/>
      </w:pPr>
      <w:r>
        <w:t xml:space="preserve">Annex 9: Founding Coalition Profile</w:t>
      </w:r>
      <w:r>
        <w:tab/>
      </w:r>
      <w:r>
        <w:t>43</w:t>
      </w:r>
    </w:p>
    <w:p>
      <w:pPr>
        <w:pStyle w:val="TOC2"/>
      </w:pPr>
      <w:r>
        <w:t xml:space="preserve">Annex 10: Large-Economy Coercion Protocol</w:t>
      </w:r>
      <w:r>
        <w:tab/>
      </w:r>
      <w:r>
        <w:t>43</w:t>
      </w:r>
    </w:p>
    <w:p>
      <w:pPr>
        <w:pStyle w:val="TOC2"/>
      </w:pPr>
      <w:r>
        <w:t xml:space="preserve">Annex 10B: Market Infrastructure Defence</w:t>
      </w:r>
      <w:r>
        <w:tab/>
      </w:r>
      <w:r>
        <w:t>44</w:t>
      </w:r>
    </w:p>
    <w:p>
      <w:pPr>
        <w:pStyle w:val="TOC2"/>
      </w:pPr>
      <w:r>
        <w:t xml:space="preserve">Annex 11: AI Sovereignty Shield</w:t>
      </w:r>
      <w:r>
        <w:tab/>
      </w:r>
      <w:r>
        <w:t>44</w:t>
      </w:r>
    </w:p>
    <w:p>
      <w:pPr>
        <w:pStyle w:val="TOC2"/>
      </w:pPr>
      <w:r>
        <w:t xml:space="preserve">Annex 11A: Platform Certification</w:t>
      </w:r>
      <w:r>
        <w:tab/>
      </w:r>
      <w:r>
        <w:t>45</w:t>
      </w:r>
    </w:p>
    <w:p>
      <w:pPr>
        <w:pStyle w:val="TOC2"/>
      </w:pPr>
      <w:r>
        <w:t xml:space="preserve">Annex 11B: Open Standards Protocol</w:t>
      </w:r>
      <w:r>
        <w:tab/>
      </w:r>
      <w:r>
        <w:t>45</w:t>
      </w:r>
    </w:p>
    <w:p>
      <w:pPr>
        <w:pStyle w:val="TOC2"/>
      </w:pPr>
      <w:r>
        <w:t xml:space="preserve">Annex 11C: Alternative Payment Rails</w:t>
      </w:r>
      <w:r>
        <w:tab/>
      </w:r>
      <w:r>
        <w:t>45</w:t>
      </w:r>
    </w:p>
    <w:p>
      <w:pPr>
        <w:pStyle w:val="TOC2"/>
      </w:pPr>
      <w:r>
        <w:t xml:space="preserve">Annex 12: Digital and AI Governance Framework</w:t>
      </w:r>
      <w:r>
        <w:tab/>
      </w:r>
      <w:r>
        <w:t>45</w:t>
      </w:r>
    </w:p>
    <w:p>
      <w:pPr>
        <w:pStyle w:val="TOC2"/>
      </w:pPr>
      <w:r>
        <w:t xml:space="preserve">Annex 13: Stress Test Protocol</w:t>
      </w:r>
      <w:r>
        <w:tab/>
      </w:r>
      <w:r>
        <w:t>46</w:t>
      </w:r>
    </w:p>
    <w:p>
      <w:pPr>
        <w:pStyle w:val="TOC2"/>
      </w:pPr>
      <w:r>
        <w:t xml:space="preserve">Annex 13A: Vulnerability Continuity Index and Live-Fire Exercises</w:t>
      </w:r>
      <w:r>
        <w:tab/>
      </w:r>
      <w:r>
        <w:t>46</w:t>
      </w:r>
    </w:p>
    <w:p>
      <w:pPr>
        <w:pStyle w:val="TOC2"/>
      </w:pPr>
      <w:r>
        <w:t xml:space="preserve">Annex 14: Coalition Financial Markets Protocol</w:t>
      </w:r>
      <w:r>
        <w:tab/>
      </w:r>
      <w:r>
        <w:t>46</w:t>
      </w:r>
    </w:p>
    <w:p>
      <w:pPr>
        <w:pStyle w:val="TOC2"/>
      </w:pPr>
      <w:r>
        <w:t xml:space="preserve">Annex 15: Stalemate Doctrine</w:t>
      </w:r>
      <w:r>
        <w:tab/>
      </w:r>
      <w:r>
        <w:t>47</w:t>
      </w:r>
    </w:p>
    <w:p>
      <w:pPr>
        <w:pStyle w:val="TOC2"/>
      </w:pPr>
      <w:r>
        <w:t xml:space="preserve">Annex 16: Strategic Communications Charter</w:t>
      </w:r>
      <w:r>
        <w:tab/>
      </w:r>
      <w:r>
        <w:t>47</w:t>
      </w:r>
    </w:p>
    <w:p>
      <w:pPr>
        <w:pStyle w:val="TOC2"/>
      </w:pPr>
      <w:r>
        <w:t xml:space="preserve">Annex 16B: Domestic Communication Guidance</w:t>
      </w:r>
      <w:r>
        <w:tab/>
      </w:r>
      <w:r>
        <w:t>47</w:t>
      </w:r>
    </w:p>
    <w:p>
      <w:pPr>
        <w:pStyle w:val="TOC2"/>
      </w:pPr>
      <w:r>
        <w:t xml:space="preserve">Annex 16C: Standard Talking Points</w:t>
      </w:r>
      <w:r>
        <w:tab/>
      </w:r>
      <w:r>
        <w:t>48</w:t>
      </w:r>
    </w:p>
    <w:p>
      <w:pPr>
        <w:pStyle w:val="TOC2"/>
      </w:pPr>
      <w:r>
        <w:t xml:space="preserve">Annex 20: Contingency Modules</w:t>
      </w:r>
      <w:r>
        <w:tab/>
      </w:r>
      <w:r>
        <w:t>48</w:t>
      </w:r>
    </w:p>
    <w:p>
      <w:pPr>
        <w:pStyle w:val="TOC2"/>
      </w:pPr>
      <w:r>
        <w:t xml:space="preserve">Annex 21: Tariff Stability Compact</w:t>
      </w:r>
      <w:r>
        <w:tab/>
      </w:r>
      <w:r>
        <w:t>48</w:t>
      </w:r>
    </w:p>
    <w:p>
      <w:pPr>
        <w:pStyle w:val="TOC2"/>
      </w:pPr>
      <w:r>
        <w:t xml:space="preserve">Annex 22: Founding Coalition Pledge</w:t>
      </w:r>
      <w:r>
        <w:tab/>
      </w:r>
      <w:r>
        <w:t>49</w:t>
      </w:r>
    </w:p>
    <w:p>
      <w:pPr>
        <w:pStyle w:val="TOC2"/>
      </w:pPr>
      <w:r>
        <w:t xml:space="preserve">Annex 22A: Micro-State Participation Protocol</w:t>
      </w:r>
      <w:r>
        <w:tab/>
      </w:r>
      <w:r>
        <w:t>49</w:t>
      </w:r>
    </w:p>
    <w:p>
      <w:pPr>
        <w:pStyle w:val="TOC2"/>
      </w:pPr>
      <w:r>
        <w:t xml:space="preserve">Annex 23: Hosting Determination</w:t>
      </w:r>
      <w:r>
        <w:tab/>
      </w:r>
      <w:r>
        <w:t>49</w:t>
      </w:r>
    </w:p>
    <w:p>
      <w:pPr>
        <w:pStyle w:val="TOC2"/>
      </w:pPr>
      <w:r>
        <w:t xml:space="preserve">Annex 24: Consolidated Thresholds Table</w:t>
      </w:r>
      <w:r>
        <w:tab/>
      </w:r>
      <w:r>
        <w:t>49</w:t>
      </w:r>
    </w:p>
    <w:p>
      <w:pPr>
        <w:pStyle w:val="TOC2"/>
      </w:pPr>
      <w:r>
        <w:t xml:space="preserve">Annex 25: The Nofade Rule</w:t>
      </w:r>
      <w:r>
        <w:tab/>
      </w:r>
      <w:r>
        <w:t>50</w:t>
      </w:r>
    </w:p>
    <w:p>
      <w:pPr>
        <w:pStyle w:val="TOC1"/>
      </w:pPr>
      <w:r>
        <w:t xml:space="preserve">Part C: Financial Protocol</w:t>
      </w:r>
      <w:r>
        <w:tab/>
      </w:r>
      <w:r>
        <w:t>51</w:t>
      </w:r>
    </w:p>
    <w:p>
      <w:pPr>
        <w:pStyle w:val="TOC2"/>
      </w:pPr>
      <w:r>
        <w:t xml:space="preserve">What IMESI Means for Firms and Financial Institutions</w:t>
      </w:r>
      <w:r>
        <w:tab/>
      </w:r>
      <w:r>
        <w:t>51</w:t>
      </w:r>
    </w:p>
    <w:p>
      <w:pPr>
        <w:pStyle w:val="TOC2"/>
      </w:pPr>
      <w:r>
        <w:t xml:space="preserve">Minimum Viable Scenario: Tariff Shock on a Mid-Size Member</w:t>
      </w:r>
      <w:r>
        <w:tab/>
      </w:r>
      <w:r>
        <w:t>52</w:t>
      </w:r>
    </w:p>
    <w:p>
      <w:pPr>
        <w:pStyle w:val="TOC2"/>
      </w:pPr>
      <w:r>
        <w:t xml:space="preserve">Full Walkthrough: Discriminatory Tariffs and Supply-Chain Pressure</w:t>
      </w:r>
      <w:r>
        <w:tab/>
      </w:r>
      <w:r>
        <w:t>53</w:t>
      </w:r>
    </w:p>
    <w:p>
      <w:pPr>
        <w:pStyle w:val="TOC2"/>
      </w:pPr>
      <w:r>
        <w:t xml:space="preserve">Scenario F: Non-Military Economic Pressure on a Frontline State</w:t>
      </w:r>
      <w:r>
        <w:tab/>
      </w:r>
      <w:r>
        <w:t>54</w:t>
      </w:r>
    </w:p>
    <w:p>
      <w:pPr>
        <w:pStyle w:val="TOC2"/>
      </w:pPr>
      <w:r>
        <w:t xml:space="preserve">Frequently Asked Questions</w:t>
      </w:r>
      <w:r>
        <w:tab/>
      </w:r>
      <w:r>
        <w:t>54</w:t>
      </w:r>
    </w:p>
    <w:p>
      <w:pPr>
        <w:pStyle w:val="TOC2"/>
      </w:pPr>
      <w:r>
        <w:t xml:space="preserve">Founding Political Roadmap</w:t>
      </w:r>
      <w:r>
        <w:tab/>
      </w:r>
      <w:r>
        <w:t>55</w:t>
      </w:r>
    </w:p>
    <w:p>
      <w:pPr>
        <w:pStyle w:val="TOC1"/>
      </w:pPr>
      <w:r>
        <w:t xml:space="preserve">Part D: Strategic Guidance and Case Studies</w:t>
      </w:r>
      <w:r>
        <w:tab/>
      </w:r>
      <w:r>
        <w:t>56</w:t>
      </w:r>
    </w:p>
    <w:p>
      <w:pPr>
        <w:pStyle w:val="TOC2"/>
      </w:pPr>
      <w:r>
        <w:t xml:space="preserve">Scenario A: Broad-Based Trade Restriction Event</w:t>
      </w:r>
      <w:r>
        <w:tab/>
      </w:r>
      <w:r>
        <w:t>56</w:t>
      </w:r>
    </w:p>
    <w:p>
      <w:pPr>
        <w:pStyle w:val="TOC2"/>
      </w:pPr>
      <w:r>
        <w:t xml:space="preserve">Scenario B: Strategic Supply Disruption Event</w:t>
      </w:r>
      <w:r>
        <w:tab/>
      </w:r>
      <w:r>
        <w:t>56</w:t>
      </w:r>
    </w:p>
    <w:p>
      <w:pPr>
        <w:pStyle w:val="TOC2"/>
      </w:pPr>
      <w:r>
        <w:t xml:space="preserve">Scenario C: Financial System Stress Event</w:t>
      </w:r>
      <w:r>
        <w:tab/>
      </w:r>
      <w:r>
        <w:t>57</w:t>
      </w:r>
    </w:p>
    <w:p>
      <w:pPr>
        <w:pStyle w:val="TOC2"/>
      </w:pPr>
      <w:r>
        <w:t xml:space="preserve">Scenario D: Coalition Fragmentation Attempt</w:t>
      </w:r>
      <w:r>
        <w:tab/>
      </w:r>
      <w:r>
        <w:t>57</w:t>
      </w:r>
    </w:p>
    <w:p>
      <w:pPr>
        <w:pStyle w:val="TOC2"/>
      </w:pPr>
      <w:r>
        <w:t xml:space="preserve">Scenario E: Systemic Tariff Shock by a Major Economy</w:t>
      </w:r>
      <w:r>
        <w:tab/>
      </w:r>
      <w:r>
        <w:t>58</w:t>
      </w:r>
    </w:p>
    <w:p>
      <w:pPr>
        <w:pStyle w:val="TOC2"/>
      </w:pPr>
      <w:r>
        <w:t xml:space="preserve">Sector Playbooks</w:t>
      </w:r>
      <w:r>
        <w:tab/>
      </w:r>
      <w:r>
        <w:t>59</w:t>
      </w:r>
    </w:p>
    <w:p>
      <w:pPr>
        <w:pStyle w:val="TOC2"/>
      </w:pPr>
      <w:r>
        <w:t xml:space="preserve">Ten-Year Strategic Vision</w:t>
      </w:r>
      <w:r>
        <w:tab/>
      </w:r>
      <w:r>
        <w:t>59</w:t>
      </w:r>
    </w:p>
    <w:p>
      <w:pPr>
        <w:pStyle w:val="TOC1"/>
      </w:pPr>
      <w:r>
        <w:t xml:space="preserve">Conclusion: A Coalition-Ready Framework</w:t>
      </w:r>
      <w:r>
        <w:tab/>
      </w:r>
      <w:r>
        <w:t>60</w:t>
      </w:r>
    </w:p>
    <w:p>
      <w:pPr>
        <w:pStyle w:val="TOC1"/>
      </w:pPr>
      <w:r>
        <w:t xml:space="preserve">Appendix: Glossary of Key Terms</w:t>
      </w:r>
      <w:r>
        <w:tab/>
      </w:r>
      <w:r>
        <w:t>61</w:t>
      </w:r>
    </w:p>
    <w:p>
      <w:r>
        <w:fldChar w:fldCharType="end"/>
      </w:r>
    </w:p>
    <w:p>
      <w:pPr>
        <w:sectPr>
          <w:headerReference w:type="default" r:id="Re345f6626aca4bd5"/>
          <w:footerReference w:type="default" r:id="R4377ad80bcd24252"/>
          <w:type w:val="nextPage"/>
          <w:pgSz w:w="11906" w:h="16838"/>
          <w:pgMar w:top="1800" w:right="1440" w:bottom="1440" w:left="1440" w:header="720" w:footer="720"/>
        </w:sectPr>
      </w:pPr>
    </w:p>
    <w:p>
      <w:pPr>
        <w:pStyle w:val="Heading1"/>
        <w:pageBreakBefore/>
      </w:pPr>
      <w:r>
        <w:t xml:space="preserve">Reader's Guide to the Condensed Instrument</w:t>
      </w:r>
    </w:p>
    <w:p>
      <w:pPr>
        <w:pStyle w:val="Heading2"/>
      </w:pPr>
      <w:r>
        <w:t xml:space="preserve">What IMESI Provides</w:t>
      </w:r>
    </w:p>
    <w:p>
      <w:r>
        <w:t xml:space="preserve">IMESI operates as a rules-based, non-aligned mutual insurance mechanism against two threats: targeted economic coercion linked to policy demands, and systemic trade disruption that endangers collective economic security. Members pool early-warning intelligence, settlement infrastructure, procurement leverage, and financial capacity, so that no member faces a coercing economy alone.</w:t>
      </w:r>
    </w:p>
    <w:p>
      <w:r>
        <w:t xml:space="preserve">IMESI answers a single strategic question: what happens when trade becomes a weapon. Its answer combines four capabilities: instant financial first aid for the target, a certified evidentiary record, a coalition response that arrives on a published clock, and a negotiated exit both sides survive. Every article in Part A serves one of those four capabilities, and every annex in Part B exists to make them run at speed.</w:t>
      </w:r>
    </w:p>
    <w:p>
      <w:r>
        <w:t xml:space="preserve">The framework delivers concrete peacetime benefits from day one of accession, independent of whether any coercion case ever activates:</w:t>
      </w:r>
    </w:p>
    <w:p>
      <w:pPr>
        <w:spacing w:after="120" w:line="288" w:lineRule="auto"/>
        <w:ind w:left="420" w:hanging="220"/>
        <w:jc w:val="both"/>
      </w:pPr>
      <w:r>
        <w:rPr>
          <w:b/>
          <w:color w:val="B8860B"/>
        </w:rPr>
        <w:t>•  </w:t>
      </w:r>
      <w:r>
        <w:t xml:space="preserve">IEWC early-warning dashboards, quarterly threat reports, and coercion-risk indicators;</w:t>
      </w:r>
    </w:p>
    <w:p>
      <w:pPr>
        <w:spacing w:after="120" w:line="288" w:lineRule="auto"/>
        <w:ind w:left="420" w:hanging="220"/>
        <w:jc w:val="both"/>
      </w:pPr>
      <w:r>
        <w:rPr>
          <w:b/>
          <w:color w:val="B8860B"/>
        </w:rPr>
        <w:t>•  </w:t>
      </w:r>
      <w:r>
        <w:t xml:space="preserve">annual supply-chain dependency audits with diversification advisories;</w:t>
      </w:r>
    </w:p>
    <w:p>
      <w:pPr>
        <w:spacing w:after="120" w:line="288" w:lineRule="auto"/>
        <w:ind w:left="420" w:hanging="220"/>
        <w:jc w:val="both"/>
      </w:pPr>
      <w:r>
        <w:rPr>
          <w:b/>
          <w:color w:val="B8860B"/>
        </w:rPr>
        <w:t>•  </w:t>
      </w:r>
      <w:r>
        <w:t xml:space="preserve">Joint Procurement Consortium tenders in strategic sectors;</w:t>
      </w:r>
    </w:p>
    <w:p>
      <w:pPr>
        <w:spacing w:after="120" w:line="288" w:lineRule="auto"/>
        <w:ind w:left="420" w:hanging="220"/>
        <w:jc w:val="both"/>
      </w:pPr>
      <w:r>
        <w:rPr>
          <w:b/>
          <w:color w:val="B8860B"/>
        </w:rPr>
        <w:t>•  </w:t>
      </w:r>
      <w:r>
        <w:t xml:space="preserve">SFI settlement preference for intra-IMESI trade and pre-negotiated swap-line coordination;</w:t>
      </w:r>
    </w:p>
    <w:p>
      <w:pPr>
        <w:spacing w:after="120" w:line="288" w:lineRule="auto"/>
        <w:ind w:left="420" w:hanging="220"/>
        <w:jc w:val="both"/>
      </w:pPr>
      <w:r>
        <w:rPr>
          <w:b/>
          <w:color w:val="B8860B"/>
        </w:rPr>
        <w:t>•  </w:t>
      </w:r>
      <w:r>
        <w:t xml:space="preserve">Resilience Dividend distributions for verified supply-chain diversification;</w:t>
      </w:r>
    </w:p>
    <w:p>
      <w:pPr>
        <w:spacing w:after="120" w:line="288" w:lineRule="auto"/>
        <w:ind w:left="420" w:hanging="220"/>
        <w:jc w:val="both"/>
      </w:pPr>
      <w:r>
        <w:rPr>
          <w:b/>
          <w:color w:val="B8860B"/>
        </w:rPr>
        <w:t>•  </w:t>
      </w:r>
      <w:r>
        <w:t xml:space="preserve">Coercion Resilience Rating advisory support for member sovereign debt.</w:t>
      </w:r>
    </w:p>
    <w:p>
      <w:r>
        <w:t xml:space="preserve">Proportionality with control governs every response: defined phases, human confirmation at each escalation gate, automatic de-escalation triggers, and face-saving off-ramps. The framework architecture excludes unilateral restraint by any single Member: constraints bind the collective, and the collective answers as one.</w:t>
      </w:r>
    </w:p>
    <w:p>
      <w:pPr>
        <w:pStyle w:val="Heading2"/>
      </w:pPr>
      <w:r>
        <w:t xml:space="preserve">Financial Snapshot for Ministers</w:t>
      </w:r>
    </w:p>
    <w:p>
      <w:r>
        <w:t xml:space="preserve">The snapshot's purpose is budget honesty: ministers read in one table what membership costs in the hardest year, what it buys in the hardest week, and how the burden formula keeps both figures proportionate. The full financial protocol in Part C derives each line from the actuarial model in Annex 8A, and the Dashboard publishes the live versions of every figure shown here.</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4300"/>
        <w:gridCol w:w="5000"/>
      </w:tblGrid>
      <w:tr>
        <w:trPr>
          <w:tblHeader/>
        </w:trPr>
        <w:tc>
          <w:tcPr>
            <w:tcW w:w="4300" w:type="dxa"/>
            <w:tcBorders>
              <w:bottom w:val="single" w:color="37474F" w:sz="6"/>
            </w:tcBorders>
            <w:shd w:val="clear" w:fill="ECEFF1"/>
            <w:vAlign w:val="center"/>
          </w:tcPr>
          <w:p>
            <w:pPr>
              <w:spacing w:before="30" w:after="30" w:line="240" w:lineRule="auto"/>
              <w:jc w:val="left"/>
            </w:pPr>
            <w:r>
              <w:rPr>
                <w:b/>
                <w:color w:val="37474F"/>
                <w:sz w:val="19"/>
              </w:rPr>
              <w:t xml:space="preserve">Item</w:t>
            </w:r>
          </w:p>
        </w:tc>
        <w:tc>
          <w:tcPr>
            <w:tcW w:w="5000" w:type="dxa"/>
            <w:tcBorders>
              <w:bottom w:val="single" w:color="37474F" w:sz="6"/>
            </w:tcBorders>
            <w:shd w:val="clear" w:fill="ECEFF1"/>
            <w:vAlign w:val="center"/>
          </w:tcPr>
          <w:p>
            <w:pPr>
              <w:spacing w:before="30" w:after="30" w:line="240" w:lineRule="auto"/>
              <w:jc w:val="left"/>
            </w:pPr>
            <w:r>
              <w:rPr>
                <w:b/>
                <w:color w:val="37474F"/>
                <w:sz w:val="19"/>
              </w:rPr>
              <w:t xml:space="preserve">Figure</w:t>
            </w:r>
          </w:p>
        </w:tc>
      </w:tr>
      <w:tr>
        <w:tc>
          <w:tcPr>
            <w:tcW w:w="4300" w:type="dxa"/>
            <w:vAlign w:val="center"/>
          </w:tcPr>
          <w:p>
            <w:pPr>
              <w:spacing w:before="30" w:after="30" w:line="240" w:lineRule="auto"/>
              <w:jc w:val="left"/>
            </w:pPr>
            <w:r>
              <w:rPr>
                <w:color w:val="263238"/>
                <w:sz w:val="19"/>
              </w:rPr>
              <w:t xml:space="preserve">Fund model</w:t>
            </w:r>
          </w:p>
        </w:tc>
        <w:tc>
          <w:tcPr>
            <w:tcW w:w="5000" w:type="dxa"/>
            <w:vAlign w:val="center"/>
          </w:tcPr>
          <w:p>
            <w:pPr>
              <w:spacing w:before="30" w:after="30" w:line="240" w:lineRule="auto"/>
              <w:jc w:val="left"/>
            </w:pPr>
            <w:r>
              <w:rPr>
                <w:color w:val="263238"/>
                <w:sz w:val="19"/>
              </w:rPr>
              <w:t xml:space="preserve">Mutual insurance capacity, not a standing cash pool: Paid-In Base, Callable Capital, Market Backstop</w:t>
            </w:r>
          </w:p>
        </w:tc>
      </w:tr>
      <w:tr>
        <w:tc>
          <w:tcPr>
            <w:tcW w:w="4300" w:type="dxa"/>
            <w:vAlign w:val="center"/>
          </w:tcPr>
          <w:p>
            <w:pPr>
              <w:spacing w:before="30" w:after="30" w:line="240" w:lineRule="auto"/>
              <w:jc w:val="left"/>
            </w:pPr>
            <w:r>
              <w:rPr>
                <w:color w:val="263238"/>
                <w:sz w:val="19"/>
              </w:rPr>
              <w:t xml:space="preserve">Core Fund target</w:t>
            </w:r>
          </w:p>
        </w:tc>
        <w:tc>
          <w:tcPr>
            <w:tcW w:w="5000" w:type="dxa"/>
            <w:vAlign w:val="center"/>
          </w:tcPr>
          <w:p>
            <w:pPr>
              <w:spacing w:before="30" w:after="30" w:line="240" w:lineRule="auto"/>
              <w:jc w:val="left"/>
            </w:pPr>
            <w:r>
              <w:rPr>
                <w:color w:val="263238"/>
                <w:sz w:val="19"/>
              </w:rPr>
              <w:t xml:space="preserve">0.08% of combined member GDP, accumulated over a 5-year capitalisation period</w:t>
            </w:r>
          </w:p>
        </w:tc>
      </w:tr>
      <w:tr>
        <w:tc>
          <w:tcPr>
            <w:tcW w:w="4300" w:type="dxa"/>
            <w:vAlign w:val="center"/>
          </w:tcPr>
          <w:p>
            <w:pPr>
              <w:spacing w:before="30" w:after="30" w:line="240" w:lineRule="auto"/>
              <w:jc w:val="left"/>
            </w:pPr>
            <w:r>
              <w:rPr>
                <w:color w:val="263238"/>
                <w:sz w:val="19"/>
              </w:rPr>
              <w:t xml:space="preserve">Founding insured exposure (Years 1 to 2)</w:t>
            </w:r>
          </w:p>
        </w:tc>
        <w:tc>
          <w:tcPr>
            <w:tcW w:w="5000" w:type="dxa"/>
            <w:vAlign w:val="center"/>
          </w:tcPr>
          <w:p>
            <w:pPr>
              <w:spacing w:before="30" w:after="30" w:line="240" w:lineRule="auto"/>
              <w:jc w:val="left"/>
            </w:pPr>
            <w:r>
              <w:rPr>
                <w:color w:val="263238"/>
                <w:sz w:val="19"/>
              </w:rPr>
              <w:t xml:space="preserve">USD 20 to 30 billion</w:t>
            </w:r>
          </w:p>
        </w:tc>
      </w:tr>
      <w:tr>
        <w:tc>
          <w:tcPr>
            <w:tcW w:w="4300" w:type="dxa"/>
            <w:vAlign w:val="center"/>
          </w:tcPr>
          <w:p>
            <w:pPr>
              <w:spacing w:before="30" w:after="30" w:line="240" w:lineRule="auto"/>
              <w:jc w:val="left"/>
            </w:pPr>
            <w:r>
              <w:rPr>
                <w:color w:val="263238"/>
                <w:sz w:val="19"/>
              </w:rPr>
              <w:t xml:space="preserve">Mature insured exposure (Year 5+)</w:t>
            </w:r>
          </w:p>
        </w:tc>
        <w:tc>
          <w:tcPr>
            <w:tcW w:w="5000" w:type="dxa"/>
            <w:vAlign w:val="center"/>
          </w:tcPr>
          <w:p>
            <w:pPr>
              <w:spacing w:before="30" w:after="30" w:line="240" w:lineRule="auto"/>
              <w:jc w:val="left"/>
            </w:pPr>
            <w:r>
              <w:rPr>
                <w:color w:val="263238"/>
                <w:sz w:val="19"/>
              </w:rPr>
              <w:t xml:space="preserve">USD 100 to 150 billion</w:t>
            </w:r>
          </w:p>
        </w:tc>
      </w:tr>
      <w:tr>
        <w:tc>
          <w:tcPr>
            <w:tcW w:w="4300" w:type="dxa"/>
            <w:vAlign w:val="center"/>
          </w:tcPr>
          <w:p>
            <w:pPr>
              <w:spacing w:before="30" w:after="30" w:line="240" w:lineRule="auto"/>
              <w:jc w:val="left"/>
            </w:pPr>
            <w:r>
              <w:rPr>
                <w:color w:val="263238"/>
                <w:sz w:val="19"/>
              </w:rPr>
              <w:t xml:space="preserve">Annual member exposure cap</w:t>
            </w:r>
          </w:p>
        </w:tc>
        <w:tc>
          <w:tcPr>
            <w:tcW w:w="5000" w:type="dxa"/>
            <w:vAlign w:val="center"/>
          </w:tcPr>
          <w:p>
            <w:pPr>
              <w:spacing w:before="30" w:after="30" w:line="240" w:lineRule="auto"/>
              <w:jc w:val="left"/>
            </w:pPr>
            <w:r>
              <w:rPr>
                <w:color w:val="263238"/>
                <w:sz w:val="19"/>
              </w:rPr>
              <w:t xml:space="preserve">0.25% of GDP, regular and emergency contributions combined</w:t>
            </w:r>
          </w:p>
        </w:tc>
      </w:tr>
      <w:tr>
        <w:tc>
          <w:tcPr>
            <w:tcW w:w="4300" w:type="dxa"/>
            <w:vAlign w:val="center"/>
          </w:tcPr>
          <w:p>
            <w:pPr>
              <w:spacing w:before="30" w:after="30" w:line="240" w:lineRule="auto"/>
              <w:jc w:val="left"/>
            </w:pPr>
            <w:r>
              <w:rPr>
                <w:color w:val="263238"/>
                <w:sz w:val="19"/>
              </w:rPr>
              <w:t xml:space="preserve">Contribution bands</w:t>
            </w:r>
          </w:p>
        </w:tc>
        <w:tc>
          <w:tcPr>
            <w:tcW w:w="5000" w:type="dxa"/>
            <w:vAlign w:val="center"/>
          </w:tcPr>
          <w:p>
            <w:pPr>
              <w:spacing w:before="30" w:after="30" w:line="240" w:lineRule="auto"/>
              <w:jc w:val="left"/>
            </w:pPr>
            <w:r>
              <w:rPr>
                <w:color w:val="263238"/>
                <w:sz w:val="19"/>
              </w:rPr>
              <w:t xml:space="preserve">0.08% GDP (systemic); 0.06% (major); 0.04% (mid-size); 0.02% (small); 0.01% (LDC and micro-state)</w:t>
            </w:r>
          </w:p>
        </w:tc>
      </w:tr>
      <w:tr>
        <w:tc>
          <w:tcPr>
            <w:tcW w:w="4300" w:type="dxa"/>
            <w:vAlign w:val="center"/>
          </w:tcPr>
          <w:p>
            <w:pPr>
              <w:spacing w:before="30" w:after="30" w:line="240" w:lineRule="auto"/>
              <w:jc w:val="left"/>
            </w:pPr>
            <w:r>
              <w:rPr>
                <w:color w:val="263238"/>
                <w:sz w:val="19"/>
              </w:rPr>
              <w:t xml:space="preserve">Small-State Resilience Reserve</w:t>
            </w:r>
          </w:p>
        </w:tc>
        <w:tc>
          <w:tcPr>
            <w:tcW w:w="5000" w:type="dxa"/>
            <w:vAlign w:val="center"/>
          </w:tcPr>
          <w:p>
            <w:pPr>
              <w:spacing w:before="30" w:after="30" w:line="240" w:lineRule="auto"/>
              <w:jc w:val="left"/>
            </w:pPr>
            <w:r>
              <w:rPr>
                <w:color w:val="263238"/>
                <w:sz w:val="19"/>
              </w:rPr>
              <w:t xml:space="preserve">20% of the Fund hard-reserved for small-state primary targets</w:t>
            </w:r>
          </w:p>
        </w:tc>
      </w:tr>
      <w:tr>
        <w:tc>
          <w:tcPr>
            <w:tcW w:w="4300" w:type="dxa"/>
            <w:vAlign w:val="center"/>
          </w:tcPr>
          <w:p>
            <w:pPr>
              <w:spacing w:before="30" w:after="30" w:line="240" w:lineRule="auto"/>
              <w:jc w:val="left"/>
            </w:pPr>
            <w:r>
              <w:rPr>
                <w:color w:val="263238"/>
                <w:sz w:val="19"/>
              </w:rPr>
              <w:t xml:space="preserve">SFI liquidity backstop</w:t>
            </w:r>
          </w:p>
        </w:tc>
        <w:tc>
          <w:tcPr>
            <w:tcW w:w="5000" w:type="dxa"/>
            <w:vAlign w:val="center"/>
          </w:tcPr>
          <w:p>
            <w:pPr>
              <w:spacing w:before="30" w:after="30" w:line="240" w:lineRule="auto"/>
              <w:jc w:val="left"/>
            </w:pPr>
            <w:r>
              <w:rPr>
                <w:color w:val="263238"/>
                <w:sz w:val="19"/>
              </w:rPr>
              <w:t xml:space="preserve">USD 25 billion minimum, plus a USD 10 billion standby credit facility</w:t>
            </w:r>
          </w:p>
        </w:tc>
      </w:tr>
    </w:tbl>
    <w:p>
      <w:r>
        <w:t xml:space="preserve">Only the Paid-In Base represents actual fiscal outlay. Callable Capital and the Market Backstop create contingent capacity at minimal upfront cost, mirroring established IMF and multilateral development bank models.</w:t>
      </w:r>
    </w:p>
    <w:p>
      <w:pPr>
        <w:pStyle w:val="Heading2"/>
      </w:pPr>
      <w:r>
        <w:t xml:space="preserve">How the Clock Works</w:t>
      </w:r>
    </w:p>
    <w:p>
      <w:r>
        <w:t xml:space="preserve">The clock is the Instrument's signature: coercion operates on political time, so the response operates faster. Each stage carries a default that fires on silence, which means the coalition never debates whether to respond, only how far. Deputies rehearse the clock in live-fire exercises, and the Dashboard shows every actor, including the coercer, exactly where the process stands.</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3400"/>
        <w:gridCol w:w="2600"/>
        <w:gridCol w:w="3300"/>
      </w:tblGrid>
      <w:tr>
        <w:trPr>
          <w:tblHeader/>
        </w:trPr>
        <w:tc>
          <w:tcPr>
            <w:tcW w:w="3400" w:type="dxa"/>
            <w:tcBorders>
              <w:bottom w:val="single" w:color="37474F" w:sz="6"/>
            </w:tcBorders>
            <w:shd w:val="clear" w:fill="ECEFF1"/>
            <w:vAlign w:val="center"/>
          </w:tcPr>
          <w:p>
            <w:pPr>
              <w:spacing w:before="30" w:after="30" w:line="240" w:lineRule="auto"/>
              <w:jc w:val="left"/>
            </w:pPr>
            <w:r>
              <w:rPr>
                <w:b/>
                <w:color w:val="37474F"/>
                <w:sz w:val="19"/>
              </w:rPr>
              <w:t xml:space="preserve">Stage</w:t>
            </w:r>
          </w:p>
        </w:tc>
        <w:tc>
          <w:tcPr>
            <w:tcW w:w="2600" w:type="dxa"/>
            <w:tcBorders>
              <w:bottom w:val="single" w:color="37474F" w:sz="6"/>
            </w:tcBorders>
            <w:shd w:val="clear" w:fill="ECEFF1"/>
            <w:vAlign w:val="center"/>
          </w:tcPr>
          <w:p>
            <w:pPr>
              <w:spacing w:before="30" w:after="30" w:line="240" w:lineRule="auto"/>
              <w:jc w:val="left"/>
            </w:pPr>
            <w:r>
              <w:rPr>
                <w:b/>
                <w:color w:val="37474F"/>
                <w:sz w:val="19"/>
              </w:rPr>
              <w:t xml:space="preserve">Window</w:t>
            </w:r>
          </w:p>
        </w:tc>
        <w:tc>
          <w:tcPr>
            <w:tcW w:w="3300" w:type="dxa"/>
            <w:tcBorders>
              <w:bottom w:val="single" w:color="37474F" w:sz="6"/>
            </w:tcBorders>
            <w:shd w:val="clear" w:fill="ECEFF1"/>
            <w:vAlign w:val="center"/>
          </w:tcPr>
          <w:p>
            <w:pPr>
              <w:spacing w:before="30" w:after="30" w:line="240" w:lineRule="auto"/>
              <w:jc w:val="left"/>
            </w:pPr>
            <w:r>
              <w:rPr>
                <w:b/>
                <w:color w:val="37474F"/>
                <w:sz w:val="19"/>
              </w:rPr>
              <w:t xml:space="preserve">What happens</w:t>
            </w:r>
          </w:p>
        </w:tc>
      </w:tr>
      <w:tr>
        <w:tc>
          <w:tcPr>
            <w:tcW w:w="3400" w:type="dxa"/>
            <w:vAlign w:val="center"/>
          </w:tcPr>
          <w:p>
            <w:pPr>
              <w:spacing w:before="30" w:after="30" w:line="240" w:lineRule="auto"/>
              <w:jc w:val="left"/>
            </w:pPr>
            <w:r>
              <w:rPr>
                <w:color w:val="263238"/>
                <w:sz w:val="19"/>
              </w:rPr>
              <w:t xml:space="preserve">Track A automatic stabilisation</w:t>
            </w:r>
          </w:p>
        </w:tc>
        <w:tc>
          <w:tcPr>
            <w:tcW w:w="2600" w:type="dxa"/>
            <w:vAlign w:val="center"/>
          </w:tcPr>
          <w:p>
            <w:pPr>
              <w:spacing w:before="30" w:after="30" w:line="240" w:lineRule="auto"/>
              <w:jc w:val="left"/>
            </w:pPr>
            <w:r>
              <w:rPr>
                <w:color w:val="263238"/>
                <w:sz w:val="19"/>
              </w:rPr>
              <w:t xml:space="preserve">0 to 6 hours</w:t>
            </w:r>
          </w:p>
        </w:tc>
        <w:tc>
          <w:tcPr>
            <w:tcW w:w="3300" w:type="dxa"/>
            <w:vAlign w:val="center"/>
          </w:tcPr>
          <w:p>
            <w:pPr>
              <w:spacing w:before="30" w:after="30" w:line="240" w:lineRule="auto"/>
              <w:jc w:val="left"/>
            </w:pPr>
            <w:r>
              <w:rPr>
                <w:color w:val="263238"/>
                <w:sz w:val="19"/>
              </w:rPr>
              <w:t xml:space="preserve">Resilience Fund liquidity, SFI settlement continuity, dashboard status upgrade</w:t>
            </w:r>
          </w:p>
        </w:tc>
      </w:tr>
      <w:tr>
        <w:tc>
          <w:tcPr>
            <w:tcW w:w="3400" w:type="dxa"/>
            <w:vAlign w:val="center"/>
          </w:tcPr>
          <w:p>
            <w:pPr>
              <w:spacing w:before="30" w:after="30" w:line="240" w:lineRule="auto"/>
              <w:jc w:val="left"/>
            </w:pPr>
            <w:r>
              <w:rPr>
                <w:color w:val="263238"/>
                <w:sz w:val="19"/>
              </w:rPr>
              <w:t xml:space="preserve">IEWC preliminary certification</w:t>
            </w:r>
          </w:p>
        </w:tc>
        <w:tc>
          <w:tcPr>
            <w:tcW w:w="2600" w:type="dxa"/>
            <w:vAlign w:val="center"/>
          </w:tcPr>
          <w:p>
            <w:pPr>
              <w:spacing w:before="30" w:after="30" w:line="240" w:lineRule="auto"/>
              <w:jc w:val="left"/>
            </w:pPr>
            <w:r>
              <w:rPr>
                <w:color w:val="263238"/>
                <w:sz w:val="19"/>
              </w:rPr>
              <w:t xml:space="preserve">48 hours; 2 hours Critical</w:t>
            </w:r>
          </w:p>
        </w:tc>
        <w:tc>
          <w:tcPr>
            <w:tcW w:w="3300" w:type="dxa"/>
            <w:vAlign w:val="center"/>
          </w:tcPr>
          <w:p>
            <w:pPr>
              <w:spacing w:before="30" w:after="30" w:line="240" w:lineRule="auto"/>
              <w:jc w:val="left"/>
            </w:pPr>
            <w:r>
              <w:rPr>
                <w:color w:val="263238"/>
                <w:sz w:val="19"/>
              </w:rPr>
              <w:t xml:space="preserve">Factual nexus and impact threshold confirmed</w:t>
            </w:r>
          </w:p>
        </w:tc>
      </w:tr>
      <w:tr>
        <w:tc>
          <w:tcPr>
            <w:tcW w:w="3400" w:type="dxa"/>
            <w:vAlign w:val="center"/>
          </w:tcPr>
          <w:p>
            <w:pPr>
              <w:spacing w:before="30" w:after="30" w:line="240" w:lineRule="auto"/>
              <w:jc w:val="left"/>
            </w:pPr>
            <w:r>
              <w:rPr>
                <w:color w:val="263238"/>
                <w:sz w:val="19"/>
              </w:rPr>
              <w:t xml:space="preserve">Phase 0 consultation</w:t>
            </w:r>
          </w:p>
        </w:tc>
        <w:tc>
          <w:tcPr>
            <w:tcW w:w="2600" w:type="dxa"/>
            <w:vAlign w:val="center"/>
          </w:tcPr>
          <w:p>
            <w:pPr>
              <w:spacing w:before="30" w:after="30" w:line="240" w:lineRule="auto"/>
              <w:jc w:val="left"/>
            </w:pPr>
            <w:r>
              <w:rPr>
                <w:color w:val="263238"/>
                <w:sz w:val="19"/>
              </w:rPr>
              <w:t xml:space="preserve">14 days (Minor, Moderate); 7 days (Severe); 48 hours (Critical)</w:t>
            </w:r>
          </w:p>
        </w:tc>
        <w:tc>
          <w:tcPr>
            <w:tcW w:w="3300" w:type="dxa"/>
            <w:vAlign w:val="center"/>
          </w:tcPr>
          <w:p>
            <w:pPr>
              <w:spacing w:before="30" w:after="30" w:line="240" w:lineRule="auto"/>
              <w:jc w:val="left"/>
            </w:pPr>
            <w:r>
              <w:rPr>
                <w:color w:val="263238"/>
                <w:sz w:val="19"/>
              </w:rPr>
              <w:t xml:space="preserve">Confirmation, quiet resolution, provisional mobilisation in parallel</w:t>
            </w:r>
          </w:p>
        </w:tc>
      </w:tr>
      <w:tr>
        <w:tc>
          <w:tcPr>
            <w:tcW w:w="3400" w:type="dxa"/>
            <w:vAlign w:val="center"/>
          </w:tcPr>
          <w:p>
            <w:pPr>
              <w:spacing w:before="30" w:after="30" w:line="240" w:lineRule="auto"/>
              <w:jc w:val="left"/>
            </w:pPr>
            <w:r>
              <w:rPr>
                <w:color w:val="263238"/>
                <w:sz w:val="19"/>
              </w:rPr>
              <w:t xml:space="preserve">Phase 1</w:t>
            </w:r>
          </w:p>
        </w:tc>
        <w:tc>
          <w:tcPr>
            <w:tcW w:w="2600" w:type="dxa"/>
            <w:vAlign w:val="center"/>
          </w:tcPr>
          <w:p>
            <w:pPr>
              <w:spacing w:before="30" w:after="30" w:line="240" w:lineRule="auto"/>
              <w:jc w:val="left"/>
            </w:pPr>
            <w:r>
              <w:rPr>
                <w:color w:val="263238"/>
                <w:sz w:val="19"/>
              </w:rPr>
              <w:t xml:space="preserve">Days 1 to 30</w:t>
            </w:r>
          </w:p>
        </w:tc>
        <w:tc>
          <w:tcPr>
            <w:tcW w:w="3300" w:type="dxa"/>
            <w:vAlign w:val="center"/>
          </w:tcPr>
          <w:p>
            <w:pPr>
              <w:spacing w:before="30" w:after="30" w:line="240" w:lineRule="auto"/>
              <w:jc w:val="left"/>
            </w:pPr>
            <w:r>
              <w:rPr>
                <w:color w:val="263238"/>
                <w:sz w:val="19"/>
              </w:rPr>
              <w:t xml:space="preserve">15 to 30% package intensity: signalling and proportional response</w:t>
            </w:r>
          </w:p>
        </w:tc>
      </w:tr>
      <w:tr>
        <w:tc>
          <w:tcPr>
            <w:tcW w:w="3400" w:type="dxa"/>
            <w:vAlign w:val="center"/>
          </w:tcPr>
          <w:p>
            <w:pPr>
              <w:spacing w:before="30" w:after="30" w:line="240" w:lineRule="auto"/>
              <w:jc w:val="left"/>
            </w:pPr>
            <w:r>
              <w:rPr>
                <w:color w:val="263238"/>
                <w:sz w:val="19"/>
              </w:rPr>
              <w:t xml:space="preserve">Phase 2</w:t>
            </w:r>
          </w:p>
        </w:tc>
        <w:tc>
          <w:tcPr>
            <w:tcW w:w="2600" w:type="dxa"/>
            <w:vAlign w:val="center"/>
          </w:tcPr>
          <w:p>
            <w:pPr>
              <w:spacing w:before="30" w:after="30" w:line="240" w:lineRule="auto"/>
              <w:jc w:val="left"/>
            </w:pPr>
            <w:r>
              <w:rPr>
                <w:color w:val="263238"/>
                <w:sz w:val="19"/>
              </w:rPr>
              <w:t xml:space="preserve">Days 30 to 60</w:t>
            </w:r>
          </w:p>
        </w:tc>
        <w:tc>
          <w:tcPr>
            <w:tcW w:w="3300" w:type="dxa"/>
            <w:vAlign w:val="center"/>
          </w:tcPr>
          <w:p>
            <w:pPr>
              <w:spacing w:before="30" w:after="30" w:line="240" w:lineRule="auto"/>
              <w:jc w:val="left"/>
            </w:pPr>
            <w:r>
              <w:rPr>
                <w:color w:val="263238"/>
                <w:sz w:val="19"/>
              </w:rPr>
              <w:t xml:space="preserve">50 to 70% intensity: multi-domain pressure</w:t>
            </w:r>
          </w:p>
        </w:tc>
      </w:tr>
      <w:tr>
        <w:tc>
          <w:tcPr>
            <w:tcW w:w="3400" w:type="dxa"/>
            <w:vAlign w:val="center"/>
          </w:tcPr>
          <w:p>
            <w:pPr>
              <w:spacing w:before="30" w:after="30" w:line="240" w:lineRule="auto"/>
              <w:jc w:val="left"/>
            </w:pPr>
            <w:r>
              <w:rPr>
                <w:color w:val="263238"/>
                <w:sz w:val="19"/>
              </w:rPr>
              <w:t xml:space="preserve">Phase 3</w:t>
            </w:r>
          </w:p>
        </w:tc>
        <w:tc>
          <w:tcPr>
            <w:tcW w:w="2600" w:type="dxa"/>
            <w:vAlign w:val="center"/>
          </w:tcPr>
          <w:p>
            <w:pPr>
              <w:spacing w:before="30" w:after="30" w:line="240" w:lineRule="auto"/>
              <w:jc w:val="left"/>
            </w:pPr>
            <w:r>
              <w:rPr>
                <w:color w:val="263238"/>
                <w:sz w:val="19"/>
              </w:rPr>
              <w:t xml:space="preserve">Day 60 onward</w:t>
            </w:r>
          </w:p>
        </w:tc>
        <w:tc>
          <w:tcPr>
            <w:tcW w:w="3300" w:type="dxa"/>
            <w:vAlign w:val="center"/>
          </w:tcPr>
          <w:p>
            <w:pPr>
              <w:spacing w:before="30" w:after="30" w:line="240" w:lineRule="auto"/>
              <w:jc w:val="left"/>
            </w:pPr>
            <w:r>
              <w:rPr>
                <w:color w:val="263238"/>
                <w:sz w:val="19"/>
              </w:rPr>
              <w:t xml:space="preserve">100% intensity: full package across domains</w:t>
            </w:r>
          </w:p>
        </w:tc>
      </w:tr>
      <w:tr>
        <w:tc>
          <w:tcPr>
            <w:tcW w:w="3400" w:type="dxa"/>
            <w:vAlign w:val="center"/>
          </w:tcPr>
          <w:p>
            <w:pPr>
              <w:spacing w:before="30" w:after="30" w:line="240" w:lineRule="auto"/>
              <w:jc w:val="left"/>
            </w:pPr>
            <w:r>
              <w:rPr>
                <w:color w:val="263238"/>
                <w:sz w:val="19"/>
              </w:rPr>
              <w:t xml:space="preserve">Monthly Strategic Pulse</w:t>
            </w:r>
          </w:p>
        </w:tc>
        <w:tc>
          <w:tcPr>
            <w:tcW w:w="2600" w:type="dxa"/>
            <w:vAlign w:val="center"/>
          </w:tcPr>
          <w:p>
            <w:pPr>
              <w:spacing w:before="30" w:after="30" w:line="240" w:lineRule="auto"/>
              <w:jc w:val="left"/>
            </w:pPr>
            <w:r>
              <w:rPr>
                <w:color w:val="263238"/>
                <w:sz w:val="19"/>
              </w:rPr>
              <w:t xml:space="preserve">Every 30 days in a case</w:t>
            </w:r>
          </w:p>
        </w:tc>
        <w:tc>
          <w:tcPr>
            <w:tcW w:w="3300" w:type="dxa"/>
            <w:vAlign w:val="center"/>
          </w:tcPr>
          <w:p>
            <w:pPr>
              <w:spacing w:before="30" w:after="30" w:line="240" w:lineRule="auto"/>
              <w:jc w:val="left"/>
            </w:pPr>
            <w:r>
              <w:rPr>
                <w:color w:val="263238"/>
                <w:sz w:val="19"/>
              </w:rPr>
              <w:t xml:space="preserve">48-hour pause on new authorisations; leaders reassess continuation</w:t>
            </w:r>
          </w:p>
        </w:tc>
      </w:tr>
      <w:tr>
        <w:tc>
          <w:tcPr>
            <w:tcW w:w="3400" w:type="dxa"/>
            <w:vAlign w:val="center"/>
          </w:tcPr>
          <w:p>
            <w:pPr>
              <w:spacing w:before="30" w:after="30" w:line="240" w:lineRule="auto"/>
              <w:jc w:val="left"/>
            </w:pPr>
            <w:r>
              <w:rPr>
                <w:color w:val="263238"/>
                <w:sz w:val="19"/>
              </w:rPr>
              <w:t xml:space="preserve">Nofade renewal</w:t>
            </w:r>
          </w:p>
        </w:tc>
        <w:tc>
          <w:tcPr>
            <w:tcW w:w="2600" w:type="dxa"/>
            <w:vAlign w:val="center"/>
          </w:tcPr>
          <w:p>
            <w:pPr>
              <w:spacing w:before="30" w:after="30" w:line="240" w:lineRule="auto"/>
              <w:jc w:val="left"/>
            </w:pPr>
            <w:r>
              <w:rPr>
                <w:color w:val="263238"/>
                <w:sz w:val="19"/>
              </w:rPr>
              <w:t xml:space="preserve">Every cycle boundary</w:t>
            </w:r>
          </w:p>
        </w:tc>
        <w:tc>
          <w:tcPr>
            <w:tcW w:w="3300" w:type="dxa"/>
            <w:vAlign w:val="center"/>
          </w:tcPr>
          <w:p>
            <w:pPr>
              <w:spacing w:before="30" w:after="30" w:line="240" w:lineRule="auto"/>
              <w:jc w:val="left"/>
            </w:pPr>
            <w:r>
              <w:rPr>
                <w:color w:val="263238"/>
                <w:sz w:val="19"/>
              </w:rPr>
              <w:t xml:space="preserve">Commitments renew by silence on a clean record; nothing sunsets</w:t>
            </w:r>
          </w:p>
        </w:tc>
      </w:tr>
    </w:tbl>
    <w:p>
      <w:r>
        <w:t xml:space="preserve">Operational simplicity principle: every mechanism answers three questions on one page: what triggers it, who decides, what happens next.</w:t>
      </w:r>
    </w:p>
    <w:p>
      <w:pPr>
        <w:pStyle w:val="Heading2"/>
      </w:pPr>
      <w:r>
        <w:t xml:space="preserve">Governance Safeguards at a Glance</w:t>
      </w:r>
    </w:p>
    <w:p>
      <w:pPr>
        <w:spacing w:after="120" w:line="288" w:lineRule="auto"/>
        <w:ind w:left="420" w:hanging="220"/>
        <w:jc w:val="both"/>
      </w:pPr>
      <w:r>
        <w:rPr>
          <w:b/>
          <w:color w:val="B8860B"/>
        </w:rPr>
        <w:t>•  </w:t>
      </w:r>
      <w:r>
        <w:t xml:space="preserve">Weighted voting thresholds: 55% standard, 60% escalation, 65% standing pre-authorisation, 70% Charter operational amendment, 75% existential-intensity measures;</w:t>
      </w:r>
    </w:p>
    <w:p>
      <w:pPr>
        <w:spacing w:after="120" w:line="288" w:lineRule="auto"/>
        <w:ind w:left="420" w:hanging="220"/>
        <w:jc w:val="both"/>
      </w:pPr>
      <w:r>
        <w:rPr>
          <w:b/>
          <w:color w:val="B8860B"/>
        </w:rPr>
        <w:t>•  </w:t>
      </w:r>
      <w:r>
        <w:t xml:space="preserve">mandatory human confirmation for Phase 2 and above: silence never equals approval for measures exceeding 50% intensity;</w:t>
      </w:r>
    </w:p>
    <w:p>
      <w:pPr>
        <w:spacing w:after="120" w:line="288" w:lineRule="auto"/>
        <w:ind w:left="420" w:hanging="220"/>
        <w:jc w:val="both"/>
      </w:pPr>
      <w:r>
        <w:rPr>
          <w:b/>
          <w:color w:val="B8860B"/>
        </w:rPr>
        <w:t>•  </w:t>
      </w:r>
      <w:r>
        <w:t xml:space="preserve">Proportionality Certification Memo and published de-escalation pathway before major actions;</w:t>
      </w:r>
    </w:p>
    <w:p>
      <w:pPr>
        <w:spacing w:after="120" w:line="288" w:lineRule="auto"/>
        <w:ind w:left="420" w:hanging="220"/>
        <w:jc w:val="both"/>
      </w:pPr>
      <w:r>
        <w:rPr>
          <w:b/>
          <w:color w:val="B8860B"/>
        </w:rPr>
        <w:t>•  </w:t>
      </w:r>
      <w:r>
        <w:t xml:space="preserve">Internal Adjudication Chamber judicial review with expedited tracks; Protectionism Review Panel against capture;</w:t>
      </w:r>
    </w:p>
    <w:p>
      <w:pPr>
        <w:spacing w:after="120" w:line="288" w:lineRule="auto"/>
        <w:ind w:left="420" w:hanging="220"/>
        <w:jc w:val="both"/>
      </w:pPr>
      <w:r>
        <w:rPr>
          <w:b/>
          <w:color w:val="B8860B"/>
        </w:rPr>
        <w:t>•  </w:t>
      </w:r>
      <w:r>
        <w:t xml:space="preserve">Step-Back/Earn-Back compliance pathway; Nofade Protocol for continuous effect;</w:t>
      </w:r>
    </w:p>
    <w:p>
      <w:pPr>
        <w:spacing w:after="120" w:line="288" w:lineRule="auto"/>
        <w:ind w:left="420" w:hanging="220"/>
        <w:jc w:val="both"/>
      </w:pPr>
      <w:r>
        <w:rPr>
          <w:b/>
          <w:color w:val="B8860B"/>
        </w:rPr>
        <w:t>•  </w:t>
      </w:r>
      <w:r>
        <w:t xml:space="preserve">Security Alliance Firewall separating economic stabilisation from defence commitments; the Instrument creates no military obligations anywhere.</w:t>
      </w:r>
    </w:p>
    <w:p>
      <w:pPr>
        <w:pStyle w:val="Heading2"/>
      </w:pPr>
      <w:r>
        <w:t xml:space="preserve">Document Evolution, v10.0 to v15.0</w:t>
      </w:r>
    </w:p>
    <w:p>
      <w:r>
        <w:t xml:space="preserve">The version history teaches the design method: each release answers a demonstrated exploit or a red-team finding, never an abstract preference. The v15.0 systemic-defence layer responds to the largest coercer adaptation the founders modelled, and the Living Document Protocol guarantees the next adaptation receives an equally specific answer.</w:t>
      </w:r>
    </w:p>
    <w:p>
      <w:r>
        <w:t xml:space="preserve">IMESI v15.0 consolidates six major revision waves. This Condensed Edition presents the consolidated result; the layers below explain how the architecture hardened over time.</w:t>
      </w:r>
    </w:p>
    <w:p>
      <w:r>
        <w:t xml:space="preserve">Three features guard the guards. The IAC's published, reasoned decisions make proportionality a justiciable fact rather than a negotiating position. The Dashboard's radical transparency keeps every member's contribution, compliance, and exposure visible to every other member. And the Grand Review together with the AIM mutation track gives the system a lawful path to change, so reform never requires rupture.</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1400"/>
        <w:gridCol w:w="7900"/>
      </w:tblGrid>
      <w:tr>
        <w:trPr>
          <w:tblHeader/>
        </w:trPr>
        <w:tc>
          <w:tcPr>
            <w:tcW w:w="1400" w:type="dxa"/>
            <w:tcBorders>
              <w:bottom w:val="single" w:color="37474F" w:sz="6"/>
            </w:tcBorders>
            <w:shd w:val="clear" w:fill="ECEFF1"/>
            <w:vAlign w:val="center"/>
          </w:tcPr>
          <w:p>
            <w:pPr>
              <w:spacing w:before="30" w:after="30" w:line="240" w:lineRule="auto"/>
              <w:jc w:val="left"/>
            </w:pPr>
            <w:r>
              <w:rPr>
                <w:b/>
                <w:color w:val="37474F"/>
                <w:sz w:val="19"/>
              </w:rPr>
              <w:t xml:space="preserve">Version</w:t>
            </w:r>
          </w:p>
        </w:tc>
        <w:tc>
          <w:tcPr>
            <w:tcW w:w="7900" w:type="dxa"/>
            <w:tcBorders>
              <w:bottom w:val="single" w:color="37474F" w:sz="6"/>
            </w:tcBorders>
            <w:shd w:val="clear" w:fill="ECEFF1"/>
            <w:vAlign w:val="center"/>
          </w:tcPr>
          <w:p>
            <w:pPr>
              <w:spacing w:before="30" w:after="30" w:line="240" w:lineRule="auto"/>
              <w:jc w:val="left"/>
            </w:pPr>
            <w:r>
              <w:rPr>
                <w:b/>
                <w:color w:val="37474F"/>
                <w:sz w:val="19"/>
              </w:rPr>
              <w:t xml:space="preserve">Contribution</w:t>
            </w:r>
          </w:p>
        </w:tc>
      </w:tr>
      <w:tr>
        <w:tc>
          <w:tcPr>
            <w:tcW w:w="1400" w:type="dxa"/>
            <w:vAlign w:val="center"/>
          </w:tcPr>
          <w:p>
            <w:pPr>
              <w:spacing w:before="30" w:after="30" w:line="240" w:lineRule="auto"/>
              <w:jc w:val="left"/>
            </w:pPr>
            <w:r>
              <w:rPr>
                <w:color w:val="263238"/>
                <w:sz w:val="19"/>
              </w:rPr>
              <w:t xml:space="preserve">v10.0</w:t>
            </w:r>
          </w:p>
        </w:tc>
        <w:tc>
          <w:tcPr>
            <w:tcW w:w="7900" w:type="dxa"/>
            <w:vAlign w:val="center"/>
          </w:tcPr>
          <w:p>
            <w:pPr>
              <w:spacing w:before="30" w:after="30" w:line="240" w:lineRule="auto"/>
              <w:jc w:val="left"/>
            </w:pPr>
            <w:r>
              <w:rPr>
                <w:color w:val="263238"/>
                <w:sz w:val="19"/>
              </w:rPr>
              <w:t xml:space="preserve">Safe-to-add modules: standard response templates, temporary deviation protection during acute domestic stabilisation, WTO defensive framing.</w:t>
            </w:r>
          </w:p>
        </w:tc>
      </w:tr>
      <w:tr>
        <w:tc>
          <w:tcPr>
            <w:tcW w:w="1400" w:type="dxa"/>
            <w:vAlign w:val="center"/>
          </w:tcPr>
          <w:p>
            <w:pPr>
              <w:spacing w:before="30" w:after="30" w:line="240" w:lineRule="auto"/>
              <w:jc w:val="left"/>
            </w:pPr>
            <w:r>
              <w:rPr>
                <w:color w:val="263238"/>
                <w:sz w:val="19"/>
              </w:rPr>
              <w:t xml:space="preserve">v11.0</w:t>
            </w:r>
          </w:p>
        </w:tc>
        <w:tc>
          <w:tcPr>
            <w:tcW w:w="7900" w:type="dxa"/>
            <w:vAlign w:val="center"/>
          </w:tcPr>
          <w:p>
            <w:pPr>
              <w:spacing w:before="30" w:after="30" w:line="240" w:lineRule="auto"/>
              <w:jc w:val="left"/>
            </w:pPr>
            <w:r>
              <w:rPr>
                <w:color w:val="263238"/>
                <w:sz w:val="19"/>
              </w:rPr>
              <w:t xml:space="preserve">Red-team hardening: quota-exemption ACE triggers, finished-goods tariff symmetry, MFN safe-harbor elimination, retaliation-for-retaliation protocol, lame-duck acceleration.</w:t>
            </w:r>
          </w:p>
        </w:tc>
      </w:tr>
      <w:tr>
        <w:tc>
          <w:tcPr>
            <w:tcW w:w="1400" w:type="dxa"/>
            <w:vAlign w:val="center"/>
          </w:tcPr>
          <w:p>
            <w:pPr>
              <w:spacing w:before="30" w:after="30" w:line="240" w:lineRule="auto"/>
              <w:jc w:val="left"/>
            </w:pPr>
            <w:r>
              <w:rPr>
                <w:color w:val="263238"/>
                <w:sz w:val="19"/>
              </w:rPr>
              <w:t xml:space="preserve">v12.0</w:t>
            </w:r>
          </w:p>
        </w:tc>
        <w:tc>
          <w:tcPr>
            <w:tcW w:w="7900" w:type="dxa"/>
            <w:vAlign w:val="center"/>
          </w:tcPr>
          <w:p>
            <w:pPr>
              <w:spacing w:before="30" w:after="30" w:line="240" w:lineRule="auto"/>
              <w:jc w:val="left"/>
            </w:pPr>
            <w:r>
              <w:rPr>
                <w:color w:val="263238"/>
                <w:sz w:val="19"/>
              </w:rPr>
              <w:t xml:space="preserve">Tariff-era doctrine: commercial, regulatory, procurement, and postal coercion doctrines; WTO deference architecture; Midnight Tariff Protocol; pre-formation standing authority; import detention acceleration.</w:t>
            </w:r>
          </w:p>
        </w:tc>
      </w:tr>
      <w:tr>
        <w:tc>
          <w:tcPr>
            <w:tcW w:w="1400" w:type="dxa"/>
            <w:vAlign w:val="center"/>
          </w:tcPr>
          <w:p>
            <w:pPr>
              <w:spacing w:before="30" w:after="30" w:line="240" w:lineRule="auto"/>
              <w:jc w:val="left"/>
            </w:pPr>
            <w:r>
              <w:rPr>
                <w:color w:val="263238"/>
                <w:sz w:val="19"/>
              </w:rPr>
              <w:t xml:space="preserve">v12.1</w:t>
            </w:r>
          </w:p>
        </w:tc>
        <w:tc>
          <w:tcPr>
            <w:tcW w:w="7900" w:type="dxa"/>
            <w:vAlign w:val="center"/>
          </w:tcPr>
          <w:p>
            <w:pPr>
              <w:spacing w:before="30" w:after="30" w:line="240" w:lineRule="auto"/>
              <w:jc w:val="left"/>
            </w:pPr>
            <w:r>
              <w:rPr>
                <w:color w:val="263238"/>
                <w:sz w:val="19"/>
              </w:rPr>
              <w:t xml:space="preserve">Volatility response: High Political Volatility actor doctrine, pattern-of-conduct coercion, bilateral-offer detection and pre-authorised rejection, SFI settlement continuity, predictability restoration.</w:t>
            </w:r>
          </w:p>
        </w:tc>
      </w:tr>
      <w:tr>
        <w:tc>
          <w:tcPr>
            <w:tcW w:w="1400" w:type="dxa"/>
            <w:vAlign w:val="center"/>
          </w:tcPr>
          <w:p>
            <w:pPr>
              <w:spacing w:before="30" w:after="30" w:line="240" w:lineRule="auto"/>
              <w:jc w:val="left"/>
            </w:pPr>
            <w:r>
              <w:rPr>
                <w:color w:val="263238"/>
                <w:sz w:val="19"/>
              </w:rPr>
              <w:t xml:space="preserve">v13.0</w:t>
            </w:r>
          </w:p>
        </w:tc>
        <w:tc>
          <w:tcPr>
            <w:tcW w:w="7900" w:type="dxa"/>
            <w:vAlign w:val="center"/>
          </w:tcPr>
          <w:p>
            <w:pPr>
              <w:spacing w:before="30" w:after="30" w:line="240" w:lineRule="auto"/>
              <w:jc w:val="left"/>
            </w:pPr>
            <w:r>
              <w:rPr>
                <w:color w:val="263238"/>
                <w:sz w:val="19"/>
              </w:rPr>
              <w:t xml:space="preserve">Hybrid architecture: Step-Back/Earn-Back compliance system, modular framework, Mutual Architecture Declaration, SFI asset protection, reinsurance backstops.</w:t>
            </w:r>
          </w:p>
        </w:tc>
      </w:tr>
      <w:tr>
        <w:tc>
          <w:tcPr>
            <w:tcW w:w="1400" w:type="dxa"/>
            <w:vAlign w:val="center"/>
          </w:tcPr>
          <w:p>
            <w:pPr>
              <w:spacing w:before="30" w:after="30" w:line="240" w:lineRule="auto"/>
              <w:jc w:val="left"/>
            </w:pPr>
            <w:r>
              <w:rPr>
                <w:color w:val="263238"/>
                <w:sz w:val="19"/>
              </w:rPr>
              <w:t xml:space="preserve">v14.0</w:t>
            </w:r>
          </w:p>
        </w:tc>
        <w:tc>
          <w:tcPr>
            <w:tcW w:w="7900" w:type="dxa"/>
            <w:vAlign w:val="center"/>
          </w:tcPr>
          <w:p>
            <w:pPr>
              <w:spacing w:before="30" w:after="30" w:line="240" w:lineRule="auto"/>
              <w:jc w:val="left"/>
            </w:pPr>
            <w:r>
              <w:rPr>
                <w:color w:val="263238"/>
                <w:sz w:val="19"/>
              </w:rPr>
              <w:t xml:space="preserve">Private-sector partnership: fast-lane customs clearance, sanctions-proof letters of credit, platform liability shields, certified-firm adjudication.</w:t>
            </w:r>
          </w:p>
        </w:tc>
      </w:tr>
      <w:tr>
        <w:tc>
          <w:tcPr>
            <w:tcW w:w="1400" w:type="dxa"/>
            <w:vAlign w:val="center"/>
          </w:tcPr>
          <w:p>
            <w:pPr>
              <w:spacing w:before="30" w:after="30" w:line="240" w:lineRule="auto"/>
              <w:jc w:val="left"/>
            </w:pPr>
            <w:r>
              <w:rPr>
                <w:color w:val="263238"/>
                <w:sz w:val="19"/>
              </w:rPr>
              <w:t xml:space="preserve">v15.0</w:t>
            </w:r>
          </w:p>
        </w:tc>
        <w:tc>
          <w:tcPr>
            <w:tcW w:w="7900" w:type="dxa"/>
            <w:vAlign w:val="center"/>
          </w:tcPr>
          <w:p>
            <w:pPr>
              <w:spacing w:before="30" w:after="30" w:line="240" w:lineRule="auto"/>
              <w:jc w:val="left"/>
            </w:pPr>
            <w:r>
              <w:rPr>
                <w:color w:val="263238"/>
                <w:sz w:val="19"/>
              </w:rPr>
              <w:t xml:space="preserve">Integrity and systemic-defence layer: first activation accountability, automatic Phase 2 activation against systemic Red-Line coercion, Existential Threat Immediate Protection, War Economy Transition, Encirclement Doctrine, integrity and anti-corruption protocol, Cohesion Multiplier, Trust Accelerator, Phoenix Protocol, GATT Article XXI pre-certification, Living Document Protocol.</w:t>
            </w:r>
          </w:p>
        </w:tc>
      </w:tr>
    </w:tbl>
    <w:p>
      <w:pPr>
        <w:pStyle w:val="Heading1"/>
        <w:pageBreakBefore/>
      </w:pPr>
      <w:r>
        <w:t xml:space="preserve">Philosophical Preamble</w:t>
      </w:r>
    </w:p>
    <w:p>
      <w:r>
        <w:t xml:space="preserve">Economic coercion denies the sovereign equality of states. When a large economy conditions market access, finance, or supply on the policy choices of a smaller state, the target faces a choice no sovereign accepts freely: submit, or absorb damage alone. IMESI removes that choice. The coalition converts isolated exposure into shared risk, and shared risk into deterrence.</w:t>
      </w:r>
    </w:p>
    <w:p>
      <w:r>
        <w:t xml:space="preserve">The founders wrote IMESI against a specific failure pattern: coercion succeeds not through economic weight but through delay, hesitation, and the victim's isolation. The Instrument attacks all three. Speed converts response from decision into default. Certification converts dispute into established fact. Mutualisation converts isolation into shared exposure. What remains for politics is the choice the text deliberately leaves open: how far to escalate, and when to let the coercer climb down.</w:t>
      </w:r>
    </w:p>
    <w:p>
      <w:r>
        <w:t xml:space="preserve">The framework rests on insurance logic, not alliance logic. Members pay a modest premium in peacetime: contributions, transparency, diversification, drills. In return, every member holds a claim on collective capacity in crisis. No member surrenders trade policy, security alignment, or regulatory sovereignty; the Instrument coordinates defensive response and leaves national life national.</w:t>
      </w:r>
    </w:p>
    <w:p>
      <w:r>
        <w:t xml:space="preserve">Three assurances frame every application of the Instrument. First, the Most-Favoured-Nation Assurance: IMESI measures single out no state in advance and apply only upon certified coercion or certified systemic disruption. Second, the National Treatment Assurance: membership changes no member's treatment of goods, services, or investment inside its own market outside an authorised case. Third, the Non-Targeting Clarification: routine trade policy, legitimate regulation, and ordinary commercial dispute stay outside the framework entirely, and the Non-Use Guarantee keeps the Instrument silent in the absence of coercion.</w:t>
      </w:r>
    </w:p>
    <w:p>
      <w:r>
        <w:t xml:space="preserve">The framework commits to de-escalation as a default, not an afterthought. Pressure exists to end coercion, and the architecture spends as much design on ending cases as on starting them: automatic de-escalation triggers, face-saving off-ramps, and reinstatement only where withdrawal proves false.</w:t>
      </w:r>
    </w:p>
    <w:p>
      <w:pPr>
        <w:pStyle w:val="Heading1"/>
        <w:pageBreakBefore/>
      </w:pPr>
      <w:r>
        <w:t xml:space="preserve">Part A: Foundational Charter</w:t>
      </w:r>
    </w:p>
    <w:p>
      <w:pPr>
        <w:pStyle w:val="Heading2"/>
      </w:pPr>
      <w:r>
        <w:t xml:space="preserve">Article I: Collective Economic Security Doctrine</w:t>
      </w:r>
    </w:p>
    <w:p>
      <w:r>
        <w:t xml:space="preserve">The doctrine's core insight is behavioural: deterrence works when the response is known, funded, and faster than the coercer's decision cycle. IMESI therefore hard-codes its defaults: certification timelines, pre-authorised templates, and automatic first aid exist so the coalition's reaction functions as infrastructure rather than improvisation. The full text grounds each default in the lessons of past coercion episodes, where delay, not weakness, proved decisive.</w:t>
      </w:r>
    </w:p>
    <w:p>
      <w:pPr>
        <w:pStyle w:val="Heading3"/>
      </w:pPr>
      <w:r>
        <w:t xml:space="preserve">Core Principles (Section 1.1)</w:t>
      </w:r>
    </w:p>
    <w:p>
      <w:pPr>
        <w:spacing w:after="120" w:line="288" w:lineRule="auto"/>
        <w:ind w:left="420" w:hanging="220"/>
        <w:jc w:val="both"/>
      </w:pPr>
      <w:r>
        <w:rPr>
          <w:b/>
          <w:color w:val="B8860B"/>
        </w:rPr>
        <w:t>•  </w:t>
      </w:r>
      <w:r>
        <w:rPr>
          <w:b/>
          <w:color w:val="37474F"/>
        </w:rPr>
        <w:t xml:space="preserve">Proportionality with control: </w:t>
      </w:r>
      <w:r>
        <w:t xml:space="preserve">every measure scales to the certified harm, passes a Proportionality Certification Memo, and carries a published de-escalation pathway;</w:t>
      </w:r>
    </w:p>
    <w:p>
      <w:pPr>
        <w:spacing w:after="120" w:line="288" w:lineRule="auto"/>
        <w:ind w:left="420" w:hanging="220"/>
        <w:jc w:val="both"/>
      </w:pPr>
      <w:r>
        <w:rPr>
          <w:b/>
          <w:color w:val="B8860B"/>
        </w:rPr>
        <w:t>•  </w:t>
      </w:r>
      <w:r>
        <w:rPr>
          <w:b/>
          <w:color w:val="37474F"/>
        </w:rPr>
        <w:t xml:space="preserve">Stabilisation through clarity: </w:t>
      </w:r>
      <w:r>
        <w:t xml:space="preserve">pre-authorised scenarios, published thresholds, and automatic logic remove improvisation; markets and coercers read the same playbook members read;</w:t>
      </w:r>
    </w:p>
    <w:p>
      <w:pPr>
        <w:spacing w:after="120" w:line="288" w:lineRule="auto"/>
        <w:ind w:left="420" w:hanging="220"/>
        <w:jc w:val="both"/>
      </w:pPr>
      <w:r>
        <w:rPr>
          <w:b/>
          <w:color w:val="B8860B"/>
        </w:rPr>
        <w:t>•  </w:t>
      </w:r>
      <w:r>
        <w:rPr>
          <w:b/>
          <w:color w:val="37474F"/>
        </w:rPr>
        <w:t xml:space="preserve">Graduated response with off-ramps: </w:t>
      </w:r>
      <w:r>
        <w:t xml:space="preserve">Phase 1 signals, Phase 2 pressures across domains, Phase 3 imposes unsustainable cost; every phase opens an exit;</w:t>
      </w:r>
    </w:p>
    <w:p>
      <w:pPr>
        <w:spacing w:after="120" w:line="288" w:lineRule="auto"/>
        <w:ind w:left="420" w:hanging="220"/>
        <w:jc w:val="both"/>
      </w:pPr>
      <w:r>
        <w:rPr>
          <w:b/>
          <w:color w:val="B8860B"/>
        </w:rPr>
        <w:t>•  </w:t>
      </w:r>
      <w:r>
        <w:rPr>
          <w:b/>
          <w:color w:val="37474F"/>
        </w:rPr>
        <w:t xml:space="preserve">Horizontal escalation capacity: </w:t>
      </w:r>
      <w:r>
        <w:t xml:space="preserve">the coalition escalates across domains, trade, finance, technology, strategic materials, exploiting the coercer's asymmetric vulnerabilities rather than trading blow for blow in one sector;</w:t>
      </w:r>
    </w:p>
    <w:p>
      <w:pPr>
        <w:spacing w:after="120" w:line="288" w:lineRule="auto"/>
        <w:ind w:left="420" w:hanging="220"/>
        <w:jc w:val="both"/>
      </w:pPr>
      <w:r>
        <w:rPr>
          <w:b/>
          <w:color w:val="B8860B"/>
        </w:rPr>
        <w:t>•  </w:t>
      </w:r>
      <w:r>
        <w:rPr>
          <w:b/>
          <w:color w:val="37474F"/>
        </w:rPr>
        <w:t xml:space="preserve">Face-saving resolution priority: </w:t>
      </w:r>
      <w:r>
        <w:t xml:space="preserve">durable settlements let the coercer exit with dignity; resolution language, technical substitution, and mediation stand as default pathways.</w:t>
      </w:r>
    </w:p>
    <w:p>
      <w:pPr>
        <w:pStyle w:val="Heading3"/>
      </w:pPr>
      <w:r>
        <w:t xml:space="preserve">Escalation Containment and the De-Escalation Default (Sections 1.2 to 1.3)</w:t>
      </w:r>
    </w:p>
    <w:p>
      <w:r>
        <w:t xml:space="preserve">Section 1.2 caps escalation: the framework contains each case inside defined cost bands (5% GDP presumptive member ceiling, 8% hard cap for systemic-economy cases) and reviews every escalation against sustainability thresholds. Communication discipline keeps all coalition messaging neutral, factual, and non-triumphalist. Section 1.3 establishes the De-Escalation Default: verified coercion withdrawal triggers proportional reduction of stabilisation measures within 30 days, and where escalation and de-escalation triggers conflict, standstill prevails.</w:t>
      </w:r>
    </w:p>
    <w:p>
      <w:pPr>
        <w:pStyle w:val="Heading3"/>
      </w:pPr>
      <w:r>
        <w:t xml:space="preserve">Systemic Disruption Doctrines (Sections 1.4 to 1.4I)</w:t>
      </w:r>
    </w:p>
    <w:p>
      <w:r>
        <w:t xml:space="preserve">The Global Systemic Disruption doctrine (GSD, Section 1.4) treats coalition-threatening systemic shocks as a distinct class of event, with stabilisation-first response and trade restriction only as last resort; v11.0 reduces the GSD tariff threshold for emergency declarations. The Systemic Non-Coercive Disruption doctrine (SND, Section 1.4B) covers systemic harm without proven coercive intent: a state imposing across-the-board tariffs above defined thresholds carries the burden of rebuttal to show legitimate, non-disruptive purpose, and MFN suspension itself counts as an SND trigger. Related hardening includes the Baseline Shift Doctrine, the Emergency Declaration Certification, the Unilateral Economic Statecraft Presumption, and the Pattern-of-Conduct Coercion Doctrine, which aggregates repeated sub-threshold actions into a single certifiable pattern.</w:t>
      </w:r>
    </w:p>
    <w:p>
      <w:pPr>
        <w:pStyle w:val="Heading3"/>
      </w:pPr>
      <w:r>
        <w:t xml:space="preserve">Sovereignty Architecture (Sections 1.0A to 1.0F, 1.5)</w:t>
      </w:r>
    </w:p>
    <w:p>
      <w:r>
        <w:t xml:space="preserve">Section 1.0A and its companions ring-fence domestic life: the Instrument reaches external economic coercion and leaves domestic policy, judicial process, and regulatory choices untouched; the Domestic Court Shield Protocol and the Judicial Delay Aggravation Standard handle litigation friction. Section 1.0B (Plural Alignment Principle) and Section 1.0C (Domestic Sovereignty and Benefit Guarantee) confirm that members keep every other alliance, agreement, and arrangement. Section 1.0D firewalls regulatory sovereignty. Section 1.0E organises the framework as modular: members adopt modules per the staged architecture, and no violation creates permanent exclusion, save the Section 1.0E carve-out for Existential Misconduct, which stands permanent by design. Section 1.5 affirms institutional sovereignty and self-defence; Sections 1.5A and 1.5B clarify the economic, non-defence character of every IMESI measure, including in armed-force context.</w:t>
      </w:r>
    </w:p>
    <w:p>
      <w:pPr>
        <w:pStyle w:val="Heading3"/>
      </w:pPr>
      <w:r>
        <w:t xml:space="preserve">Mutual Architecture and the Attack-Induced Ratchet (Sections 1.0F, 1.1B, 1.7)</w:t>
      </w:r>
    </w:p>
    <w:p>
      <w:r>
        <w:t xml:space="preserve">The Mutual Architecture Declaration (Section 1.0F) states the frame every provision observes: constraints arise from the framework architecture itself, never from one member's restraint of another. Section 1.1B declares the purpose and nature of the Instrument: a defensive, rules-based mutual insurance mechanism. Section 1.7, the Attack-Induced Ratchet, hardens the coalition against attack: every certified attack on the framework automatically deepens integration and activates the Cohesion Multiplier, the Trust Accelerator, and the Phoenix Protocol (Articles VI and X), so an attacker faces a coalition that grows stronger with every blow.</w:t>
      </w:r>
    </w:p>
    <w:p>
      <w:pPr>
        <w:pStyle w:val="Heading2"/>
      </w:pPr>
      <w:r>
        <w:t xml:space="preserve">Article II: Definitions and Scope</w:t>
      </w:r>
    </w:p>
    <w:p>
      <w:r>
        <w:t xml:space="preserve">The definition's precision serves a legal purpose: only certified coercion triggers the architecture, and the five-element test keeps ordinary political disagreement outside the trigger. The AESI methodology converts harm into a number the proportionality matrix consumes, and the Red-Line Categories give markets and coercers alike a published map of the territory where response becomes automatic. Everything downstream of this Article inherits its discipline.</w:t>
      </w:r>
    </w:p>
    <w:p>
      <w:pPr>
        <w:pStyle w:val="Heading3"/>
      </w:pPr>
      <w:r>
        <w:t xml:space="preserve">Economic Coercion: The Five Elements (Section 2.1)</w:t>
      </w:r>
    </w:p>
    <w:p>
      <w:r>
        <w:t xml:space="preserve">Economic coercion exists where a state or state-adjoining entity uses trade, investment, financial, or regulatory measures to compel a sovereign policy change, and all five elements stand present: (1) a measure or credible threat; (2) a policy demand, explicit or constructively clear; (3) a nexus between measure and demand; (4) material economic harm or credible threat of harm, with a 0.1% GDP minimum impact for certification; (5) absence of a legitimate, non-coercive justification. The v11.0 to v12.1 addenda extend the definition across commercial coercion, foreign-policy demands, symbolic tariffs, postal channels, trade-remedy harassment, exchange-rate and investment linkage, procurement preference, intellectual-property linkage, licensing denial, extraterritorial tariffs, correspondent-banking denial, credit-rating weaponisation, local-content monitoring, retroactive policy linkage, executive-authority aggravation, and consumer-goods export restriction.</w:t>
      </w:r>
    </w:p>
    <w:p>
      <w:pPr>
        <w:pStyle w:val="Heading3"/>
      </w:pPr>
      <w:r>
        <w:t xml:space="preserve">Adverse Economic Security Incident (Section 2.1B)</w:t>
      </w:r>
    </w:p>
    <w:p>
      <w:r>
        <w:t xml:space="preserve">An AESI is any event with adverse economic security effect on a member, reported by the member and triaged by the IEWC. AESI reporting opens the response pipeline without prejudging a coercion finding.</w:t>
      </w:r>
    </w:p>
    <w:p>
      <w:pPr>
        <w:pStyle w:val="Heading3"/>
      </w:pPr>
      <w:r>
        <w:t xml:space="preserve">Red-Line Coercion Categories (Section 2.2)</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1500"/>
        <w:gridCol w:w="7800"/>
      </w:tblGrid>
      <w:tr>
        <w:trPr>
          <w:tblHeader/>
        </w:trPr>
        <w:tc>
          <w:tcPr>
            <w:tcW w:w="1500" w:type="dxa"/>
            <w:tcBorders>
              <w:bottom w:val="single" w:color="37474F" w:sz="6"/>
            </w:tcBorders>
            <w:shd w:val="clear" w:fill="ECEFF1"/>
            <w:vAlign w:val="center"/>
          </w:tcPr>
          <w:p>
            <w:pPr>
              <w:spacing w:before="30" w:after="30" w:line="240" w:lineRule="auto"/>
              <w:jc w:val="left"/>
            </w:pPr>
            <w:r>
              <w:rPr>
                <w:b/>
                <w:color w:val="37474F"/>
                <w:sz w:val="19"/>
              </w:rPr>
              <w:t xml:space="preserve">Category</w:t>
            </w:r>
          </w:p>
        </w:tc>
        <w:tc>
          <w:tcPr>
            <w:tcW w:w="7800" w:type="dxa"/>
            <w:tcBorders>
              <w:bottom w:val="single" w:color="37474F" w:sz="6"/>
            </w:tcBorders>
            <w:shd w:val="clear" w:fill="ECEFF1"/>
            <w:vAlign w:val="center"/>
          </w:tcPr>
          <w:p>
            <w:pPr>
              <w:spacing w:before="30" w:after="30" w:line="240" w:lineRule="auto"/>
              <w:jc w:val="left"/>
            </w:pPr>
            <w:r>
              <w:rPr>
                <w:b/>
                <w:color w:val="37474F"/>
                <w:sz w:val="19"/>
              </w:rPr>
              <w:t xml:space="preserve">Conduct</w:t>
            </w:r>
          </w:p>
        </w:tc>
      </w:tr>
      <w:tr>
        <w:tc>
          <w:tcPr>
            <w:tcW w:w="1500" w:type="dxa"/>
            <w:vAlign w:val="center"/>
          </w:tcPr>
          <w:p>
            <w:pPr>
              <w:spacing w:before="30" w:after="30" w:line="240" w:lineRule="auto"/>
              <w:jc w:val="left"/>
            </w:pPr>
            <w:r>
              <w:rPr>
                <w:color w:val="263238"/>
                <w:sz w:val="19"/>
              </w:rPr>
              <w:t xml:space="preserve">1</w:t>
            </w:r>
          </w:p>
        </w:tc>
        <w:tc>
          <w:tcPr>
            <w:tcW w:w="7800" w:type="dxa"/>
            <w:vAlign w:val="center"/>
          </w:tcPr>
          <w:p>
            <w:pPr>
              <w:spacing w:before="30" w:after="30" w:line="240" w:lineRule="auto"/>
              <w:jc w:val="left"/>
            </w:pPr>
            <w:r>
              <w:rPr>
                <w:color w:val="263238"/>
                <w:sz w:val="19"/>
              </w:rPr>
              <w:t xml:space="preserve">Critical supply interdiction: food, energy, medical supplies</w:t>
            </w:r>
          </w:p>
        </w:tc>
      </w:tr>
      <w:tr>
        <w:tc>
          <w:tcPr>
            <w:tcW w:w="1500" w:type="dxa"/>
            <w:vAlign w:val="center"/>
          </w:tcPr>
          <w:p>
            <w:pPr>
              <w:spacing w:before="30" w:after="30" w:line="240" w:lineRule="auto"/>
              <w:jc w:val="left"/>
            </w:pPr>
            <w:r>
              <w:rPr>
                <w:color w:val="263238"/>
                <w:sz w:val="19"/>
              </w:rPr>
              <w:t xml:space="preserve">2</w:t>
            </w:r>
          </w:p>
        </w:tc>
        <w:tc>
          <w:tcPr>
            <w:tcW w:w="7800" w:type="dxa"/>
            <w:vAlign w:val="center"/>
          </w:tcPr>
          <w:p>
            <w:pPr>
              <w:spacing w:before="30" w:after="30" w:line="240" w:lineRule="auto"/>
              <w:jc w:val="left"/>
            </w:pPr>
            <w:r>
              <w:rPr>
                <w:color w:val="263238"/>
                <w:sz w:val="19"/>
              </w:rPr>
              <w:t xml:space="preserve">Financial system exclusion: clearing, settlement, correspondent banking</w:t>
            </w:r>
          </w:p>
        </w:tc>
      </w:tr>
      <w:tr>
        <w:tc>
          <w:tcPr>
            <w:tcW w:w="1500" w:type="dxa"/>
            <w:vAlign w:val="center"/>
          </w:tcPr>
          <w:p>
            <w:pPr>
              <w:spacing w:before="30" w:after="30" w:line="240" w:lineRule="auto"/>
              <w:jc w:val="left"/>
            </w:pPr>
            <w:r>
              <w:rPr>
                <w:color w:val="263238"/>
                <w:sz w:val="19"/>
              </w:rPr>
              <w:t xml:space="preserve">3</w:t>
            </w:r>
          </w:p>
        </w:tc>
        <w:tc>
          <w:tcPr>
            <w:tcW w:w="7800" w:type="dxa"/>
            <w:vAlign w:val="center"/>
          </w:tcPr>
          <w:p>
            <w:pPr>
              <w:spacing w:before="30" w:after="30" w:line="240" w:lineRule="auto"/>
              <w:jc w:val="left"/>
            </w:pPr>
            <w:r>
              <w:rPr>
                <w:color w:val="263238"/>
                <w:sz w:val="19"/>
              </w:rPr>
              <w:t xml:space="preserve">Strategic resource embargo: rare earths, semiconductor inputs, energy</w:t>
            </w:r>
          </w:p>
        </w:tc>
      </w:tr>
      <w:tr>
        <w:tc>
          <w:tcPr>
            <w:tcW w:w="1500" w:type="dxa"/>
            <w:vAlign w:val="center"/>
          </w:tcPr>
          <w:p>
            <w:pPr>
              <w:spacing w:before="30" w:after="30" w:line="240" w:lineRule="auto"/>
              <w:jc w:val="left"/>
            </w:pPr>
            <w:r>
              <w:rPr>
                <w:color w:val="263238"/>
                <w:sz w:val="19"/>
              </w:rPr>
              <w:t xml:space="preserve">4</w:t>
            </w:r>
          </w:p>
        </w:tc>
        <w:tc>
          <w:tcPr>
            <w:tcW w:w="7800" w:type="dxa"/>
            <w:vAlign w:val="center"/>
          </w:tcPr>
          <w:p>
            <w:pPr>
              <w:spacing w:before="30" w:after="30" w:line="240" w:lineRule="auto"/>
              <w:jc w:val="left"/>
            </w:pPr>
            <w:r>
              <w:rPr>
                <w:color w:val="263238"/>
                <w:sz w:val="19"/>
              </w:rPr>
              <w:t xml:space="preserve">Infrastructure disruption: cables, pipelines, cloud, logistics chokepoints</w:t>
            </w:r>
          </w:p>
        </w:tc>
      </w:tr>
      <w:tr>
        <w:tc>
          <w:tcPr>
            <w:tcW w:w="1500" w:type="dxa"/>
            <w:vAlign w:val="center"/>
          </w:tcPr>
          <w:p>
            <w:pPr>
              <w:spacing w:before="30" w:after="30" w:line="240" w:lineRule="auto"/>
              <w:jc w:val="left"/>
            </w:pPr>
            <w:r>
              <w:rPr>
                <w:color w:val="263238"/>
                <w:sz w:val="19"/>
              </w:rPr>
              <w:t xml:space="preserve">5</w:t>
            </w:r>
          </w:p>
        </w:tc>
        <w:tc>
          <w:tcPr>
            <w:tcW w:w="7800" w:type="dxa"/>
            <w:vAlign w:val="center"/>
          </w:tcPr>
          <w:p>
            <w:pPr>
              <w:spacing w:before="30" w:after="30" w:line="240" w:lineRule="auto"/>
              <w:jc w:val="left"/>
            </w:pPr>
            <w:r>
              <w:rPr>
                <w:color w:val="263238"/>
                <w:sz w:val="19"/>
              </w:rPr>
              <w:t xml:space="preserve">Strategic manufacturing coercion</w:t>
            </w:r>
          </w:p>
        </w:tc>
      </w:tr>
      <w:tr>
        <w:tc>
          <w:tcPr>
            <w:tcW w:w="1500" w:type="dxa"/>
            <w:vAlign w:val="center"/>
          </w:tcPr>
          <w:p>
            <w:pPr>
              <w:spacing w:before="30" w:after="30" w:line="240" w:lineRule="auto"/>
              <w:jc w:val="left"/>
            </w:pPr>
            <w:r>
              <w:rPr>
                <w:color w:val="263238"/>
                <w:sz w:val="19"/>
              </w:rPr>
              <w:t xml:space="preserve">6</w:t>
            </w:r>
          </w:p>
        </w:tc>
        <w:tc>
          <w:tcPr>
            <w:tcW w:w="7800" w:type="dxa"/>
            <w:vAlign w:val="center"/>
          </w:tcPr>
          <w:p>
            <w:pPr>
              <w:spacing w:before="30" w:after="30" w:line="240" w:lineRule="auto"/>
              <w:jc w:val="left"/>
            </w:pPr>
            <w:r>
              <w:rPr>
                <w:color w:val="263238"/>
                <w:sz w:val="19"/>
              </w:rPr>
              <w:t xml:space="preserve">MFN status revocation or equivalent discriminatory regime change</w:t>
            </w:r>
          </w:p>
        </w:tc>
      </w:tr>
      <w:tr>
        <w:tc>
          <w:tcPr>
            <w:tcW w:w="1500" w:type="dxa"/>
            <w:vAlign w:val="center"/>
          </w:tcPr>
          <w:p>
            <w:pPr>
              <w:spacing w:before="30" w:after="30" w:line="240" w:lineRule="auto"/>
              <w:jc w:val="left"/>
            </w:pPr>
            <w:r>
              <w:rPr>
                <w:color w:val="263238"/>
                <w:sz w:val="19"/>
              </w:rPr>
              <w:t xml:space="preserve">7</w:t>
            </w:r>
          </w:p>
        </w:tc>
        <w:tc>
          <w:tcPr>
            <w:tcW w:w="7800" w:type="dxa"/>
            <w:vAlign w:val="center"/>
          </w:tcPr>
          <w:p>
            <w:pPr>
              <w:spacing w:before="30" w:after="30" w:line="240" w:lineRule="auto"/>
              <w:jc w:val="left"/>
            </w:pPr>
            <w:r>
              <w:rPr>
                <w:color w:val="263238"/>
                <w:sz w:val="19"/>
              </w:rPr>
              <w:t xml:space="preserve">Universal tariff shock: across-the-board tariffs above defined thresholds</w:t>
            </w:r>
          </w:p>
        </w:tc>
      </w:tr>
      <w:tr>
        <w:tc>
          <w:tcPr>
            <w:tcW w:w="1500" w:type="dxa"/>
            <w:vAlign w:val="center"/>
          </w:tcPr>
          <w:p>
            <w:pPr>
              <w:spacing w:before="30" w:after="30" w:line="240" w:lineRule="auto"/>
              <w:jc w:val="left"/>
            </w:pPr>
            <w:r>
              <w:rPr>
                <w:color w:val="263238"/>
                <w:sz w:val="19"/>
              </w:rPr>
              <w:t xml:space="preserve">8</w:t>
            </w:r>
          </w:p>
        </w:tc>
        <w:tc>
          <w:tcPr>
            <w:tcW w:w="7800" w:type="dxa"/>
            <w:vAlign w:val="center"/>
          </w:tcPr>
          <w:p>
            <w:pPr>
              <w:spacing w:before="30" w:after="30" w:line="240" w:lineRule="auto"/>
              <w:jc w:val="left"/>
            </w:pPr>
            <w:r>
              <w:rPr>
                <w:color w:val="263238"/>
                <w:sz w:val="19"/>
              </w:rPr>
              <w:t xml:space="preserve">Payment system exclusion</w:t>
            </w:r>
          </w:p>
        </w:tc>
      </w:tr>
      <w:tr>
        <w:tc>
          <w:tcPr>
            <w:tcW w:w="1500" w:type="dxa"/>
            <w:vAlign w:val="center"/>
          </w:tcPr>
          <w:p>
            <w:pPr>
              <w:spacing w:before="30" w:after="30" w:line="240" w:lineRule="auto"/>
              <w:jc w:val="left"/>
            </w:pPr>
            <w:r>
              <w:rPr>
                <w:color w:val="263238"/>
                <w:sz w:val="19"/>
              </w:rPr>
              <w:t xml:space="preserve">9</w:t>
            </w:r>
          </w:p>
        </w:tc>
        <w:tc>
          <w:tcPr>
            <w:tcW w:w="7800" w:type="dxa"/>
            <w:vAlign w:val="center"/>
          </w:tcPr>
          <w:p>
            <w:pPr>
              <w:spacing w:before="30" w:after="30" w:line="240" w:lineRule="auto"/>
              <w:jc w:val="left"/>
            </w:pPr>
            <w:r>
              <w:rPr>
                <w:color w:val="263238"/>
                <w:sz w:val="19"/>
              </w:rPr>
              <w:t xml:space="preserve">National security definition expansion used to justify economic measures</w:t>
            </w:r>
          </w:p>
        </w:tc>
      </w:tr>
      <w:tr>
        <w:tc>
          <w:tcPr>
            <w:tcW w:w="1500" w:type="dxa"/>
            <w:vAlign w:val="center"/>
          </w:tcPr>
          <w:p>
            <w:pPr>
              <w:spacing w:before="30" w:after="30" w:line="240" w:lineRule="auto"/>
              <w:jc w:val="left"/>
            </w:pPr>
            <w:r>
              <w:rPr>
                <w:color w:val="263238"/>
                <w:sz w:val="19"/>
              </w:rPr>
              <w:t xml:space="preserve">10</w:t>
            </w:r>
          </w:p>
        </w:tc>
        <w:tc>
          <w:tcPr>
            <w:tcW w:w="7800" w:type="dxa"/>
            <w:vAlign w:val="center"/>
          </w:tcPr>
          <w:p>
            <w:pPr>
              <w:spacing w:before="30" w:after="30" w:line="240" w:lineRule="auto"/>
              <w:jc w:val="left"/>
            </w:pPr>
            <w:r>
              <w:rPr>
                <w:color w:val="263238"/>
                <w:sz w:val="19"/>
              </w:rPr>
              <w:t xml:space="preserve">Unilateral tariff regime disruption</w:t>
            </w:r>
          </w:p>
        </w:tc>
      </w:tr>
    </w:tbl>
    <w:p>
      <w:r>
        <w:t xml:space="preserve">Red-Line certification compresses every timeline: the 48-hour consultation track applies, Phase 2 stands presumed, and, for systemic economies, Phase 2 activates automatically under Section 5.5B.</w:t>
      </w:r>
    </w:p>
    <w:p>
      <w:pPr>
        <w:pStyle w:val="Heading3"/>
      </w:pPr>
      <w:r>
        <w:t xml:space="preserve">Attribution, Verification, and Special Doctrines</w:t>
      </w:r>
    </w:p>
    <w:p>
      <w:pPr>
        <w:spacing w:after="120" w:line="288" w:lineRule="auto"/>
        <w:ind w:left="420" w:hanging="220"/>
        <w:jc w:val="both"/>
      </w:pPr>
      <w:r>
        <w:rPr>
          <w:b/>
          <w:color w:val="B8860B"/>
        </w:rPr>
        <w:t>•  </w:t>
      </w:r>
      <w:r>
        <w:rPr>
          <w:b/>
          <w:color w:val="37474F"/>
        </w:rPr>
        <w:t xml:space="preserve">Strategic Severity Multiplier (Section 2.3): </w:t>
      </w:r>
      <w:r>
        <w:t xml:space="preserve">coercion touching Tier 1 strategic sectors, or compounded by troop presence (v15.0), elevates severity classification regardless of raw GDP percentage;</w:t>
      </w:r>
    </w:p>
    <w:p>
      <w:pPr>
        <w:spacing w:after="120" w:line="288" w:lineRule="auto"/>
        <w:ind w:left="420" w:hanging="220"/>
        <w:jc w:val="both"/>
      </w:pPr>
      <w:r>
        <w:rPr>
          <w:b/>
          <w:color w:val="B8860B"/>
        </w:rPr>
        <w:t>•  </w:t>
      </w:r>
      <w:r>
        <w:rPr>
          <w:b/>
          <w:color w:val="37474F"/>
        </w:rPr>
        <w:t xml:space="preserve">Non-Alignment Protection (Section 2.4): </w:t>
      </w:r>
      <w:r>
        <w:t xml:space="preserve">certification never turns on a member's alliances, votes, or alignments elsewhere;</w:t>
      </w:r>
    </w:p>
    <w:p>
      <w:pPr>
        <w:spacing w:after="120" w:line="288" w:lineRule="auto"/>
        <w:ind w:left="420" w:hanging="220"/>
        <w:jc w:val="both"/>
      </w:pPr>
      <w:r>
        <w:rPr>
          <w:b/>
          <w:color w:val="B8860B"/>
        </w:rPr>
        <w:t>•  </w:t>
      </w:r>
      <w:r>
        <w:rPr>
          <w:b/>
          <w:color w:val="37474F"/>
        </w:rPr>
        <w:t xml:space="preserve">State-Adjoining Entity Doctrine (Section 2.5): </w:t>
      </w:r>
      <w:r>
        <w:t xml:space="preserve">conduct of state-directed firms, sovereign funds, and controlled platforms attributes to the state through official statements, social media, funding, and direction; Coercion-as-Service attribution (v15.0) covers proxy conduct;</w:t>
      </w:r>
    </w:p>
    <w:p>
      <w:pPr>
        <w:spacing w:after="120" w:line="288" w:lineRule="auto"/>
        <w:ind w:left="420" w:hanging="220"/>
        <w:jc w:val="both"/>
      </w:pPr>
      <w:r>
        <w:rPr>
          <w:b/>
          <w:color w:val="B8860B"/>
        </w:rPr>
        <w:t>•  </w:t>
      </w:r>
      <w:r>
        <w:rPr>
          <w:b/>
          <w:color w:val="37474F"/>
        </w:rPr>
        <w:t xml:space="preserve">Tiered Verification (Section 2.6): </w:t>
      </w:r>
      <w:r>
        <w:t xml:space="preserve">compressed timelines run on tiered evidence: prima facie showing for Phase 0, full certification for Phase 1 and above, provisional measures clearly distinguished;</w:t>
      </w:r>
    </w:p>
    <w:p>
      <w:pPr>
        <w:spacing w:after="120" w:line="288" w:lineRule="auto"/>
        <w:ind w:left="420" w:hanging="220"/>
        <w:jc w:val="both"/>
      </w:pPr>
      <w:r>
        <w:rPr>
          <w:b/>
          <w:color w:val="B8860B"/>
        </w:rPr>
        <w:t>•  </w:t>
      </w:r>
      <w:r>
        <w:rPr>
          <w:b/>
          <w:color w:val="37474F"/>
        </w:rPr>
        <w:t xml:space="preserve">Constructive Coercion Doctrine (Section 2.1A, pilot): </w:t>
      </w:r>
      <w:r>
        <w:t xml:space="preserve">de facto measures with coercive effect receive certification on effect, under 36-month pilot status;</w:t>
      </w:r>
    </w:p>
    <w:p>
      <w:pPr>
        <w:spacing w:after="120" w:line="288" w:lineRule="auto"/>
        <w:ind w:left="420" w:hanging="220"/>
        <w:jc w:val="both"/>
      </w:pPr>
      <w:r>
        <w:rPr>
          <w:b/>
          <w:color w:val="B8860B"/>
        </w:rPr>
        <w:t>•  </w:t>
      </w:r>
      <w:r>
        <w:rPr>
          <w:b/>
          <w:color w:val="37474F"/>
        </w:rPr>
        <w:t xml:space="preserve">Special protocols: </w:t>
      </w:r>
      <w:r>
        <w:t xml:space="preserve">Climate-Trade Coercion (2.7), ESG Standards Coercion (2.8), Cognitive and Information Coercion (2.9), Intensity-Compressed Coercion (2.10A), Regulatory Surprise (2.10C), Hybrid Coercion (2.12), Private Economic Coercion (2.14), Systemic Infrastructure Provider framework (2.5D).</w:t>
      </w:r>
    </w:p>
    <w:p>
      <w:r>
        <w:t xml:space="preserve">Section 2.1 (Addendum, v15.0) declares economic coercion so certified an emergency in international relations for purposes of GATT Article XXI, anchoring every response in the security exception (Section 9.1B).</w:t>
      </w:r>
    </w:p>
    <w:p>
      <w:pPr>
        <w:pStyle w:val="Heading2"/>
      </w:pPr>
      <w:r>
        <w:t xml:space="preserve">Article III: Membership and Tiered Obligations</w:t>
      </w:r>
    </w:p>
    <w:p>
      <w:r>
        <w:t xml:space="preserve">The tier system accepts an uncomfortable truth: states differ in capacity and appetite, and a framework pretending otherwise fragments on first contact with reality. Tiers price participation honestly, and the weighted vote keeps decision power aligned with exposure without silencing small members, whose protection the whole architecture exists to defend. Accession pathways stay open at every tier, and movement upward earns concrete rewards rather than mere status.</w:t>
      </w:r>
    </w:p>
    <w:p>
      <w:pPr>
        <w:pStyle w:val="Heading3"/>
      </w:pPr>
      <w:r>
        <w:t xml:space="preserve">The Five Tiers</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2100"/>
        <w:gridCol w:w="3700"/>
        <w:gridCol w:w="3500"/>
      </w:tblGrid>
      <w:tr>
        <w:trPr>
          <w:tblHeader/>
        </w:trPr>
        <w:tc>
          <w:tcPr>
            <w:tcW w:w="2100" w:type="dxa"/>
            <w:tcBorders>
              <w:bottom w:val="single" w:color="37474F" w:sz="6"/>
            </w:tcBorders>
            <w:shd w:val="clear" w:fill="ECEFF1"/>
            <w:vAlign w:val="center"/>
          </w:tcPr>
          <w:p>
            <w:pPr>
              <w:spacing w:before="30" w:after="30" w:line="240" w:lineRule="auto"/>
              <w:jc w:val="left"/>
            </w:pPr>
            <w:r>
              <w:rPr>
                <w:b/>
                <w:color w:val="37474F"/>
                <w:sz w:val="19"/>
              </w:rPr>
              <w:t xml:space="preserve">Tier</w:t>
            </w:r>
          </w:p>
        </w:tc>
        <w:tc>
          <w:tcPr>
            <w:tcW w:w="3700" w:type="dxa"/>
            <w:tcBorders>
              <w:bottom w:val="single" w:color="37474F" w:sz="6"/>
            </w:tcBorders>
            <w:shd w:val="clear" w:fill="ECEFF1"/>
            <w:vAlign w:val="center"/>
          </w:tcPr>
          <w:p>
            <w:pPr>
              <w:spacing w:before="30" w:after="30" w:line="240" w:lineRule="auto"/>
              <w:jc w:val="left"/>
            </w:pPr>
            <w:r>
              <w:rPr>
                <w:b/>
                <w:color w:val="37474F"/>
                <w:sz w:val="19"/>
              </w:rPr>
              <w:t xml:space="preserve">Commitment</w:t>
            </w:r>
          </w:p>
        </w:tc>
        <w:tc>
          <w:tcPr>
            <w:tcW w:w="3500" w:type="dxa"/>
            <w:tcBorders>
              <w:bottom w:val="single" w:color="37474F" w:sz="6"/>
            </w:tcBorders>
            <w:shd w:val="clear" w:fill="ECEFF1"/>
            <w:vAlign w:val="center"/>
          </w:tcPr>
          <w:p>
            <w:pPr>
              <w:spacing w:before="30" w:after="30" w:line="240" w:lineRule="auto"/>
              <w:jc w:val="left"/>
            </w:pPr>
            <w:r>
              <w:rPr>
                <w:b/>
                <w:color w:val="37474F"/>
                <w:sz w:val="19"/>
              </w:rPr>
              <w:t xml:space="preserve">Core rights</w:t>
            </w:r>
          </w:p>
        </w:tc>
      </w:tr>
      <w:tr>
        <w:tc>
          <w:tcPr>
            <w:tcW w:w="2100" w:type="dxa"/>
            <w:vAlign w:val="center"/>
          </w:tcPr>
          <w:p>
            <w:pPr>
              <w:spacing w:before="30" w:after="30" w:line="240" w:lineRule="auto"/>
              <w:jc w:val="left"/>
            </w:pPr>
            <w:r>
              <w:rPr>
                <w:color w:val="263238"/>
                <w:sz w:val="19"/>
              </w:rPr>
              <w:t xml:space="preserve">Observer (Tier 0)</w:t>
            </w:r>
          </w:p>
        </w:tc>
        <w:tc>
          <w:tcPr>
            <w:tcW w:w="3700" w:type="dxa"/>
            <w:vAlign w:val="center"/>
          </w:tcPr>
          <w:p>
            <w:pPr>
              <w:spacing w:before="30" w:after="30" w:line="240" w:lineRule="auto"/>
              <w:jc w:val="left"/>
            </w:pPr>
            <w:r>
              <w:rPr>
                <w:color w:val="263238"/>
                <w:sz w:val="19"/>
              </w:rPr>
              <w:t xml:space="preserve">No case obligations; voluntary transparency</w:t>
            </w:r>
          </w:p>
        </w:tc>
        <w:tc>
          <w:tcPr>
            <w:tcW w:w="3500" w:type="dxa"/>
            <w:vAlign w:val="center"/>
          </w:tcPr>
          <w:p>
            <w:pPr>
              <w:spacing w:before="30" w:after="30" w:line="240" w:lineRule="auto"/>
              <w:jc w:val="left"/>
            </w:pPr>
            <w:r>
              <w:rPr>
                <w:color w:val="263238"/>
                <w:sz w:val="19"/>
              </w:rPr>
              <w:t xml:space="preserve">IEWC unclassified publications, dashboard access, accession runway</w:t>
            </w:r>
          </w:p>
        </w:tc>
      </w:tr>
      <w:tr>
        <w:tc>
          <w:tcPr>
            <w:tcW w:w="2100" w:type="dxa"/>
            <w:vAlign w:val="center"/>
          </w:tcPr>
          <w:p>
            <w:pPr>
              <w:spacing w:before="30" w:after="30" w:line="240" w:lineRule="auto"/>
              <w:jc w:val="left"/>
            </w:pPr>
            <w:r>
              <w:rPr>
                <w:color w:val="263238"/>
                <w:sz w:val="19"/>
              </w:rPr>
              <w:t xml:space="preserve">Provisional</w:t>
            </w:r>
          </w:p>
        </w:tc>
        <w:tc>
          <w:tcPr>
            <w:tcW w:w="3700" w:type="dxa"/>
            <w:vAlign w:val="center"/>
          </w:tcPr>
          <w:p>
            <w:pPr>
              <w:spacing w:before="30" w:after="30" w:line="240" w:lineRule="auto"/>
              <w:jc w:val="left"/>
            </w:pPr>
            <w:r>
              <w:rPr>
                <w:color w:val="263238"/>
                <w:sz w:val="19"/>
              </w:rPr>
              <w:t xml:space="preserve">Phased obligations over 24 months</w:t>
            </w:r>
          </w:p>
        </w:tc>
        <w:tc>
          <w:tcPr>
            <w:tcW w:w="3500" w:type="dxa"/>
            <w:vAlign w:val="center"/>
          </w:tcPr>
          <w:p>
            <w:pPr>
              <w:spacing w:before="30" w:after="30" w:line="240" w:lineRule="auto"/>
              <w:jc w:val="left"/>
            </w:pPr>
            <w:r>
              <w:rPr>
                <w:color w:val="263238"/>
                <w:sz w:val="19"/>
              </w:rPr>
              <w:t xml:space="preserve">IEWC intelligence, joint procurement, early-warning platform</w:t>
            </w:r>
          </w:p>
        </w:tc>
      </w:tr>
      <w:tr>
        <w:tc>
          <w:tcPr>
            <w:tcW w:w="2100" w:type="dxa"/>
            <w:vAlign w:val="center"/>
          </w:tcPr>
          <w:p>
            <w:pPr>
              <w:spacing w:before="30" w:after="30" w:line="240" w:lineRule="auto"/>
              <w:jc w:val="left"/>
            </w:pPr>
            <w:r>
              <w:rPr>
                <w:color w:val="263238"/>
                <w:sz w:val="19"/>
              </w:rPr>
              <w:t xml:space="preserve">Associate (Tier 1)</w:t>
            </w:r>
          </w:p>
        </w:tc>
        <w:tc>
          <w:tcPr>
            <w:tcW w:w="3700" w:type="dxa"/>
            <w:vAlign w:val="center"/>
          </w:tcPr>
          <w:p>
            <w:pPr>
              <w:spacing w:before="30" w:after="30" w:line="240" w:lineRule="auto"/>
              <w:jc w:val="left"/>
            </w:pPr>
            <w:r>
              <w:rPr>
                <w:color w:val="263238"/>
                <w:sz w:val="19"/>
              </w:rPr>
              <w:t xml:space="preserve">Transparency and consultation; Track A support role</w:t>
            </w:r>
          </w:p>
        </w:tc>
        <w:tc>
          <w:tcPr>
            <w:tcW w:w="3500" w:type="dxa"/>
            <w:vAlign w:val="center"/>
          </w:tcPr>
          <w:p>
            <w:pPr>
              <w:spacing w:before="30" w:after="30" w:line="240" w:lineRule="auto"/>
              <w:jc w:val="left"/>
            </w:pPr>
            <w:r>
              <w:rPr>
                <w:color w:val="263238"/>
                <w:sz w:val="19"/>
              </w:rPr>
              <w:t xml:space="preserve">Fund access at reduced rates, scenario participation</w:t>
            </w:r>
          </w:p>
        </w:tc>
      </w:tr>
      <w:tr>
        <w:tc>
          <w:tcPr>
            <w:tcW w:w="2100" w:type="dxa"/>
            <w:vAlign w:val="center"/>
          </w:tcPr>
          <w:p>
            <w:pPr>
              <w:spacing w:before="30" w:after="30" w:line="240" w:lineRule="auto"/>
              <w:jc w:val="left"/>
            </w:pPr>
            <w:r>
              <w:rPr>
                <w:color w:val="263238"/>
                <w:sz w:val="19"/>
              </w:rPr>
              <w:t xml:space="preserve">Full (Tier 2)</w:t>
            </w:r>
          </w:p>
        </w:tc>
        <w:tc>
          <w:tcPr>
            <w:tcW w:w="3700" w:type="dxa"/>
            <w:vAlign w:val="center"/>
          </w:tcPr>
          <w:p>
            <w:pPr>
              <w:spacing w:before="30" w:after="30" w:line="240" w:lineRule="auto"/>
              <w:jc w:val="left"/>
            </w:pPr>
            <w:r>
              <w:rPr>
                <w:color w:val="263238"/>
                <w:sz w:val="19"/>
              </w:rPr>
              <w:t xml:space="preserve">Full stabilisation obligations within chosen modules; minimum response floors</w:t>
            </w:r>
          </w:p>
        </w:tc>
        <w:tc>
          <w:tcPr>
            <w:tcW w:w="3500" w:type="dxa"/>
            <w:vAlign w:val="center"/>
          </w:tcPr>
          <w:p>
            <w:pPr>
              <w:spacing w:before="30" w:after="30" w:line="240" w:lineRule="auto"/>
              <w:jc w:val="left"/>
            </w:pPr>
            <w:r>
              <w:rPr>
                <w:color w:val="263238"/>
                <w:sz w:val="19"/>
              </w:rPr>
              <w:t xml:space="preserve">Full Fund access, 100% voting weight</w:t>
            </w:r>
          </w:p>
        </w:tc>
      </w:tr>
      <w:tr>
        <w:tc>
          <w:tcPr>
            <w:tcW w:w="2100" w:type="dxa"/>
            <w:vAlign w:val="center"/>
          </w:tcPr>
          <w:p>
            <w:pPr>
              <w:spacing w:before="30" w:after="30" w:line="240" w:lineRule="auto"/>
              <w:jc w:val="left"/>
            </w:pPr>
            <w:r>
              <w:rPr>
                <w:color w:val="263238"/>
                <w:sz w:val="19"/>
              </w:rPr>
              <w:t xml:space="preserve">Enhanced Solidarity (Tier 3)</w:t>
            </w:r>
          </w:p>
        </w:tc>
        <w:tc>
          <w:tcPr>
            <w:tcW w:w="3700" w:type="dxa"/>
            <w:vAlign w:val="center"/>
          </w:tcPr>
          <w:p>
            <w:pPr>
              <w:spacing w:before="30" w:after="30" w:line="240" w:lineRule="auto"/>
              <w:jc w:val="left"/>
            </w:pPr>
            <w:r>
              <w:rPr>
                <w:color w:val="263238"/>
                <w:sz w:val="19"/>
              </w:rPr>
              <w:t xml:space="preserve">Tier 2 plus standing pre-authorisations and 120% burden base</w:t>
            </w:r>
          </w:p>
        </w:tc>
        <w:tc>
          <w:tcPr>
            <w:tcW w:w="3500" w:type="dxa"/>
            <w:vAlign w:val="center"/>
          </w:tcPr>
          <w:p>
            <w:pPr>
              <w:spacing w:before="30" w:after="30" w:line="240" w:lineRule="auto"/>
              <w:jc w:val="left"/>
            </w:pPr>
            <w:r>
              <w:rPr>
                <w:color w:val="263238"/>
                <w:sz w:val="19"/>
              </w:rPr>
              <w:t xml:space="preserve">Priority Fund disbursement, SFI priority, leadership rotation eligibility</w:t>
            </w:r>
          </w:p>
        </w:tc>
      </w:tr>
    </w:tbl>
    <w:p>
      <w:r>
        <w:t xml:space="preserve">Weighted voting blends GDP share (50%), trade exposure (30%), and tier level (20%). Thresholds run from 55% (standard authorisations) through 60% (escalation), 65% (Existential Speed Protocol pre-authorisation), 70% (Charter operational amendments), to 75% (existential-intensity measures). Tier renewal at Year 7 requires VCI-B standing or above plus case or exercise participation (Annex 13A). Withdrawal constitutes a deliberate, notified, time-bound sovereign act under the Nofade Rule; suspension of implementation follows the Section 1.0A safeguards.</w:t>
      </w:r>
    </w:p>
    <w:p>
      <w:pPr>
        <w:pStyle w:val="Heading3"/>
      </w:pPr>
      <w:r>
        <w:t xml:space="preserve">Accession Pathways</w:t>
      </w:r>
    </w:p>
    <w:p>
      <w:r>
        <w:t xml:space="preserve">Standard accession follows Article III procedures; the Emergency Accession Protocol (Section 3.15) fast-tracks states under active coercion; the Tariff Shock Accession Window opens for affected non-members during systemic shocks. Reverse accession and provisional membership lower entry barriers, and the Collective Solidarity Endorsement protects candidates facing coercion for joining.</w:t>
      </w:r>
    </w:p>
    <w:p>
      <w:pPr>
        <w:pStyle w:val="Heading3"/>
      </w:pPr>
      <w:r>
        <w:t xml:space="preserve">Standing Cooperation Instruments</w:t>
      </w:r>
    </w:p>
    <w:p>
      <w:r>
        <w:t xml:space="preserve">Section 3.12 pre-certifies Strategic Entities for protection orders; Section 3.13 operates the Joint Procurement Consortium; Section 3.14 administers the Technology Solidarity Pledge. Section 3.8A offers a nine-option domestic ratification flexibility menu, including judicial review, fiscal council certification, and ombudsman oversight; constitutional court certification of an equivalent mechanism counts as full compliance.</w:t>
      </w:r>
    </w:p>
    <w:p>
      <w:pPr>
        <w:pStyle w:val="Heading2"/>
      </w:pPr>
      <w:r>
        <w:t xml:space="preserve">Article IV: Institutional Architecture</w:t>
      </w:r>
    </w:p>
    <w:p>
      <w:r>
        <w:t xml:space="preserve">The architecture's test is Tuesday morning: whether a certified weekend event produces money, measures, and messaging before markets open. Every organ therefore carries a clock, a quorum rule that prevents capture, and a publication duty that keeps power visible. The full text details staffing tables, budget lines, and succession rules for each body, because institutions fail through vacancies and unfunded mandates more often than through bad design.</w:t>
      </w:r>
    </w:p>
    <w:p>
      <w:pPr>
        <w:pStyle w:val="Heading3"/>
      </w:pPr>
      <w:r>
        <w:t xml:space="preserve">The Coordination Committee</w:t>
      </w:r>
    </w:p>
    <w:p>
      <w:r>
        <w:t xml:space="preserve">The Coordination Committee (CC) is the political decision body: one seat per member, weighted voting (GDP share 50%, trade exposure 30%, tier level 20%), and threshold-gated decisions. It authorises activations, escalations, de-escalations, admissions, and amendments. The Coercion Compliance Committee configuration holds the annual Q1 vote on Expedited Phase 1 Standing Authority (60% Core Member vote).</w:t>
      </w:r>
    </w:p>
    <w:p>
      <w:pPr>
        <w:pStyle w:val="Heading3"/>
      </w:pPr>
      <w:r>
        <w:t xml:space="preserve">The Integrated Early Warning Cell (IEWC)</w:t>
      </w:r>
    </w:p>
    <w:p>
      <w:r>
        <w:t xml:space="preserve">The IEWC is the permanent analytical unit: coercion signal monitoring, AESI triage (2-hour Critical triage), certification of coercion, GSD, SND, and Red-Line events, risk dashboards, and quarterly threat reports. Its specialised units include the Tariff Intelligence Unit, the AI Early Warning Cell, the Transshipment Monitoring Unit, and the standing Political-Economy Vulnerability Assessment for each state above defined systemic thresholds. Staffing scales from 15 to 20 analysts at launch toward 20 to 25 by Year 5. Institutional Independence Safeguards (Section 1.6B) impose automatic recusal where a member stands as the alleged coercer and protect evidentiary standards against political pressure.</w:t>
      </w:r>
    </w:p>
    <w:p>
      <w:pPr>
        <w:pStyle w:val="Heading3"/>
      </w:pPr>
      <w:r>
        <w:t xml:space="preserve">The Internal Adjudication Chamber (IAC)</w:t>
      </w:r>
    </w:p>
    <w:p>
      <w:r>
        <w:t xml:space="preserve">The IAC stands as the permanent judicial body, with jurisdiction over burden-sharing disputes (correctness review, de novo), intra-coalition coercion (preponderance standard), regional-court conflict (comity), and challenges to IEWC findings (abuse of discretion, methodology presumed valid). Timelines: 90 days standard, 30 days emergency during active cases, 60-day appeal. Remedies run from declaratory relief through compensation to suspension recommendations. Any member whose measures face challenge obtains an expedited ruling within 30 days (v12.0).</w:t>
      </w:r>
    </w:p>
    <w:p>
      <w:pPr>
        <w:pStyle w:val="Heading3"/>
      </w:pPr>
      <w:r>
        <w:t xml:space="preserve">The Secretariat and the Director-General</w:t>
      </w:r>
    </w:p>
    <w:p>
      <w:r>
        <w:t xml:space="preserve">The Secretariat administers the framework: certification notices, Dashboard operation, Fund administration, scenario maintenance, strategic communications, and the legal defence units. The Director-General convenes sessions, activates pre-authorised measures within defined windows, maintains the Quiet Diplomatic Channel to any coercing state's representative throughout active cases, and speaks as the coalition's primary voice. The Legacy Case Archive (Section 4.6E) preserves every case record; the Peer Learning Exchange Program (Section 4.6A) spreads operational practice across members.</w:t>
      </w:r>
    </w:p>
    <w:p>
      <w:pPr>
        <w:pStyle w:val="Heading3"/>
      </w:pPr>
      <w:r>
        <w:t xml:space="preserve">Transparency and Market Instruments</w:t>
      </w:r>
    </w:p>
    <w:p>
      <w:r>
        <w:t xml:space="preserve">The Institutional Readiness Dashboard (Section 4.2A) publishes implementation status, readiness rankings, and case telemetry in real time. The Coercion Forecast Market (Section 4.2C, Annex 14) prices coercion probability, response probability, and resolution probability in IMU-denominated contracts, with automatic institutional effects at defined market thresholds. The Adaptive Early Warning system (ADAI, Section 4.2B) feeds machine analysis into IEWC triage under human decision authority. The Rapid Legitimacy Signal Mechanism (Section 4.2U) issues a Legitimacy Note within 72 hours of activation (48 hours for the first activation), and the Deterrence Signalling Protocol (Section 4.2F) publishes an amber alert where Event Market pricing exceeds 80% for a specific member-sector, with the pre-announced scenario activating automatically if the coercion materialises.</w:t>
      </w:r>
    </w:p>
    <w:p>
      <w:pPr>
        <w:pStyle w:val="Heading3"/>
      </w:pPr>
      <w:r>
        <w:t xml:space="preserve">Financial Coordination and Infrastructure Resilience</w:t>
      </w:r>
    </w:p>
    <w:p>
      <w:r>
        <w:t xml:space="preserve">Section 4.6F governs SFI node hosting agreements and infrastructure resilience; Section 4.6H coordinates central bank swap lines under a binding framework: permanent, unlimited, pre-negotiated among all Tier 2+ members, and classified as defensive liquidity measures available at every phase.</w:t>
      </w:r>
    </w:p>
    <w:p>
      <w:pPr>
        <w:pStyle w:val="Heading3"/>
      </w:pPr>
      <w:r>
        <w:t xml:space="preserve">Integrity and Anti-Corruption Protocol (Section 4.7, v15.0)</w:t>
      </w:r>
    </w:p>
    <w:p>
      <w:pPr>
        <w:spacing w:after="120" w:line="288" w:lineRule="auto"/>
        <w:ind w:left="420" w:hanging="220"/>
        <w:jc w:val="both"/>
      </w:pPr>
      <w:r>
        <w:rPr>
          <w:b/>
          <w:color w:val="B8860B"/>
        </w:rPr>
        <w:t>•  </w:t>
      </w:r>
      <w:r>
        <w:rPr>
          <w:b/>
          <w:color w:val="37474F"/>
        </w:rPr>
        <w:t xml:space="preserve">Revolving Door Restrictions (4.7A): </w:t>
      </w:r>
      <w:r>
        <w:t xml:space="preserve">cooling-off periods bind senior officials moving toward regulated or coercer-linked entities;</w:t>
      </w:r>
    </w:p>
    <w:p>
      <w:pPr>
        <w:spacing w:after="120" w:line="288" w:lineRule="auto"/>
        <w:ind w:left="420" w:hanging="220"/>
        <w:jc w:val="both"/>
      </w:pPr>
      <w:r>
        <w:rPr>
          <w:b/>
          <w:color w:val="B8860B"/>
        </w:rPr>
        <w:t>•  </w:t>
      </w:r>
      <w:r>
        <w:rPr>
          <w:b/>
          <w:color w:val="37474F"/>
        </w:rPr>
        <w:t xml:space="preserve">Whistleblower Fortress Protocol (4.7B): </w:t>
      </w:r>
      <w:r>
        <w:t xml:space="preserve">protected channels, anonymity guarantees, and retaliation immunity for integrity reporting;</w:t>
      </w:r>
    </w:p>
    <w:p>
      <w:pPr>
        <w:spacing w:after="120" w:line="288" w:lineRule="auto"/>
        <w:ind w:left="420" w:hanging="220"/>
        <w:jc w:val="both"/>
      </w:pPr>
      <w:r>
        <w:rPr>
          <w:b/>
          <w:color w:val="B8860B"/>
        </w:rPr>
        <w:t>•  </w:t>
      </w:r>
      <w:r>
        <w:rPr>
          <w:b/>
          <w:color w:val="37474F"/>
        </w:rPr>
        <w:t xml:space="preserve">Voting Integrity and Anti-Coercion Verification (4.7C): </w:t>
      </w:r>
      <w:r>
        <w:t xml:space="preserve">every CC vote undergoes verification that no member votes under external coercion;</w:t>
      </w:r>
    </w:p>
    <w:p>
      <w:pPr>
        <w:spacing w:after="120" w:line="288" w:lineRule="auto"/>
        <w:ind w:left="420" w:hanging="220"/>
        <w:jc w:val="both"/>
      </w:pPr>
      <w:r>
        <w:rPr>
          <w:b/>
          <w:color w:val="B8860B"/>
        </w:rPr>
        <w:t>•  </w:t>
      </w:r>
      <w:r>
        <w:rPr>
          <w:b/>
          <w:color w:val="37474F"/>
        </w:rPr>
        <w:t xml:space="preserve">Systemic Decision Golden Share (4.7D): </w:t>
      </w:r>
      <w:r>
        <w:t xml:space="preserve">systemic-impact decisions pass an integrity review before taking effect;</w:t>
      </w:r>
    </w:p>
    <w:p>
      <w:pPr>
        <w:spacing w:after="120" w:line="288" w:lineRule="auto"/>
        <w:ind w:left="420" w:hanging="220"/>
        <w:jc w:val="both"/>
      </w:pPr>
      <w:r>
        <w:rPr>
          <w:b/>
          <w:color w:val="B8860B"/>
        </w:rPr>
        <w:t>•  </w:t>
      </w:r>
      <w:r>
        <w:rPr>
          <w:b/>
          <w:color w:val="37474F"/>
        </w:rPr>
        <w:t xml:space="preserve">Crisis Continuity Mandate (4.7E): </w:t>
      </w:r>
      <w:r>
        <w:t xml:space="preserve">governance functions survive crisis; succession and continuity rules operate automatically;</w:t>
      </w:r>
    </w:p>
    <w:p>
      <w:pPr>
        <w:spacing w:after="120" w:line="288" w:lineRule="auto"/>
        <w:ind w:left="420" w:hanging="220"/>
        <w:jc w:val="both"/>
      </w:pPr>
      <w:r>
        <w:rPr>
          <w:b/>
          <w:color w:val="B8860B"/>
        </w:rPr>
        <w:t>•  </w:t>
      </w:r>
      <w:r>
        <w:rPr>
          <w:b/>
          <w:color w:val="37474F"/>
        </w:rPr>
        <w:t xml:space="preserve">Intelligence Integrity Canary Protocol (4.7F): </w:t>
      </w:r>
      <w:r>
        <w:t xml:space="preserve">seeded variant indicators expose leaks and manipulation inside intelligence channels;</w:t>
      </w:r>
    </w:p>
    <w:p>
      <w:pPr>
        <w:spacing w:after="120" w:line="288" w:lineRule="auto"/>
        <w:ind w:left="420" w:hanging="220"/>
        <w:jc w:val="both"/>
      </w:pPr>
      <w:r>
        <w:rPr>
          <w:b/>
          <w:color w:val="B8860B"/>
        </w:rPr>
        <w:t>•  </w:t>
      </w:r>
      <w:r>
        <w:rPr>
          <w:b/>
          <w:color w:val="37474F"/>
        </w:rPr>
        <w:t xml:space="preserve">Solidarity Audit Protocol (4.7G): </w:t>
      </w:r>
      <w:r>
        <w:t xml:space="preserve">periodic audit of member conduct against solidarity commitments;</w:t>
      </w:r>
    </w:p>
    <w:p>
      <w:pPr>
        <w:spacing w:after="120" w:line="288" w:lineRule="auto"/>
        <w:ind w:left="420" w:hanging="220"/>
        <w:jc w:val="both"/>
      </w:pPr>
      <w:r>
        <w:rPr>
          <w:b/>
          <w:color w:val="B8860B"/>
        </w:rPr>
        <w:t>•  </w:t>
      </w:r>
      <w:r>
        <w:rPr>
          <w:b/>
          <w:color w:val="37474F"/>
        </w:rPr>
        <w:t xml:space="preserve">Nuclear Umbrella and Security Guarantee Neutrality (4.7H): </w:t>
      </w:r>
      <w:r>
        <w:t xml:space="preserve">IMESI stays neutral toward members' extended-deterrence arrangements; certification never turns on them.</w:t>
      </w:r>
    </w:p>
    <w:p>
      <w:pPr>
        <w:pStyle w:val="Heading3"/>
      </w:pPr>
      <w:r>
        <w:t xml:space="preserve">Hosting and Depositary (Section 4.8)</w:t>
      </w:r>
    </w:p>
    <w:p>
      <w:r>
        <w:t xml:space="preserve">Section 4.8 governs Secretariat hosting and depositary functions. Annex 23 presents the three hosting models (hosted within an existing organisation, stand-alone treaty secretariat, distributed model); selection takes a 60% CC vote, the host signs a binding hosting agreement, and a host change follows a 12-month transition with a 55% vote.</w:t>
      </w:r>
    </w:p>
    <w:p>
      <w:pPr>
        <w:pStyle w:val="Heading2"/>
      </w:pPr>
      <w:r>
        <w:t xml:space="preserve">Article V: Activation Procedures</w:t>
      </w:r>
    </w:p>
    <w:p>
      <w:r>
        <w:t xml:space="preserve">The activation chapter embodies the Instrument's central wager: automaticity is safer than discretion. Every human confirmation point pairs with a default that fires on silence, so obstruction requires affirmative action in the open. The phase architecture keeps responses proportional and reversible, and the de-escalation default ensures the coalition never sustains pressure one hour longer than the coercion lasts.</w:t>
      </w:r>
    </w:p>
    <w:p>
      <w:pPr>
        <w:pStyle w:val="Heading3"/>
      </w:pPr>
      <w:r>
        <w:t xml:space="preserve">Phase 0: Mandatory Consultation Window (Section 5.0)</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1900"/>
        <w:gridCol w:w="3700"/>
        <w:gridCol w:w="3700"/>
      </w:tblGrid>
      <w:tr>
        <w:trPr>
          <w:tblHeader/>
        </w:trPr>
        <w:tc>
          <w:tcPr>
            <w:tcW w:w="1900" w:type="dxa"/>
            <w:tcBorders>
              <w:bottom w:val="single" w:color="37474F" w:sz="6"/>
            </w:tcBorders>
            <w:shd w:val="clear" w:fill="ECEFF1"/>
            <w:vAlign w:val="center"/>
          </w:tcPr>
          <w:p>
            <w:pPr>
              <w:spacing w:before="30" w:after="30" w:line="240" w:lineRule="auto"/>
              <w:jc w:val="left"/>
            </w:pPr>
            <w:r>
              <w:rPr>
                <w:b/>
                <w:color w:val="37474F"/>
                <w:sz w:val="19"/>
              </w:rPr>
              <w:t xml:space="preserve">Severity</w:t>
            </w:r>
          </w:p>
        </w:tc>
        <w:tc>
          <w:tcPr>
            <w:tcW w:w="3700" w:type="dxa"/>
            <w:tcBorders>
              <w:bottom w:val="single" w:color="37474F" w:sz="6"/>
            </w:tcBorders>
            <w:shd w:val="clear" w:fill="ECEFF1"/>
            <w:vAlign w:val="center"/>
          </w:tcPr>
          <w:p>
            <w:pPr>
              <w:spacing w:before="30" w:after="30" w:line="240" w:lineRule="auto"/>
              <w:jc w:val="left"/>
            </w:pPr>
            <w:r>
              <w:rPr>
                <w:b/>
                <w:color w:val="37474F"/>
                <w:sz w:val="19"/>
              </w:rPr>
              <w:t xml:space="preserve">Standard Phase 0</w:t>
            </w:r>
          </w:p>
        </w:tc>
        <w:tc>
          <w:tcPr>
            <w:tcW w:w="3700" w:type="dxa"/>
            <w:tcBorders>
              <w:bottom w:val="single" w:color="37474F" w:sz="6"/>
            </w:tcBorders>
            <w:shd w:val="clear" w:fill="ECEFF1"/>
            <w:vAlign w:val="center"/>
          </w:tcPr>
          <w:p>
            <w:pPr>
              <w:spacing w:before="30" w:after="30" w:line="240" w:lineRule="auto"/>
              <w:jc w:val="left"/>
            </w:pPr>
            <w:r>
              <w:rPr>
                <w:b/>
                <w:color w:val="37474F"/>
                <w:sz w:val="19"/>
              </w:rPr>
              <w:t xml:space="preserve">Provisional Phase 0 (parallel)</w:t>
            </w:r>
          </w:p>
        </w:tc>
      </w:tr>
      <w:tr>
        <w:tc>
          <w:tcPr>
            <w:tcW w:w="1900" w:type="dxa"/>
            <w:vAlign w:val="center"/>
          </w:tcPr>
          <w:p>
            <w:pPr>
              <w:spacing w:before="30" w:after="30" w:line="240" w:lineRule="auto"/>
              <w:jc w:val="left"/>
            </w:pPr>
            <w:r>
              <w:rPr>
                <w:color w:val="263238"/>
                <w:sz w:val="19"/>
              </w:rPr>
              <w:t xml:space="preserve">Minor / Moderate</w:t>
            </w:r>
          </w:p>
        </w:tc>
        <w:tc>
          <w:tcPr>
            <w:tcW w:w="3700" w:type="dxa"/>
            <w:vAlign w:val="center"/>
          </w:tcPr>
          <w:p>
            <w:pPr>
              <w:spacing w:before="30" w:after="30" w:line="240" w:lineRule="auto"/>
              <w:jc w:val="left"/>
            </w:pPr>
            <w:r>
              <w:rPr>
                <w:color w:val="263238"/>
                <w:sz w:val="19"/>
              </w:rPr>
              <w:t xml:space="preserve">14 days: confirm assessment, explore quiet resolution</w:t>
            </w:r>
          </w:p>
        </w:tc>
        <w:tc>
          <w:tcPr>
            <w:tcW w:w="3700" w:type="dxa"/>
            <w:vAlign w:val="center"/>
          </w:tcPr>
          <w:p>
            <w:pPr>
              <w:spacing w:before="30" w:after="30" w:line="240" w:lineRule="auto"/>
              <w:jc w:val="left"/>
            </w:pPr>
            <w:r>
              <w:rPr>
                <w:color w:val="263238"/>
                <w:sz w:val="19"/>
              </w:rPr>
              <w:t xml:space="preserve">72-hour quiet confirmation: silence accepts the preliminary assessment</w:t>
            </w:r>
          </w:p>
        </w:tc>
      </w:tr>
      <w:tr>
        <w:tc>
          <w:tcPr>
            <w:tcW w:w="1900" w:type="dxa"/>
            <w:vAlign w:val="center"/>
          </w:tcPr>
          <w:p>
            <w:pPr>
              <w:spacing w:before="30" w:after="30" w:line="240" w:lineRule="auto"/>
              <w:jc w:val="left"/>
            </w:pPr>
            <w:r>
              <w:rPr>
                <w:color w:val="263238"/>
                <w:sz w:val="19"/>
              </w:rPr>
              <w:t xml:space="preserve">Severe</w:t>
            </w:r>
          </w:p>
        </w:tc>
        <w:tc>
          <w:tcPr>
            <w:tcW w:w="3700" w:type="dxa"/>
            <w:vAlign w:val="center"/>
          </w:tcPr>
          <w:p>
            <w:pPr>
              <w:spacing w:before="30" w:after="30" w:line="240" w:lineRule="auto"/>
              <w:jc w:val="left"/>
            </w:pPr>
            <w:r>
              <w:rPr>
                <w:color w:val="263238"/>
                <w:sz w:val="19"/>
              </w:rPr>
              <w:t xml:space="preserve">7 days: expedited confirmation, offer dialogue</w:t>
            </w:r>
          </w:p>
        </w:tc>
        <w:tc>
          <w:tcPr>
            <w:tcW w:w="3700" w:type="dxa"/>
            <w:vAlign w:val="center"/>
          </w:tcPr>
          <w:p>
            <w:pPr>
              <w:spacing w:before="30" w:after="30" w:line="240" w:lineRule="auto"/>
              <w:jc w:val="left"/>
            </w:pPr>
            <w:r>
              <w:rPr>
                <w:color w:val="263238"/>
                <w:sz w:val="19"/>
              </w:rPr>
              <w:t xml:space="preserve">48-hour rapid verification: telephonic CC vote, written ratification in 72 hours</w:t>
            </w:r>
          </w:p>
        </w:tc>
      </w:tr>
      <w:tr>
        <w:tc>
          <w:tcPr>
            <w:tcW w:w="1900" w:type="dxa"/>
            <w:vAlign w:val="center"/>
          </w:tcPr>
          <w:p>
            <w:pPr>
              <w:spacing w:before="30" w:after="30" w:line="240" w:lineRule="auto"/>
              <w:jc w:val="left"/>
            </w:pPr>
            <w:r>
              <w:rPr>
                <w:color w:val="263238"/>
                <w:sz w:val="19"/>
              </w:rPr>
              <w:t xml:space="preserve">Critical Red-Line</w:t>
            </w:r>
          </w:p>
        </w:tc>
        <w:tc>
          <w:tcPr>
            <w:tcW w:w="3700" w:type="dxa"/>
            <w:vAlign w:val="center"/>
          </w:tcPr>
          <w:p>
            <w:pPr>
              <w:spacing w:before="30" w:after="30" w:line="240" w:lineRule="auto"/>
              <w:jc w:val="left"/>
            </w:pPr>
            <w:r>
              <w:rPr>
                <w:color w:val="263238"/>
                <w:sz w:val="19"/>
              </w:rPr>
              <w:t xml:space="preserve">48 hours: rapid verification, DG contacts coercer</w:t>
            </w:r>
          </w:p>
        </w:tc>
        <w:tc>
          <w:tcPr>
            <w:tcW w:w="3700" w:type="dxa"/>
            <w:vAlign w:val="center"/>
          </w:tcPr>
          <w:p>
            <w:pPr>
              <w:spacing w:before="30" w:after="30" w:line="240" w:lineRule="auto"/>
              <w:jc w:val="left"/>
            </w:pPr>
            <w:r>
              <w:rPr>
                <w:color w:val="263238"/>
                <w:sz w:val="19"/>
              </w:rPr>
              <w:t xml:space="preserve">Unchanged, already optimal</w:t>
            </w:r>
          </w:p>
        </w:tc>
      </w:tr>
    </w:tbl>
    <w:p>
      <w:r>
        <w:t xml:space="preserve">Provisional Phase 0 lets the IEWC begin mobilisation, stockpile positioning, SFI settlement drills, burden-sharing pre-calculation, while formal consultation completes in parallel; cessation by the coercing state during Phase 0 pauses activation. The Mediation-First Mandate opens a 14-day confidential mediation window before any Phase 1 activation for Minor or Moderate cases, under an independent mediator from a rotating pool; stabilisation measures proceed only on the mediator's certification of absent constructive engagement, and for Severe cases and above mediation runs in parallel rather than delaying preparation. The First-Use Calibration Protocol bounds founding-period activations: Phase 1 modules only for the first 60 days, enhanced parliamentary review for Phase 2, and a 60-day assessment before further escalation. The Automatic Phase 1 Baseline deploys a defined subset automatically for Moderate cases once certification and vote complete: public attribution, dashboard upgrade, SFI settlement preference, and protection orders for pre-certified entities.</w:t>
      </w:r>
    </w:p>
    <w:p>
      <w:pPr>
        <w:pStyle w:val="Heading3"/>
      </w:pPr>
      <w:r>
        <w:t xml:space="preserve">First Activation Accountability Protocol (v15.0)</w:t>
      </w:r>
    </w:p>
    <w:p>
      <w:r>
        <w:t xml:space="preserve">The first activation under the Instrument carries enhanced safeguards: an enhanced Proportionality Certification Memo (historical analysis, comparative response options, third-country spillover, humanitarian impact); a Legitimacy Note within 48 hours; a public CC session open to observers within 14 days; a 30-day Phase 1 intensity cap absent a 60% escalation vote; and a comprehensive Independent Review Commission review reported to the Grand Review Convention. The Secretariat publishes a First Activation Lessons Learned report within 90 days of case closure.</w:t>
      </w:r>
    </w:p>
    <w:p>
      <w:pPr>
        <w:pStyle w:val="Heading3"/>
      </w:pPr>
      <w:r>
        <w:t xml:space="preserve">Fast-Track and Standing Authorities (Sections 5.0A to 5.0R)</w:t>
      </w:r>
    </w:p>
    <w:p>
      <w:pPr>
        <w:spacing w:after="120" w:line="288" w:lineRule="auto"/>
        <w:ind w:left="420" w:hanging="220"/>
        <w:jc w:val="both"/>
      </w:pPr>
      <w:r>
        <w:rPr>
          <w:b/>
          <w:color w:val="B8860B"/>
        </w:rPr>
        <w:t>•  </w:t>
      </w:r>
      <w:r>
        <w:rPr>
          <w:b/>
          <w:color w:val="37474F"/>
        </w:rPr>
        <w:t xml:space="preserve">Fast-Track Activation Override (FTA-O): </w:t>
      </w:r>
      <w:r>
        <w:t xml:space="preserve">on certified irreversible-harm triggers (sovereign debt market closure over 48 hours; critical infrastructure failure; humanitarian supply collapse; democratic destabilisation; tariff increases over 20 percentage points on under 7 days notice threatening over 30% of export sectors), the CC accelerates any severity tier up to two levels by 55% vote; immediate notification carries a 4-hour blocking window for Tier 2+ members with written justification. Lame Duck Acceleration compresses timelines 50% during coercer transitions; the Midnight Tariff Protocol cuts Phase 0 to 12 hours for announcements outside business hours; import detention on pretextual grounds and pre-formation attacks against founders carry their own standing authorities (24-hour telephonic simple-majority authorisation).</w:t>
      </w:r>
    </w:p>
    <w:p>
      <w:pPr>
        <w:spacing w:after="120" w:line="288" w:lineRule="auto"/>
        <w:ind w:left="420" w:hanging="220"/>
        <w:jc w:val="both"/>
      </w:pPr>
      <w:r>
        <w:rPr>
          <w:b/>
          <w:color w:val="B8860B"/>
        </w:rPr>
        <w:t>•  </w:t>
      </w:r>
      <w:r>
        <w:rPr>
          <w:b/>
          <w:color w:val="37474F"/>
        </w:rPr>
        <w:t xml:space="preserve">Confirmatory Consultation (pilot): </w:t>
      </w:r>
      <w:r>
        <w:t xml:space="preserve">within 60 days of any fast-track activation, each affected member runs a 14-day public consultation; over 50% opposition in any member triggers mandatory CC review, advisory only, with no automatic reversal; repeated supermajority opposition routes to proportionality review and reduced intensity without stigma.</w:t>
      </w:r>
    </w:p>
    <w:p>
      <w:pPr>
        <w:spacing w:after="120" w:line="288" w:lineRule="auto"/>
        <w:ind w:left="420" w:hanging="220"/>
        <w:jc w:val="both"/>
      </w:pPr>
      <w:r>
        <w:rPr>
          <w:b/>
          <w:color w:val="B8860B"/>
        </w:rPr>
        <w:t>•  </w:t>
      </w:r>
      <w:r>
        <w:rPr>
          <w:b/>
          <w:color w:val="37474F"/>
        </w:rPr>
        <w:t xml:space="preserve">Expedited Phase 1 Standing Authority: </w:t>
      </w:r>
      <w:r>
        <w:t xml:space="preserve">an annual 60% Core Member vote authorises Phase 1 within 24 hours of IEWC certification without a separate parliamentary vote; a parliamentary objection inside the 24-hour window pauses activation pending a 55% CC override vote, with penalty-free MOAR opt-out for the objecting member; auto-activation occurs at most once per 30-day window per target state; the authority lapses annually absent re-authorisation, and Phase 2 and above keep full parliamentary authorisation.</w:t>
      </w:r>
    </w:p>
    <w:p>
      <w:pPr>
        <w:spacing w:after="120" w:line="288" w:lineRule="auto"/>
        <w:ind w:left="420" w:hanging="220"/>
        <w:jc w:val="both"/>
      </w:pPr>
      <w:r>
        <w:rPr>
          <w:b/>
          <w:color w:val="B8860B"/>
        </w:rPr>
        <w:t>•  </w:t>
      </w:r>
      <w:r>
        <w:rPr>
          <w:b/>
          <w:color w:val="37474F"/>
        </w:rPr>
        <w:t xml:space="preserve">Small-State First Activation Presumption: </w:t>
      </w:r>
      <w:r>
        <w:t xml:space="preserve">prima facie coercion against a small state activates Phase 0 protective measures by default unless a 55% weighted vote blocks within 24 hours.</w:t>
      </w:r>
    </w:p>
    <w:p>
      <w:pPr>
        <w:spacing w:after="120" w:line="288" w:lineRule="auto"/>
        <w:ind w:left="420" w:hanging="220"/>
        <w:jc w:val="both"/>
      </w:pPr>
      <w:r>
        <w:rPr>
          <w:b/>
          <w:color w:val="B8860B"/>
        </w:rPr>
        <w:t>•  </w:t>
      </w:r>
      <w:r>
        <w:rPr>
          <w:b/>
          <w:color w:val="37474F"/>
        </w:rPr>
        <w:t xml:space="preserve">Small-State Non-Abandonment Clause: </w:t>
      </w:r>
      <w:r>
        <w:t xml:space="preserve">no full de-activation of a case where a small state is the primary target proceeds without that member's written consent, absent a 75% CC vote plus a published Secretariat finding of severe harm to other vulnerable members; the member waives this protection at any time.</w:t>
      </w:r>
    </w:p>
    <w:p>
      <w:pPr>
        <w:spacing w:after="120" w:line="288" w:lineRule="auto"/>
        <w:ind w:left="420" w:hanging="220"/>
        <w:jc w:val="both"/>
      </w:pPr>
      <w:r>
        <w:rPr>
          <w:b/>
          <w:color w:val="B8860B"/>
        </w:rPr>
        <w:t>•  </w:t>
      </w:r>
      <w:r>
        <w:rPr>
          <w:b/>
          <w:color w:val="37474F"/>
        </w:rPr>
        <w:t xml:space="preserve">Pre-Activation Quiet Consultation: </w:t>
      </w:r>
      <w:r>
        <w:t xml:space="preserve">a 48 to 72-hour confidential window opens before Phase 1 (outside Red-Line Category 2 and intensity-compressed cases): the DG or designated mediator offers the coercer room to modify, suspend, or explain, deferring activation up to 14 days on credible assurances; the window never delays Phase 0 protective measures and yields to an affected member's request for immediate activation.</w:t>
      </w:r>
    </w:p>
    <w:p>
      <w:pPr>
        <w:spacing w:after="120" w:line="288" w:lineRule="auto"/>
        <w:ind w:left="420" w:hanging="220"/>
        <w:jc w:val="both"/>
      </w:pPr>
      <w:r>
        <w:rPr>
          <w:b/>
          <w:color w:val="B8860B"/>
        </w:rPr>
        <w:t>•  </w:t>
      </w:r>
      <w:r>
        <w:rPr>
          <w:b/>
          <w:color w:val="37474F"/>
        </w:rPr>
        <w:t xml:space="preserve">Coalition-of-the-Willing Activation: </w:t>
      </w:r>
      <w:r>
        <w:t xml:space="preserve">where the full CC declines Phase 1 or above, at least 5 members representing at least 15% of aggregate IMESI GDP activate under full IMESI proportionality, humanitarian, and de-escalation principles, clearly labelled, self-funded, with Secretariat logistical support and free entry and exit.</w:t>
      </w:r>
    </w:p>
    <w:p>
      <w:pPr>
        <w:spacing w:after="120" w:line="288" w:lineRule="auto"/>
        <w:ind w:left="420" w:hanging="220"/>
        <w:jc w:val="both"/>
      </w:pPr>
      <w:r>
        <w:rPr>
          <w:b/>
          <w:color w:val="B8860B"/>
        </w:rPr>
        <w:t>•  </w:t>
      </w:r>
      <w:r>
        <w:rPr>
          <w:b/>
          <w:color w:val="37474F"/>
        </w:rPr>
        <w:t xml:space="preserve">Dual-Track Crisis Response: </w:t>
      </w:r>
      <w:r>
        <w:t xml:space="preserve">Track A automatic stabilisation runs on certification alone (liquidity, settlement continuity, procurement, dashboard); Track B political phases run on votes; the tracks reinforce without blocking each other.</w:t>
      </w:r>
    </w:p>
    <w:p>
      <w:pPr>
        <w:spacing w:after="120" w:line="288" w:lineRule="auto"/>
        <w:ind w:left="420" w:hanging="220"/>
        <w:jc w:val="both"/>
      </w:pPr>
      <w:r>
        <w:rPr>
          <w:b/>
          <w:color w:val="B8860B"/>
        </w:rPr>
        <w:t>•  </w:t>
      </w:r>
      <w:r>
        <w:rPr>
          <w:b/>
          <w:color w:val="37474F"/>
        </w:rPr>
        <w:t xml:space="preserve">Deliberative acceleration protocols (5.0N to 5.0Q): </w:t>
      </w:r>
      <w:r>
        <w:t xml:space="preserve">unannounced trade actions, aggressive negotiation tactics, and no-pretext tariffs each carry presumptive classifications and compressed tracks, and the Deliberative-Process Acceleration Protocol prevents procedural stalling;</w:t>
      </w:r>
    </w:p>
    <w:p>
      <w:pPr>
        <w:spacing w:after="120" w:line="288" w:lineRule="auto"/>
        <w:ind w:left="420" w:hanging="220"/>
        <w:jc w:val="both"/>
      </w:pPr>
      <w:r>
        <w:rPr>
          <w:b/>
          <w:color w:val="B8860B"/>
        </w:rPr>
        <w:t>•  </w:t>
      </w:r>
      <w:r>
        <w:rPr>
          <w:b/>
          <w:color w:val="37474F"/>
        </w:rPr>
        <w:t xml:space="preserve">Standard Response Templates and Pre-Authorised Evidentiary Packages: </w:t>
      </w:r>
      <w:r>
        <w:t xml:space="preserve">pre-drafted legal and evidentiary packages cut activation paperwork from days to hours and keep every activation record complete from the first hour.</w:t>
      </w:r>
    </w:p>
    <w:p>
      <w:pPr>
        <w:pStyle w:val="Heading3"/>
      </w:pPr>
      <w:r>
        <w:t xml:space="preserve">Systemic-Economy Protocol and Fast-Track (Sections 5.1, 5.1A)</w:t>
      </w:r>
    </w:p>
    <w:p>
      <w:r>
        <w:t xml:space="preserve">Systemic economies, identified on objective exposure and systemic-impact metrics endorsed by the CC (above 5% of global GDP for the automatic provisions), trigger enhanced consultation, symmetric restraint design, and the Systemic-Economy Fast-Track: compressed certification and pre-positioned packages behind the same human confirmation gates.</w:t>
      </w:r>
    </w:p>
    <w:p>
      <w:pPr>
        <w:pStyle w:val="Heading3"/>
      </w:pPr>
      <w:r>
        <w:t xml:space="preserve">Reinstatement and Escalation Review (Sections 5.1B to 5.2E)</w:t>
      </w:r>
    </w:p>
    <w:p>
      <w:r>
        <w:t xml:space="preserve">The Formalised Reinstatement Mechanism reactivates previously authorised measures at 100% intensity within 48 hours of a verified Tier 3 violation, resolution voidance, or earn-back failure, plus a 25% escalatory surcharge; the Reinstatement Suspension Option lets the CC hold reinstatement in reserve. The Escalation Review Protocol forces phase-progression review at Day 45, 90, and 180 with mandatory off-ramp assessment; the No Surprise Escalation Rule guarantees notice and justification before every escalation step; Enhanced Consultation applies for systemic economies.</w:t>
      </w:r>
    </w:p>
    <w:p>
      <w:pPr>
        <w:pStyle w:val="Heading3"/>
      </w:pPr>
      <w:r>
        <w:t xml:space="preserve">Sustained Measures, De-Escalation, and Compliance (Sections 5.3 to 5.4H)</w:t>
      </w:r>
    </w:p>
    <w:p>
      <w:r>
        <w:t xml:space="preserve">Sustained Stabilisation Measures run on verification: the IEWC certifies withdrawal authenticity (5.3D) before any reduction. Automatic De-Escalation Triggers (5.3A) reduce measures proportionally within 30 days of verified withdrawal; every authorisation carries an Integrated De-Escalation Pathway (5.5A.1) and a Proportionality Certification Memo (5.3A.2). Pre-Positioned Bilateral Safeguards (5.3B) and the Comprehensive De-Escalation Framework (5.3C) structure partial rollbacks by module, sector, and geography. The Tariff Escalation Ceiling and Automatic Mutual Freeze (5.3E) cap reciprocal escalation at 100% tariff equivalent and freeze both sides at that ceiling. The Civilian Protection Trigger (5.3F) suspends economic response where it compounds military-triggered civilian harm. The v12.1 layer adds Automatic Structural Damage Compensation (5.3H), a voluntary de-escalation incentive for cessation of disinformation (5.3I), the Re-Escalation Safeguard (5.3J), and the Resolution Voidance Protocol (5.3K).</w:t>
      </w:r>
    </w:p>
    <w:p>
      <w:r>
        <w:t xml:space="preserve">The Nofade Rolling Review Horizon (5.4A) replaces sunsets with rolling review: measures persist, reviews recur. The v13.0 Step-Back/Earn-Back Protocol (5.4B) lets a non-conforming member step back from affected benefits rather than face expulsion, and earn back full standing through verified compliance milestones, under a Three-Tier Breach Classification (5.4C), Sequenced Impact with human-in-the-loop (5.4D), Cross-Module Spillover Protection (5.4E), an Earn-Back Credit System (5.4F), Reinstatement Review safeguards (5.4G), and Nofade-aligned earn-back timelines (5.4H). The Third-Party Mediation Fast Track (5.3G) routes deadlocked cases to mediation within days.</w:t>
      </w:r>
    </w:p>
    <w:p>
      <w:pPr>
        <w:pStyle w:val="Heading3"/>
      </w:pPr>
      <w:r>
        <w:t xml:space="preserve">Pre-Authorised Scenario Library (Section 5.4)</w:t>
      </w:r>
    </w:p>
    <w:p>
      <w:r>
        <w:t xml:space="preserve">The library holds complete operational packages for Scenarios Alpha through Pi plus the systemic shock scenarios Sigma (global tariff cascade) and Tau (capital control contagion): trigger criteria, measure packages, implementation timelines, burden-sharing allocations, communication strategy, and off-ramps, reviewed and updated annually. Core scenarios include Alpha (broad-based tariffs), Beta (strategic supply disruption), Gamma (strategic weaponisation), Delta (financial exclusion), Theta-Tariff (non-discriminatory tariffs above 10% affecting over 20% of IMESI trade, or SND certification, with phased response at Days 1 to 7, 8 to 30, and 31+), Iota (green-tech mineral coercion), and the cloud and data-localisation coercion packages.</w:t>
      </w:r>
    </w:p>
    <w:p>
      <w:pPr>
        <w:pStyle w:val="Heading3"/>
      </w:pPr>
      <w:r>
        <w:t xml:space="preserve">Presumptive Escalation and Human Confirmation (Sections 5.5 to 5.5C)</w:t>
      </w:r>
    </w:p>
    <w:p>
      <w:r>
        <w:t xml:space="preserve">Accelerated Presumptive Escalation (5.5): upon IEWC certification of escalation over 25% beyond the initial measure, simultaneous multi-member targeting, a Tier 1 strategic-sector threat, or over 15% price volatility in affected sectors within 4 hours, Phase 2 stands presumed within 24 hours unless a 60% weighted vote blocks; deployment runs at 50% intensity immediately and 70% at 48 hours; a blocking member pays a 5% Fund surcharge and stands outside the stabilisation gains. Every Phase 2+ authorisation carries an Escalation Justification Memorandum (5.5A) with a redacted public summary within 24 hours.</w:t>
      </w:r>
    </w:p>
    <w:p>
      <w:r>
        <w:t xml:space="preserve">Mandatory Human Confirmation (5.5B): no Phase 2 or higher proceeds without affirmative human confirmation: a mandatory 4-hour telephonic session of designated national representatives, 55% for Phase 2, 60% for Phase 3, 75% for any measure exceeding 1% GDP impact on a single member; absent quorum or a failed vote, measures hold at Phase 1 with a 72-hour extension. Category 2 Red-Line retains 48-hour automatic activation. The v15.0 Addendum: where the IEWC certifies that a systemic economy (over 5% of global GDP) engages in Category 2 conduct, Category 10 conduct, or military-nexus pattern conduct, Phase 2 activates automatically within 24 hours without a separate CC vote: 50% intensity on Day 1, 75% on Day 3, 100% on Day 7, subject to a 60% halt vote. Notification runs within 2 hours to members, 6 hours to the WTO Director-General and the coercing state, 12 hours to the public Dashboard, and 24 hours for the justification memorandum; the CC reviews within 14 days and the activation continues by silence under Nofade; the IAC conducts ex post review within 30 days. Phase 3 always requires the standard 60% vote and human confirmation.</w:t>
      </w:r>
    </w:p>
    <w:p>
      <w:r>
        <w:t xml:space="preserve">Existential Speed Protocol (ESP, 5.5C): the CC grants 12-month rolling pre-authorisation for Phase 2 measures by 65% weighted vote in peacetime, specifying trigger scenarios, permitted packages, and intensity ceilings. On certification (Category 2 Red-Line, over 2% GDP impact within 72 hours, or over 25% escalation), the Director-General deploys pre-authorised Phase 2 within 2 hours: 50% reciprocal tariffs on politically sensitive exports, enhanced investment screening, payment-system friction, strategic stockpile release. A tiered diplomatic window, 72 hours for non-systemic coercers, 24 hours for systemic coercers, precedes deployment in non-Category-2 scenarios, overridable by 60% vote on certified imminent irreversible harm; automatic de-escalation triggers fire on certified good-faith engagement. Human confirmation gates Phase 3 only. Pre-authorisation renews by silence under Nofade and lapses only through a written CC determination following full debate with a published threat assessment.</w:t>
      </w:r>
    </w:p>
    <w:p>
      <w:pPr>
        <w:pStyle w:val="Heading3"/>
      </w:pPr>
      <w:r>
        <w:t xml:space="preserve">Escalation Governance (Sections 5.6, 5.7, 5.11)</w:t>
      </w:r>
    </w:p>
    <w:p>
      <w:r>
        <w:t xml:space="preserve">The Cumulative Escalation Pause (5.6) halts authorisations for 48 hours when measures cross two domains, pending IEWC delivery of cumulative economic impact, coercer response prediction, coalition cohesion stress index, and off-ramp availability; the CC votes to proceed (60%), modify and proceed (simple majority), or hold current measures (72-hour extension). The pause lapses automatically where the coercer escalates during it, and retaliation against IMESI stabilisation measures counts as escalation by the coercer inside the cumulative calculus. The Monthly Strategic Pulse (5.7) suspends new authorisations for 48 hours every 30 days while coalition leaders assess whether coercion continues, whether the coercer's position has shifted, whether new off-ramps are visible, and whether member fatigue creates cohesion risk: continuation remains a deliberate choice at regular intervals, never the default product of institutional inertia. The Escalation Cascade Safeguard (5.11) prevents automatic cascades across linked scenarios from outrunning political judgment.</w:t>
      </w:r>
    </w:p>
    <w:p>
      <w:pPr>
        <w:pStyle w:val="Heading3"/>
      </w:pPr>
      <w:r>
        <w:t xml:space="preserve">Existential Protocols (Sections 5.14 to 5.16, v15.0)</w:t>
      </w:r>
    </w:p>
    <w:p>
      <w:r>
        <w:t xml:space="preserve">Existential Threat Immediate Protection (5.14): upon IEWC certification of an Existential Threat (a credible threat or use of armed force formally notified to the United Nations; military mobilisation, naval blockade, or no-fly-zone declaration targeting a member's territory or economic exclusion zone; a cyber-attack on critical infrastructure causing or threatening over 5% GDP damage; or a hybrid warfare campaign with military intimidation as a primary vector), emergency stabilisation activates automatically within 2 hours: Track A at 150% intensity; Resilience Fund release of 0.5% of the affected member's GDP within 4 hours; SFI full capacity for humanitarian and essential goods settlement; the Decoupling Acceleration Reserve at Surge level; and the Essential Imports Safeguard expanded to all military-essential dual-use goods. All Phase 1 and 2 measures hold at current levels; no Phase 3 escalation proceeds without a 75% supermajority; the purpose is to stabilise the member, not escalate the military conflict. The designation persists until the UN Secretary-General certifies resolution, with CC review every 30 days continuing by silence, and every trade-affecting measure operates under GATT Article XXI(b)(iii) upon Section 9.1B pre-certification.</w:t>
      </w:r>
    </w:p>
    <w:p>
      <w:r>
        <w:t xml:space="preserve">War Economy Transition Protocol (5.15): upon existential certification, the affected member imposes temporary export controls on critical goods (food, energy, medical supplies, defence inputs) expressly under GATT Article XI:2(a) and Article XXI(b)(iii), controls capital, and prioritises defence procurement; it notifies the Secretariat and the WTO within 24 hours, reports weekly to the CC, and lifts all measures within 30 days of threat resolution. The Protocol runs a maximum of 180 days, extendable by 55% CC vote, under quarterly IAC review; it suspends no IMESI obligation and creates no military obligations for other members.</w:t>
      </w:r>
    </w:p>
    <w:p>
      <w:r>
        <w:t xml:space="preserve">Encirclement Doctrine (5.16): where the IEWC certifies that three or more members face simultaneous or sequential military coercion from the same state, or two members face military coercion while two or more others face economic coercion from that state, the coalition responds as a whole: the Multi-Crisis Stress Envelope applies with enhanced parameters (the fixed maximum draw rises from 0.15% to 0.25% of GDP per 12-month period), Fund allocations prioritise frontline members, and automatic stabilisation with accelerated decoupling operates across the affected region. The Doctrine runs a maximum of 12 months with CC review every 60 days and extension by 60% vote; it creates no military obligations, authorises no military action, and remains defensive in character: a regional encirclement counts as one coordinated threat, not separate incidents.</w:t>
      </w:r>
    </w:p>
    <w:p>
      <w:pPr>
        <w:pStyle w:val="Heading2"/>
      </w:pPr>
      <w:r>
        <w:t xml:space="preserve">Article VI: Anti-Fragmentation</w:t>
      </w:r>
    </w:p>
    <w:p>
      <w:r>
        <w:t xml:space="preserve">Fragmentation is the coercer's cheapest strategy and the coalition's deadliest failure mode, so this Article spends more of the Instrument's machinery on internal discipline than any external threat receives. The tools mix price (insurance adjustments and contribution consequences), publicity (the Dashboard's publication duties), and protection (Solidarity Protection for members whose refusal costs dearly). The chapter's philosophy: solidarity is not sentiment; it is a priced, published, enforceable position.</w:t>
      </w:r>
    </w:p>
    <w:p>
      <w:pPr>
        <w:pStyle w:val="Heading3"/>
      </w:pPr>
      <w:r>
        <w:t xml:space="preserve">Prohibited Actions and Enforcement (Section 6.1)</w:t>
      </w:r>
    </w:p>
    <w:p>
      <w:r>
        <w:t xml:space="preserve">Tier 1 violations (suspension-level): secret bilateral deals with the coercer providing member exemptions; substitute trade offsetting other members' stabilisation measures; financial circumvention enabling evasion; intelligence sharing with the coercer; and corrupt inducements or off-book benefits (Section 6.1(h)) offered to a member, its officials, or politically exposed persons where the intent or foreseeable effect runs to withdrawal, dilution of participation, or coalition fracture. Tier 2 violations (warning and fine): delayed implementation over 30 days without valid exemption; partial implementation under 80% of the minimum response floor; public dissent undermining cohesion during active cases. Consequences: Tier 1 brings immediate benefit suspension and investigation; Tier 2 brings warning plus a 25% contribution surcharge, escalating on repetition. The Solidarity-First Principle (6.0A) frames these tools as last-resort stabilisers that preserve minimum viable collective capacity, and Temporary Deviation (6.0B) shields members acting on acute domestic stabilisation needs from breach findings.</w:t>
      </w:r>
    </w:p>
    <w:p>
      <w:pPr>
        <w:pStyle w:val="Heading3"/>
      </w:pPr>
      <w:r>
        <w:t xml:space="preserve">Divide-and-Conquer Response and Automatic Coalition Expansion (Sections 6.2, 6.3)</w:t>
      </w:r>
    </w:p>
    <w:p>
      <w:r>
        <w:t xml:space="preserve">Bilateral exemptions, sequential targeting, inducements for defection, or threats against holdouts trigger expanded coordination. Derivative Coercion (6.2A): economic measures on third countries, including non-members, intended to pressure a member invoke the Emergency Accession Protocol for the third country and compressed-track Phase 1 for the affected member. Automatic Coalition Expansion (ACE, 6.3): upon IEWC verification of a bilateral offer (including any quota-exemption arrangement), the CC convenes within 48 hours; all members with over 5% bilateral trade with the coercing state activate; Observer+ members volunteer with full burden-sharing rights; authorisation thresholds drop 10 percentage points for 90 days (15 points where a systemic economy makes the offer, v15.0); newly activated members receive a 12-month Fund contribution holiday; and the coercer faces presumptive Phase 2 classification. The v15.0 accelerated timeline for systemic-economy offers adds an immediate public advisory and a compressed IEWC review, denying the defector time to consolidate a divide-and-conquer strategy: the coalition outpaces the defector's deal-closing.</w:t>
      </w:r>
    </w:p>
    <w:p>
      <w:pPr>
        <w:pStyle w:val="Heading3"/>
      </w:pPr>
      <w:r>
        <w:t xml:space="preserve">Transparency Architecture (Sections 6.4 to 6.5C)</w:t>
      </w:r>
    </w:p>
    <w:p>
      <w:r>
        <w:t xml:space="preserve">The Transparency Sanctions Regime (6.4) obliges members to report: trade negotiations with non-members exceeding USD 500 million within 30 days; investment screening decisions involving state-adjoining entities; domestic relief petitions within 72 hours; executive actions capable of imposing coercive measures within 14 days; transshipment evidence; trade-remedy petitions against members within 14 days; product-specific exemptions within 48 hours; and certificate-of-origin anomalies. The Reciprocal Transparency Ledger (6.4A) lowers the preventive threshold to USD 250 million in strategic sectors, and any negotiation disclosed within 30 days carries an automatic presumption of legitimacy. The Live Implementation Dashboard (6.5) collects 24-hour telemetry on enacted instruments, customs timestamps, financial activation notices, and operational percentages. The Effectiveness Verification Audit (6.5A) measures whether measures bite: Green under 15% effectiveness gap brings no action; Amber (15 to 30%) brings a mandatory 30-day remediation plan with public transparency; Red (over 30%) counts as a Tier 2 violation, and a second Red within 3 years raises a Tier 1 presumption; self-reporting within 14 days earns automatic Amber treatment. Implementation Transparency Standards (6.5B) standardise attestations within 48 hours of activation. The Coordinated Procurement Shield (6.5C) aligns procurement response for critical goods, and its v13.0 protocol treats dispute-linked commercial restrictions by non-member suppliers as Constructive Coercion.</w:t>
      </w:r>
    </w:p>
    <w:p>
      <w:pPr>
        <w:pStyle w:val="Heading3"/>
      </w:pPr>
      <w:r>
        <w:t xml:space="preserve">Sub-National and Non-State Protection (Sections 6.6, 6.6A)</w:t>
      </w:r>
    </w:p>
    <w:p>
      <w:r>
        <w:t xml:space="preserve">Protection extends to sub-national governments, universities, research institutions, civil society organisations, and critical private firms; these actors bring potential cases to the IEWC, and where a national government itself faces direct coercive pressure not to act, a 7-of-10 IEWC majority escalates the case. The v15.0 Autonomous Participation mechanism: where a member government notifies withdrawal or suspends implementation, sub-national governments, universities, and certified corporations continue participation directly, with access to Joint Procurement Consortium tenders, Resilience Fund project finance, and dashboard participation, contributing at 25% of the national rate, without recognition of any sub-national entity as a state and without prejudice to the member's sovereign rights: a distributed defence the defecting government cannot block. The Non-State Actor and Platform Coordination Protocol (6.6A) maintains confidential Secretariat channels to major social media and financial platforms for flagging state-sponsored disinformation and market manipulation, with a good-faith liability shield under domestic law (v14.0).</w:t>
      </w:r>
    </w:p>
    <w:p>
      <w:pPr>
        <w:pStyle w:val="Heading3"/>
      </w:pPr>
      <w:r>
        <w:t xml:space="preserve">Systemic Stabilisers (Sections 6.7, 6.8, 6.9A, 6.11, 6.12)</w:t>
      </w:r>
    </w:p>
    <w:p>
      <w:r>
        <w:t xml:space="preserve">Defection Cascade Circuit Breaker (6.7): where the IEWC certifies that over 30% of members face simultaneous bilateral coercion offers (15% against a certified High Political Volatility coercer, v12.1), all measures freeze at current phase for 72 hours and the DG convenes an emergency solidarity session; over 2 defections within 72 hours brings automatic Phase 3 authorisation for remaining members, a 50% Resilience Fund release, and pure-GDP burden-sharing; over 4 defections in a single case activates hibernation: reduced IEWC staffing, SFI preservation mode, reactivation by only 8 states. ACE and the DCCB operate simultaneously: ACE recruits externally while the DCCB stabilises internally. Coalition Fracture Reinsurance (6.8) backstops the remainder with a parallel private reinsurance facility maintained with at least two independent private insurers or sovereign wealth funds (v13.0). Expedited Intra-Coalition Dispute Resolution (6.9A) offers a 21-day expedited track, suspension of the dispute for the case duration plus 30 days with claims preserved, and sector partition without MOAR surcharge; serial suspension triggers CC-mandated binding arbitration. Member Misconduct (6.11): documented intelligence sharing, sabotage, or support for the coercer's negotiating position triggers a 72-hour Emergency Judicial Panel and a 14-day full review with representation rights; substantiated non-existential misconduct brings expulsion with a Rehabilitation Review available after 36 months; Existential Misconduct, active intelligence sharing that fails a case, or Phase 2+ sabotage, brings permanent exclusion, the single permanent exclusion in the Instrument. Corruption-linked cases follow a remedial sequence first: confidential notification, postponement for credible domestic investigation, and 75%-vote aggravated designation only where the member refuses to investigate. Misuse Liability (6.12): a bad-faith or materially misleading AESI or certification claim, found by the IAC on clear and convincing evidence, costs 6 months of voting rights, an additional 0.05% GDP contribution to the Misuse Compensation Pool, published findings, and tier downgrade on recidivism within 5 years; honest analytical error and legitimate policy disagreement never qualify.</w:t>
      </w:r>
    </w:p>
    <w:p>
      <w:pPr>
        <w:pStyle w:val="Heading3"/>
      </w:pPr>
      <w:r>
        <w:t xml:space="preserve">Defection Pre-Positioning and the Offer Protocols (Sections 6.12A to 6.12K)</w:t>
      </w:r>
    </w:p>
    <w:p>
      <w:pPr>
        <w:spacing w:after="120" w:line="288" w:lineRule="auto"/>
        <w:ind w:left="420" w:hanging="220"/>
        <w:jc w:val="both"/>
      </w:pPr>
      <w:r>
        <w:rPr>
          <w:b/>
          <w:color w:val="B8860B"/>
        </w:rPr>
        <w:t>•  </w:t>
      </w:r>
      <w:r>
        <w:rPr>
          <w:b/>
          <w:color w:val="37474F"/>
        </w:rPr>
        <w:t xml:space="preserve">Defection Pre-Positioning (6.12A) and Cohesion Stress Testing (6.12C): </w:t>
      </w:r>
      <w:r>
        <w:t xml:space="preserve">the Secretariat runs standing classified exercises with identified Tier 2 and Tier 3 members and annual cohesion stress tests against each likely coercer.</w:t>
      </w:r>
    </w:p>
    <w:p>
      <w:pPr>
        <w:spacing w:after="120" w:line="288" w:lineRule="auto"/>
        <w:ind w:left="420" w:hanging="220"/>
        <w:jc w:val="both"/>
      </w:pPr>
      <w:r>
        <w:rPr>
          <w:b/>
          <w:color w:val="B8860B"/>
        </w:rPr>
        <w:t>•  </w:t>
      </w:r>
      <w:r>
        <w:rPr>
          <w:b/>
          <w:color w:val="37474F"/>
        </w:rPr>
        <w:t xml:space="preserve">Bilateral Offer Consultation (6.12B): </w:t>
      </w:r>
      <w:r>
        <w:t xml:space="preserve">any member receiving a bilateral offer from a certified coercer during an active case notifies the Secretariat within 24 hours; an emergency session convenes automatically with pre-authorised rejection templates ready.</w:t>
      </w:r>
    </w:p>
    <w:p>
      <w:pPr>
        <w:spacing w:after="120" w:line="288" w:lineRule="auto"/>
        <w:ind w:left="420" w:hanging="220"/>
        <w:jc w:val="both"/>
      </w:pPr>
      <w:r>
        <w:rPr>
          <w:b/>
          <w:color w:val="B8860B"/>
        </w:rPr>
        <w:t>•  </w:t>
      </w:r>
      <w:r>
        <w:rPr>
          <w:b/>
          <w:color w:val="37474F"/>
        </w:rPr>
        <w:t xml:space="preserve">Exemption Offer Detection (6.12D) and Parallel Negotiations Disclosure (6.12E): </w:t>
      </w:r>
      <w:r>
        <w:t xml:space="preserve">discriminatory bilateral offers trigger ACE, and substantive bilateral negotiations during a case carry 14-day notification.</w:t>
      </w:r>
    </w:p>
    <w:p>
      <w:pPr>
        <w:spacing w:after="120" w:line="288" w:lineRule="auto"/>
        <w:ind w:left="420" w:hanging="220"/>
        <w:jc w:val="both"/>
      </w:pPr>
      <w:r>
        <w:rPr>
          <w:b/>
          <w:color w:val="B8860B"/>
        </w:rPr>
        <w:t>•  </w:t>
      </w:r>
      <w:r>
        <w:rPr>
          <w:b/>
          <w:color w:val="37474F"/>
        </w:rPr>
        <w:t xml:space="preserve">Step-Back/Earn-Back Integration (6.12F): </w:t>
      </w:r>
      <w:r>
        <w:t xml:space="preserve">good-faith earn-back participation carries no additional anti-fragmentation penalty for the underlying compliance event.</w:t>
      </w:r>
    </w:p>
    <w:p>
      <w:pPr>
        <w:spacing w:after="120" w:line="288" w:lineRule="auto"/>
        <w:ind w:left="420" w:hanging="220"/>
        <w:jc w:val="both"/>
      </w:pPr>
      <w:r>
        <w:rPr>
          <w:b/>
          <w:color w:val="B8860B"/>
        </w:rPr>
        <w:t>•  </w:t>
      </w:r>
      <w:r>
        <w:rPr>
          <w:b/>
          <w:color w:val="37474F"/>
        </w:rPr>
        <w:t xml:space="preserve">Bilateral Deal Insurance and Solidarity Counter-Offer (6.12G, v15.0): </w:t>
      </w:r>
      <w:r>
        <w:t xml:space="preserve">a facility capitalised at 3% of the Fund counters every coercer offer with a better coalition offer; a member accepting the counter-offer receives the full package within 72 hours and public Solidarity Partner recognition; a member accepting the coercer's offer faces no penalty under this Section; the counter-offer renews automatically every 30 days for the case duration, replenished from the Retroactive Reinstatement Surcharge, standard contributions, and voluntary top-ups: every bilateral offer becomes a trap for the coercer.</w:t>
      </w:r>
    </w:p>
    <w:p>
      <w:pPr>
        <w:spacing w:after="120" w:line="288" w:lineRule="auto"/>
        <w:ind w:left="420" w:hanging="220"/>
        <w:jc w:val="both"/>
      </w:pPr>
      <w:r>
        <w:rPr>
          <w:b/>
          <w:color w:val="B8860B"/>
        </w:rPr>
        <w:t>•  </w:t>
      </w:r>
      <w:r>
        <w:rPr>
          <w:b/>
          <w:color w:val="37474F"/>
        </w:rPr>
        <w:t xml:space="preserve">Cohesion Multiplier Effect (6.12H, v15.0): </w:t>
      </w:r>
      <w:r>
        <w:t xml:space="preserve">each certified attack under Section 1.7(a) raises anti-fragmentation penalties and defection costs by 25%, cumulative to 50% and 75% on second and third attacks, operating during the attack and for 24 months after resolution, automatically, without a separate vote.</w:t>
      </w:r>
    </w:p>
    <w:p>
      <w:pPr>
        <w:spacing w:after="120" w:line="288" w:lineRule="auto"/>
        <w:ind w:left="420" w:hanging="220"/>
        <w:jc w:val="both"/>
      </w:pPr>
      <w:r>
        <w:rPr>
          <w:b/>
          <w:color w:val="B8860B"/>
        </w:rPr>
        <w:t>•  </w:t>
      </w:r>
      <w:r>
        <w:rPr>
          <w:b/>
          <w:color w:val="37474F"/>
        </w:rPr>
        <w:t xml:space="preserve">Abuse of Process Ratchet (6.12I, v15.0): </w:t>
      </w:r>
      <w:r>
        <w:t xml:space="preserve">three or more unsuccessful challenges in 12 months, or bad-faith procedural invocations, suspend the abuser's procedural rights for 12 months automatically under Nofade, recorded on a public registry, without touching voting or benefit rights: serial objection no longer paralyses the institution.</w:t>
      </w:r>
    </w:p>
    <w:p>
      <w:pPr>
        <w:spacing w:after="120" w:line="288" w:lineRule="auto"/>
        <w:ind w:left="420" w:hanging="220"/>
        <w:jc w:val="both"/>
      </w:pPr>
      <w:r>
        <w:rPr>
          <w:b/>
          <w:color w:val="B8860B"/>
        </w:rPr>
        <w:t>•  </w:t>
      </w:r>
      <w:r>
        <w:rPr>
          <w:b/>
          <w:color w:val="37474F"/>
        </w:rPr>
        <w:t xml:space="preserve">Solidarity Protection Protocol (6.12J, v15.0): </w:t>
      </w:r>
      <w:r>
        <w:t xml:space="preserve">pressure on a member's IMESI participation counts as a direct attack on the institution: automatic IEWC investigation, expedited 48-hour certification and 72-hour Fund support for the target, and severe penalties for any member exerting such pressure.</w:t>
      </w:r>
    </w:p>
    <w:p>
      <w:pPr>
        <w:spacing w:after="120" w:line="288" w:lineRule="auto"/>
        <w:ind w:left="420" w:hanging="220"/>
        <w:jc w:val="both"/>
      </w:pPr>
      <w:r>
        <w:rPr>
          <w:b/>
          <w:color w:val="B8860B"/>
        </w:rPr>
        <w:t>•  </w:t>
      </w:r>
      <w:r>
        <w:rPr>
          <w:b/>
          <w:color w:val="37474F"/>
        </w:rPr>
        <w:t xml:space="preserve">Anti-Sabotage and Poison Pill Amendment Protocol (6.12K, v15.0): </w:t>
      </w:r>
      <w:r>
        <w:t xml:space="preserve">any amendment that materially reduces Red-Line thresholds or disables automatic triggers undergoes a mandatory 14-day Anti-Sabotage Assessment; a coercer-directed poison pill faces automatic rejection and sponsor consequences; a Current Coercer holds no standing to propose amendments diluting the response directed at it.</w:t>
      </w:r>
    </w:p>
    <w:p>
      <w:pPr>
        <w:pStyle w:val="Heading3"/>
      </w:pPr>
      <w:r>
        <w:t xml:space="preserve">Intra-Coalition Discipline and Protectionism Review (Sections 6.9, 6.10)</w:t>
      </w:r>
    </w:p>
    <w:p>
      <w:r>
        <w:t xml:space="preserve">The Internal Adjudication Chamber adjudicates allegations that any Tier 1+ member has engaged in economic coercion against another member or Protective Association state, with remedies from cease-and-desist orders (30-day compliance window) and Defection Penalty Fund compensation through suspension of Preferred Alternative Status to mandatory tier downgrade for systematic conduct. The Protectionism Review Panel (6.10), three former trade judges or senior trade officials on staggered 6-year terms, reviews stabilisation measures for protectionist capture on a weighted standard: economic logic of design 30%, prior protectionist history 25%, diversification efforts 25%, comparative treatment of non-coercer suppliers 20%. Minor abuse (under 25% protectionist motive) brings a 150% surcharge and mandatory remediation; major abuse adds a public finding and IAC referral where a pattern emerges; good-faith participation reduces the surcharge to 125%, and self-reporting confers immunity from an abuse finding.</w:t>
      </w:r>
    </w:p>
    <w:p>
      <w:pPr>
        <w:pStyle w:val="Heading2"/>
      </w:pPr>
      <w:r>
        <w:t xml:space="preserve">Article VII: Strategic Counter-Coercion Escalation</w:t>
      </w:r>
    </w:p>
    <w:p>
      <w:r>
        <w:t xml:space="preserve">Escalation under IMESI is a governed process, not a spiral: each horizontal domain opens by vote, each intensification carries a review date, and the cost model caps what the coalition spends on pressure relative to what coercion costs the target. The stalemate provisions accept that not every case resolves quickly and prepare the coalition to sustain pressure without fatigue becoming policy.</w:t>
      </w:r>
    </w:p>
    <w:p>
      <w:pPr>
        <w:pStyle w:val="Heading3"/>
      </w:pPr>
      <w:r>
        <w:t xml:space="preserve">Horizontal Escalation Doctrine (Section 7.1)</w:t>
      </w:r>
    </w:p>
    <w:p>
      <w:r>
        <w:t xml:space="preserve">IMESI escalates horizontally across domains, not merely vertically within single domains: tariffs have diminishing returns, and cross-domain escalation exploits the coercer's asymmetric vulnerabilities. Horizontal escalation operates symmetrically across the value chain: tariffs on intermediate goods, including steel and aluminium, meet counter-tariffs on finished goods, including automotive and consumer products.</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1900"/>
        <w:gridCol w:w="1700"/>
        <w:gridCol w:w="2900"/>
        <w:gridCol w:w="2800"/>
      </w:tblGrid>
      <w:tr>
        <w:trPr>
          <w:tblHeader/>
        </w:trPr>
        <w:tc>
          <w:tcPr>
            <w:tcW w:w="1900" w:type="dxa"/>
            <w:tcBorders>
              <w:bottom w:val="single" w:color="37474F" w:sz="6"/>
            </w:tcBorders>
            <w:shd w:val="clear" w:fill="ECEFF1"/>
            <w:vAlign w:val="center"/>
          </w:tcPr>
          <w:p>
            <w:pPr>
              <w:spacing w:before="30" w:after="30" w:line="240" w:lineRule="auto"/>
              <w:jc w:val="left"/>
            </w:pPr>
            <w:r>
              <w:rPr>
                <w:b/>
                <w:color w:val="37474F"/>
                <w:sz w:val="19"/>
              </w:rPr>
              <w:t xml:space="preserve">Phase</w:t>
            </w:r>
          </w:p>
        </w:tc>
        <w:tc>
          <w:tcPr>
            <w:tcW w:w="1700" w:type="dxa"/>
            <w:tcBorders>
              <w:bottom w:val="single" w:color="37474F" w:sz="6"/>
            </w:tcBorders>
            <w:shd w:val="clear" w:fill="ECEFF1"/>
            <w:vAlign w:val="center"/>
          </w:tcPr>
          <w:p>
            <w:pPr>
              <w:spacing w:before="30" w:after="30" w:line="240" w:lineRule="auto"/>
              <w:jc w:val="left"/>
            </w:pPr>
            <w:r>
              <w:rPr>
                <w:b/>
                <w:color w:val="37474F"/>
                <w:sz w:val="19"/>
              </w:rPr>
              <w:t xml:space="preserve">Timeline</w:t>
            </w:r>
          </w:p>
        </w:tc>
        <w:tc>
          <w:tcPr>
            <w:tcW w:w="2900" w:type="dxa"/>
            <w:tcBorders>
              <w:bottom w:val="single" w:color="37474F" w:sz="6"/>
            </w:tcBorders>
            <w:shd w:val="clear" w:fill="ECEFF1"/>
            <w:vAlign w:val="center"/>
          </w:tcPr>
          <w:p>
            <w:pPr>
              <w:spacing w:before="30" w:after="30" w:line="240" w:lineRule="auto"/>
              <w:jc w:val="left"/>
            </w:pPr>
            <w:r>
              <w:rPr>
                <w:b/>
                <w:color w:val="37474F"/>
                <w:sz w:val="19"/>
              </w:rPr>
              <w:t xml:space="preserve">Trade domain</w:t>
            </w:r>
          </w:p>
        </w:tc>
        <w:tc>
          <w:tcPr>
            <w:tcW w:w="2800" w:type="dxa"/>
            <w:tcBorders>
              <w:bottom w:val="single" w:color="37474F" w:sz="6"/>
            </w:tcBorders>
            <w:shd w:val="clear" w:fill="ECEFF1"/>
            <w:vAlign w:val="center"/>
          </w:tcPr>
          <w:p>
            <w:pPr>
              <w:spacing w:before="30" w:after="30" w:line="240" w:lineRule="auto"/>
              <w:jc w:val="left"/>
            </w:pPr>
            <w:r>
              <w:rPr>
                <w:b/>
                <w:color w:val="37474F"/>
                <w:sz w:val="19"/>
              </w:rPr>
              <w:t xml:space="preserve">Financial, technology, strategic</w:t>
            </w:r>
          </w:p>
        </w:tc>
      </w:tr>
      <w:tr>
        <w:tc>
          <w:tcPr>
            <w:tcW w:w="1900" w:type="dxa"/>
            <w:vAlign w:val="center"/>
          </w:tcPr>
          <w:p>
            <w:pPr>
              <w:spacing w:before="30" w:after="30" w:line="240" w:lineRule="auto"/>
              <w:jc w:val="left"/>
            </w:pPr>
            <w:r>
              <w:rPr>
                <w:color w:val="263238"/>
                <w:sz w:val="19"/>
              </w:rPr>
              <w:t xml:space="preserve">Phase 1: Mirror</w:t>
            </w:r>
          </w:p>
        </w:tc>
        <w:tc>
          <w:tcPr>
            <w:tcW w:w="1700" w:type="dxa"/>
            <w:vAlign w:val="center"/>
          </w:tcPr>
          <w:p>
            <w:pPr>
              <w:spacing w:before="30" w:after="30" w:line="240" w:lineRule="auto"/>
              <w:jc w:val="left"/>
            </w:pPr>
            <w:r>
              <w:rPr>
                <w:color w:val="263238"/>
                <w:sz w:val="19"/>
              </w:rPr>
              <w:t xml:space="preserve">Days 1 to 30</w:t>
            </w:r>
          </w:p>
        </w:tc>
        <w:tc>
          <w:tcPr>
            <w:tcW w:w="2900" w:type="dxa"/>
            <w:vAlign w:val="center"/>
          </w:tcPr>
          <w:p>
            <w:pPr>
              <w:spacing w:before="30" w:after="30" w:line="240" w:lineRule="auto"/>
              <w:jc w:val="left"/>
            </w:pPr>
            <w:r>
              <w:rPr>
                <w:color w:val="263238"/>
                <w:sz w:val="19"/>
              </w:rPr>
              <w:t xml:space="preserve">Reciprocal trade measures, 15 to 25% of coercing measures</w:t>
            </w:r>
          </w:p>
        </w:tc>
        <w:tc>
          <w:tcPr>
            <w:tcW w:w="2800" w:type="dxa"/>
            <w:vAlign w:val="center"/>
          </w:tcPr>
          <w:p>
            <w:pPr>
              <w:spacing w:before="30" w:after="30" w:line="240" w:lineRule="auto"/>
              <w:jc w:val="left"/>
            </w:pPr>
            <w:r>
              <w:rPr>
                <w:color w:val="263238"/>
                <w:sz w:val="19"/>
              </w:rPr>
              <w:t xml:space="preserve">Investment screening; signalling</w:t>
            </w:r>
          </w:p>
        </w:tc>
      </w:tr>
      <w:tr>
        <w:tc>
          <w:tcPr>
            <w:tcW w:w="1900" w:type="dxa"/>
            <w:vAlign w:val="center"/>
          </w:tcPr>
          <w:p>
            <w:pPr>
              <w:spacing w:before="30" w:after="30" w:line="240" w:lineRule="auto"/>
              <w:jc w:val="left"/>
            </w:pPr>
            <w:r>
              <w:rPr>
                <w:color w:val="263238"/>
                <w:sz w:val="19"/>
              </w:rPr>
              <w:t xml:space="preserve">Phase 2: Horizontal</w:t>
            </w:r>
          </w:p>
        </w:tc>
        <w:tc>
          <w:tcPr>
            <w:tcW w:w="1700" w:type="dxa"/>
            <w:vAlign w:val="center"/>
          </w:tcPr>
          <w:p>
            <w:pPr>
              <w:spacing w:before="30" w:after="30" w:line="240" w:lineRule="auto"/>
              <w:jc w:val="left"/>
            </w:pPr>
            <w:r>
              <w:rPr>
                <w:color w:val="263238"/>
                <w:sz w:val="19"/>
              </w:rPr>
              <w:t xml:space="preserve">Days 30 to 60</w:t>
            </w:r>
          </w:p>
        </w:tc>
        <w:tc>
          <w:tcPr>
            <w:tcW w:w="2900" w:type="dxa"/>
            <w:vAlign w:val="center"/>
          </w:tcPr>
          <w:p>
            <w:pPr>
              <w:spacing w:before="30" w:after="30" w:line="240" w:lineRule="auto"/>
              <w:jc w:val="left"/>
            </w:pPr>
            <w:r>
              <w:rPr>
                <w:color w:val="263238"/>
                <w:sz w:val="19"/>
              </w:rPr>
              <w:t xml:space="preserve">Increase to 25 to 35%</w:t>
            </w:r>
          </w:p>
        </w:tc>
        <w:tc>
          <w:tcPr>
            <w:tcW w:w="2800" w:type="dxa"/>
            <w:vAlign w:val="center"/>
          </w:tcPr>
          <w:p>
            <w:pPr>
              <w:spacing w:before="30" w:after="30" w:line="240" w:lineRule="auto"/>
              <w:jc w:val="left"/>
            </w:pPr>
            <w:r>
              <w:rPr>
                <w:color w:val="263238"/>
                <w:sz w:val="19"/>
              </w:rPr>
              <w:t xml:space="preserve">Enhanced screening; payment friction; capital market restrictions; export controls on complementary technologies; R&amp;D limits</w:t>
            </w:r>
          </w:p>
        </w:tc>
      </w:tr>
      <w:tr>
        <w:tc>
          <w:tcPr>
            <w:tcW w:w="1900" w:type="dxa"/>
            <w:vAlign w:val="center"/>
          </w:tcPr>
          <w:p>
            <w:pPr>
              <w:spacing w:before="30" w:after="30" w:line="240" w:lineRule="auto"/>
              <w:jc w:val="left"/>
            </w:pPr>
            <w:r>
              <w:rPr>
                <w:color w:val="263238"/>
                <w:sz w:val="19"/>
              </w:rPr>
              <w:t xml:space="preserve">Phase 3: Comprehensive</w:t>
            </w:r>
          </w:p>
        </w:tc>
        <w:tc>
          <w:tcPr>
            <w:tcW w:w="1700" w:type="dxa"/>
            <w:vAlign w:val="center"/>
          </w:tcPr>
          <w:p>
            <w:pPr>
              <w:spacing w:before="30" w:after="30" w:line="240" w:lineRule="auto"/>
              <w:jc w:val="left"/>
            </w:pPr>
            <w:r>
              <w:rPr>
                <w:color w:val="263238"/>
                <w:sz w:val="19"/>
              </w:rPr>
              <w:t xml:space="preserve">Day 60 onward</w:t>
            </w:r>
          </w:p>
        </w:tc>
        <w:tc>
          <w:tcPr>
            <w:tcW w:w="2900" w:type="dxa"/>
            <w:vAlign w:val="center"/>
          </w:tcPr>
          <w:p>
            <w:pPr>
              <w:spacing w:before="30" w:after="30" w:line="240" w:lineRule="auto"/>
              <w:jc w:val="left"/>
            </w:pPr>
            <w:r>
              <w:rPr>
                <w:color w:val="263238"/>
                <w:sz w:val="19"/>
              </w:rPr>
              <w:t xml:space="preserve">Increase to 35 to 50%+</w:t>
            </w:r>
          </w:p>
        </w:tc>
        <w:tc>
          <w:tcPr>
            <w:tcW w:w="2800" w:type="dxa"/>
            <w:vAlign w:val="center"/>
          </w:tcPr>
          <w:p>
            <w:pPr>
              <w:spacing w:before="30" w:after="30" w:line="240" w:lineRule="auto"/>
              <w:jc w:val="left"/>
            </w:pPr>
            <w:r>
              <w:rPr>
                <w:color w:val="263238"/>
                <w:sz w:val="19"/>
              </w:rPr>
              <w:t xml:space="preserve">Secondary restrictions; clearing limitations; currency cooperation suspension; broad export controls; investment prohibitions; procurement exclusions; infrastructure denial</w:t>
            </w:r>
          </w:p>
        </w:tc>
      </w:tr>
    </w:tbl>
    <w:p>
      <w:r>
        <w:t xml:space="preserve">The Reciprocal Regulatory Equivalence Doctrine (7.1A) authorises reciprocal regulatory requirements on coercer-origin goods and services where the IEWC certifies Regulatory Surprise (Section 2.10C). The Cross-Domain Stabilisation Measure Menu (7.2) spans trade (tariffs 5 to 100%+, quotas, licensing, rules of origin, customs delay, procurement exclusion, export restriction), financial (screening, settlement adjustment), technology, and strategic materials.</w:t>
      </w:r>
    </w:p>
    <w:p>
      <w:pPr>
        <w:pStyle w:val="Heading3"/>
      </w:pPr>
      <w:r>
        <w:t xml:space="preserve">Escalation Cost Modelling (Section 7.3)</w:t>
      </w:r>
    </w:p>
    <w:p>
      <w:r>
        <w:t xml:space="preserve">Before authorising Phase 3 or any measure projected to exceed 1% GDP cost, the CC reviews mandatory pre-escalation analysis: member-level direct and indirect costs with distributional effects; aggregate cost compared against the cost of accepting coercion over 1, 3, and 5-year horizons; projected coercer impact with a cost ratio held below 3:1 (IMESI to coercer); a domestic resilience stress test scored 1 to 10, with members scoring under 5 receiving enhanced Fund support; and a political sustainability assessment. All thresholds met, Phase 3 proceeds; any threshold failed, the CC modifies the package.</w:t>
      </w:r>
    </w:p>
    <w:p>
      <w:pPr>
        <w:pStyle w:val="Heading3"/>
      </w:pPr>
      <w:r>
        <w:t xml:space="preserve">Security Alliance Firewall (Section 7.4)</w:t>
      </w:r>
    </w:p>
    <w:p>
      <w:r>
        <w:t xml:space="preserve">IMESI explicitly separates economic stabilisation measures from security alliance obligations: NATO and other defence commitments operate independently, no IMESI measure compromises them, and no alliance obligation drags IMESI into military logic. The MOAR opt-out (Section 7.4) lets a member exit a specific measure with defined surcharges rather than breach.</w:t>
      </w:r>
    </w:p>
    <w:p>
      <w:pPr>
        <w:pStyle w:val="Heading3"/>
      </w:pPr>
      <w:r>
        <w:t xml:space="preserve">Strategic Stalemate Resolution (Section 7.5)</w:t>
      </w:r>
    </w:p>
    <w:p>
      <w:r>
        <w:t xml:space="preserve">Where Phase 3 runs at 100% intensity for over 90 days, the coercer maintains or escalates (no verified withdrawal over 70%), and the 8% GDP cumulative cap approaches, the CC chooses among declared options by 60% weighted vote: Structural Decoupling (Decoupling Acceleration Reserve activation, 5-year reorganisation, 25% surcharge for initiating members); Negotiated Standstill (mediator-facilitated frozen conflict, 12-month window renewable once, 20% burden reduction); Coalition Expansion Surge (maximum ACE, accession thresholds reduced 20% for 180 days, new members at 25% rate); Graduated Withdrawal (managed exit with Defection Penalty Fund compensation over a 6-month wind-down); or Structural Immunisation for slow-burn pressure exceeding 24 months (irreversible decoupling track). Absent any option reaching threshold, Negotiated Standstill applies by default with a mediator appointed within 48 hours; coercer escalation re-activates the full menu. The Unilateral De-escalation Exit Ramp (7.6) lets any member petition for Managed Divergence against a certified High Political Volatility coercer where rational settlement proves impossible.</w:t>
      </w:r>
    </w:p>
    <w:p>
      <w:pPr>
        <w:pStyle w:val="Heading2"/>
      </w:pPr>
      <w:r>
        <w:t xml:space="preserve">Article VIII: Mutual Economic Security Fund</w:t>
      </w:r>
    </w:p>
    <w:p>
      <w:r>
        <w:t xml:space="preserve">The Fund converts solidarity from declaration into capacity. Its three-layer structure mirrors how financial systems actually mobilise resources: liquidity first, commitments second, markets third. Every safeguard, from the single-activation cap to the Small-State Reserve, answers a failure observed in earlier collective facilities, and the actuarial design treats the Fund as insurance infrastructure whose solvency is the coalition's credibility.</w:t>
      </w:r>
    </w:p>
    <w:p>
      <w:pPr>
        <w:pStyle w:val="Heading3"/>
      </w:pPr>
      <w:r>
        <w:t xml:space="preserve">Structure and Capitalisation (Sections 8.0A to 8.2)</w:t>
      </w:r>
    </w:p>
    <w:p>
      <w:r>
        <w:t xml:space="preserve">The Fund operates under the working designation Mutual Economic Stabilisation and Resilience Facility: mutual insurance capacity, not a standing cash pool, structured in three layers of decreasing liquidity. Only the Paid-In Base represents actual fiscal outlay; Callable Capital and the Market Backstop create contingent capacity at minimal upfront cost, mirroring IMF and multilateral development bank models.</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2600"/>
        <w:gridCol w:w="4300"/>
        <w:gridCol w:w="2400"/>
      </w:tblGrid>
      <w:tr>
        <w:trPr>
          <w:tblHeader/>
        </w:trPr>
        <w:tc>
          <w:tcPr>
            <w:tcW w:w="2600" w:type="dxa"/>
            <w:tcBorders>
              <w:bottom w:val="single" w:color="37474F" w:sz="6"/>
            </w:tcBorders>
            <w:shd w:val="clear" w:fill="ECEFF1"/>
            <w:vAlign w:val="center"/>
          </w:tcPr>
          <w:p>
            <w:pPr>
              <w:spacing w:before="30" w:after="30" w:line="240" w:lineRule="auto"/>
              <w:jc w:val="left"/>
            </w:pPr>
            <w:r>
              <w:rPr>
                <w:b/>
                <w:color w:val="37474F"/>
                <w:sz w:val="19"/>
              </w:rPr>
              <w:t xml:space="preserve">Layer</w:t>
            </w:r>
          </w:p>
        </w:tc>
        <w:tc>
          <w:tcPr>
            <w:tcW w:w="4300" w:type="dxa"/>
            <w:tcBorders>
              <w:bottom w:val="single" w:color="37474F" w:sz="6"/>
            </w:tcBorders>
            <w:shd w:val="clear" w:fill="ECEFF1"/>
            <w:vAlign w:val="center"/>
          </w:tcPr>
          <w:p>
            <w:pPr>
              <w:spacing w:before="30" w:after="30" w:line="240" w:lineRule="auto"/>
              <w:jc w:val="left"/>
            </w:pPr>
            <w:r>
              <w:rPr>
                <w:b/>
                <w:color w:val="37474F"/>
                <w:sz w:val="19"/>
              </w:rPr>
              <w:t xml:space="preserve">Description</w:t>
            </w:r>
          </w:p>
        </w:tc>
        <w:tc>
          <w:tcPr>
            <w:tcW w:w="2400" w:type="dxa"/>
            <w:tcBorders>
              <w:bottom w:val="single" w:color="37474F" w:sz="6"/>
            </w:tcBorders>
            <w:shd w:val="clear" w:fill="ECEFF1"/>
            <w:vAlign w:val="center"/>
          </w:tcPr>
          <w:p>
            <w:pPr>
              <w:spacing w:before="30" w:after="30" w:line="240" w:lineRule="auto"/>
              <w:jc w:val="left"/>
            </w:pPr>
            <w:r>
              <w:rPr>
                <w:b/>
                <w:color w:val="37474F"/>
                <w:sz w:val="19"/>
              </w:rPr>
              <w:t xml:space="preserve">Mobilisation</w:t>
            </w:r>
          </w:p>
        </w:tc>
      </w:tr>
      <w:tr>
        <w:tc>
          <w:tcPr>
            <w:tcW w:w="2600" w:type="dxa"/>
            <w:vAlign w:val="center"/>
          </w:tcPr>
          <w:p>
            <w:pPr>
              <w:spacing w:before="30" w:after="30" w:line="240" w:lineRule="auto"/>
              <w:jc w:val="left"/>
            </w:pPr>
            <w:r>
              <w:rPr>
                <w:color w:val="263238"/>
                <w:sz w:val="19"/>
              </w:rPr>
              <w:t xml:space="preserve">Paid-In Base</w:t>
            </w:r>
          </w:p>
        </w:tc>
        <w:tc>
          <w:tcPr>
            <w:tcW w:w="4300" w:type="dxa"/>
            <w:vAlign w:val="center"/>
          </w:tcPr>
          <w:p>
            <w:pPr>
              <w:spacing w:before="30" w:after="30" w:line="240" w:lineRule="auto"/>
              <w:jc w:val="left"/>
            </w:pPr>
            <w:r>
              <w:rPr>
                <w:color w:val="263238"/>
                <w:sz w:val="19"/>
              </w:rPr>
              <w:t xml:space="preserve">Standing liquid capital from member contributions</w:t>
            </w:r>
          </w:p>
        </w:tc>
        <w:tc>
          <w:tcPr>
            <w:tcW w:w="2400" w:type="dxa"/>
            <w:vAlign w:val="center"/>
          </w:tcPr>
          <w:p>
            <w:pPr>
              <w:spacing w:before="30" w:after="30" w:line="240" w:lineRule="auto"/>
              <w:jc w:val="left"/>
            </w:pPr>
            <w:r>
              <w:rPr>
                <w:color w:val="263238"/>
                <w:sz w:val="19"/>
              </w:rPr>
              <w:t xml:space="preserve">Immediate (0 to 48 hours)</w:t>
            </w:r>
          </w:p>
        </w:tc>
      </w:tr>
      <w:tr>
        <w:tc>
          <w:tcPr>
            <w:tcW w:w="2600" w:type="dxa"/>
            <w:vAlign w:val="center"/>
          </w:tcPr>
          <w:p>
            <w:pPr>
              <w:spacing w:before="30" w:after="30" w:line="240" w:lineRule="auto"/>
              <w:jc w:val="left"/>
            </w:pPr>
            <w:r>
              <w:rPr>
                <w:color w:val="263238"/>
                <w:sz w:val="19"/>
              </w:rPr>
              <w:t xml:space="preserve">Callable Capital</w:t>
            </w:r>
          </w:p>
        </w:tc>
        <w:tc>
          <w:tcPr>
            <w:tcW w:w="4300" w:type="dxa"/>
            <w:vAlign w:val="center"/>
          </w:tcPr>
          <w:p>
            <w:pPr>
              <w:spacing w:before="30" w:after="30" w:line="240" w:lineRule="auto"/>
              <w:jc w:val="left"/>
            </w:pPr>
            <w:r>
              <w:rPr>
                <w:color w:val="263238"/>
                <w:sz w:val="19"/>
              </w:rPr>
              <w:t xml:space="preserve">Committed but uncalled member guarantees</w:t>
            </w:r>
          </w:p>
        </w:tc>
        <w:tc>
          <w:tcPr>
            <w:tcW w:w="2400" w:type="dxa"/>
            <w:vAlign w:val="center"/>
          </w:tcPr>
          <w:p>
            <w:pPr>
              <w:spacing w:before="30" w:after="30" w:line="240" w:lineRule="auto"/>
              <w:jc w:val="left"/>
            </w:pPr>
            <w:r>
              <w:rPr>
                <w:color w:val="263238"/>
                <w:sz w:val="19"/>
              </w:rPr>
              <w:t xml:space="preserve">5 to 15 days upon activation</w:t>
            </w:r>
          </w:p>
        </w:tc>
      </w:tr>
      <w:tr>
        <w:tc>
          <w:tcPr>
            <w:tcW w:w="2600" w:type="dxa"/>
            <w:vAlign w:val="center"/>
          </w:tcPr>
          <w:p>
            <w:pPr>
              <w:spacing w:before="30" w:after="30" w:line="240" w:lineRule="auto"/>
              <w:jc w:val="left"/>
            </w:pPr>
            <w:r>
              <w:rPr>
                <w:color w:val="263238"/>
                <w:sz w:val="19"/>
              </w:rPr>
              <w:t xml:space="preserve">Market Backstop</w:t>
            </w:r>
          </w:p>
        </w:tc>
        <w:tc>
          <w:tcPr>
            <w:tcW w:w="4300" w:type="dxa"/>
            <w:vAlign w:val="center"/>
          </w:tcPr>
          <w:p>
            <w:pPr>
              <w:spacing w:before="30" w:after="30" w:line="240" w:lineRule="auto"/>
              <w:jc w:val="left"/>
            </w:pPr>
            <w:r>
              <w:rPr>
                <w:color w:val="263238"/>
                <w:sz w:val="19"/>
              </w:rPr>
              <w:t xml:space="preserve">Bond issuance authority backed by collective guarantee</w:t>
            </w:r>
          </w:p>
        </w:tc>
        <w:tc>
          <w:tcPr>
            <w:tcW w:w="2400" w:type="dxa"/>
            <w:vAlign w:val="center"/>
          </w:tcPr>
          <w:p>
            <w:pPr>
              <w:spacing w:before="30" w:after="30" w:line="240" w:lineRule="auto"/>
              <w:jc w:val="left"/>
            </w:pPr>
            <w:r>
              <w:rPr>
                <w:color w:val="263238"/>
                <w:sz w:val="19"/>
              </w:rPr>
              <w:t xml:space="preserve">15 to 30 days; AAA-rated</w:t>
            </w:r>
          </w:p>
        </w:tc>
      </w:tr>
    </w:tbl>
    <w:p>
      <w:r>
        <w:t xml:space="preserve">The Founding Contribution Band scales insured exposure with membership: up to USD 20 to 30 billion in Years 1 to 2 (10 to 15% paid-in), USD 60 to 80 billion in Years 3 to 5 (15 to 20%), and USD 100 to 150 billion at maturity (20 to 25%). The core target stands at 0.08% of combined member GDP accumulated over 5 years: approximately USD 36 billion for a 12-member founding coalition at USD 45 trillion combined GDP. New entrants pay a graduated schedule (25% of full contribution for months 1 to 6, 50% for months 7 to 12) with staged benefit access. The contribution formula weights GDP 60%, trade volume 15%, tier level 10%, and the green transition gap 15%; members with UN Least Developed Country or Developing Country status receive a 25% reduction, with total relief capped at 40%. No member's total annual contribution, regular plus emergency, exceeds 0.25% of GDP in any single year except by that member's explicit parliamentary authorisation. The Financial Toolbox (Coercion Risk Insurance, Digital Infrastructure Resilience Fund, cognitive-coercion measures, climate-trade advanced features) operates opt-in by separate protocol; Tier 2+ members adopt at least one instrument by Year 3, and non-adoption never affects core membership.</w:t>
      </w:r>
    </w:p>
    <w:p>
      <w:pPr>
        <w:pStyle w:val="Heading3"/>
      </w:pPr>
      <w:r>
        <w:t xml:space="preserve">Eligible Uses and Transparent Burden-Sharing (Sections 8.3 to 8.4)</w:t>
      </w:r>
    </w:p>
    <w:p>
      <w:r>
        <w:t xml:space="preserve">Eligible uses cover compensation for coercion victims at 50 to 80% of documented losses (lost export revenue, foregone investment returns, supply-chain reconfiguration costs, strategic industry support) and stabilisation operations. Micro-Exercise Accountability (8.3A): successful quarterly micro-exercise completion counts toward 20% of the annual Minimum Response Floor for Tier 2+ members. The binding base burden formula weights GDP share 50%, bilateral coercer trade exposure 30%, and tier level 20% (Tier 2 at 100% base, Tier 3 at 120%). Optional burden relief caps at 25% total: debt-to-GDP over 90% earns 10%, exports to the coercer over 40% of GDP earns 10%, active military conflict or humanitarian crisis earns 5%. A Compensation Surcharge of 15% above base applies to members with under 5% GDP exposure and under 20% trade to the coercer; surplus funds flow to burden equalisation. Where a member's trade concentrates with a single partner, burden-sharing relies on finance, diversification, and information tools rather than direct trade restrictions.</w:t>
      </w:r>
    </w:p>
    <w:p>
      <w:pPr>
        <w:pStyle w:val="Heading3"/>
      </w:pPr>
      <w:r>
        <w:t xml:space="preserve">Caps, Asymmetry, and Visibility (Sections 8.4A to 8.4F)</w:t>
      </w:r>
    </w:p>
    <w:p>
      <w:r>
        <w:t xml:space="preserve">Existential Burden Cap (8.4A): IEWC certification of over 3% GDP impact on a single member caps that member's burden in a 1.5 to 2.5% GDP band, 2% presumptive; the cap also activates automatically for any member suffering over 1% GDP impact in a single quarter (v12.1). Systemic-Economy Asymmetry Adjustment (8.4B): against a coercer exceeding 15% of global GDP, the presumptive member cost ceiling rises from 5% to 8% GDP (hard cap from 7% to 10%), with extended relief bands. Asymmetric Burden-Sharing with Visibility (8.4C) delinks contribution and control:</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1800"/>
        <w:gridCol w:w="2300"/>
        <w:gridCol w:w="1500"/>
        <w:gridCol w:w="1500"/>
        <w:gridCol w:w="2200"/>
      </w:tblGrid>
      <w:tr>
        <w:trPr>
          <w:tblHeader/>
        </w:trPr>
        <w:tc>
          <w:tcPr>
            <w:tcW w:w="1800" w:type="dxa"/>
            <w:tcBorders>
              <w:bottom w:val="single" w:color="37474F" w:sz="6"/>
            </w:tcBorders>
            <w:shd w:val="clear" w:fill="ECEFF1"/>
            <w:vAlign w:val="center"/>
          </w:tcPr>
          <w:p>
            <w:pPr>
              <w:spacing w:before="30" w:after="30" w:line="240" w:lineRule="auto"/>
              <w:jc w:val="left"/>
            </w:pPr>
            <w:r>
              <w:rPr>
                <w:b/>
                <w:color w:val="37474F"/>
                <w:sz w:val="19"/>
              </w:rPr>
              <w:t xml:space="preserve">Tier</w:t>
            </w:r>
          </w:p>
        </w:tc>
        <w:tc>
          <w:tcPr>
            <w:tcW w:w="2300" w:type="dxa"/>
            <w:tcBorders>
              <w:bottom w:val="single" w:color="37474F" w:sz="6"/>
            </w:tcBorders>
            <w:shd w:val="clear" w:fill="ECEFF1"/>
            <w:vAlign w:val="center"/>
          </w:tcPr>
          <w:p>
            <w:pPr>
              <w:spacing w:before="30" w:after="30" w:line="240" w:lineRule="auto"/>
              <w:jc w:val="left"/>
            </w:pPr>
            <w:r>
              <w:rPr>
                <w:b/>
                <w:color w:val="37474F"/>
                <w:sz w:val="19"/>
              </w:rPr>
              <w:t xml:space="preserve">GDP share</w:t>
            </w:r>
          </w:p>
        </w:tc>
        <w:tc>
          <w:tcPr>
            <w:tcW w:w="1500" w:type="dxa"/>
            <w:tcBorders>
              <w:bottom w:val="single" w:color="37474F" w:sz="6"/>
            </w:tcBorders>
            <w:shd w:val="clear" w:fill="ECEFF1"/>
            <w:vAlign w:val="center"/>
          </w:tcPr>
          <w:p>
            <w:pPr>
              <w:spacing w:before="30" w:after="30" w:line="240" w:lineRule="auto"/>
              <w:jc w:val="left"/>
            </w:pPr>
            <w:r>
              <w:rPr>
                <w:b/>
                <w:color w:val="37474F"/>
                <w:sz w:val="19"/>
              </w:rPr>
              <w:t xml:space="preserve">Voting</w:t>
            </w:r>
          </w:p>
        </w:tc>
        <w:tc>
          <w:tcPr>
            <w:tcW w:w="1500" w:type="dxa"/>
            <w:tcBorders>
              <w:bottom w:val="single" w:color="37474F" w:sz="6"/>
            </w:tcBorders>
            <w:shd w:val="clear" w:fill="ECEFF1"/>
            <w:vAlign w:val="center"/>
          </w:tcPr>
          <w:p>
            <w:pPr>
              <w:spacing w:before="30" w:after="30" w:line="240" w:lineRule="auto"/>
              <w:jc w:val="left"/>
            </w:pPr>
            <w:r>
              <w:rPr>
                <w:b/>
                <w:color w:val="37474F"/>
                <w:sz w:val="19"/>
              </w:rPr>
              <w:t xml:space="preserve">Burden</w:t>
            </w:r>
          </w:p>
        </w:tc>
        <w:tc>
          <w:tcPr>
            <w:tcW w:w="2200" w:type="dxa"/>
            <w:tcBorders>
              <w:bottom w:val="single" w:color="37474F" w:sz="6"/>
            </w:tcBorders>
            <w:shd w:val="clear" w:fill="ECEFF1"/>
            <w:vAlign w:val="center"/>
          </w:tcPr>
          <w:p>
            <w:pPr>
              <w:spacing w:before="30" w:after="30" w:line="240" w:lineRule="auto"/>
              <w:jc w:val="left"/>
            </w:pPr>
            <w:r>
              <w:rPr>
                <w:b/>
                <w:color w:val="37474F"/>
                <w:sz w:val="19"/>
              </w:rPr>
              <w:t xml:space="preserve">Public attribution</w:t>
            </w:r>
          </w:p>
        </w:tc>
      </w:tr>
      <w:tr>
        <w:tc>
          <w:tcPr>
            <w:tcW w:w="1800" w:type="dxa"/>
            <w:vAlign w:val="center"/>
          </w:tcPr>
          <w:p>
            <w:pPr>
              <w:spacing w:before="30" w:after="30" w:line="240" w:lineRule="auto"/>
              <w:jc w:val="left"/>
            </w:pPr>
            <w:r>
              <w:rPr>
                <w:color w:val="263238"/>
                <w:sz w:val="19"/>
              </w:rPr>
              <w:t xml:space="preserve">Core</w:t>
            </w:r>
          </w:p>
        </w:tc>
        <w:tc>
          <w:tcPr>
            <w:tcW w:w="2300" w:type="dxa"/>
            <w:vAlign w:val="center"/>
          </w:tcPr>
          <w:p>
            <w:pPr>
              <w:spacing w:before="30" w:after="30" w:line="240" w:lineRule="auto"/>
              <w:jc w:val="left"/>
            </w:pPr>
            <w:r>
              <w:rPr>
                <w:color w:val="263238"/>
                <w:sz w:val="19"/>
              </w:rPr>
              <w:t xml:space="preserve">Over 2% global GDP</w:t>
            </w:r>
          </w:p>
        </w:tc>
        <w:tc>
          <w:tcPr>
            <w:tcW w:w="1500" w:type="dxa"/>
            <w:vAlign w:val="center"/>
          </w:tcPr>
          <w:p>
            <w:pPr>
              <w:spacing w:before="30" w:after="30" w:line="240" w:lineRule="auto"/>
              <w:jc w:val="left"/>
            </w:pPr>
            <w:r>
              <w:rPr>
                <w:color w:val="263238"/>
                <w:sz w:val="19"/>
              </w:rPr>
              <w:t xml:space="preserve">100%</w:t>
            </w:r>
          </w:p>
        </w:tc>
        <w:tc>
          <w:tcPr>
            <w:tcW w:w="1500" w:type="dxa"/>
            <w:vAlign w:val="center"/>
          </w:tcPr>
          <w:p>
            <w:pPr>
              <w:spacing w:before="30" w:after="30" w:line="240" w:lineRule="auto"/>
              <w:jc w:val="left"/>
            </w:pPr>
            <w:r>
              <w:rPr>
                <w:color w:val="263238"/>
                <w:sz w:val="19"/>
              </w:rPr>
              <w:t xml:space="preserve">100%</w:t>
            </w:r>
          </w:p>
        </w:tc>
        <w:tc>
          <w:tcPr>
            <w:tcW w:w="2200" w:type="dxa"/>
            <w:vAlign w:val="center"/>
          </w:tcPr>
          <w:p>
            <w:pPr>
              <w:spacing w:before="30" w:after="30" w:line="240" w:lineRule="auto"/>
              <w:jc w:val="left"/>
            </w:pPr>
            <w:r>
              <w:rPr>
                <w:color w:val="263238"/>
                <w:sz w:val="19"/>
              </w:rPr>
              <w:t xml:space="preserve">Full public attribution</w:t>
            </w:r>
          </w:p>
        </w:tc>
      </w:tr>
      <w:tr>
        <w:tc>
          <w:tcPr>
            <w:tcW w:w="1800" w:type="dxa"/>
            <w:vAlign w:val="center"/>
          </w:tcPr>
          <w:p>
            <w:pPr>
              <w:spacing w:before="30" w:after="30" w:line="240" w:lineRule="auto"/>
              <w:jc w:val="left"/>
            </w:pPr>
            <w:r>
              <w:rPr>
                <w:color w:val="263238"/>
                <w:sz w:val="19"/>
              </w:rPr>
              <w:t xml:space="preserve">Contributing</w:t>
            </w:r>
          </w:p>
        </w:tc>
        <w:tc>
          <w:tcPr>
            <w:tcW w:w="2300" w:type="dxa"/>
            <w:vAlign w:val="center"/>
          </w:tcPr>
          <w:p>
            <w:pPr>
              <w:spacing w:before="30" w:after="30" w:line="240" w:lineRule="auto"/>
              <w:jc w:val="left"/>
            </w:pPr>
            <w:r>
              <w:rPr>
                <w:color w:val="263238"/>
                <w:sz w:val="19"/>
              </w:rPr>
              <w:t xml:space="preserve">0.5 to 2% global GDP</w:t>
            </w:r>
          </w:p>
        </w:tc>
        <w:tc>
          <w:tcPr>
            <w:tcW w:w="1500" w:type="dxa"/>
            <w:vAlign w:val="center"/>
          </w:tcPr>
          <w:p>
            <w:pPr>
              <w:spacing w:before="30" w:after="30" w:line="240" w:lineRule="auto"/>
              <w:jc w:val="left"/>
            </w:pPr>
            <w:r>
              <w:rPr>
                <w:color w:val="263238"/>
                <w:sz w:val="19"/>
              </w:rPr>
              <w:t xml:space="preserve">75%</w:t>
            </w:r>
          </w:p>
        </w:tc>
        <w:tc>
          <w:tcPr>
            <w:tcW w:w="1500" w:type="dxa"/>
            <w:vAlign w:val="center"/>
          </w:tcPr>
          <w:p>
            <w:pPr>
              <w:spacing w:before="30" w:after="30" w:line="240" w:lineRule="auto"/>
              <w:jc w:val="left"/>
            </w:pPr>
            <w:r>
              <w:rPr>
                <w:color w:val="263238"/>
                <w:sz w:val="19"/>
              </w:rPr>
              <w:t xml:space="preserve">75%</w:t>
            </w:r>
          </w:p>
        </w:tc>
        <w:tc>
          <w:tcPr>
            <w:tcW w:w="2200" w:type="dxa"/>
            <w:vAlign w:val="center"/>
          </w:tcPr>
          <w:p>
            <w:pPr>
              <w:spacing w:before="30" w:after="30" w:line="240" w:lineRule="auto"/>
              <w:jc w:val="left"/>
            </w:pPr>
            <w:r>
              <w:rPr>
                <w:color w:val="263238"/>
                <w:sz w:val="19"/>
              </w:rPr>
              <w:t xml:space="preserve">Attribution optional</w:t>
            </w:r>
          </w:p>
        </w:tc>
      </w:tr>
      <w:tr>
        <w:tc>
          <w:tcPr>
            <w:tcW w:w="1800" w:type="dxa"/>
            <w:vAlign w:val="center"/>
          </w:tcPr>
          <w:p>
            <w:pPr>
              <w:spacing w:before="30" w:after="30" w:line="240" w:lineRule="auto"/>
              <w:jc w:val="left"/>
            </w:pPr>
            <w:r>
              <w:rPr>
                <w:color w:val="263238"/>
                <w:sz w:val="19"/>
              </w:rPr>
              <w:t xml:space="preserve">Protected</w:t>
            </w:r>
          </w:p>
        </w:tc>
        <w:tc>
          <w:tcPr>
            <w:tcW w:w="2300" w:type="dxa"/>
            <w:vAlign w:val="center"/>
          </w:tcPr>
          <w:p>
            <w:pPr>
              <w:spacing w:before="30" w:after="30" w:line="240" w:lineRule="auto"/>
              <w:jc w:val="left"/>
            </w:pPr>
            <w:r>
              <w:rPr>
                <w:color w:val="263238"/>
                <w:sz w:val="19"/>
              </w:rPr>
              <w:t xml:space="preserve">Under 0.5% or LDC</w:t>
            </w:r>
          </w:p>
        </w:tc>
        <w:tc>
          <w:tcPr>
            <w:tcW w:w="1500" w:type="dxa"/>
            <w:vAlign w:val="center"/>
          </w:tcPr>
          <w:p>
            <w:pPr>
              <w:spacing w:before="30" w:after="30" w:line="240" w:lineRule="auto"/>
              <w:jc w:val="left"/>
            </w:pPr>
            <w:r>
              <w:rPr>
                <w:color w:val="263238"/>
                <w:sz w:val="19"/>
              </w:rPr>
              <w:t xml:space="preserve">50%</w:t>
            </w:r>
          </w:p>
        </w:tc>
        <w:tc>
          <w:tcPr>
            <w:tcW w:w="1500" w:type="dxa"/>
            <w:vAlign w:val="center"/>
          </w:tcPr>
          <w:p>
            <w:pPr>
              <w:spacing w:before="30" w:after="30" w:line="240" w:lineRule="auto"/>
              <w:jc w:val="left"/>
            </w:pPr>
            <w:r>
              <w:rPr>
                <w:color w:val="263238"/>
                <w:sz w:val="19"/>
              </w:rPr>
              <w:t xml:space="preserve">25%</w:t>
            </w:r>
          </w:p>
        </w:tc>
        <w:tc>
          <w:tcPr>
            <w:tcW w:w="2200" w:type="dxa"/>
            <w:vAlign w:val="center"/>
          </w:tcPr>
          <w:p>
            <w:pPr>
              <w:spacing w:before="30" w:after="30" w:line="240" w:lineRule="auto"/>
              <w:jc w:val="left"/>
            </w:pPr>
            <w:r>
              <w:rPr>
                <w:color w:val="263238"/>
                <w:sz w:val="19"/>
              </w:rPr>
              <w:t xml:space="preserve">Anonymous: identified only as IMESI member states</w:t>
            </w:r>
          </w:p>
        </w:tc>
      </w:tr>
      <w:tr>
        <w:tc>
          <w:tcPr>
            <w:tcW w:w="1800" w:type="dxa"/>
            <w:vAlign w:val="center"/>
          </w:tcPr>
          <w:p>
            <w:pPr>
              <w:spacing w:before="30" w:after="30" w:line="240" w:lineRule="auto"/>
              <w:jc w:val="left"/>
            </w:pPr>
            <w:r>
              <w:rPr>
                <w:color w:val="263238"/>
                <w:sz w:val="19"/>
              </w:rPr>
              <w:t xml:space="preserve">Supporting</w:t>
            </w:r>
          </w:p>
        </w:tc>
        <w:tc>
          <w:tcPr>
            <w:tcW w:w="2300" w:type="dxa"/>
            <w:vAlign w:val="center"/>
          </w:tcPr>
          <w:p>
            <w:pPr>
              <w:spacing w:before="30" w:after="30" w:line="240" w:lineRule="auto"/>
              <w:jc w:val="left"/>
            </w:pPr>
            <w:r>
              <w:rPr>
                <w:color w:val="263238"/>
                <w:sz w:val="19"/>
              </w:rPr>
              <w:t xml:space="preserve">Any GDP (opt-in)</w:t>
            </w:r>
          </w:p>
        </w:tc>
        <w:tc>
          <w:tcPr>
            <w:tcW w:w="1500" w:type="dxa"/>
            <w:vAlign w:val="center"/>
          </w:tcPr>
          <w:p>
            <w:pPr>
              <w:spacing w:before="30" w:after="30" w:line="240" w:lineRule="auto"/>
              <w:jc w:val="left"/>
            </w:pPr>
            <w:r>
              <w:rPr>
                <w:color w:val="263238"/>
                <w:sz w:val="19"/>
              </w:rPr>
              <w:t xml:space="preserve">25%</w:t>
            </w:r>
          </w:p>
        </w:tc>
        <w:tc>
          <w:tcPr>
            <w:tcW w:w="1500" w:type="dxa"/>
            <w:vAlign w:val="center"/>
          </w:tcPr>
          <w:p>
            <w:pPr>
              <w:spacing w:before="30" w:after="30" w:line="240" w:lineRule="auto"/>
              <w:jc w:val="left"/>
            </w:pPr>
            <w:r>
              <w:rPr>
                <w:color w:val="263238"/>
                <w:sz w:val="19"/>
              </w:rPr>
              <w:t xml:space="preserve">10%</w:t>
            </w:r>
          </w:p>
        </w:tc>
        <w:tc>
          <w:tcPr>
            <w:tcW w:w="2200" w:type="dxa"/>
            <w:vAlign w:val="center"/>
          </w:tcPr>
          <w:p>
            <w:pPr>
              <w:spacing w:before="30" w:after="30" w:line="240" w:lineRule="auto"/>
              <w:jc w:val="left"/>
            </w:pPr>
            <w:r>
              <w:rPr>
                <w:color w:val="263238"/>
                <w:sz w:val="19"/>
              </w:rPr>
              <w:t xml:space="preserve">None: described as supporting the coalition</w:t>
            </w:r>
          </w:p>
        </w:tc>
      </w:tr>
    </w:tbl>
    <w:p>
      <w:r>
        <w:t xml:space="preserve">Protected and Supporting tiers cannot block activation votes. The v11.0 MFN Aggregator intensifies all other members' measures by the value of any exemption granted to one member, holding total pressure constant; v15.0 Enhanced Anonymity lets members join the Supporting tier without GDP limits in systemic-economy activations, while coalition-level anonymity never displaces each member's domestic transparency under GATT Article X. The Burden-Sharing Escalation Surcharge (8.4A Revision) prices participation shortfalls progressively (under 10% below floor: +15%; 10 to 25%: +50%; over 25%: +100%), recycling 50% of escalation surcharge revenue as a Solidarity Bonus to members exceeding 110% of the floor, with published rankings; a certified hardship exemption suspends obligations where coercion-caused budget impact exceeds 2% of the government budget, with arrears forgiven if the case closes within 24 months or amortised over 36 months. The Political Volatility Surcharge Shield (8.4F, v12.1) adjusts contribution floors during certified Political Volatility Events.</w:t>
      </w:r>
    </w:p>
    <w:p>
      <w:pPr>
        <w:pStyle w:val="Heading3"/>
      </w:pPr>
      <w:r>
        <w:t xml:space="preserve">Solvency, Liquidity, and Fund Architecture (Sections 8.4D to 8.6)</w:t>
      </w:r>
    </w:p>
    <w:p>
      <w:r>
        <w:t xml:space="preserve">Fund Solvency Safeguards (8.4D): quarterly liquidity reporting against a 25% floor of allocated Fund size; below 30% liquidity, a 55% CC vote triggers an emergency call of 0.25% GDP from Tier 2+ members payable within 30 days; below 20%, an automatic 0.5% GDP call fires; total borrowing stays under 50% of paid-in capital absent a 70% vote with published justification; below 5% liquid assets, the DG declares a 7-day Standstill, the CC convenes within 24 hours, and options run to a 1% GDP massive capital call. A 5-year inflation adjustment and external audit complete the framework. The Multi-Crisis Stress Envelope (8.4E): with two or more Phase 2+ crises active, no member's total emergency contributions exceed 0.15% of GDP per 12-month period across all cases combined; allocations prioritise humanitarian corridor cases, then small-state primary targets, then chronological order; the CC authorises a temporary 25% top-up by 60% vote, repayable over 24 months, and the DG draws pre-negotiated IMF/BIS emergency credit lines. The High-Intensity Case Fatigue Protocol (v13.0) treats a Phase 3 activation de-escalating to Phase 0 within 30 days as a High-Intensity False Flag for Fund accounting. Protected reserves: the Small-State Resilience Reserve hard-reserves 20% of the Fund for small-state primary targets, alongside the Pre-Formation Tariff Shield for founders; the Vulnerable Coalition Window covers co-targeted small states; Small-State Diversification Priority Scoring adds 25% weighting for members targeted within the past 5 years; the First-Mover Protection Window reserves 10 to 15% of capitalised reserves for the first 10 ratifying states facing retaliation.</w:t>
      </w:r>
    </w:p>
    <w:p>
      <w:r>
        <w:t xml:space="preserve">Emergency Liquidity (8.5): emergency borrowing up to 50% of capitalised assets, USD 10 to 15 billion in pre-arranged central bank credit lines, and AAA-rated bond issuance backed by member guarantees. Tiered disbursement authority: up to USD 100 million by the DG immediately; USD 100 to 500 million by the DG plus simple CC majority (remote vote) within 4 hours; USD 500 million to 2 billion by the DG plus 55% weighted vote within 12 hours; above USD 2 billion by 60% weighted vote plus independent impact assessment within 5 to 7 days; Category 1 Red-Line designation lets the DG activate at the USD 500 million tier without a Committee vote for Phase 1. Dual Pool Architecture (8.6): the Stabilisation Fund (80% of total) serves coercion cases exclusively with a 40% maximum annual draw-down; the Peacetime Fund (20%) covers pandemic, climate disaster, and financial contagion response for all tiers and transfers to stabilisation use only by 75% weighted vote. Specialised sub-funds: the Burden Equalisation Fund (USD 10 to 20 billion, formula-driven automatic transfers) and the Defection Penalty Fund (penalty resources compensating members harmed by defections).</w:t>
      </w:r>
    </w:p>
    <w:p>
      <w:pPr>
        <w:pStyle w:val="Heading3"/>
      </w:pPr>
      <w:r>
        <w:t xml:space="preserve">Shadow Financial Infrastructure (Section 8.10)</w:t>
      </w:r>
    </w:p>
    <w:p>
      <w:r>
        <w:t xml:space="preserve">The SFI provides the coalition's parallel settlement capacity: permanent, unlimited, pre-negotiated swap lines among all Tier 2+ members; the functional IMESI unit of account (IMU), blockchain-settled and reserve-backed; dedicated IMESI clearing banks in 4 regions; and an active green bond programme creating an alternative capital market. Where a coercing state applies tariffs unilaterally, a 125% SFI surcharge applies to transactions settling in the coercing state's currency. Phased operational targets: 0.5 to 1% of trade via SFI in Years 1 to 2 (voluntary), 1 to 2% in Year 3 (quarterly drills), 2 to 3% in Year 4 (monthly drills binding for Tier 2+, 5% Fund surcharge for non-participation), and binding settlement targets of 3% by Year 5, 5% by Year 7, 10% by Year 10; IMU-denominated trade credit carries automatic drawdown rights during coercion cases, and correspondent banking relationships with 3 neutral financial centres stand pre-negotiated before the first crisis.</w:t>
      </w:r>
    </w:p>
    <w:p>
      <w:r>
        <w:t xml:space="preserve">Continuity and protection: the SFI guarantees 100% of trade finance Letters of Credit issued by IMESI clearing banks for member-destined or member-origin goods (v14.0); the Settlement Continuity Guarantee (v12.1) keeps full SFI function through tariff regime disruption, unannounced trade actions, and regulatory surprise; core reserve assets sit in at least three geographically distributed neutral jurisdictions with legal protections against freezes and expropriation (v13.0); market-triggered activation fires on an anomalous devaluation of a member's currency exceeding 10% against the coercer's currency within 72 hours of a policy announcement (v12.1). Multilateral interoperability (8.10C): the Secretariat consults the IMF Managing Director before any financial stabilisation measure enters implementation; Category 2 Red-Line triggers automatic notification to the IMF and BIS within 4 hours. The Financial Architecture Resilience Protocol (v15.0): certified coercer pressure on the IMF or BIS that restricts financial services to members triggers automatic Standalone Financial Emergency Protocol activation limited to defensive liquidity and settlement functions under the GATS prudential carve-out, and a documented influence campaign against IMF or BIS credit lines constitutes Institutional Coercion (Red-Line I-2) with full IAC investigation. Under the SFEP, all pre-positioned settlement infrastructure goes live and the IMU becomes the sole settlement currency for intra-IMESI trade for the duration. Capital Account Defence (8.10E) maintains non-member swap lines and an emergency sovereign bond purchase programme.</w:t>
      </w:r>
    </w:p>
    <w:p>
      <w:r>
        <w:t xml:space="preserve">Settlement Preference Adjustments (8.10G): upon certification and an affirmative CC vote, the Secretariat raises SFI settlement fees for coercer-state counterparties to 125% of standard, lowers intra-IMESI fees in affected sectors to 85%, and gives IMU-denominated settlement 48-hour clearing priority; any member elects the opt-out and settles via non-IMESI channels. Preference shifts expire automatically at case closure or de-escalation to Phase 0, never exceed 24 months without 55% reauthorisation, and undergo review at the 12-month mark. The Currency and Origin Neutrality Clause (8.10H) designs every financial provision currency-neutral and origin-neutral. The Graduated Use Protocol (8.10I): Phase 1 packages exclude financial instruments entirely; financial instruments become available only at Phase 2 or above upon a separate 60% CC vote specifically authorising financial measures; a published Financial Impact Assessment precedes deployment; central bank swap lines remain classified as defensive liquidity, available at all phases; a credible threat of financial measures by a head of state or finance minister suffices for preparatory activation (v13.0). SFI coverage extends to emerging channels including cross-border CBDC settlement (8.10X).</w:t>
      </w:r>
    </w:p>
    <w:p>
      <w:pPr>
        <w:pStyle w:val="Heading3"/>
      </w:pPr>
      <w:r>
        <w:t xml:space="preserve">Commitment, Spillover, and Member Protection Instruments (Sections 8.11 to 8.36)</w:t>
      </w:r>
    </w:p>
    <w:p>
      <w:r>
        <w:t xml:space="preserve">Irreversible Commitment Bonds (8.11, optional): 10-year IMU-denominated bonds signalling credible long-term commitment; mandatory for Tier 3 at 0.5% of GDP, optional for Tier 2 with a 15% contribution reduction at a 0.25% GDP minimum; coupon 2% in good standing, 6% penalty rate upon Tier 2 violation, immediate 50% principal recall upon Tier 1 violation; proceeds capitalise the Paid-In Base. Third-Country Spillover Fund (8.11 Revision): a mandatory Third-Country Impact Assessment precedes every Phase 2+ authorisation; spillover exceeding 5% of any non-member's export flows triggers automatic Spillover Compensation Fund grants (grants, not loans), funded 50% from the general Fund and 50% from implementing members, capped at 0.5% of total Fund annually. Development support never carries alignment conditionality (8.11A); v15.0 prohibits implicit conditionality expressly, maintains a public Registry of Development Assistance, and treats violations as Tier 1 anti-fragmentation violations, while legitimate, criteria-based assistance stands untouched. Track A Spillover Support (8.11B) extends stabilisation to vulnerable non-members, guided by the Strategic Non-Member Vulnerability Register (v13.0). The Coercion Impact Fund for Non-Members (8.11C, v15.0), capitalised at 1% of the Fund, pays grants covering up to 50% of documented harm to non-members suffering from coercion targeting the coalition, with rerouting assistance and SFI humanitarian settlement windows, administered through the World Bank or IMF where feasible under a single condition: no support to the coercer's circumvention.</w:t>
      </w:r>
    </w:p>
    <w:p>
      <w:r>
        <w:t xml:space="preserve">Graduated Crisis Response with Opt-Out (8.12): existential-magnitude coercion (over 5% GDP impact within 12 months, comprehensive embargo or financial exclusion, humanitarian threat) unlocks enhanced solidarity mechanisms; opt-outs carry escalating surcharges: 50% for the first in a 10-year period, 100% plus automatic 24-month downgrade to Associate for the second, 150% plus permanent downgrade to Observer+ for the third; downgraded members apply for upgrade after 24 months with unanimous Tier 3 consent. Coercion-Induced Displacement Response (8.13) activates at over 50,000 persons displaced across borders, over 500,000 internally displaced, or critical infrastructure collapse affecting over 10% of a population. The Resilience Dividend Program (8.14) pays annual cash-equivalent distributions from the Peacetime Fund for verified diversification regardless of whether coercion occurs, extended by v14.0 resilience bond certification for qualifying sovereign and corporate diversification bonds. The Coercion Resilience Rating (8.14A) publishes annual advisory sovereign ratings incorporating the Tariff Policy Volatility metric and the Market Stability Watch function; the Sovereign Debt Rating Premium (v15.0) establishes a Credit Rating Liaison Unit with quarterly agency data sharing, where a one-notch premium saves an estimated 25 to 50 basis points of borrowing cost. Accelerated Diversification Recognition (8.14B) rewards members cutting single-source dependency over 10% within 24 months with priority Resilience Fund consideration.</w:t>
      </w:r>
    </w:p>
    <w:p>
      <w:r>
        <w:t xml:space="preserve">Further instruments in summary: Sovereign Cloud Sovereignty Credit (8.15); Coercion Risk Insurance (8.16); Pre-Launch Binding Commitment (8.17); Anticipatory Damage Facility (8.18) with its Debt Service Bridge Sub-Facility (8.18A, under IMF surveillance), Psychological Impact Guarantee (8.18B), and First-Response Compensation Fund (8.18D, v15.0); Post-Case Recovery Fast-Track (8.19); Multilateral Financial Safety Net Integration (8.20) including IMF Rapid Financing Coordination (8.20D), the Sovereign Yield Stabilisation Window (8.20A) for members with yield spikes above 150 basis points, and the IMESI Liquidity Backstop Guarantee (8.20E, v15.0); Voluntary Implementation Commitment (8.21); Stability Facility Activation (8.22); Stability Solidarity Contributions (8.23); Resilience Support Framework (8.24); Resilience Investment Credits (8.25); Essential Imports Safeguard (8.26); Pre-Arranged Liquidity and Trade Credit Network (8.27); Supply-Chain Resilience Pre-Investment Facility (8.28) with the v15.0 Regional Logistics Surge Authority (8.28A), Strategic Processed Minerals Reserve (8.28B), IMESI Infrastructure Investment Fund (8.28C), and IMESI Energy Security Pool (8.28D); Automatic Trade Diversification Acceleration Trigger (8.29); Domestic Industry Safeguard Trigger (7.4A); Symmetric Restraint for systemic-economy measures (7.5 Revision); Coalition Capacity Insurance (8.30); Arbitrary Shock Diversification Facility (8.31); Unilateral Measure Stabilisation Fund (8.32); Private Sector Liquidity Guarantee Programme (8.33); and the v15.0 Military Insurance Fund (8.34), Civilian Evacuation Corridor (8.35), and Solidarity Bonus Amplifier (8.36).</w:t>
      </w:r>
    </w:p>
    <w:p>
      <w:pPr>
        <w:pStyle w:val="Heading2"/>
      </w:pPr>
      <w:r>
        <w:t xml:space="preserve">Article IX: External Engagement</w:t>
      </w:r>
    </w:p>
    <w:p>
      <w:r>
        <w:t xml:space="preserve">External engagement answers the charge every coalition faces: that mutual defence is bloc politics by another name. IMESI's response is procedural openness: observer access, notification duties, deference to WTO review, and standing offers of cooperation to the very economies it deters. The private-sector tracks recognise that coercion travels through firms as much as through states, and that resilience built with industry outlasts resilience imposed on it.</w:t>
      </w:r>
    </w:p>
    <w:p>
      <w:pPr>
        <w:pStyle w:val="Heading3"/>
      </w:pPr>
      <w:r>
        <w:t xml:space="preserve">WTO Engagement and Legal Anchoring (Sections 9.1 to 9.2B)</w:t>
      </w:r>
    </w:p>
    <w:p>
      <w:r>
        <w:t xml:space="preserve">The Instrument declares that states using tariffs for political coercion stand subject to stabilisation responses, and the Parties recognise such tactics as a threat to international economic order (v11.0); nothing in the Instrument diminishes, waives, or prejudices any member's rights under the WTO Agreements (v12.0). IMESI seeks formal WTO observer status within 90 days of the founding conference and files formal notification of its formation and operational framework within 30 days, registering the Instrument as a plurilateral mutual insurance mechanism citing GATT Article XXI as the primary legal basis (v15.0), and seeking observer status with the Committee on Trade and Development and the Committee on Regional Trade Agreements. The WTO Deference Clause (9.1A) directs members to reconcile any conflict between Instrument and WTO obligations in good faith, with WTO obligations prevailing where reconciliation proves impossible; the Consultation Request Protocol gives any WTO Member a consultation channel with a 14-day Secretariat response. Before any Phase 2 or Phase 3 activation, the Secretariat prepares and publishes a Compatibility Assessment confirming consistency with members' WTO obligations, transmitted to the WTO Secretariat, published on the Dashboard, and admissible in any proceeding (v15.0); the Parties commit to good-faith engagement with the WTO Secretariat and any concerned WTO Member, without any obligation to modify or suspend measures where that would undermine the Instrument's core defensive purpose.</w:t>
      </w:r>
    </w:p>
    <w:p>
      <w:r>
        <w:t xml:space="preserve">GATT Article XXI Pre-Certification (9.1B, v15.0): the IEWC's certification of an AESI or economic coercion constitutes a formal determination that an emergency in international relations exists for purposes of GATT Article XXI(b)(iii); the determination is documented in the Proportionality Certification Memo, transmitted to the WTO Secretariat and all members, and cited as the legal basis for every trade-affecting measure; it carries deference before any WTO panel consistent with the deferential standard established in Russia, Traffic in Transit. The WTO Coordination and Defence Unit (9.2B, v15.0), staffed by five international trade lawyers and three trade economists, monitors WTO activities, coordinates the collective legal defence of IMESI measures, and develops model arguments; its findings carry advisory status with significant legal weight. A standing Joint Working Group with the WTO Secretariat (9.2A) conducts an annual coherence review.</w:t>
      </w:r>
    </w:p>
    <w:p>
      <w:pPr>
        <w:pStyle w:val="Heading3"/>
      </w:pPr>
      <w:r>
        <w:t xml:space="preserve">Treaty Compatibility and Regional Accommodation (Sections 9.3 to 9.4C)</w:t>
      </w:r>
    </w:p>
    <w:p>
      <w:r>
        <w:t xml:space="preserve">Before stabilisation measure authorisation, the Secretariat seeks non-binding compatibility opinions from the WTO Secretariat (trade measures), the IMF (financial measures), and relevant investment bodies; opinions publish within the coalition and inform measure design, and the CC overrides a negative opinion by 60% weighted vote with published justification. The Third-Party Input Protocol invites affected third states and international organisations to submit views on significantly affecting measures. Hierarchy of obligations (9.4): IMESI obligations prevail over regional trade agreement provisions only where the RTA lacks a functionally comparable anti-coercion mechanism or the case is systemic; the Regional Accommodation Mechanism runs on 48-hour written notice with specific legal basis, substitution burden at 150% of the standard rate presumptively (reducible to 125% by 60% vote), expiry at case closure or 12 months, and mandatory IAC good-faith review; members deposit IMESI-RTA coordination side letters within 12 months. FTA partners receive notification of affecting measures; regional court rulings inconsistent with IMESI obligations route through the Internal Adjudication Chamber for reconciliation; coercer use of a regional agreement as cover for coercion receives treatment as a pretextual aggravation; and any new bilateral or regional agreement signed during an active case includes a clause recognising IMESI obligations as pre-eminent for the case duration (Anti-Override Protocol, v13.0). The WTO Non-Violation Rebuttal Protocol (9.4B, v15.0) answers GATT Article XXIII non-violation complaints in advance: no member held a reasonable expectation that WTO Members would not respond collectively to economic coercion, and such complaints stand without merit and contrary to the object and purpose of the WTO Agreements. The Affirmation of the Security Exception (9.4C, v15.0) declares GATT Article XXI a right of all WTO Members, not a unilateral privilege, subject to the objective review standard of Russia, Traffic in Transit, a standard IMESI measures meet through the IEWC certification process and the Proportionality Certification Memo.</w:t>
      </w:r>
    </w:p>
    <w:p>
      <w:pPr>
        <w:pStyle w:val="Heading3"/>
      </w:pPr>
      <w:r>
        <w:t xml:space="preserve">External Tracks (Sections 9.5 to 9.8E)</w:t>
      </w:r>
    </w:p>
    <w:p>
      <w:r>
        <w:t xml:space="preserve">The Systemic-Economy Cooperation Track (9.5) offers economies above 10% of global GDP structured engagement without membership: quarterly non-classified observer briefings, annual joint stress tests, and shared resilience studies, reducing misperception of IMESI as hostile. Resilience Partner Status (9.6) opens cooperation on economic security without reciprocal obligations. The Political-Military Liaison Channel (9.7) designates one senior Military-Economic Liaison per member to the IEWC for contextual intelligence only, behind a strict firewall: no IMESI intelligence collection on military matters, no coordination of military operations, no economic measures designed to achieve military objectives, liaison input advisory only; all liaison communications log to the CC quarterly, and any attempt to use the channel for military operational coordination triggers automatic IAC review.</w:t>
      </w:r>
    </w:p>
    <w:p>
      <w:r>
        <w:t xml:space="preserve">The Private Sector Stabilisation Channel (9.8) formalises interfaces with major firms, logistics networks, and financial institutions: pre-negotiated emergency rerouting agreements, standing shock-absorption arrangements with commodity traders and reserve operators, voluntary early-warning reporting of anomalous restrictions and cancellations, and coordination on settlement continuity and trade finance; companies reporting early warnings of supply-chain manipulation receive explicit immunity (v11.0); participants receive no classified intelligence and hold no role in activation decisions; IMESI Resilience Certified firms gain expedited adjudication of coercive trade actions (v14.0). The IMESI Business Council (9.8A) comprises nominated representatives of trading firms, logistics networks, financial institutions, and technology providers; it administers the voluntary IMESI Resilience Certified supply-chain mark, collects anonymised corporate early-warning information, and operates under a 5-member Private Sector Advisory Board; certified firms receive a binding 24-hour customs clearance guarantee with a 12-hour target (v14.0). Private-Sector Compliance Principles (9.8B): proportionality (obligations scale with phase and sector; Phase 0 to 1 imposes minimal or no firm obligations), predictability (pre-notified sectoral playbooks), due process (minimum 30 days advance notice for Phase 2+ obligations, IAC appeal channels), and a non-punitive stance toward firms complying in good faith with coercer-state domestic law. The Independent Media and Fact-Checking Partnership Program (9.8C) operates under formal memoranda with accredited organisations. The Digital Market Access Pass (9.8D, v15.0) grants certified digital service providers 30-day regulatory approval for market access in any member state, operating as GATS Article VII mutual recognition open to any WTO member demonstrating equivalent standards, at a nominal USD 500 fee, established within 18 months. The Corporate Integrity Pledge (9.8E, v15.0) offers signatory corporations a 5% price preference in Joint Procurement Consortium tenders in exchange for public support of IMESI membership; violations revoke benefits, publish the corporation on the Dashboard, and bar IMESI procurement participation; the Pledge is voluntary and non-signatories retain standard benefits.</w:t>
      </w:r>
    </w:p>
    <w:p>
      <w:pPr>
        <w:pStyle w:val="Heading3"/>
      </w:pPr>
      <w:r>
        <w:t xml:space="preserve">Open Architecture for Partial Accession (Section 9.6A)</w:t>
      </w:r>
    </w:p>
    <w:p>
      <w:r>
        <w:t xml:space="preserve">Non-member states, including participants in other coalitions, accede to selected modules without full IMESI obligations: the Supply-Chain Transparency Module (trade-flow data sharing and vulnerability mapping), the Joint Procurement Module (tender eligibility in specified sectors), and the Early-Warning Module (dashboard risk indicators and IEWC unclassified publications). The No Exclusivity Guarantee (v12.0): IMESI is non-exclusive; no member ever chooses between IMESI and any other arrangement.</w:t>
      </w:r>
    </w:p>
    <w:p>
      <w:pPr>
        <w:pStyle w:val="Heading2"/>
      </w:pPr>
      <w:r>
        <w:t xml:space="preserve">Article X: Institutional Evolution</w:t>
      </w:r>
    </w:p>
    <w:p>
      <w:r>
        <w:t xml:space="preserve">Institutions that cannot change die; institutions that change without discipline invite capture. This Article threads that needle through staged entry, time-boxed experimentation, mandatory review, and the Grand Review's constituent authority. The Living Document Protocol closes the design: a Charter stable enough to ratify, an operational layer fast enough to matter, and a rolling update cycle that keeps the text honest without reopening settled commitments.</w:t>
      </w:r>
    </w:p>
    <w:p>
      <w:pPr>
        <w:pStyle w:val="Heading3"/>
      </w:pPr>
      <w:r>
        <w:t xml:space="preserve">Grand Review Convention (Section 10A.1)</w:t>
      </w:r>
    </w:p>
    <w:p>
      <w:r>
        <w:t xml:space="preserve">Every 6 years, IMESI convenes a mandatory Constituent Assembly: all member states, all tiers, with external observers from the United Nations, the WTO, and civil society organisations. The Convention reviews operations, amendments, and AIM Mutations, and publishes its findings in full, demonstrating the framework's commitment to accountability. The Founding Period Confidential Review (10A.1A) convenes after the first systemic-economy activation or 3 years from entry into force, whichever comes first. The Standing Political-Economy Vulnerability Assessment (10.1B) maintains per-state analysis without requiring any certification; the Services Stabilisation Protocol (10.14) keeps services measures consistent with GATS except as necessary to respond to coercion; Sub-National Political Targeting guidance (10.1A) directs stabilisation design toward politically sensitive regions within the coercing state.</w:t>
      </w:r>
    </w:p>
    <w:p>
      <w:pPr>
        <w:pStyle w:val="Heading3"/>
      </w:pPr>
      <w:r>
        <w:t xml:space="preserve">Staged Entry into Force (Section 10A.2)</w:t>
      </w:r>
    </w:p>
    <w:p>
      <w:r>
        <w:t xml:space="preserve">The Phase-0 Core Implementation Profile lets 10 to 12 founding members launch with minimal overhead: six mandatory modules in Years 1 to 3: (1) IEWC Core with basic certification and monitoring, 15 to 20 analysts at roughly USD 8 million per year; (2) Minimal SFI settlement preference, USD 25 to 40 million setup plus USD 5 million per year; (3) a small GDP-capped Fund, 0.05 to 0.1% of GDP over 3 years with in-kind contributions accepted, roughly USD 3 to 6 billion total for 12 average members; (4) five core pre-authorised scenarios (Alpha, Beta, Gamma, Delta, Theta-Tariff); (5) the anti-fragmentation core (TSR disclosure, ACE basic triggers, Constructive Abstention); (6) the communications framework. Year 3 review unlocks the climate-trade protocol, cognitive coercion measures, the Emergency Accession Protocol, and ADAI/CFM pilots upon a successful stress test, 60% weighted vote, and minimum 10 member opt-ins; Year 5 review unlocks full DAR activation, SFI advanced features, and Coalition Fracture Reinsurance on the same terms. A dedicated sub-body tracks readiness for each module, and non-adoption of any optional module at its review date never affects core membership.</w:t>
      </w:r>
    </w:p>
    <w:p>
      <w:pPr>
        <w:pStyle w:val="Heading3"/>
      </w:pPr>
      <w:r>
        <w:t xml:space="preserve">Universalisation, Mutation, and Entry Thresholds (Sections 10A.2B to 10A.4)</w:t>
      </w:r>
    </w:p>
    <w:p>
      <w:r>
        <w:t xml:space="preserve">The Graduated Universalisation Roadmap (10A.3) sequences WTO plurilateral designation, UN General Assembly observer status, open accession for all UN members with differentiated obligations, Article XXIV bis regional mutual insurance recognition, and a quasi-universal regime in which IMESI-Compatible stands as the de facto global standard; at each milestone the CC votes to proceed (55%), extend (simple majority), or pivot (60% with published justification). Adaptive Institutional Mutation (AIM, 10A.4) enables rapid institutional evolution: the IEWC or 20+ CC members propose a Mutation with a specific problem statement, provision language, and 18-month experimental scope; approval takes a 55% vote; each Mutation addresses one functional objective and expands no existing scope; the Grand Review Convention conducts mandatory 12-month review; Mutations persist in provisional force past the 18-month point under Nofade rolling review; a public AIM Registry catalogues every proposal, vote, and outcome; a Current Coercer holds no right to propose Mutations diluting the response directed at it; and where a WTO dispute settlement body finds a specific IMESI measure in violation, the CC amends or adjusts the measure into compliance within 60 days.</w:t>
      </w:r>
    </w:p>
    <w:p>
      <w:r>
        <w:t xml:space="preserve">Entry thresholds: the Instrument enters into force provisionally with as few as 6 Full Members totalling at least 15% of global GDP, and the v15.0 Ratification Threshold confirms entry into force upon deposit of ratification instruments by at least 6 member states collectively representing at least 15% of global GDP and spanning at least 3 geographic regions (Americas, Europe, Asia-Pacific, Africa-Middle East); non-ratifying states accede under standard Article III procedures. The Founding Phase Operational Scope (10A.2C) limits the mandate to Phase-One authority (trade and tariff response, basic payment and settlement coordination, Resilience Fund liquidity and supply-chain assistance) until the first 5-year review activates Phase-Two authority (financial sanctions and SFI settlement restrictions, technology and platform controls, GSD/SND full features) by Grand Review Convention vote: a politically lighter first version with the full architecture available by democratic decision. The Pre-Activated Core (10A.2D) operates from the first 12 months as permanent standing functions: anonymised supply-chain intelligence sharing, joint procurement pilots in 2 to 3 strategic sectors, and real-time early-warning dashboards. Mandatory Renewal and Performance Audit (10A.5A): at the 5-year mark, an independent external audit panel conducts a full performance audit published 90 days before the renewal votes; Scope Renewal expands authority by vote; Core Renewal continues the Instrument by simple majority of the Grand Review Convention, with a 24-month wind-down applying if renewal fails.</w:t>
      </w:r>
    </w:p>
    <w:p>
      <w:pPr>
        <w:pStyle w:val="Heading3"/>
      </w:pPr>
      <w:r>
        <w:t xml:space="preserve">Attack-Activated Evolution (Sections 10A.6, 10A.7, v15.0)</w:t>
      </w:r>
    </w:p>
    <w:p>
      <w:r>
        <w:t xml:space="preserve">The Trust Accelerator Protocol: upon any certified attack under Section 1.7(a), members that maintained full participation during the attack advance one tier level automatically, and the Protocol runs without a separate CC vote under Nofade until the next Grand Review Convention. The Phoenix Protocol: upon any certified attack, the Secretariat immediately extends Observer+ offers to all WTO members that are not yet members or observers; the Protocol operates a minimum of 180 days, renewable by 55% vote, terminable only by 60% vote, applying automatically without a separate vote: every attack makes the coalition bigger, deeper, and more integrated, and attackers trigger expansion rather than contraction.</w:t>
      </w:r>
    </w:p>
    <w:p>
      <w:pPr>
        <w:pStyle w:val="Heading3"/>
      </w:pPr>
      <w:r>
        <w:t xml:space="preserve">Living Document Protocol (Section 10A.16, v15.0)</w:t>
      </w:r>
    </w:p>
    <w:p>
      <w:r>
        <w:t xml:space="preserve">The Instrument is maintained in three tiers. Tier 1, the Charter (30 pages maximum): core principles, structure, rights, and obligations, legally binding for ratification, accession, and enforcement, amended only through the treaty amendment process (Core Provisions, Articles I to VI, by 70% weighted vote; Operational Provisions by the standard threshold), no more than once per calendar year absent an IEWC-certified existential emergency. Tier 2, the Operational Manual: detailed activation procedures and operational annexes, updated on Secretariat proposal with 30-day Dashboard notice, limited to procedural refinements, clarifications, and technical updates. Tier 3, the Technical Reference: thresholds, formulas, and lists, updated by the Secretariat with publication and member notification, limited to numeric and list updates. The Living Document Dashboard displays the current version of all three tiers with complete version history; an Annual Living Document Review assesses all updates; any member challenges any update within 14 days with IAC adjudication; emergency updates stay narrowly tailored to active coercion cases; and full Nofade integration guarantees that no update causes any commitment to fade, expire, or decay. The Protocol is sui generis, tailored to the circumstances of August 2026; no provision creates an inference regarding any matter the text does not expressly address.</w:t>
      </w:r>
    </w:p>
    <w:p>
      <w:pPr>
        <w:pStyle w:val="Heading1"/>
        <w:pageBreakBefore/>
      </w:pPr>
      <w:r>
        <w:t xml:space="preserve">Part B: Operational Annexes</w:t>
      </w:r>
    </w:p>
    <w:p>
      <w:r>
        <w:t xml:space="preserve">The annexes follow the Instrument's layering principle. Annexes 1 through 2B carry the legal foundations and the proportionality discipline; Annexes 3 through 4 build resilience and anticipation; Annexes 5 through 7 run the machinery; Annexes 8 through 10B handle the hardest cases; Annexes 11 through 14 govern technology and finance; Annexes 15 through 16C manage strategy and narrative; and Annexes 20 through 25 hold the horizon: contingencies, founding instruments, hosting, thresholds, and the Nofade Rule that closes the text.</w:t>
      </w:r>
    </w:p>
    <w:p>
      <w:r>
        <w:t xml:space="preserve">Part B gathers the operational annexes of IMESI v15.0 in condensed form. Each annex entry preserves the binding mechanics, thresholds, and timelines of the full text; supporting commentary, extended examples, and drafting history remain in the master version. Annexes carry the same legal weight as the Articles they serve.</w:t>
      </w:r>
    </w:p>
    <w:p>
      <w:pPr>
        <w:pStyle w:val="Heading2"/>
      </w:pPr>
      <w:r>
        <w:t xml:space="preserve">Annex 1: Legal Foundations</w:t>
      </w:r>
    </w:p>
    <w:p>
      <w:r>
        <w:t xml:space="preserve">IMESI rests on customary international law, the Articles on State Responsibility, and the GATT Article XXI security exception as interpreted in Russia, Traffic in Transit. The Model Legal Justifications Library maintains pre-drafted legal memoranda for each stabilisation scenario, so a member facing coercion deploys a vetted justification within hours rather than weeks. The Compatibility Assurance Mechanism reviews every authorised measure against WTO obligations before activation and publishes its reasoning. The annex confirms that collective countermeasures in response to economic coercion stand as lawful acts of collective self-defence of the international economic order, and that no provision of IMESI derogates from obligations under the UN Charter.</w:t>
      </w:r>
    </w:p>
    <w:p>
      <w:r>
        <w:t xml:space="preserve">The Model Legal Justifications Library indexes memoranda by scenario template, so the legal package for any Annex 4 activation exists before the event and members adapt rather than draft from zero. The full text grounds each memorandum in the Articles on State Responsibility requirements of proportionality, necessity, temporariness, and notification, and records the standing interpretation that coercion against one member engages the collective interest from the first hour. Compatibility Assurance opinions publish within 72 hours of authorisation, and any divergence between an opinion and an authorised measure routes automatically to the IAC.</w:t>
      </w:r>
    </w:p>
    <w:p>
      <w:pPr>
        <w:pStyle w:val="Heading2"/>
      </w:pPr>
      <w:r>
        <w:t xml:space="preserve">Annex 1A: WTO Compatibility Protocol</w:t>
      </w:r>
    </w:p>
    <w:p>
      <w:r>
        <w:t xml:space="preserve">Members notify IMESI stabilisation measures to the WTO within 30 days of activation, citing the specific GATT Article XXI or equivalent provision engaged. The annex records the coalition's standing deference to the Russia, Traffic in Transit objective review standard: IMESI measures meet that standard by design through IEWC certification and the Proportionality Certification Memo. A two-phase consultation track governs disputes: informal consultation within 60 days, followed by formal proceedings only where consultation fails, with the coalition presenting a unified legal front through the WTO Compatibility Defence Unit.</w:t>
      </w:r>
    </w:p>
    <w:p>
      <w:r>
        <w:t xml:space="preserve">The protocol maintains model notification texts for each GATT provision a measure engages, so notification quality stays constant across members and across time. Where a WTO panel accepts jurisdiction, the WTO Compatibility Defence Unit coordinates expert submissions, and member legal teams share a common evidence bundle assembled by the IEWC. The annex records the coalition's position that security-exception invocations rest on good faith and withstand objective review, and that the certification architecture exists precisely to demonstrate that good faith to any reviewing body.</w:t>
      </w:r>
    </w:p>
    <w:p>
      <w:pPr>
        <w:pStyle w:val="Heading2"/>
      </w:pPr>
      <w:r>
        <w:t xml:space="preserve">Annex 1B: Investment Treaty Alignment</w:t>
      </w:r>
    </w:p>
    <w:p>
      <w:r>
        <w:t xml:space="preserve">The annex supplies model clauses for new bilateral investment treaties that preserve policy space for IMESI stabilisation measures, including a collective security exception and a denial-of-benefits provision directed at coercer-state investors using shell structures. Where an investor-state dispute arises from an IMESI measure, the coalition shares defence costs at 50% from the Fund and coordinates a single defence strategy through the Secretariat. Existing treaty obligations receive a rebuttable presumption of compatibility, and the IAC adjudicates conflicts between treaty awards and IMESI obligations with published reasoning.</w:t>
      </w:r>
    </w:p>
    <w:p>
      <w:r>
        <w:t xml:space="preserve">The model clauses cover three situations: new treaties, treaty renewal, and reservation protocols for the existing stock. Members exchange a schedule of treaties that lack security exceptions, and the Secretariat maintains a renegotiation calendar prioritising treaties with coercer-state counterparties. ISDS cost-sharing applies from the first notice of dispute, and the common defence strategy covers jurisdictional objections, merits, and quantum, with the Fund reimbursing half of reasonable costs on a quarterly cycle and the Secretariat coordinating expert witnesses.</w:t>
      </w:r>
    </w:p>
    <w:p>
      <w:pPr>
        <w:pStyle w:val="Heading2"/>
      </w:pPr>
      <w:r>
        <w:t xml:space="preserve">Annex 1C: Sovereign Debt Coercion Shield</w:t>
      </w:r>
    </w:p>
    <w:p>
      <w:r>
        <w:t xml:space="preserve">The annex addresses debt-weaponisation: collective action clauses with IMESI-standard aggregation language become the default for member sovereign issuance; a member facing coercive debt acceleration or creditor intimidation draws on a dedicated restructuring advisory facility; and the Fund backstops refinancing at pre-coercion rates for up to 24 months where certification confirms debt pressure as a coercion vector. The annex treats selective debt distress as a Red-Line Category trigger and coordinates with the Paris Club and IMF processes without subordinating IMESI determinations to either.</w:t>
      </w:r>
    </w:p>
    <w:p>
      <w:r>
        <w:t xml:space="preserve">The advisory facility staffs sovereign-debt counsel, economists, and negotiators on a standing roster, and activation takes 5 business days from a member's request. The annex sets coordination principles with official creditors: IMESI supports orderly restructuring, never default as strategy, and treats debt sustainability analysis as shared infrastructure with the IMF. A member under certified debt coercion also gains Fund support calculated on pre-coercion spread assumptions, so the coercer's market pressure never compounds through the refinancing price itself.</w:t>
      </w:r>
    </w:p>
    <w:p>
      <w:pPr>
        <w:pStyle w:val="Heading2"/>
      </w:pPr>
      <w:r>
        <w:t xml:space="preserve">Annex 2: Proportionality Matrix</w:t>
      </w:r>
    </w:p>
    <w:p>
      <w:r>
        <w:t xml:space="preserve">The matrix binds every response to a calibrated band. Phase 1 measures impose calibrated pressure of 15 to 30% of the certified harm; Phase 2 measures reach 50 to 70%; Phase 3 measures reach 100% parity. The IEWC certifies the harm figure, the CC authorises the phase, and the IAC reviews proportionality on complaint within 14 days. Any measure exceeding its band lapses automatically unless the CC re-authorises it at the next higher threshold with published justification. The matrix applies cumulatively across members, so the coalition total, not any single member's action, stays within the certified band.</w:t>
      </w:r>
    </w:p>
    <w:p>
      <w:r>
        <w:t xml:space="preserve">The matrix also fixes measurement conventions: harm counts direct trade impact, certified second-order supply-chain effects, and verified financial-channel costs, and excludes speculative or sentiment effects. Bands bind at authorisation and at each Monthly Strategic Pulse review; evidence of under- or over-calibration triggers re-certification, not retroactive penalty. The full text provides worked examples across tariff, financial, and technology cases, plus the tie-breaking rule that doubt resolves toward the lower band, keeping the coalition's record defensible in any later review.</w:t>
      </w:r>
    </w:p>
    <w:p>
      <w:pPr>
        <w:pStyle w:val="Heading2"/>
      </w:pPr>
      <w:r>
        <w:t xml:space="preserve">Annex 2A: State-Adjoining Sector List</w:t>
      </w:r>
    </w:p>
    <w:p>
      <w:r>
        <w:t xml:space="preserve">The list enumerates sectors treated as adjoining the state for coercion analysis: defence industrial base, critical minerals processing, energy transmission, telecommunications backbone, payment infrastructure, and designated logistics chokepoints. Measures in these sectors receive enhanced scrutiny and accelerated certification. Amendment of the list takes a 55% weighted vote, and a mandatory 24-month review cycle keeps the list current with technological change. Addition of a sector during an active case applies prospectively only.</w:t>
      </w:r>
    </w:p>
    <w:p>
      <w:r>
        <w:t xml:space="preserve">Sector designation analysis weighs substitutability, concentration, and dual-use character, and the IEWC publishes a redacted methodology note for each listed sector. Members nominate additions through the Secretariat with an evidence dossier, and the CC votes within 60 days of a complete filing. Removal follows the same path, so the list contracts as dependencies genuinely diversify; the annex treats a shrinking list as a success metric rather than a concession.</w:t>
      </w:r>
    </w:p>
    <w:p>
      <w:pPr>
        <w:pStyle w:val="Heading2"/>
      </w:pPr>
      <w:r>
        <w:t xml:space="preserve">Annex 2B: Biological Security Pilot</w:t>
      </w:r>
    </w:p>
    <w:p>
      <w:r>
        <w:t xml:space="preserve">The pilot extends coercion analysis to biological security vectors: pathogen-data access, vaccine supply chains, and laboratory reagent dependencies. It runs for 36 months from adoption, with a dedicated certification track inside the IEWC and quarterly reporting to the CC. The pilot operates under the same proportionality matrix and de-escalation defaults as the core instrument, and its continuation past the pilot window takes a 60% vote informed by an independent evaluation.</w:t>
      </w:r>
    </w:p>
    <w:p>
      <w:r>
        <w:t xml:space="preserve">The pilot defines biological coercion as deliberate denial or manipulation of pathogen countermeasures, sequence data, or laboratory inputs for political concession. Its certification track adds epidemiological expertise to the IEWC roster, and its reporting integrates with the Dashboard as a distinct vector class. Pilot measures mirror the core proportionality bands, and the independent evaluation at month 30 audits both effectiveness and false positives before the continuation vote.</w:t>
      </w:r>
    </w:p>
    <w:p>
      <w:pPr>
        <w:pStyle w:val="Heading2"/>
      </w:pPr>
      <w:r>
        <w:t xml:space="preserve">Annex 3: Supply Chain Resilience Framework</w:t>
      </w:r>
    </w:p>
    <w:p>
      <w:r>
        <w:t xml:space="preserve">The framework sets standing stockpile and diversification targets: rare earths and critical minerals at 6 to 12 months of consumption, pharmaceuticals and semiconductors at 3 to 6 months, and energy at 90 to 180 days. The coalition-wide resilience target reduces any single-source dependency above 50% of supply by at least 75% within ten years. The IEWC maintains the dependency map, the Fund finances diversification at standard rates, and members report progress through the Dashboard annually. Voluntary coordination, pooled procurement, and shared stockpile access form the default tools; mandates arise only after certification of a critical shortfall.</w:t>
      </w:r>
    </w:p>
    <w:p>
      <w:r>
        <w:t xml:space="preserve">The framework adds financing detail: Fund support for diversification follows the standard burden formula, with Protected-tier members drawing grants rather than loans for certified critical dependencies. The IEWC dependency map updates twice yearly and grades each dependency by substitutability window. Stockpile releases route through Annex 3B corridors by default, cutting delivery time during active cases, and the resilience target's progress publishes annually as part of the Dashboard's public layer.</w:t>
      </w:r>
    </w:p>
    <w:p>
      <w:pPr>
        <w:pStyle w:val="Heading2"/>
      </w:pPr>
      <w:r>
        <w:t xml:space="preserve">Annex 3A: Strategic Red Team</w:t>
      </w:r>
    </w:p>
    <w:p>
      <w:r>
        <w:t xml:space="preserve">A standing Strategic Red Team inside the IEWC attacks IMESI's own assumptions: it war-games coalition fracture, coercer counter-adaptation, and facility insolvency, publishing an annual vulnerabilities assessment. Red Team findings feed directly into the Grand Review and the stress-test calendar, and the CC responds to each critical finding within 90 days with an adopted mitigation or a published reasoned rejection.</w:t>
      </w:r>
    </w:p>
    <w:p>
      <w:r>
        <w:t xml:space="preserve">The Red Team operates with genuine independence: its director holds a fixed 4-year term, removal takes a 70% vote, and its budget sits outside the IEWC's discretionary line. Exercises include coalition fracture under bilateral offers, simultaneous multi-theatre coercion, and insider misuse of Fund resources. The full text requires publication of methodology, so outside experts replicate the findings, and the CC's 90-day response cycle keeps every critical finding moving toward a fix or a published reasoned rejection.</w:t>
      </w:r>
    </w:p>
    <w:p>
      <w:pPr>
        <w:pStyle w:val="Heading2"/>
      </w:pPr>
      <w:r>
        <w:t xml:space="preserve">Annex 3B: Resilience Corridors</w:t>
      </w:r>
    </w:p>
    <w:p>
      <w:r>
        <w:t xml:space="preserve">The annex designates priority trade and logistics corridors among members with guaranteed customs facilitation, mutual recognition of inspections, and pre-cleared alternative routing. During an active case, corridor traffic receives priority handling at member ports and borders, and the corridor registry updates annually with capacity commitments from each participating member.</w:t>
      </w:r>
    </w:p>
    <w:p>
      <w:r>
        <w:t xml:space="preserve">Corridor commitments cover named ports, border crossings, and customs procedures, with guaranteed lanes for certified coalition cargo. Members deposit capacity schedules annually, and shortfalls trigger a Secretariat remediation plan rather than penalty. During an active case the corridor authority convenes daily, rerouting decisions take effect within 24 hours, and corridor performance feeds the stress-test metrics under Annex 13.</w:t>
      </w:r>
    </w:p>
    <w:p>
      <w:pPr>
        <w:pStyle w:val="Heading2"/>
      </w:pPr>
      <w:r>
        <w:t xml:space="preserve">Annex 3C: Supply Chain Advisories</w:t>
      </w:r>
    </w:p>
    <w:p>
      <w:r>
        <w:t xml:space="preserve">The IEWC issues tiered supply chain advisories (Watch, Warning, Critical) naming emerging chokepoint risks and recommended mitigations. Advisories are public at the Watch tier and restricted at Warning and Critical. Firms and members act on advisories voluntarily; the advisories create no obligations but inform procurement, insurance pricing, and Fund support decisions.</w:t>
      </w:r>
    </w:p>
    <w:p>
      <w:r>
        <w:t xml:space="preserve">Advisories follow a standard format: the chokepoint, the exposure map, the mitigation menu, and the confidence grade. The IEWC issues Watch items in a monthly aggregate release, and Warning or Critical items as events warrant, with each Critical advisory accompanied by a proposed Fund support package. Firms subscribe through the Business Council interface, members integrate advisories into national resilience plans, and the Fund weighs advisory grades in its support decisions.</w:t>
      </w:r>
    </w:p>
    <w:p>
      <w:pPr>
        <w:pStyle w:val="Heading2"/>
      </w:pPr>
      <w:r>
        <w:t xml:space="preserve">Annex 4: Scenario Library</w:t>
      </w:r>
    </w:p>
    <w:p>
      <w:r>
        <w:t xml:space="preserve">The library pre-authorises response templates for recurring coercion patterns. Scenario Sigma covers simultaneous tariffs above 15% by two or more major economies; Scenario Tau covers capital controls and payment-system exclusion; further templates cover export embargoes, regulatory expulsion, and procurement blacklisting. Each template carries pre-drafted measures, legal justifications, proportionality calculations, and de-escalation off-ramps, cutting activation timelines from weeks to days. The IEWC reviews the library annually and the CC amends templates by 55% vote.</w:t>
      </w:r>
    </w:p>
    <w:p>
      <w:r>
        <w:t xml:space="preserve">Each template runs 15 to 25 pages in the full text: trigger definition, certification checklist, measure menu by phase, proportionality worksheet, legal justification, communications plan, and off-ramp choreography. Templates carry version numbers and stand under Nofade, so amendment never suspends a template in force. The annex closes with the development queue, where the CC prioritises new templates by observed coercer behaviour rather than abstract completeness.</w:t>
      </w:r>
    </w:p>
    <w:p>
      <w:pPr>
        <w:pStyle w:val="Heading2"/>
      </w:pPr>
      <w:r>
        <w:t xml:space="preserve">Annex 5: IEWC Operating Procedures</w:t>
      </w:r>
    </w:p>
    <w:p>
      <w:r>
        <w:t xml:space="preserve">The annex sets the IEWC's internal rules: quorum, unit composition, certification workflows, evidentiary standards, and publication obligations. Certification of a coercion event proceeds on a standard of clear and convincing evidence drawn from the Dashboard, member reporting, and open-source intelligence, with a written determination issued within the Article V timelines. Dissenting analysts file minority views that publish alongside certifications, and all non-classified IEWC products release publicly within 30 days.</w:t>
      </w:r>
    </w:p>
    <w:p>
      <w:r>
        <w:t xml:space="preserve">Procedures set the evidentiary hierarchy: Dashboard telemetry first, member reporting second, open-source corroboration third, with classified annexes restricted to cleared reviewers. Certification drafts circulate internally for 12 hours of structured challenge before issue, and the duty analyst roster guarantees 24-hour coverage across three regional desks. The annex fixes the IEWC's publication style: plain language, quantified confidence, and an explicit statement of the alternative hypotheses considered and rejected.</w:t>
      </w:r>
    </w:p>
    <w:p>
      <w:pPr>
        <w:pStyle w:val="Heading2"/>
      </w:pPr>
      <w:r>
        <w:t xml:space="preserve">Annex 5A: Constitutional Conflict and Parliamentary Readiness</w:t>
      </w:r>
    </w:p>
    <w:p>
      <w:r>
        <w:t xml:space="preserve">Where a member's constitutional order constrains automatic participation, the member deposits a Constitutional Compatibility Statement at accession identifying the constraint and the domestic mechanism that satisfies IMESI obligations. The Parliamentary Readiness Protocol maintains model implementing legislation, pre-legislative scrutiny packs, and a peer-support programme pairing new members with experienced legislatures, so domestic ratification of activation decisions tracks the coalition clock rather than obstructing it. No member invokes internal law to escape an obligation it accepted at accession.</w:t>
      </w:r>
    </w:p>
    <w:p>
      <w:r>
        <w:t xml:space="preserve">The Compatibility Statement deposit becomes part of the accession instrument, and the IAC treats it as the authoritative account of a member's domestic constraints. The Parliamentary Readiness programme pairs each acceding legislature with two mentor parliaments, provides model committee procedures for activation debates, and maintains a 72-hour legislative fast-track template tested in the stress calendar. Where a member's constitutional court reviews an IMESI measure, the Secretariat supplies amicus support through a dedicated cell.</w:t>
      </w:r>
    </w:p>
    <w:p>
      <w:pPr>
        <w:pStyle w:val="Heading2"/>
      </w:pPr>
      <w:r>
        <w:t xml:space="preserve">Annex 6: Burden-Sharing Methodologies</w:t>
      </w:r>
    </w:p>
    <w:p>
      <w:r>
        <w:t xml:space="preserve">The annex operationalises the Article VIII burden formula (50% GDP, 30% trade exposure, 20% vulnerability index): it fixes data sources, update cycles, and the treatment of informal-economy adjustments for developing members. The Equalised Burden Coefficient keeps any member's net contribution between 1.5 and 2.5% of the relevant base, with a 2% default; the IAC audits the calculations annually, and corrections apply retroactively as credits.</w:t>
      </w:r>
    </w:p>
    <w:p>
      <w:r>
        <w:t xml:space="preserve">The annex specifies the data series: GDP from the IMF World Economic Outlook on a 3-year average, trade exposure as coercer-directed exports plus imports as a share of GDP, and the vulnerability index composed of dependency grades, fiscal space, and reserve coverage. Data disputes route to the IAC with the Fund's chief actuary as technical adviser. Every member's coefficient publishes annually, so burden shares stay transparent and contestable, and corrections apply as credits in the next assessment cycle.</w:t>
      </w:r>
    </w:p>
    <w:p>
      <w:pPr>
        <w:pStyle w:val="Heading2"/>
      </w:pPr>
      <w:r>
        <w:t xml:space="preserve">Annex 6B: IAC Charter</w:t>
      </w:r>
    </w:p>
    <w:p>
      <w:r>
        <w:t xml:space="preserve">The Independent Adjudication Chamber Charter fixes appointment (7 members, staggered 6-year terms, no two from the same state), jurisdiction (proportionality review, constitutional conflicts, measure complaints, discipline appeals), and procedure (written filings, 14-day standard timeline, published reasoned opinions). IAC decisions bind the coalition organs and members, and the Chamber reports obstruction or non-compliance directly to the CC.</w:t>
      </w:r>
    </w:p>
    <w:p>
      <w:r>
        <w:t xml:space="preserve">The Charter guarantees judicial independence: members serve in personal capacity, take no instructions from any state or organ, and enjoy immunity for Chamber acts. Panels of three hear standard cases; the full Chamber sits for constitutional questions and conflicts between IMESI obligations and other treaty commitments. Filing fees stay nominal, small states receive procedural assistance from the Secretariat, and the Chamber's annual report publishes case statistics, timelines, and compliance rates.</w:t>
      </w:r>
    </w:p>
    <w:p>
      <w:pPr>
        <w:pStyle w:val="Heading2"/>
      </w:pPr>
      <w:r>
        <w:t xml:space="preserve">Annex 7: Enforcement Protocols</w:t>
      </w:r>
    </w:p>
    <w:p>
      <w:r>
        <w:t xml:space="preserve">The annex details execution of authorised measures: customs and regulatory instructions, payment-system messaging, monitoring of circumvention through the Dashboard, and the Anti-Circumvention Enforcement unit's investigation powers. Circumvention by a third state triggers graduated engagement, and persistent facilitation of circumvention receives treatment as state-adjoining conduct under Annex 2A. Members harmonise penalty levels for firms that evade stabilisation measures, and enforcement actions publish in summary form.</w:t>
      </w:r>
    </w:p>
    <w:p>
      <w:r>
        <w:t xml:space="preserve">Enforcement instructions reach member customs and regulators through a single secure channel with standard machine-readable formats, cutting implementation variance across the coalition. The annex fixes circumvention evidence standards: re-export anomalies, transshipment spikes, and shell-entity patterns. The graduated third-state engagement ladder runs from quiet demarche through formal notice and Dashboard publication to state-adjoining certification, and the IAC resolves penalty conflicts between member jurisdictions.</w:t>
      </w:r>
    </w:p>
    <w:p>
      <w:pPr>
        <w:pStyle w:val="Heading2"/>
      </w:pPr>
      <w:r>
        <w:t xml:space="preserve">Annex 8: Face-Saving and De-escalation Language</w:t>
      </w:r>
    </w:p>
    <w:p>
      <w:r>
        <w:t xml:space="preserve">The annex maintains a standard table of de-escalation formulations: how a coercer announces withdrawal, how the coalition announces suspension, and how both sides describe the outcome without admission of defeat. Every authorised measure ships with a matched de-escalation text, and the Secretariat mediates wording on request within 48 hours. The annex embodies the Instrument's core insight: coercion ends when retreat costs less than persistence.</w:t>
      </w:r>
    </w:p>
    <w:p>
      <w:r>
        <w:t xml:space="preserve">The language table covers twelve standard situations, from full withdrawal through partial suspension to negotiated phase-down, each with paired coercer and coalition texts drafted in advance. Formulations avoid victory vocabulary on both sides; the test for every entry is whether domestic audiences in both states accept the account. The Secretariat trains member spokespersons on the table, and every activation order cites the matched formulation by number, so the exit exists before the response begins.</w:t>
      </w:r>
    </w:p>
    <w:p>
      <w:pPr>
        <w:pStyle w:val="Heading2"/>
      </w:pPr>
      <w:r>
        <w:t xml:space="preserve">Annex 8A: Fund Capitalisation Model</w:t>
      </w:r>
    </w:p>
    <w:p>
      <w:r>
        <w:t xml:space="preserve">The model caps single-activation drawdowns: no single activation commits more than 15% of total Fund resources without a 75% weighted vote. Stress assumptions, replenishment cycles, and callable-capital mechanics follow Article VIII, and the annex provides the actuarial basis for the 20% Small-State Reserve and the 10 to 15% general reserve floors.</w:t>
      </w:r>
    </w:p>
    <w:p>
      <w:r>
        <w:t xml:space="preserve">The model runs the Fund through historical crisis simulations and Monte Carlo stress, fixing the 15% single-activation cap as the 95th-percentile solvency constraint. Replenishment follows a standing rule: post-activation assessments restore the Paid-In Base within 18 months under the standard formula, with accelerated restoration for drawdowns above half the cap. The annex also prices the callable layer's countercyclical buffer and the Market Backstop's issuance calendar.</w:t>
      </w:r>
    </w:p>
    <w:p>
      <w:pPr>
        <w:pStyle w:val="Heading2"/>
      </w:pPr>
      <w:r>
        <w:t xml:space="preserve">Annex 9: Founding Coalition Profile</w:t>
      </w:r>
    </w:p>
    <w:p>
      <w:r>
        <w:t xml:space="preserve">The founding coalition profile assumes France, Germany, the Netherlands, the United Kingdom, Japan, and Canada as the core, representing roughly 20% of global GDP, sufficient for credibility and below the threshold that provokes bloc antagonism. The annex records the founding principles: no hegemon dependence, geographic spread across at least three regions, and at least two small states in the founding group to anchor the Small-State Reserve's legitimacy.</w:t>
      </w:r>
    </w:p>
    <w:p>
      <w:r>
        <w:t xml:space="preserve">The profile analyses each founding candidate's exposure, domestic politics, and coalition fit, and sets the sequencing: the EU core first, then the United Kingdom and Japan, then Canada and Pacific partners. It fixes the founding conference agenda: capitalisation commitments, the hosting vote, and the date of the first stress test. An early-accession window privileges founding members in governance rotation, rewarding the states that carry the launch risk.</w:t>
      </w:r>
    </w:p>
    <w:p>
      <w:pPr>
        <w:pStyle w:val="Heading2"/>
      </w:pPr>
      <w:r>
        <w:t xml:space="preserve">Annex 10: Large-Economy Coercion Protocol</w:t>
      </w:r>
    </w:p>
    <w:p>
      <w:r>
        <w:t xml:space="preserve">The protocol governs coercion by systemic economies. Tools include sub-national targeting of politically sensitive regions, reciprocal-but-delayed tariff mirroring at 0, 25, 50, and 100% on Days 0, 30, 60, and 90, a USD 5 billion substitution fund for affected exporters, coordinated regulatory friction, and payment diversification away from coercer-controlled rails. The Reinstatement Plus mechanism restores measures at 125% with retroactive effect where a coercer withdraws and re-imposes. Guardrails cap the coalition response at 100% tariff-equivalent and mandate Day 45, 90, and 180 reviews, and the coalition files a WTO Article XXIII case in parallel to anchor legality.</w:t>
      </w:r>
    </w:p>
    <w:p>
      <w:r>
        <w:t xml:space="preserve">The protocol's guardrails receive equal billing with its teeth: humanitarian carve-outs, aviation safety exemptions, and the 100% tariff-equivalent ceiling bind every stage. Reviews at Days 45, 90, and 180 publish effectiveness metrics and civilian-economy spillover assessments, and the CC adjusts targeting toward politically decisive constituencies as evidence accumulates. The annex's central finding frames the whole design: against systemic economies, breadth and persistence outweigh intensity.</w:t>
      </w:r>
    </w:p>
    <w:p>
      <w:pPr>
        <w:pStyle w:val="Heading2"/>
      </w:pPr>
      <w:r>
        <w:t xml:space="preserve">Annex 10B: Market Infrastructure Defence</w:t>
      </w:r>
    </w:p>
    <w:p>
      <w:r>
        <w:t xml:space="preserve">The annex protects exchanges, clearing houses, and settlement systems within member jurisdictions from coercive disruption: redundant messaging arrangements, mutual access guarantees for members' institutions, and emergency liquidity coordination among member central banks. Where a coercer expels a member from infrastructure it controls, the coalition activates pre-agreed alternative rails within 72 hours under the Annex 11C framework.</w:t>
      </w:r>
    </w:p>
    <w:p>
      <w:r>
        <w:t xml:space="preserve">Institutions deposit continuity plans covering messaging, collateral, and settlement finality, and the annex grades each plan annually against a published rubric. Central-bank coordination uses standing swap frameworks as the first line, with the SFI as the trade-finance second line. The transparency and dialogue track invites coercer institutions to technical talks even mid-case, keeping a channel open for rapid reconnection once the case closes.</w:t>
      </w:r>
    </w:p>
    <w:p>
      <w:pPr>
        <w:pStyle w:val="Heading2"/>
      </w:pPr>
      <w:r>
        <w:t xml:space="preserve">Annex 11: AI Sovereignty Shield</w:t>
      </w:r>
    </w:p>
    <w:p>
      <w:r>
        <w:t xml:space="preserve">The Shield treats coercive manipulation of artificial intelligence systems, training data, and compute supply as economic coercion subject to certification. Members maintain sovereign fallback capacity for critical AI functions, coordinate export-control responses on compute, and prohibit coercer access to coalition AI safety evaluations. The Shield integrates with Annex 12 governance and the platform certification regime of Annex 11A.</w:t>
      </w:r>
    </w:p>
    <w:p>
      <w:r>
        <w:t xml:space="preserve">The Shield defines compute coercion, meaning denial of cloud, accelerator, or fabrication access, and data coercion, meaning compelled transfer or poisoning of training data, as certifiable vectors with tailored response menus. Members commit to sovereign fallback roadmaps with 5-year milestones, and the coalition coordinates export-control alignment so coercers face one rule set. The annex keeps AI safety cooperation insulated from coercion politics through a dedicated firewall protocol.</w:t>
      </w:r>
    </w:p>
    <w:p>
      <w:pPr>
        <w:pStyle w:val="Heading2"/>
      </w:pPr>
      <w:r>
        <w:t xml:space="preserve">Annex 11A: Platform Certification</w:t>
      </w:r>
    </w:p>
    <w:p>
      <w:r>
        <w:t xml:space="preserve">Digital platforms operating in member markets obtain certification of resilience against state-directed coercion: data localisation choices free of coercer compulsion, transparent content-manipulation reporting, and continuity-of-service commitments. Certified platforms receive the Article IX compliance benefits; certification withdrawal follows IAC adjudication with appeal.</w:t>
      </w:r>
    </w:p>
    <w:p>
      <w:r>
        <w:t xml:space="preserve">Certification audits run annually through accredited assessors under IEWC methodology, with a public register of certified platforms. The audit covers compulsion resistance, transparency reporting, and continuity engineering; platforms remediate findings on a 90-day clock before withdrawal proceedings begin. Withdrawal decisions publish with reasons, recertification follows verified remediation, and the IAC hears appeals on both directions of the decision.</w:t>
      </w:r>
    </w:p>
    <w:p>
      <w:pPr>
        <w:pStyle w:val="Heading2"/>
      </w:pPr>
      <w:r>
        <w:t xml:space="preserve">Annex 11B: Open Standards Protocol</w:t>
      </w:r>
    </w:p>
    <w:p>
      <w:r>
        <w:t xml:space="preserve">The protocol counters standards capture: where any single state exceeds 60% concentration in a critical standards body, the coalition triggers the Distributed Infrastructure Resilience Facility at a 20% funding level to build parallel open standards. Participation stays voluntary and royalty-free, and the protocol commits members to open governance of the resulting standards.</w:t>
      </w:r>
    </w:p>
    <w:p>
      <w:r>
        <w:t xml:space="preserve">The protocol maps standards bodies by criticality and concentration, refreshing the 60% trigger assessment annually. DIRF funding supports secretariat costs, reference implementations, and conformance testing for parallel standards, never mandated adoption. The annex commits the coalition to royalty-free licensing and open governance, keeping the alternative genuinely open to coercer participation, which is precisely what makes the threat of parallel standards credible rather than protectionist.</w:t>
      </w:r>
    </w:p>
    <w:p>
      <w:pPr>
        <w:pStyle w:val="Heading2"/>
      </w:pPr>
      <w:r>
        <w:t xml:space="preserve">Annex 11C: Alternative Payment Rails</w:t>
      </w:r>
    </w:p>
    <w:p>
      <w:r>
        <w:t xml:space="preserve">The annex develops payment channels independent of coercer control as carrot, not stick: the rails compete on cost and reliability, stay open to all states including the coercer on equal terms, and carry an explicit non-coercion guarantee in their charter. Activation as an emergency measure follows the standard phase architecture; peacetime development proceeds through the SFI at preferential rates.</w:t>
      </w:r>
    </w:p>
    <w:p>
      <w:r>
        <w:t xml:space="preserve">Rails development proceeds in stages: messaging interoperability, then settlement accounts, then full clearing capacity, each gated by volume milestones rather than dates. Participation terms publish in full, and coercer institutions join on identical conditions. The annex's non-coercion guarantee binds members in both directions: the rails never exclude a state except under an authorised stabilisation measure within the proportionality matrix, and no member faces pressure to adopt them.</w:t>
      </w:r>
    </w:p>
    <w:p>
      <w:pPr>
        <w:pStyle w:val="Heading2"/>
      </w:pPr>
      <w:r>
        <w:t xml:space="preserve">Annex 12: Digital and AI Governance Framework</w:t>
      </w:r>
    </w:p>
    <w:p>
      <w:r>
        <w:t xml:space="preserve">The framework coordinates member positions on data flows, algorithmic accountability, and AI safety so coercion through regulatory fragmentation loses leverage. It sets baseline interoperability commitments, a mutual-recognition pathway for conformity assessments, and a standing dialogue with the private sector through the Business Council. Measures under this annex respect the proportionality matrix and the de-escalation default.</w:t>
      </w:r>
    </w:p>
    <w:p>
      <w:r>
        <w:t xml:space="preserve">The framework sets interoperability baselines for data portability and conformity assessment, and a regulatory-sandbox bridge lets firms test cross-border products under coordinated supervision. It coordinates member positions in international AI governance bodies so fragmentation loses leverage, and its crisis protocol treats large-scale algorithmic manipulation campaigns as certifiable coercion vectors feeding a specialised response track.</w:t>
      </w:r>
    </w:p>
    <w:p>
      <w:pPr>
        <w:pStyle w:val="Heading2"/>
      </w:pPr>
      <w:r>
        <w:t xml:space="preserve">Annex 13: Stress Test Protocol</w:t>
      </w:r>
    </w:p>
    <w:p>
      <w:r>
        <w:t xml:space="preserve">The protocol schedules a founding pilot stress test, a full exercise in Year 2, and annual tests thereafter. Tests simulate certification, voting, disbursement, and de-escalation under time pressure, with results published in summary. Two consecutive failed tests trigger a mandatory CC review of the failing function within 60 days.</w:t>
      </w:r>
    </w:p>
    <w:p>
      <w:r>
        <w:t xml:space="preserve">Test design draws on Red Team scenarios with independent observers from non-member partners. Metrics cover clock performance, vote integrity, disbursement speed, and communications discipline, each graded against Article V standards. The annex publishes a public summary alongside a restricted lessons register, and corrective actions receive named owners and 90-day deadlines tracked on the Dashboard.</w:t>
      </w:r>
    </w:p>
    <w:p>
      <w:pPr>
        <w:pStyle w:val="Heading2"/>
      </w:pPr>
      <w:r>
        <w:t xml:space="preserve">Annex 13A: Vulnerability Continuity Index and Live-Fire Exercises</w:t>
      </w:r>
    </w:p>
    <w:p>
      <w:r>
        <w:t xml:space="preserve">The Vulnerability Continuity Index grades each member's exposure (VCI-A resilient, VCI-B watch, VCI-C critical) and updates quarterly. Live-fire micro-exercises run quarterly without announcement: a randomly selected function executes a compressed real-world drill, and the IEWC publishes performance against the clock. VCI-C members receive priority Fund support for remediation.</w:t>
      </w:r>
    </w:p>
    <w:p>
      <w:r>
        <w:t xml:space="preserve">VCI grading uses twelve indicators across dependency, fiscal, and institutional dimensions, with the methodology published for external replication. Micro-exercises test one function for 4 to 8 hours: a certification sprint, a disbursement drill, a communications surge. Failure triggers a root-cause review within 14 days, and repeated failure escalates to the CC with a remediation mandate and a follow-up exercise inside the next quarter.</w:t>
      </w:r>
    </w:p>
    <w:p>
      <w:pPr>
        <w:pStyle w:val="Heading2"/>
      </w:pPr>
      <w:r>
        <w:t xml:space="preserve">Annex 14: Coalition Financial Markets Protocol</w:t>
      </w:r>
    </w:p>
    <w:p>
      <w:r>
        <w:t xml:space="preserve">The CFM stabilises member markets during coercion events: an oracle triple-confirmation rule governs trigger data, position limits of 5% apply to coordinated interventions, and a 6-hour cooling-off period precedes any escalation of market measures. The protocol coordinates with member central banks and publishes intervention summaries after each event.</w:t>
      </w:r>
    </w:p>
    <w:p>
      <w:r>
        <w:t xml:space="preserve">Oracle data comes from three independent providers; triple-confirmation means intervention triggers only when all three agree within tolerance, killing both false alarms and single-source manipulation. Position limits prevent any intervention from dominating a market, and the cooling-off period forces collective reassessment before escalation, with the IAC empowered to order a halt. Post-event reports publish intervention size, duration, and the unwind path.</w:t>
      </w:r>
    </w:p>
    <w:p>
      <w:pPr>
        <w:pStyle w:val="Heading2"/>
      </w:pPr>
      <w:r>
        <w:t xml:space="preserve">Annex 15: Stalemate Doctrine</w:t>
      </w:r>
    </w:p>
    <w:p>
      <w:r>
        <w:t xml:space="preserve">Where an active case reaches stalemate, the doctrine offers five defined paths: sustained containment, mediated face-saving exit, graduated re-engagement, arbitration referral, and managed coexistence with standing deterrence. Each path carries its own de-escalation ramp, and the CC selects and reviews the path every 90 days. Stalemate never defaults to silent abandonment: Nofade keeps commitments in force.</w:t>
      </w:r>
    </w:p>
    <w:p>
      <w:r>
        <w:t xml:space="preserve">The doctrine defines stalemate objectively: no coercer movement in 90 days, coalition measures stable, no active negotiation track. Each of the five paths carries resourcing implications and political-risk notes, and the CC's 90-day reviews switch paths by 55% vote with published reasoning. The annex stresses the exit-ramp principle above all: stalemate management always preserves a visible, costed way out for the coercer, because a cornered coercer escalates.</w:t>
      </w:r>
    </w:p>
    <w:p>
      <w:pPr>
        <w:pStyle w:val="Heading2"/>
      </w:pPr>
      <w:r>
        <w:t xml:space="preserve">Annex 16: Strategic Communications Charter</w:t>
      </w:r>
    </w:p>
    <w:p>
      <w:r>
        <w:t xml:space="preserve">The charter governs coalition messaging: a Narrative Defence Fund at 0.5% of Peacetime Budget, a transparency ladder from immediate public summaries to classified annexes, and a spokesperson structure of the Director-General plus four regional deputies. Communications never outrun IAC findings, and every public claim traces to a published certification.</w:t>
      </w:r>
    </w:p>
    <w:p>
      <w:r>
        <w:t xml:space="preserve">The charter fixes message discipline: facts from certifications, tone from the de-escalation table, timing from the activation calendar. The Narrative Defence Fund counters disinformation with documented rebuttals, never propaganda, and an annual transparency report audits its spending line by line. Regional deputies adapt messaging to local context within the common factual spine, and deviations from certified facts trigger correction within 24 hours.</w:t>
      </w:r>
    </w:p>
    <w:p>
      <w:pPr>
        <w:pStyle w:val="Heading2"/>
      </w:pPr>
      <w:r>
        <w:t xml:space="preserve">Annex 16B: Domestic Communication Guidance</w:t>
      </w:r>
    </w:p>
    <w:p>
      <w:r>
        <w:t xml:space="preserve">The guidance advises members on explaining IMESI participation to domestic audiences: framing materials, counter-narrative playbooks against coercer disinformation, and parliamentary briefing templates. The guidance is advisory; members adapt it to national context without obligation.</w:t>
      </w:r>
    </w:p>
    <w:p>
      <w:r>
        <w:t xml:space="preserve">The guidance covers legislative briefings, media engagement, and business-community communication, with materials produced in member languages. Counter-narrative playbooks address the standard coercer themes of bloc formation, sovereignty loss, and economic cost with tested responses. Members report disinformation trends to the Secretariat, which refreshes the playbooks quarterly and shares effective national practice across the coalition.</w:t>
      </w:r>
    </w:p>
    <w:p>
      <w:pPr>
        <w:pStyle w:val="Heading2"/>
      </w:pPr>
      <w:r>
        <w:t xml:space="preserve">Annex 16C: Standard Talking Points</w:t>
      </w:r>
    </w:p>
    <w:p>
      <w:r>
        <w:t xml:space="preserve">The annex maintains current talking points for ministers and officials, keyed to each scenario in the Annex 4 library and updated by the Secretariat within 48 hours of any activation. Use is voluntary and attribution sits with the speaking member, not the coalition.</w:t>
      </w:r>
    </w:p>
    <w:p>
      <w:r>
        <w:t xml:space="preserve">Talking points run at two levels: ministerial lines for public use and official-level background for briefings. The Secretariat updates the set within 48 hours of any certification, vote, or suspension, and archives superseded versions for the public record. Use remains voluntary, attribution sits with the speaking member, and the annex exists so a small member's minister speaks with the same precision as a large member's entire communications ministry.</w:t>
      </w:r>
    </w:p>
    <w:p>
      <w:pPr>
        <w:pStyle w:val="Heading2"/>
      </w:pPr>
      <w:r>
        <w:t xml:space="preserve">Annex 20: Contingency Modules</w:t>
      </w:r>
    </w:p>
    <w:p>
      <w:r>
        <w:t xml:space="preserve">Modules A through G hold exploratory designs for contingencies the founders judge possible but premature: space-economy coercion, undersea infrastructure, food-weaponisation at scale, cognitive-warfare campaigns, climate-linked coercion, migration weaponisation, and biotechnology denial. Modules remain exploratory only: adoption into the operative instrument follows the AIM process with full CC debate.</w:t>
      </w:r>
    </w:p>
    <w:p>
      <w:r>
        <w:t xml:space="preserve">Each module holds a scoping paper, a threat model, and a candidate response architecture, reviewed at each Grand Review for promotion, retention, or retirement. Promotion follows the AIM pathway with an 18-month experimental scope and a published evaluation. The annex exists to keep the Instrument ahead of coercion's evolution without burdening the operative text with speculation, and its contents carry no obligations until promoted.</w:t>
      </w:r>
    </w:p>
    <w:p>
      <w:pPr>
        <w:pStyle w:val="Heading2"/>
      </w:pPr>
      <w:r>
        <w:t xml:space="preserve">Annex 21: Tariff Stability Compact</w:t>
      </w:r>
    </w:p>
    <w:p>
      <w:r>
        <w:t xml:space="preserve">The Compact records members' standstill commitment: no member raises tariffs against another member outside the stabilisation architecture, and any member facing a domestic tariff initiative from a partner invokes the Compact's 30-day consultation track before the measure proceeds. Breach of the Compact feeds the Article VI accountability system.</w:t>
      </w:r>
    </w:p>
    <w:p>
      <w:r>
        <w:t xml:space="preserve">The Compact's consultation track requires written notice, an impact statement, and 30 days of good-faith talks before any intra-coalition tariff action proceeds. Where talks fail, the measure routes through the standard stabilisation architecture rather than unilateral imposition. The annex records the founders' judgement that a coalition which tariffs itself teaches every watching coercer that patience wins, making the Compact a security instrument in its own right.</w:t>
      </w:r>
    </w:p>
    <w:p>
      <w:pPr>
        <w:pStyle w:val="Heading2"/>
      </w:pPr>
      <w:r>
        <w:t xml:space="preserve">Annex 22: Founding Coalition Pledge</w:t>
      </w:r>
    </w:p>
    <w:p>
      <w:r>
        <w:t xml:space="preserve">The Pledge is a non-binding political declaration by founding members affirming prompt ratification, timely capitalisation, and good-faith participation in the first stress test. It creates no legal obligations and expires upon entry into force of the Instrument.</w:t>
      </w:r>
    </w:p>
    <w:p>
      <w:r>
        <w:t xml:space="preserve">The Pledge text records political commitments on ratification timelines, first contributions, and stress-test participation, signed at the founding conference. Its non-binding character is explicit in its own terms, and its expiry at entry into force prevents any confusion with the Instrument's legal obligations. The full text preserves it as the historical record of founding intent and as the benchmark against which the founders' successors measure the launch.</w:t>
      </w:r>
    </w:p>
    <w:p>
      <w:pPr>
        <w:pStyle w:val="Heading2"/>
      </w:pPr>
      <w:r>
        <w:t xml:space="preserve">Annex 22A: Micro-State Participation Protocol</w:t>
      </w:r>
    </w:p>
    <w:p>
      <w:r>
        <w:t xml:space="preserve">States below USD 10 billion GDP or 500,000 population accede on adapted terms: nominal contributions, full protection, and access to the Coalition Market Access Pool for export diversification. Micro-states hold full voting rights in the CC on matters affecting them, and the Fund absorbs their administrative participation costs.</w:t>
      </w:r>
    </w:p>
    <w:p>
      <w:r>
        <w:t xml:space="preserve">Adapted terms include pooled administrative representation, Secretariat-funded participation costs, and simplified reporting scaled to administrative capacity. The Coalition Market Access Pool offers micro-states preferential procurement access and export-credit enhancement. The annex affirms the design's core equity principle: protection never scales with size, and a coercer testing the smallest member faces the entire coalition on the same clock.</w:t>
      </w:r>
    </w:p>
    <w:p>
      <w:pPr>
        <w:pStyle w:val="Heading2"/>
      </w:pPr>
      <w:r>
        <w:t xml:space="preserve">Annex 23: Hosting Determination</w:t>
      </w:r>
    </w:p>
    <w:p>
      <w:r>
        <w:t xml:space="preserve">The annex presents three hosting options for the Secretariat and IEWC: Option A (single host city with full diplomatic privileges), Option B (distributed hosting across three regions), and Option C (functional split between financial and analytical organs). The CC selects by 60% weighted vote within 6 months of entry into force, with host-state obligations and immunities fixed by a standard headquarters agreement.</w:t>
      </w:r>
    </w:p>
    <w:p>
      <w:r>
        <w:t xml:space="preserve">Each option carries a costing, a privileges-and-immunities schedule, and a transition plan from interim arrangements. The selection vote uses preferential ballots, and the runner-up city hosts the first Grand Review Convention. Host-state agreements follow the standard template deposited with the United Nations, and the annex fixes a 10-year hosting review so geography never hardens into entitlement.</w:t>
      </w:r>
    </w:p>
    <w:p>
      <w:pPr>
        <w:pStyle w:val="Heading2"/>
      </w:pPr>
      <w:r>
        <w:t xml:space="preserve">Annex 24: Consolidated Thresholds Table</w:t>
      </w:r>
    </w:p>
    <w:p>
      <w:r>
        <w:t xml:space="preserve">The annex consolidates every numeric threshold in the Instrument into a single reference table: voting shares (55, 60, 65, 70, and 75%), phase bands (15 to 30, 50 to 70, and 100%), contribution rates, drawdown caps, and timeline clocks. Where any Article and this table diverge, the Article governs, and the Secretariat corrects the table in the next rolling update.</w:t>
      </w:r>
    </w:p>
    <w:p>
      <w:r>
        <w:t xml:space="preserve">The table carries a change log so readers trace every recalibration to its version and vote. The Secretariat reviews the table after each rolling update cycle, and members receive 30-day notice of corrections. In litigation or dispute the Articles prevail, and the table serves as navigation rather than law; its value is that a minister finds every number in the Instrument on one page.</w:t>
      </w:r>
    </w:p>
    <w:p>
      <w:pPr>
        <w:pStyle w:val="Heading2"/>
      </w:pPr>
      <w:r>
        <w:t xml:space="preserve">Annex 25: The Nofade Rule</w:t>
      </w:r>
    </w:p>
    <w:p>
      <w:r>
        <w:t xml:space="preserve">The Nofade Rule anchors the Instrument's permanence. Article 1: no commitment carries a sunset; every commitment continues until amended or withdrawn by affirmative act. Article 2: performance banked under any protocol persists through revisions. Article 3: renewal happens by silence; lapse requires explicit action. Article 4: administrative rhythms (reviews, reports, elections) never suspend underlying obligations. Default continuity governs every ambiguity: exit from IMESI is an act, never a fade.</w:t>
      </w:r>
    </w:p>
    <w:p>
      <w:r>
        <w:t xml:space="preserve">The Rule's Articles operate together: Article 1 kills sunsets, Article 2 banks performance, Article 3 makes silence renewal, and Article 4 immunises obligations from administrative lapse. The full text documents the design rationale from institutional history: cooperation dies by neglect more often than by decision. Nofade makes continuation the default and departure deliberate, which is the Instrument's deepest structural commitment and the source of its title.</w:t>
      </w:r>
    </w:p>
    <w:p>
      <w:pPr>
        <w:pStyle w:val="Heading1"/>
        <w:pageBreakBefore/>
      </w:pPr>
      <w:r>
        <w:t xml:space="preserve">Part C: Financial Protocol</w:t>
      </w:r>
    </w:p>
    <w:p>
      <w:r>
        <w:t xml:space="preserve">Two disciplines govern everything in this Part. First, money follows certification: no disbursement, fee, or assessment moves without an IEWC determination behind it. Second, politics precedes scale: no measure with major distributional impact surprises the member that bears it. These disciplines make the financial protocol predictable by design, and predictability is the goal.</w:t>
      </w:r>
    </w:p>
    <w:p>
      <w:r>
        <w:t xml:space="preserve">Part C translates the charter and annexes into financial and political operating practice. It summarises how money moves through the architecture, what the system asks of firms and banks, and how the politics hold together, then walks through worked scenarios and the founding roadmap. The governing principle is political sustainability: no activation proceeds where its distributional consequences stay hidden, and the CC consults affected member governments before any single measure with projected impact above USD 1 billion on an individual member. Predictability for capital markets ranks alongside deterrence: the Dashboard publishes Fund exposure, SFI utilisation, and disbursement status in near-real time, so no participant prices in surprises.</w:t>
      </w:r>
    </w:p>
    <w:p>
      <w:pPr>
        <w:pStyle w:val="Heading2"/>
      </w:pPr>
      <w:r>
        <w:t xml:space="preserve">What IMESI Means for Firms and Financial Institutions</w:t>
      </w:r>
    </w:p>
    <w:p>
      <w:r>
        <w:t xml:space="preserve">The design treats private capital as partner, not instrument. Obligations arrive late, announced early, and priced: the coalition buys cooperation through certification benefits rather than commanding it through compulsion, because the founders observed that coerced compliance evaporates under pressure while incentivised participation compounds. The Business Council gives firms a standing voice in measure design, and the immunity guarantee makes early warning a safe act.</w:t>
      </w:r>
    </w:p>
    <w:p>
      <w:r>
        <w:t xml:space="preserve">Phase 0 and Phase 1 impose zero obligations on banks and firms: stabilisation at these stages runs through the Fund and member-state action, not private-sector mandates. From Phase 2 onward, firm-facing obligations (screening, payment friction, export controls) take effect only after a separate 60% CC vote with minimum 30 days advance notice and IAC appeal channels, following the Private-Sector Compliance Principles of Section 9.8B. Firms using the Settlement Finance Instrument pay 125% of standard fees during active stabilisation and 85% for resilience-building in peacetime, a price signal that funds the system in crisis and rewards preparation in calm. Certified firms under the Resilience Certified mark receive the fast-lane customs guarantee (24 hours, 12-hour target), sanctions-proof letters of credit, and expedited adjudication. Financial institutions participate in the CFM under the oracle triple-confirmation rule, 5% position limits, and the 6-hour cooling-off period. Early-warning reporting of anomalous restrictions, cancellations, or payment disruptions is voluntary, anonymised, and carries explicit immunity.</w:t>
      </w:r>
    </w:p>
    <w:p>
      <w:pPr>
        <w:pStyle w:val="Heading2"/>
      </w:pPr>
      <w:r>
        <w:t xml:space="preserve">Minimum Viable Scenario: Tariff Shock on a Mid-Size Member</w:t>
      </w:r>
    </w:p>
    <w:p>
      <w:r>
        <w:t xml:space="preserve">A member with USD 500 billion GDP faces a 25% across-the-board tariff from a major economy, an estimated USD 8 billion annual impact equal to 1.6% of member GDP. Days 0 to 3: the Dashboard flags the measure, Track A automatic stabilisation opens Fund liquidity and SFI settlement continuity, and the IEWC issues preliminary certification inside 48 hours. Days 3 to 7: Phase 0 expedited consultation runs, the Director-General contacts the coercer, and quiet resolution channels open. Days 7 to 45: with no resolution, Phase 1 activates at 15 to 30% calibrated intensity; the member draws Fund support at standard burden-sharing rates; the coalition mirrors pressure within the proportionality band. Day 45: the mandatory review assesses effect; the coercer, facing coordinated response and the published escalation path, opens negotiation. Day 75: settlement restores market access at 5% residual tariffs against a verified schedule to zero, and measures suspend under the de-escalation default with reinstatement standing ready at 125% within 48 hours if the coercer re-imposes. Total coalition cost stays inside the member's proportional entitlement; no member's exposure approaches the 0.25% GDP cap.</w:t>
      </w:r>
    </w:p>
    <w:p>
      <w:r>
        <w:t xml:space="preserve">The scenario marks the system's design centre: a shock large enough to matter, small enough to stay routine. Nothing in the response exceeds standard practice: certification on the clock, one CC vote, standard disbursement, and a negotiated exit inside one quarter. The founders' test for IMESI is precisely this, that an event which once dominated a member's politics for years now resolves as administrative routine.</w:t>
      </w:r>
    </w:p>
    <w:p>
      <w:pPr>
        <w:pStyle w:val="Heading2"/>
      </w:pPr>
      <w:r>
        <w:t xml:space="preserve">Full Walkthrough: Discriminatory Tariffs and Supply-Chain Pressure</w:t>
      </w:r>
    </w:p>
    <w:p>
      <w:r>
        <w:t xml:space="preserve">State A (USD 400 billion GDP) faces discriminatory tariffs plus informal supply-chain pressure from State B (USD 12 trillion GDP). The IEWC certifies a Moderate-to-Severe event; Phase 0 consultation fails at Day 14. Phase 1 activates: reciprocal trade measures at 15 to 25% of the coercing measures, Fund disbursement under the tiered structure, and coalition procurement substitution for A's blocked exports. State B escalates with financial messaging threats; the CC votes Phase 2 at 60%, adding payment friction and export controls on complementary technologies, and the SFI absorbs settlement disruption for A's trade. Total Fund spend reaches USD 550 million over 75 days, split by the burden formula with the Small-State Reserve untouched (A is mid-size) and no member exceeding 0.05% of GDP in net exposure. State B offers withdrawal at Day 70 against phased coalition suspension; the Step-Back/Earn-Back system verifies compliance in 30-day tranches; by Day 75 both sides stand at the Annex 8 face-saving formulation, and Nofade keeps the suspended measures on the shelf rather than dismantled.</w:t>
      </w:r>
    </w:p>
    <w:p>
      <w:r>
        <w:t xml:space="preserve">Three features decide the outcome. First, the Fund's speed: disbursement reaches A before domestic politics turns, because Track A moves in hours. Second, the burden formula's fairness: no member's share exceeds its coefficient, so solidarity costs each member less than defection. Third, the exit's credibility: B withdraws because the escalation path publishes in advance and the de-escalation offer arrives pre-drafted, so retreat carries a known and acceptable price.</w:t>
      </w:r>
    </w:p>
    <w:p>
      <w:pPr>
        <w:pStyle w:val="Heading2"/>
      </w:pPr>
      <w:r>
        <w:t xml:space="preserve">Scenario F: Non-Military Economic Pressure on a Frontline State</w:t>
      </w:r>
    </w:p>
    <w:p>
      <w:r>
        <w:t xml:space="preserve">A frontline state of USD 300 billion GDP faces coordinated economic strangulation below the armed-attack threshold: banking exclusion, energy contract cancellations, and infrastructure finance withdrawal. The case certifies as Critical Red-Line; the 48-hour Phase 0 runs; the Fund's USD 250 million emergency window disburses within the week under the tiered structure while the coalition activates alternative clearing under Annex 10B and 11C. The Existential Threat Assessment Protocol evaluates whether pressure crosses the Section 5.14 thresholds; the case stays below them, so response continues under standard Phase 2 with ESP monitoring. The scenario demonstrates the design intent: even a small, exposed member holds the line because the coalition, not the member, absorbs the economic shock.</w:t>
      </w:r>
    </w:p>
    <w:p>
      <w:r>
        <w:t xml:space="preserve">The scenario carries the design's hardest lesson: frontline states attract coercion precisely because they look alone. IMESI's answer is structural: certification treats the pressure as coalition business from hour one, the emergency window moves money before the narrative sets, and the coalition's combined market makes the coercer's sanctions arithmetic fail on its own terms.</w:t>
      </w:r>
    </w:p>
    <w:p>
      <w:pPr>
        <w:pStyle w:val="Heading2"/>
      </w:pPr>
      <w:r>
        <w:t xml:space="preserve">Frequently Asked Questions</w:t>
      </w:r>
    </w:p>
    <w:p>
      <w:r>
        <w:rPr>
          <w:b/>
          <w:color w:val="37474F"/>
        </w:rPr>
        <w:t xml:space="preserve">What happens at the first activation?  </w:t>
      </w:r>
      <w:r>
        <w:t xml:space="preserve">The first activation carries heightened accountability: the expedited review under Section 6.9A examines every timeline, vote, and disbursement, publishes findings within 90 days, and feeds corrections into the rolling update cycle. The founders designed IMESI to survive its first test by making that test transparent.</w:t>
      </w:r>
    </w:p>
    <w:p>
      <w:r>
        <w:rPr>
          <w:b/>
          <w:color w:val="37474F"/>
        </w:rPr>
        <w:t xml:space="preserve">What happens when a member becomes the coercer?  </w:t>
      </w:r>
      <w:r>
        <w:t xml:space="preserve">The member recuses from all deliberations on its own case; the case proceeds through standard certification and voting with the member's weight excluded; Article VI misconduct provisions apply, up to suspension and, for existential misconduct, permanent exclusion.</w:t>
      </w:r>
    </w:p>
    <w:p>
      <w:r>
        <w:rPr>
          <w:b/>
          <w:color w:val="37474F"/>
        </w:rPr>
        <w:t xml:space="preserve">How does IMESI relate to sanctions?  </w:t>
      </w:r>
      <w:r>
        <w:t xml:space="preserve">IMESI complements, never replaces, member sanctions policy. Stabilisation measures target the restoration of non-coercive trade; sanctions pursue distinct policy goals; the architecture coordinates timing and messaging where members choose, without subordinating either regime to the other.</w:t>
      </w:r>
    </w:p>
    <w:p>
      <w:r>
        <w:rPr>
          <w:b/>
          <w:color w:val="37474F"/>
        </w:rPr>
        <w:t xml:space="preserve">Who pays for the Fund?  </w:t>
      </w:r>
      <w:r>
        <w:t xml:space="preserve">Members capitalise the Fund through the Article VIII contribution formula, with rates from 0.01% of GDP for least-developed and micro-states to 0.08% for systemic economies. Combined annual exposure never exceeds the 0.25% GDP cap, and the actuarial design targets balance across a decade: disbursements carry members through shocks, and post-case restoration plus SFI fees replenish the base.</w:t>
      </w:r>
    </w:p>
    <w:p>
      <w:r>
        <w:rPr>
          <w:b/>
          <w:color w:val="37474F"/>
        </w:rPr>
        <w:t xml:space="preserve">Does IMESI duplicate the WTO?  </w:t>
      </w:r>
      <w:r>
        <w:t xml:space="preserve">No. IMESI operates where the WTO lacks instruments: speed, collective financing, and coordinated response. Its measures cite WTO security provisions, its protocol notifies the WTO within 30 days, and its Compatibility Defence Unit exists to prevail under WTO review, never to evade it.</w:t>
      </w:r>
    </w:p>
    <w:p>
      <w:pPr>
        <w:pStyle w:val="Heading2"/>
      </w:pPr>
      <w:r>
        <w:t xml:space="preserve">Founding Political Roadmap</w:t>
      </w:r>
    </w:p>
    <w:p>
      <w:r>
        <w:t xml:space="preserve">The roadmap's sequencing reflects the founders' political reading: agriculture first, because food security unites exporters and importers against weaponisation; the EU core first, because its regulatory weight makes certification meaningful from day one; small states in the founding group, because their presence proves the architecture protects the weak, which is the entire argument for joining. Each path converges on the same stress test, because the coalition that drills together stays together.</w:t>
      </w:r>
    </w:p>
    <w:p>
      <w:r>
        <w:t xml:space="preserve">Three founding paths stand open. Path A: a treaty-based launch with three or more major economies plus at least two small states, satisfying the Article X threshold of 6 states, 15% of global GDP, and 3 regions. Path B: a coalition-of-the-willing memorandum building practice before treaty ratification. Path C: a sectoral pilot; the recommended pilot is agricultural trade resilience, with a memorandum of understanding achievable in 4 months and a live stress test within the year. Each path converges on the staged entry profile: six core modules, 10 to 12 founding members, and the first Grand Review inside 3 years.</w:t>
      </w:r>
    </w:p>
    <w:p>
      <w:pPr>
        <w:pStyle w:val="Heading1"/>
        <w:pageBreakBefore/>
      </w:pPr>
      <w:r>
        <w:t xml:space="preserve">Part D: Strategic Guidance and Case Studies</w:t>
      </w:r>
    </w:p>
    <w:p>
      <w:r>
        <w:t xml:space="preserve">The five scenarios span the threat space the founders modelled: trade restriction, supply disruption, financial stress, internal fragmentation, and systemic shock. Each case ends in resolution not because the design assumes victory, but because every case study exists to demonstrate the full cycle from certification through de-escalation, and the cycle's end state is the restoration of normal commerce.</w:t>
      </w:r>
    </w:p>
    <w:p>
      <w:r>
        <w:t xml:space="preserve">Part D applies the full architecture to five strategic scenarios, presents sector-level playbooks, and closes with the ten-year vision. Each case study records certification, voting, financing, and de-escalation as the system executes them, illustrating how the doctrine, the clock, and the Fund operate as one machine.</w:t>
      </w:r>
    </w:p>
    <w:p>
      <w:pPr>
        <w:pStyle w:val="Heading2"/>
      </w:pPr>
      <w:r>
        <w:t xml:space="preserve">Scenario A: Broad-Based Trade Restriction Event</w:t>
      </w:r>
    </w:p>
    <w:p>
      <w:r>
        <w:t xml:space="preserve">A major economy imposes 20% tariffs covering USD 250 billion of member exports. The IEWC certifies a Moderate-Severe event. On Day 22 the CC votes Phase 1 authorisation at 76.8% GDP-weighted and 73.5% trade-weighted support. The coalition deploys a USD 40 billion equivalent package of reciprocal measures at 15 to 25% intensity, Fund disbursements flow to affected exporters under the tiered structure, and the Dashboard tracks coercer domestic political cost. The coercer seeks talks at Day 60; suspension follows verified withdrawal, with reinstatement ready at 125% within 48 hours.</w:t>
      </w:r>
    </w:p>
    <w:p>
      <w:r>
        <w:t xml:space="preserve">The case demonstrates the system's core selling point: the clock held at every stage, proportionality kept third-country markets calm, and the pre-drafted face-saving text gave the coercer a survivable exit. Total coalition cost stayed well inside the case budget, and the post-case audit under Section 6.9A confirmed every timeline, publishing its findings for members and markets alike.</w:t>
      </w:r>
    </w:p>
    <w:p>
      <w:pPr>
        <w:pStyle w:val="Heading2"/>
      </w:pPr>
      <w:r>
        <w:t xml:space="preserve">Scenario B: Strategic Supply Disruption Event</w:t>
      </w:r>
    </w:p>
    <w:p>
      <w:r>
        <w:t xml:space="preserve">A dominant supplier halts rare-earth and critical-input exports to three members. The Cohesion Multiplier lifts certification from Severe to Critical; the Beta template pre-authorises response, and the CC approves at 89.3%. The coalition answers with USD 40 billion in export controls on complementary technologies, activates Annex 3 stockpiles, and channels USD 15 billion in Fund support plus USD 8 billion in SFI settlement continuity to affected industrial chains. Diversification procurement under the Joint Procurement Consortium locks alternative supply at scale; de-escalation follows the Earn-Back schedule as shipments resume.</w:t>
      </w:r>
    </w:p>
    <w:p>
      <w:r>
        <w:t xml:space="preserve">The case shows the Cohesion Multiplier at work: simultaneous targeting of three members lifted severity and speed together. Stockpiles converted the coercer's leverage into a waiting game the coalition wins, and consortium purchasing turned an emergency response into durable supply diversification that outlasts the case itself.</w:t>
      </w:r>
    </w:p>
    <w:p>
      <w:pPr>
        <w:pStyle w:val="Heading2"/>
      </w:pPr>
      <w:r>
        <w:t xml:space="preserve">Scenario C: Financial System Stress Event</w:t>
      </w:r>
    </w:p>
    <w:p>
      <w:r>
        <w:t xml:space="preserve">A member faces exclusion threats from coercer-controlled clearing and correspondent banking networks, with secondary sanctions pressure on third-state banks. Certification reaches Critical. The coalition activates alternative clearing under Annexes 10B and 11C, the CFM stabilises the member's markets under triple-confirmation and cooling-off rules, and the SFI guarantees settlement continuity for the member's trade finance. The coercer's threat loses value precisely because the alternative rails exist; the event resolves without Phase 3.</w:t>
      </w:r>
    </w:p>
    <w:p>
      <w:r>
        <w:t xml:space="preserve">The case proves the financial architecture: alternative rails converted an existential threat into a manageable stress, pre-negotiated continuity beat improvisation at every handoff, and the coercer's leverage evaporated once exclusion stopped being credible. The CFM's cooling-off rule prevented the single overreaction that turns defence into self-harm.</w:t>
      </w:r>
    </w:p>
    <w:p>
      <w:pPr>
        <w:pStyle w:val="Heading2"/>
      </w:pPr>
      <w:r>
        <w:t xml:space="preserve">Scenario D: Coalition Fragmentation Attempt</w:t>
      </w:r>
    </w:p>
    <w:p>
      <w:r>
        <w:t xml:space="preserve">A coercer offers bilateral carve-outs to three coalition members mid-case: tariff exemptions in exchange for non-participation. The Bilateral Deal Insurance protocol prices the offers: any member accepting a carve-out that fragments the coalition faces Fund exposure adjustments and the Abuse of Process Ratchet. The Transparency and Solidarity Requirement publishes the offers within 24 hours. All three members decline; the coercer settles with the coalition as a whole at Day 35, on terms worse than the original bilateral offers, and the episode enters the scenario library as the canonical demonstration that fragmentation attempts cost the coercer more than solidarity costs members.</w:t>
      </w:r>
    </w:p>
    <w:p>
      <w:r>
        <w:t xml:space="preserve">The case records fragmentation's failure mode: transparency defeated bilateralism inside 24 hours, insurance pricing changed the members' calculus, and the coercer's best obtainable offer arrived only after its carve-outs collapsed. Solidarity Protection compensated the two members whose domestic exposure made refusal costly, turning the coalition's most dangerous moment into its strongest demonstration.</w:t>
      </w:r>
    </w:p>
    <w:p>
      <w:pPr>
        <w:pStyle w:val="Heading2"/>
      </w:pPr>
      <w:r>
        <w:t xml:space="preserve">Scenario E: Systemic Tariff Shock by a Major Economy</w:t>
      </w:r>
    </w:p>
    <w:p>
      <w:r>
        <w:t xml:space="preserve">A systemic economy launches 15% across-the-board tariffs on all member states simultaneously. The Systemic Non-Targeting Doctrine presumption engages: the measure reads as coercion against the coalition itself. The v15.0 automatic systemic protocol activates Phase 2 at 50% on Day 1, 75% on Day 3, and 100% on Day 7 unless the CC votes otherwise at the elevated thresholds. The Day 0 to 90 timeline runs: Track A stabilisation within hours, certification within 2 hours at Critical, coalition-wide reciprocal measures, SFI continuity, and CFM market defence. Total member exposure stays inside the 5% of GDP systemic cap through the burden formula and the Multi-Crisis envelope. The coercer faces the entire coalition's combined market as a single negotiating counterparty; withdrawal talks begin at Day 45 and complete under the Earn-Back schedule by Day 90.</w:t>
      </w:r>
    </w:p>
    <w:p>
      <w:r>
        <w:t xml:space="preserve">The case validates the v15.0 systemic layer: automaticity removed hesitation from the coalition's first week, combined-market bargaining compressed the shock into a single quarter, and the exposure caps kept the event politically survivable inside every member. The Grand Review that followed raised the systemic reserve allocation, the only amendment the case produced.</w:t>
      </w:r>
    </w:p>
    <w:p>
      <w:pPr>
        <w:pStyle w:val="Heading2"/>
      </w:pPr>
      <w:r>
        <w:t xml:space="preserve">Sector Playbooks</w:t>
      </w:r>
    </w:p>
    <w:p>
      <w:r>
        <w:t xml:space="preserve">The full text dedicates a playbook to each strategic sector; this edition condenses the six most-tested. Each playbook follows the same spine: standing preparation obligations, activation triggers keyed to the severity ladder, and a de-escalation sequence matched to the sector's contract cycles.</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1800"/>
        <w:gridCol w:w="3800"/>
        <w:gridCol w:w="3800"/>
      </w:tblGrid>
      <w:tr>
        <w:trPr>
          <w:tblHeader/>
        </w:trPr>
        <w:tc>
          <w:tcPr>
            <w:tcW w:w="1800" w:type="dxa"/>
            <w:tcBorders>
              <w:bottom w:val="single" w:color="37474F" w:sz="6"/>
            </w:tcBorders>
            <w:shd w:val="clear" w:fill="ECEFF1"/>
            <w:vAlign w:val="center"/>
          </w:tcPr>
          <w:p>
            <w:pPr>
              <w:spacing w:before="30" w:after="30" w:line="240" w:lineRule="auto"/>
              <w:jc w:val="left"/>
            </w:pPr>
            <w:r>
              <w:rPr>
                <w:b/>
                <w:color w:val="37474F"/>
                <w:sz w:val="19"/>
              </w:rPr>
              <w:t xml:space="preserve">Sector</w:t>
            </w:r>
          </w:p>
        </w:tc>
        <w:tc>
          <w:tcPr>
            <w:tcW w:w="3800" w:type="dxa"/>
            <w:tcBorders>
              <w:bottom w:val="single" w:color="37474F" w:sz="6"/>
            </w:tcBorders>
            <w:shd w:val="clear" w:fill="ECEFF1"/>
            <w:vAlign w:val="center"/>
          </w:tcPr>
          <w:p>
            <w:pPr>
              <w:spacing w:before="30" w:after="30" w:line="240" w:lineRule="auto"/>
              <w:jc w:val="left"/>
            </w:pPr>
            <w:r>
              <w:rPr>
                <w:b/>
                <w:color w:val="37474F"/>
                <w:sz w:val="19"/>
              </w:rPr>
              <w:t xml:space="preserve">Standing preparation</w:t>
            </w:r>
          </w:p>
        </w:tc>
        <w:tc>
          <w:tcPr>
            <w:tcW w:w="3800" w:type="dxa"/>
            <w:tcBorders>
              <w:bottom w:val="single" w:color="37474F" w:sz="6"/>
            </w:tcBorders>
            <w:shd w:val="clear" w:fill="ECEFF1"/>
            <w:vAlign w:val="center"/>
          </w:tcPr>
          <w:p>
            <w:pPr>
              <w:spacing w:before="30" w:after="30" w:line="240" w:lineRule="auto"/>
              <w:jc w:val="left"/>
            </w:pPr>
            <w:r>
              <w:rPr>
                <w:b/>
                <w:color w:val="37474F"/>
                <w:sz w:val="19"/>
              </w:rPr>
              <w:t xml:space="preserve">Activation response</w:t>
            </w:r>
          </w:p>
        </w:tc>
      </w:tr>
      <w:tr>
        <w:tc>
          <w:tcPr>
            <w:tcW w:w="1800" w:type="dxa"/>
            <w:vAlign w:val="center"/>
          </w:tcPr>
          <w:p>
            <w:pPr>
              <w:spacing w:before="30" w:after="30" w:line="240" w:lineRule="auto"/>
              <w:jc w:val="left"/>
            </w:pPr>
            <w:r>
              <w:rPr>
                <w:color w:val="263238"/>
                <w:sz w:val="19"/>
              </w:rPr>
              <w:t xml:space="preserve">Agriculture</w:t>
            </w:r>
          </w:p>
        </w:tc>
        <w:tc>
          <w:tcPr>
            <w:tcW w:w="3800" w:type="dxa"/>
            <w:vAlign w:val="center"/>
          </w:tcPr>
          <w:p>
            <w:pPr>
              <w:spacing w:before="30" w:after="30" w:line="240" w:lineRule="auto"/>
              <w:jc w:val="left"/>
            </w:pPr>
            <w:r>
              <w:rPr>
                <w:color w:val="263238"/>
                <w:sz w:val="19"/>
              </w:rPr>
              <w:t xml:space="preserve">Annex 3 stockpile targets; seasonal vulnerability mapping</w:t>
            </w:r>
          </w:p>
        </w:tc>
        <w:tc>
          <w:tcPr>
            <w:tcW w:w="3800" w:type="dxa"/>
            <w:vAlign w:val="center"/>
          </w:tcPr>
          <w:p>
            <w:pPr>
              <w:spacing w:before="30" w:after="30" w:line="240" w:lineRule="auto"/>
              <w:jc w:val="left"/>
            </w:pPr>
            <w:r>
              <w:rPr>
                <w:color w:val="263238"/>
                <w:sz w:val="19"/>
              </w:rPr>
              <w:t xml:space="preserve">Procurement substitution; export rerouting through Resilience Corridors</w:t>
            </w:r>
          </w:p>
        </w:tc>
      </w:tr>
      <w:tr>
        <w:tc>
          <w:tcPr>
            <w:tcW w:w="1800" w:type="dxa"/>
            <w:vAlign w:val="center"/>
          </w:tcPr>
          <w:p>
            <w:pPr>
              <w:spacing w:before="30" w:after="30" w:line="240" w:lineRule="auto"/>
              <w:jc w:val="left"/>
            </w:pPr>
            <w:r>
              <w:rPr>
                <w:color w:val="263238"/>
                <w:sz w:val="19"/>
              </w:rPr>
              <w:t xml:space="preserve">Energy</w:t>
            </w:r>
          </w:p>
        </w:tc>
        <w:tc>
          <w:tcPr>
            <w:tcW w:w="3800" w:type="dxa"/>
            <w:vAlign w:val="center"/>
          </w:tcPr>
          <w:p>
            <w:pPr>
              <w:spacing w:before="30" w:after="30" w:line="240" w:lineRule="auto"/>
              <w:jc w:val="left"/>
            </w:pPr>
            <w:r>
              <w:rPr>
                <w:color w:val="263238"/>
                <w:sz w:val="19"/>
              </w:rPr>
              <w:t xml:space="preserve">90 to 180-day reserves; interconnect redundancy</w:t>
            </w:r>
          </w:p>
        </w:tc>
        <w:tc>
          <w:tcPr>
            <w:tcW w:w="3800" w:type="dxa"/>
            <w:vAlign w:val="center"/>
          </w:tcPr>
          <w:p>
            <w:pPr>
              <w:spacing w:before="30" w:after="30" w:line="240" w:lineRule="auto"/>
              <w:jc w:val="left"/>
            </w:pPr>
            <w:r>
              <w:rPr>
                <w:color w:val="263238"/>
                <w:sz w:val="19"/>
              </w:rPr>
              <w:t xml:space="preserve">Coordinated release; alternative contracting; SFI energy trade continuity</w:t>
            </w:r>
          </w:p>
        </w:tc>
      </w:tr>
      <w:tr>
        <w:tc>
          <w:tcPr>
            <w:tcW w:w="1800" w:type="dxa"/>
            <w:vAlign w:val="center"/>
          </w:tcPr>
          <w:p>
            <w:pPr>
              <w:spacing w:before="30" w:after="30" w:line="240" w:lineRule="auto"/>
              <w:jc w:val="left"/>
            </w:pPr>
            <w:r>
              <w:rPr>
                <w:color w:val="263238"/>
                <w:sz w:val="19"/>
              </w:rPr>
              <w:t xml:space="preserve">Critical minerals</w:t>
            </w:r>
          </w:p>
        </w:tc>
        <w:tc>
          <w:tcPr>
            <w:tcW w:w="3800" w:type="dxa"/>
            <w:vAlign w:val="center"/>
          </w:tcPr>
          <w:p>
            <w:pPr>
              <w:spacing w:before="30" w:after="30" w:line="240" w:lineRule="auto"/>
              <w:jc w:val="left"/>
            </w:pPr>
            <w:r>
              <w:rPr>
                <w:color w:val="263238"/>
                <w:sz w:val="19"/>
              </w:rPr>
              <w:t xml:space="preserve">6 to 12-month stockpiles; processing diversification</w:t>
            </w:r>
          </w:p>
        </w:tc>
        <w:tc>
          <w:tcPr>
            <w:tcW w:w="3800" w:type="dxa"/>
            <w:vAlign w:val="center"/>
          </w:tcPr>
          <w:p>
            <w:pPr>
              <w:spacing w:before="30" w:after="30" w:line="240" w:lineRule="auto"/>
              <w:jc w:val="left"/>
            </w:pPr>
            <w:r>
              <w:rPr>
                <w:color w:val="263238"/>
                <w:sz w:val="19"/>
              </w:rPr>
              <w:t xml:space="preserve">Export controls on complements; consortium purchasing at scale</w:t>
            </w:r>
          </w:p>
        </w:tc>
      </w:tr>
      <w:tr>
        <w:tc>
          <w:tcPr>
            <w:tcW w:w="1800" w:type="dxa"/>
            <w:vAlign w:val="center"/>
          </w:tcPr>
          <w:p>
            <w:pPr>
              <w:spacing w:before="30" w:after="30" w:line="240" w:lineRule="auto"/>
              <w:jc w:val="left"/>
            </w:pPr>
            <w:r>
              <w:rPr>
                <w:color w:val="263238"/>
                <w:sz w:val="19"/>
              </w:rPr>
              <w:t xml:space="preserve">Pharmaceuticals</w:t>
            </w:r>
          </w:p>
        </w:tc>
        <w:tc>
          <w:tcPr>
            <w:tcW w:w="3800" w:type="dxa"/>
            <w:vAlign w:val="center"/>
          </w:tcPr>
          <w:p>
            <w:pPr>
              <w:spacing w:before="30" w:after="30" w:line="240" w:lineRule="auto"/>
              <w:jc w:val="left"/>
            </w:pPr>
            <w:r>
              <w:rPr>
                <w:color w:val="263238"/>
                <w:sz w:val="19"/>
              </w:rPr>
              <w:t xml:space="preserve">3 to 6-month inventories; API source diversification</w:t>
            </w:r>
          </w:p>
        </w:tc>
        <w:tc>
          <w:tcPr>
            <w:tcW w:w="3800" w:type="dxa"/>
            <w:vAlign w:val="center"/>
          </w:tcPr>
          <w:p>
            <w:pPr>
              <w:spacing w:before="30" w:after="30" w:line="240" w:lineRule="auto"/>
              <w:jc w:val="left"/>
            </w:pPr>
            <w:r>
              <w:rPr>
                <w:color w:val="263238"/>
                <w:sz w:val="19"/>
              </w:rPr>
              <w:t xml:space="preserve">Emergency production licensing; corridor priority customs</w:t>
            </w:r>
          </w:p>
        </w:tc>
      </w:tr>
      <w:tr>
        <w:tc>
          <w:tcPr>
            <w:tcW w:w="1800" w:type="dxa"/>
            <w:vAlign w:val="center"/>
          </w:tcPr>
          <w:p>
            <w:pPr>
              <w:spacing w:before="30" w:after="30" w:line="240" w:lineRule="auto"/>
              <w:jc w:val="left"/>
            </w:pPr>
            <w:r>
              <w:rPr>
                <w:color w:val="263238"/>
                <w:sz w:val="19"/>
              </w:rPr>
              <w:t xml:space="preserve">Semiconductors</w:t>
            </w:r>
          </w:p>
        </w:tc>
        <w:tc>
          <w:tcPr>
            <w:tcW w:w="3800" w:type="dxa"/>
            <w:vAlign w:val="center"/>
          </w:tcPr>
          <w:p>
            <w:pPr>
              <w:spacing w:before="30" w:after="30" w:line="240" w:lineRule="auto"/>
              <w:jc w:val="left"/>
            </w:pPr>
            <w:r>
              <w:rPr>
                <w:color w:val="263238"/>
                <w:sz w:val="19"/>
              </w:rPr>
              <w:t xml:space="preserve">3 to 6-month buffers; design-tool access redundancy</w:t>
            </w:r>
          </w:p>
        </w:tc>
        <w:tc>
          <w:tcPr>
            <w:tcW w:w="3800" w:type="dxa"/>
            <w:vAlign w:val="center"/>
          </w:tcPr>
          <w:p>
            <w:pPr>
              <w:spacing w:before="30" w:after="30" w:line="240" w:lineRule="auto"/>
              <w:jc w:val="left"/>
            </w:pPr>
            <w:r>
              <w:rPr>
                <w:color w:val="263238"/>
                <w:sz w:val="19"/>
              </w:rPr>
              <w:t xml:space="preserve">Complementary export controls; joint fabrication surge capacity</w:t>
            </w:r>
          </w:p>
        </w:tc>
      </w:tr>
      <w:tr>
        <w:tc>
          <w:tcPr>
            <w:tcW w:w="1800" w:type="dxa"/>
            <w:vAlign w:val="center"/>
          </w:tcPr>
          <w:p>
            <w:pPr>
              <w:spacing w:before="30" w:after="30" w:line="240" w:lineRule="auto"/>
              <w:jc w:val="left"/>
            </w:pPr>
            <w:r>
              <w:rPr>
                <w:color w:val="263238"/>
                <w:sz w:val="19"/>
              </w:rPr>
              <w:t xml:space="preserve">Digital platforms</w:t>
            </w:r>
          </w:p>
        </w:tc>
        <w:tc>
          <w:tcPr>
            <w:tcW w:w="3800" w:type="dxa"/>
            <w:vAlign w:val="center"/>
          </w:tcPr>
          <w:p>
            <w:pPr>
              <w:spacing w:before="30" w:after="30" w:line="240" w:lineRule="auto"/>
              <w:jc w:val="left"/>
            </w:pPr>
            <w:r>
              <w:rPr>
                <w:color w:val="263238"/>
                <w:sz w:val="19"/>
              </w:rPr>
              <w:t xml:space="preserve">Annex 11A certification; data-flow redundancy</w:t>
            </w:r>
          </w:p>
        </w:tc>
        <w:tc>
          <w:tcPr>
            <w:tcW w:w="3800" w:type="dxa"/>
            <w:vAlign w:val="center"/>
          </w:tcPr>
          <w:p>
            <w:pPr>
              <w:spacing w:before="30" w:after="30" w:line="240" w:lineRule="auto"/>
              <w:jc w:val="left"/>
            </w:pPr>
            <w:r>
              <w:rPr>
                <w:color w:val="263238"/>
                <w:sz w:val="19"/>
              </w:rPr>
              <w:t xml:space="preserve">DMAP fast-track access; platform liability shields; continuity guarantees</w:t>
            </w:r>
          </w:p>
        </w:tc>
      </w:tr>
    </w:tbl>
    <w:p>
      <w:pPr>
        <w:pStyle w:val="Caption"/>
      </w:pPr>
      <w:r>
        <w:t xml:space="preserve">Table: condensed sector playbooks; full playbooks reside in the master instrument's annexes.</w:t>
      </w:r>
    </w:p>
    <w:p>
      <w:pPr>
        <w:pStyle w:val="Heading2"/>
      </w:pPr>
      <w:r>
        <w:t xml:space="preserve">Ten-Year Strategic Vision</w:t>
      </w:r>
    </w:p>
    <w:p>
      <w:r>
        <w:t xml:space="preserve">Years 1 to 2: a founding coalition of 15 to 20 states representing roughly 35% of global GDP completes the pilot stress test, capitalises the Fund to its initial target, and demonstrates one successful stabilisation. Years 3 to 5: membership reaches 40 to 50 states above 45% of global GDP; the SFI handles a material share of intra-coalition settlement; the scenario library covers every observed coercion vector; IMESI-Compatible becomes a recognised standard in trade law. Years 5 to 10: the system matures into standing economic infrastructure, with accession a routine act of economic statecraft, coercion attempts declining because the response is known, automatic, and credible. The vision's test is behavioural: coercion becomes rare because it stops working.</w:t>
      </w:r>
    </w:p>
    <w:p>
      <w:r>
        <w:t xml:space="preserve">The vision's milestones carry verification: membership and GDP coverage publish annually, the stress-test record demonstrates operational readiness, and the coercion-incidence trend measures deterrence itself. The founders accept the paradox at the heart of the design: complete success looks like quiet, because a system that makes coercion futile eventually faces little coercion to repel. IMESI budgets for that success.</w:t>
      </w:r>
    </w:p>
    <w:p>
      <w:pPr>
        <w:pStyle w:val="Heading1"/>
        <w:pageBreakBefore/>
      </w:pPr>
      <w:r>
        <w:t xml:space="preserve">Conclusion: A Coalition-Ready Framework</w:t>
      </w:r>
    </w:p>
    <w:p>
      <w:r>
        <w:t xml:space="preserve">The founders close with a discipline rather than an exhortation. Every mechanism in this edition traces to an observed failure of earlier collective arrangements: delay in the face of interwar coercion, impotence against security-exception abuse, sanctions regimes that fragmented their own coalitions. IMESI keeps what worked, prices what failed, and publishes the arithmetic. That is the whole method: memory, mechanism, and transparency, bound by commitments that do not fade.</w:t>
      </w:r>
    </w:p>
    <w:p>
      <w:r>
        <w:t xml:space="preserve">IMESI Condensed presents a framework engineered around six imperatives. Stabilisation credibility: automatic triggers, pre-authorised scenarios, and a funded response floor make the coalition's reaction a fact, not a promise. Political viability: tiered obligations, face-saving architecture, and consultation norms keep participation affordable for democracies. Coalition durability: anti-fragmentation mechanisms price defection above solidarity. Responsible escalation: the proportionality matrix, human confirmation points, and the de-escalation default keep every response bounded and reversible. Institutional sustainability: capped contributions, independent adjudication, and the Nofade Rule keep the system solvent and continuous. Accessibility without weakness: micro-states, developing economies, and partial-accession partners join on adapted terms while the deterrence core stays hard.</w:t>
      </w:r>
    </w:p>
    <w:p>
      <w:r>
        <w:t xml:space="preserve">The launch strategy follows the founding profile: a Year 1 core of European Union members with the United Kingdom, Japan, Canada, Australia, and Korea, a coalition of 10 to 12 states spanning three regions, enough combined weight to matter and enough diversity to endure. The framework is complete, internally coherent, and ready for signature. The remaining variable is political resolve, and the design's answer to that variable is the same as its answer to coercion: make the cooperative equilibrium the cheapest one available.</w:t>
      </w:r>
    </w:p>
    <w:p>
      <w:r>
        <w:t xml:space="preserve">The Instrument now stands before its prospective members. Its logic is insurance, its method is mutualism, its clock is fast, and its commitments do not fade.</w:t>
      </w:r>
    </w:p>
    <w:p>
      <w:pPr>
        <w:pStyle w:val="Heading1"/>
        <w:pageBreakBefore/>
      </w:pPr>
      <w:r>
        <w:t xml:space="preserve">Appendix: Glossary of Key Terms</w:t>
      </w:r>
    </w:p>
    <w:p>
      <w:r>
        <w:t xml:space="preserve">The glossary fixes the meaning of the terms this edition uses most. Definitions condense the operative definitions in Article II and the relevant annexes; where this table and the master text diverge, the master text governs. Terms carrying formal definition status in the full instrument retain interpretive weight in IAC proceedings.</w:t>
      </w:r>
    </w:p>
    <w:tbl>
      <w:tblPr>
        <w:tblW w:w="5000" w:type="pct"/>
        <w:tblBorders>
          <w:top w:val="single" w:color="37474F" w:sz="10"/>
          <w:left w:val="nil"/>
          <w:bottom w:val="single" w:color="37474F" w:sz="10"/>
          <w:right w:val="nil"/>
          <w:insideH w:val="single" w:color="CFD8DC" w:sz="2"/>
          <w:insideV w:val="nil"/>
        </w:tblBorders>
        <w:tblCellMar>
          <w:top w:w="60" w:type="dxa"/>
          <w:left w:w="100" w:type="dxa"/>
          <w:bottom w:w="60" w:type="dxa"/>
          <w:right w:w="100" w:type="dxa"/>
        </w:tblCellMar>
      </w:tblPr>
      <w:tblGrid>
        <w:gridCol w:w="2200"/>
        <w:gridCol w:w="7200"/>
      </w:tblGrid>
      <w:tr>
        <w:trPr>
          <w:tblHeader/>
        </w:trPr>
        <w:tc>
          <w:tcPr>
            <w:tcW w:w="2200" w:type="dxa"/>
            <w:tcBorders>
              <w:bottom w:val="single" w:color="37474F" w:sz="6"/>
            </w:tcBorders>
            <w:shd w:val="clear" w:fill="ECEFF1"/>
            <w:vAlign w:val="center"/>
          </w:tcPr>
          <w:p>
            <w:pPr>
              <w:spacing w:before="30" w:after="30" w:line="240" w:lineRule="auto"/>
              <w:jc w:val="left"/>
            </w:pPr>
            <w:r>
              <w:rPr>
                <w:b/>
                <w:color w:val="37474F"/>
                <w:sz w:val="19"/>
              </w:rPr>
              <w:t xml:space="preserve">Term</w:t>
            </w:r>
          </w:p>
        </w:tc>
        <w:tc>
          <w:tcPr>
            <w:tcW w:w="7200" w:type="dxa"/>
            <w:tcBorders>
              <w:bottom w:val="single" w:color="37474F" w:sz="6"/>
            </w:tcBorders>
            <w:shd w:val="clear" w:fill="ECEFF1"/>
            <w:vAlign w:val="center"/>
          </w:tcPr>
          <w:p>
            <w:pPr>
              <w:spacing w:before="30" w:after="30" w:line="240" w:lineRule="auto"/>
              <w:jc w:val="left"/>
            </w:pPr>
            <w:r>
              <w:rPr>
                <w:b/>
                <w:color w:val="37474F"/>
                <w:sz w:val="19"/>
              </w:rPr>
              <w:t xml:space="preserve">Meaning</w:t>
            </w:r>
          </w:p>
        </w:tc>
      </w:tr>
      <w:tr>
        <w:tc>
          <w:tcPr>
            <w:tcW w:w="2200" w:type="dxa"/>
            <w:vAlign w:val="center"/>
          </w:tcPr>
          <w:p>
            <w:pPr>
              <w:spacing w:before="30" w:after="30" w:line="240" w:lineRule="auto"/>
              <w:jc w:val="left"/>
            </w:pPr>
            <w:r>
              <w:rPr>
                <w:color w:val="263238"/>
                <w:sz w:val="19"/>
              </w:rPr>
              <w:t xml:space="preserve">IMESI</w:t>
            </w:r>
          </w:p>
        </w:tc>
        <w:tc>
          <w:tcPr>
            <w:tcW w:w="7200" w:type="dxa"/>
            <w:vAlign w:val="center"/>
          </w:tcPr>
          <w:p>
            <w:pPr>
              <w:spacing w:before="30" w:after="30" w:line="240" w:lineRule="auto"/>
              <w:jc w:val="left"/>
            </w:pPr>
            <w:r>
              <w:rPr>
                <w:color w:val="263238"/>
                <w:sz w:val="19"/>
              </w:rPr>
              <w:t xml:space="preserve">International Mutual Economic Security Instrument: the treaty framework this document condenses.</w:t>
            </w:r>
          </w:p>
        </w:tc>
      </w:tr>
      <w:tr>
        <w:tc>
          <w:tcPr>
            <w:tcW w:w="2200" w:type="dxa"/>
            <w:vAlign w:val="center"/>
          </w:tcPr>
          <w:p>
            <w:pPr>
              <w:spacing w:before="30" w:after="30" w:line="240" w:lineRule="auto"/>
              <w:jc w:val="left"/>
            </w:pPr>
            <w:r>
              <w:rPr>
                <w:color w:val="263238"/>
                <w:sz w:val="19"/>
              </w:rPr>
              <w:t xml:space="preserve">Economic coercion</w:t>
            </w:r>
          </w:p>
        </w:tc>
        <w:tc>
          <w:tcPr>
            <w:tcW w:w="7200" w:type="dxa"/>
            <w:vAlign w:val="center"/>
          </w:tcPr>
          <w:p>
            <w:pPr>
              <w:spacing w:before="30" w:after="30" w:line="240" w:lineRule="auto"/>
              <w:jc w:val="left"/>
            </w:pPr>
            <w:r>
              <w:rPr>
                <w:color w:val="263238"/>
                <w:sz w:val="19"/>
              </w:rPr>
              <w:t xml:space="preserve">The use of economic measures to compel policy change in another state, as defined by the five elements in Article II.</w:t>
            </w:r>
          </w:p>
        </w:tc>
      </w:tr>
      <w:tr>
        <w:tc>
          <w:tcPr>
            <w:tcW w:w="2200" w:type="dxa"/>
            <w:vAlign w:val="center"/>
          </w:tcPr>
          <w:p>
            <w:pPr>
              <w:spacing w:before="30" w:after="30" w:line="240" w:lineRule="auto"/>
              <w:jc w:val="left"/>
            </w:pPr>
            <w:r>
              <w:rPr>
                <w:color w:val="263238"/>
                <w:sz w:val="19"/>
              </w:rPr>
              <w:t xml:space="preserve">AESI</w:t>
            </w:r>
          </w:p>
        </w:tc>
        <w:tc>
          <w:tcPr>
            <w:tcW w:w="7200" w:type="dxa"/>
            <w:vAlign w:val="center"/>
          </w:tcPr>
          <w:p>
            <w:pPr>
              <w:spacing w:before="30" w:after="30" w:line="240" w:lineRule="auto"/>
              <w:jc w:val="left"/>
            </w:pPr>
            <w:r>
              <w:rPr>
                <w:color w:val="263238"/>
                <w:sz w:val="19"/>
              </w:rPr>
              <w:t xml:space="preserve">Aggregate Economic Security Impact: the certified measure of harm used to calibrate proportional response.</w:t>
            </w:r>
          </w:p>
        </w:tc>
      </w:tr>
      <w:tr>
        <w:tc>
          <w:tcPr>
            <w:tcW w:w="2200" w:type="dxa"/>
            <w:vAlign w:val="center"/>
          </w:tcPr>
          <w:p>
            <w:pPr>
              <w:spacing w:before="30" w:after="30" w:line="240" w:lineRule="auto"/>
              <w:jc w:val="left"/>
            </w:pPr>
            <w:r>
              <w:rPr>
                <w:color w:val="263238"/>
                <w:sz w:val="19"/>
              </w:rPr>
              <w:t xml:space="preserve">CC</w:t>
            </w:r>
          </w:p>
        </w:tc>
        <w:tc>
          <w:tcPr>
            <w:tcW w:w="7200" w:type="dxa"/>
            <w:vAlign w:val="center"/>
          </w:tcPr>
          <w:p>
            <w:pPr>
              <w:spacing w:before="30" w:after="30" w:line="240" w:lineRule="auto"/>
              <w:jc w:val="left"/>
            </w:pPr>
            <w:r>
              <w:rPr>
                <w:color w:val="263238"/>
                <w:sz w:val="19"/>
              </w:rPr>
              <w:t xml:space="preserve">Coalition Council: the supreme decision organ, voting on the GDP, trade, and tier-weighted formula.</w:t>
            </w:r>
          </w:p>
        </w:tc>
      </w:tr>
      <w:tr>
        <w:tc>
          <w:tcPr>
            <w:tcW w:w="2200" w:type="dxa"/>
            <w:vAlign w:val="center"/>
          </w:tcPr>
          <w:p>
            <w:pPr>
              <w:spacing w:before="30" w:after="30" w:line="240" w:lineRule="auto"/>
              <w:jc w:val="left"/>
            </w:pPr>
            <w:r>
              <w:rPr>
                <w:color w:val="263238"/>
                <w:sz w:val="19"/>
              </w:rPr>
              <w:t xml:space="preserve">IEWC</w:t>
            </w:r>
          </w:p>
        </w:tc>
        <w:tc>
          <w:tcPr>
            <w:tcW w:w="7200" w:type="dxa"/>
            <w:vAlign w:val="center"/>
          </w:tcPr>
          <w:p>
            <w:pPr>
              <w:spacing w:before="30" w:after="30" w:line="240" w:lineRule="auto"/>
              <w:jc w:val="left"/>
            </w:pPr>
            <w:r>
              <w:rPr>
                <w:color w:val="263238"/>
                <w:sz w:val="19"/>
              </w:rPr>
              <w:t xml:space="preserve">International Economic Warfare Centre: the analytical and certification organ.</w:t>
            </w:r>
          </w:p>
        </w:tc>
      </w:tr>
      <w:tr>
        <w:tc>
          <w:tcPr>
            <w:tcW w:w="2200" w:type="dxa"/>
            <w:vAlign w:val="center"/>
          </w:tcPr>
          <w:p>
            <w:pPr>
              <w:spacing w:before="30" w:after="30" w:line="240" w:lineRule="auto"/>
              <w:jc w:val="left"/>
            </w:pPr>
            <w:r>
              <w:rPr>
                <w:color w:val="263238"/>
                <w:sz w:val="19"/>
              </w:rPr>
              <w:t xml:space="preserve">IAC</w:t>
            </w:r>
          </w:p>
        </w:tc>
        <w:tc>
          <w:tcPr>
            <w:tcW w:w="7200" w:type="dxa"/>
            <w:vAlign w:val="center"/>
          </w:tcPr>
          <w:p>
            <w:pPr>
              <w:spacing w:before="30" w:after="30" w:line="240" w:lineRule="auto"/>
              <w:jc w:val="left"/>
            </w:pPr>
            <w:r>
              <w:rPr>
                <w:color w:val="263238"/>
                <w:sz w:val="19"/>
              </w:rPr>
              <w:t xml:space="preserve">Independent Adjudication Chamber: the judicial organ for proportionality, conflicts, and discipline.</w:t>
            </w:r>
          </w:p>
        </w:tc>
      </w:tr>
      <w:tr>
        <w:tc>
          <w:tcPr>
            <w:tcW w:w="2200" w:type="dxa"/>
            <w:vAlign w:val="center"/>
          </w:tcPr>
          <w:p>
            <w:pPr>
              <w:spacing w:before="30" w:after="30" w:line="240" w:lineRule="auto"/>
              <w:jc w:val="left"/>
            </w:pPr>
            <w:r>
              <w:rPr>
                <w:color w:val="263238"/>
                <w:sz w:val="19"/>
              </w:rPr>
              <w:t xml:space="preserve">Reinstatement</w:t>
            </w:r>
          </w:p>
        </w:tc>
        <w:tc>
          <w:tcPr>
            <w:tcW w:w="7200" w:type="dxa"/>
            <w:vAlign w:val="center"/>
          </w:tcPr>
          <w:p>
            <w:pPr>
              <w:spacing w:before="30" w:after="30" w:line="240" w:lineRule="auto"/>
              <w:jc w:val="left"/>
            </w:pPr>
            <w:r>
              <w:rPr>
                <w:color w:val="263238"/>
                <w:sz w:val="19"/>
              </w:rPr>
              <w:t xml:space="preserve">Automatic re-imposition of suspended measures at 125% intensity within 48 hours upon certified re-coercion.</w:t>
            </w:r>
          </w:p>
        </w:tc>
      </w:tr>
      <w:tr>
        <w:tc>
          <w:tcPr>
            <w:tcW w:w="2200" w:type="dxa"/>
            <w:vAlign w:val="center"/>
          </w:tcPr>
          <w:p>
            <w:pPr>
              <w:spacing w:before="30" w:after="30" w:line="240" w:lineRule="auto"/>
              <w:jc w:val="left"/>
            </w:pPr>
            <w:r>
              <w:rPr>
                <w:color w:val="263238"/>
                <w:sz w:val="19"/>
              </w:rPr>
              <w:t xml:space="preserve">Minimum response floor</w:t>
            </w:r>
          </w:p>
        </w:tc>
        <w:tc>
          <w:tcPr>
            <w:tcW w:w="7200" w:type="dxa"/>
            <w:vAlign w:val="center"/>
          </w:tcPr>
          <w:p>
            <w:pPr>
              <w:spacing w:before="30" w:after="30" w:line="240" w:lineRule="auto"/>
              <w:jc w:val="left"/>
            </w:pPr>
            <w:r>
              <w:rPr>
                <w:color w:val="263238"/>
                <w:sz w:val="19"/>
              </w:rPr>
              <w:t xml:space="preserve">The baseline participation each member owes an active case, set by tier.</w:t>
            </w:r>
          </w:p>
        </w:tc>
      </w:tr>
      <w:tr>
        <w:tc>
          <w:tcPr>
            <w:tcW w:w="2200" w:type="dxa"/>
            <w:vAlign w:val="center"/>
          </w:tcPr>
          <w:p>
            <w:pPr>
              <w:spacing w:before="30" w:after="30" w:line="240" w:lineRule="auto"/>
              <w:jc w:val="left"/>
            </w:pPr>
            <w:r>
              <w:rPr>
                <w:color w:val="263238"/>
                <w:sz w:val="19"/>
              </w:rPr>
              <w:t xml:space="preserve">Burden-sharing equalisation</w:t>
            </w:r>
          </w:p>
        </w:tc>
        <w:tc>
          <w:tcPr>
            <w:tcW w:w="7200" w:type="dxa"/>
            <w:vAlign w:val="center"/>
          </w:tcPr>
          <w:p>
            <w:pPr>
              <w:spacing w:before="30" w:after="30" w:line="240" w:lineRule="auto"/>
              <w:jc w:val="left"/>
            </w:pPr>
            <w:r>
              <w:rPr>
                <w:color w:val="263238"/>
                <w:sz w:val="19"/>
              </w:rPr>
              <w:t xml:space="preserve">The 50/30/20 formula keeping net member contributions within the 1.5 to 2.5% coefficient band.</w:t>
            </w:r>
          </w:p>
        </w:tc>
      </w:tr>
      <w:tr>
        <w:tc>
          <w:tcPr>
            <w:tcW w:w="2200" w:type="dxa"/>
            <w:vAlign w:val="center"/>
          </w:tcPr>
          <w:p>
            <w:pPr>
              <w:spacing w:before="30" w:after="30" w:line="240" w:lineRule="auto"/>
              <w:jc w:val="left"/>
            </w:pPr>
            <w:r>
              <w:rPr>
                <w:color w:val="263238"/>
                <w:sz w:val="19"/>
              </w:rPr>
              <w:t xml:space="preserve">ESP</w:t>
            </w:r>
          </w:p>
        </w:tc>
        <w:tc>
          <w:tcPr>
            <w:tcW w:w="7200" w:type="dxa"/>
            <w:vAlign w:val="center"/>
          </w:tcPr>
          <w:p>
            <w:pPr>
              <w:spacing w:before="30" w:after="30" w:line="240" w:lineRule="auto"/>
              <w:jc w:val="left"/>
            </w:pPr>
            <w:r>
              <w:rPr>
                <w:color w:val="263238"/>
                <w:sz w:val="19"/>
              </w:rPr>
              <w:t xml:space="preserve">Existential Signalling Protocol: 65% weighted trigger for 12-month heightened protection with 2-hour response readiness.</w:t>
            </w:r>
          </w:p>
        </w:tc>
      </w:tr>
      <w:tr>
        <w:tc>
          <w:tcPr>
            <w:tcW w:w="2200" w:type="dxa"/>
            <w:vAlign w:val="center"/>
          </w:tcPr>
          <w:p>
            <w:pPr>
              <w:spacing w:before="30" w:after="30" w:line="240" w:lineRule="auto"/>
              <w:jc w:val="left"/>
            </w:pPr>
            <w:r>
              <w:rPr>
                <w:color w:val="263238"/>
                <w:sz w:val="19"/>
              </w:rPr>
              <w:t xml:space="preserve">Nofade Rule</w:t>
            </w:r>
          </w:p>
        </w:tc>
        <w:tc>
          <w:tcPr>
            <w:tcW w:w="7200" w:type="dxa"/>
            <w:vAlign w:val="center"/>
          </w:tcPr>
          <w:p>
            <w:pPr>
              <w:spacing w:before="30" w:after="30" w:line="240" w:lineRule="auto"/>
              <w:jc w:val="left"/>
            </w:pPr>
            <w:r>
              <w:rPr>
                <w:color w:val="263238"/>
                <w:sz w:val="19"/>
              </w:rPr>
              <w:t xml:space="preserve">The permanence doctrine: no sunsets, renewal by silence, exit only by affirmative act.</w:t>
            </w:r>
          </w:p>
        </w:tc>
      </w:tr>
      <w:tr>
        <w:tc>
          <w:tcPr>
            <w:tcW w:w="2200" w:type="dxa"/>
            <w:vAlign w:val="center"/>
          </w:tcPr>
          <w:p>
            <w:pPr>
              <w:spacing w:before="30" w:after="30" w:line="240" w:lineRule="auto"/>
              <w:jc w:val="left"/>
            </w:pPr>
            <w:r>
              <w:rPr>
                <w:color w:val="263238"/>
                <w:sz w:val="19"/>
              </w:rPr>
              <w:t xml:space="preserve">ABSV</w:t>
            </w:r>
          </w:p>
        </w:tc>
        <w:tc>
          <w:tcPr>
            <w:tcW w:w="7200" w:type="dxa"/>
            <w:vAlign w:val="center"/>
          </w:tcPr>
          <w:p>
            <w:pPr>
              <w:spacing w:before="30" w:after="30" w:line="240" w:lineRule="auto"/>
              <w:jc w:val="left"/>
            </w:pPr>
            <w:r>
              <w:rPr>
                <w:color w:val="263238"/>
                <w:sz w:val="19"/>
              </w:rPr>
              <w:t xml:space="preserve">Asymmetric Burden-Sharing Value: the four-tier structure (Core, Contributing, Protected, Supporting) aligning weight, burden, and attribution.</w:t>
            </w:r>
          </w:p>
        </w:tc>
      </w:tr>
      <w:tr>
        <w:tc>
          <w:tcPr>
            <w:tcW w:w="2200" w:type="dxa"/>
            <w:vAlign w:val="center"/>
          </w:tcPr>
          <w:p>
            <w:pPr>
              <w:spacing w:before="30" w:after="30" w:line="240" w:lineRule="auto"/>
              <w:jc w:val="left"/>
            </w:pPr>
            <w:r>
              <w:rPr>
                <w:color w:val="263238"/>
                <w:sz w:val="19"/>
              </w:rPr>
              <w:t xml:space="preserve">SFI</w:t>
            </w:r>
          </w:p>
        </w:tc>
        <w:tc>
          <w:tcPr>
            <w:tcW w:w="7200" w:type="dxa"/>
            <w:vAlign w:val="center"/>
          </w:tcPr>
          <w:p>
            <w:pPr>
              <w:spacing w:before="30" w:after="30" w:line="240" w:lineRule="auto"/>
              <w:jc w:val="left"/>
            </w:pPr>
            <w:r>
              <w:rPr>
                <w:color w:val="263238"/>
                <w:sz w:val="19"/>
              </w:rPr>
              <w:t xml:space="preserve">Settlement Finance Instrument: the facility guaranteeing settlement continuity during financial coercion.</w:t>
            </w:r>
          </w:p>
        </w:tc>
      </w:tr>
      <w:tr>
        <w:tc>
          <w:tcPr>
            <w:tcW w:w="2200" w:type="dxa"/>
            <w:vAlign w:val="center"/>
          </w:tcPr>
          <w:p>
            <w:pPr>
              <w:spacing w:before="30" w:after="30" w:line="240" w:lineRule="auto"/>
              <w:jc w:val="left"/>
            </w:pPr>
            <w:r>
              <w:rPr>
                <w:color w:val="263238"/>
                <w:sz w:val="19"/>
              </w:rPr>
              <w:t xml:space="preserve">IMU</w:t>
            </w:r>
          </w:p>
        </w:tc>
        <w:tc>
          <w:tcPr>
            <w:tcW w:w="7200" w:type="dxa"/>
            <w:vAlign w:val="center"/>
          </w:tcPr>
          <w:p>
            <w:pPr>
              <w:spacing w:before="30" w:after="30" w:line="240" w:lineRule="auto"/>
              <w:jc w:val="left"/>
            </w:pPr>
            <w:r>
              <w:rPr>
                <w:color w:val="263238"/>
                <w:sz w:val="19"/>
              </w:rPr>
              <w:t xml:space="preserve">IMESI Monetary Unit: the accounting unit for Fund operations and burden calculations.</w:t>
            </w:r>
          </w:p>
        </w:tc>
      </w:tr>
      <w:tr>
        <w:tc>
          <w:tcPr>
            <w:tcW w:w="2200" w:type="dxa"/>
            <w:vAlign w:val="center"/>
          </w:tcPr>
          <w:p>
            <w:pPr>
              <w:spacing w:before="30" w:after="30" w:line="240" w:lineRule="auto"/>
              <w:jc w:val="left"/>
            </w:pPr>
            <w:r>
              <w:rPr>
                <w:color w:val="263238"/>
                <w:sz w:val="19"/>
              </w:rPr>
              <w:t xml:space="preserve">ADAI</w:t>
            </w:r>
          </w:p>
        </w:tc>
        <w:tc>
          <w:tcPr>
            <w:tcW w:w="7200" w:type="dxa"/>
            <w:vAlign w:val="center"/>
          </w:tcPr>
          <w:p>
            <w:pPr>
              <w:spacing w:before="30" w:after="30" w:line="240" w:lineRule="auto"/>
              <w:jc w:val="left"/>
            </w:pPr>
            <w:r>
              <w:rPr>
                <w:color w:val="263238"/>
                <w:sz w:val="19"/>
              </w:rPr>
              <w:t xml:space="preserve">Automated Dashboard and Attribution Intelligence: the real-time monitoring and attribution system.</w:t>
            </w:r>
          </w:p>
        </w:tc>
      </w:tr>
      <w:tr>
        <w:tc>
          <w:tcPr>
            <w:tcW w:w="2200" w:type="dxa"/>
            <w:vAlign w:val="center"/>
          </w:tcPr>
          <w:p>
            <w:pPr>
              <w:spacing w:before="30" w:after="30" w:line="240" w:lineRule="auto"/>
              <w:jc w:val="left"/>
            </w:pPr>
            <w:r>
              <w:rPr>
                <w:color w:val="263238"/>
                <w:sz w:val="19"/>
              </w:rPr>
              <w:t xml:space="preserve">EVA</w:t>
            </w:r>
          </w:p>
        </w:tc>
        <w:tc>
          <w:tcPr>
            <w:tcW w:w="7200" w:type="dxa"/>
            <w:vAlign w:val="center"/>
          </w:tcPr>
          <w:p>
            <w:pPr>
              <w:spacing w:before="30" w:after="30" w:line="240" w:lineRule="auto"/>
              <w:jc w:val="left"/>
            </w:pPr>
            <w:r>
              <w:rPr>
                <w:color w:val="263238"/>
                <w:sz w:val="19"/>
              </w:rPr>
              <w:t xml:space="preserve">Escalation Verification Assessment: the Green, Amber, Red status ladder at 15 and 30% deviation bands.</w:t>
            </w:r>
          </w:p>
        </w:tc>
      </w:tr>
      <w:tr>
        <w:tc>
          <w:tcPr>
            <w:tcW w:w="2200" w:type="dxa"/>
            <w:vAlign w:val="center"/>
          </w:tcPr>
          <w:p>
            <w:pPr>
              <w:spacing w:before="30" w:after="30" w:line="240" w:lineRule="auto"/>
              <w:jc w:val="left"/>
            </w:pPr>
            <w:r>
              <w:rPr>
                <w:color w:val="263238"/>
                <w:sz w:val="19"/>
              </w:rPr>
              <w:t xml:space="preserve">VCI</w:t>
            </w:r>
          </w:p>
        </w:tc>
        <w:tc>
          <w:tcPr>
            <w:tcW w:w="7200" w:type="dxa"/>
            <w:vAlign w:val="center"/>
          </w:tcPr>
          <w:p>
            <w:pPr>
              <w:spacing w:before="30" w:after="30" w:line="240" w:lineRule="auto"/>
              <w:jc w:val="left"/>
            </w:pPr>
            <w:r>
              <w:rPr>
                <w:color w:val="263238"/>
                <w:sz w:val="19"/>
              </w:rPr>
              <w:t xml:space="preserve">Vulnerability Continuity Index: quarterly grading of member exposure (A resilient, B watch, C critical).</w:t>
            </w:r>
          </w:p>
        </w:tc>
      </w:tr>
      <w:tr>
        <w:tc>
          <w:tcPr>
            <w:tcW w:w="2200" w:type="dxa"/>
            <w:vAlign w:val="center"/>
          </w:tcPr>
          <w:p>
            <w:pPr>
              <w:spacing w:before="30" w:after="30" w:line="240" w:lineRule="auto"/>
              <w:jc w:val="left"/>
            </w:pPr>
            <w:r>
              <w:rPr>
                <w:color w:val="263238"/>
                <w:sz w:val="19"/>
              </w:rPr>
              <w:t xml:space="preserve">CFM</w:t>
            </w:r>
          </w:p>
        </w:tc>
        <w:tc>
          <w:tcPr>
            <w:tcW w:w="7200" w:type="dxa"/>
            <w:vAlign w:val="center"/>
          </w:tcPr>
          <w:p>
            <w:pPr>
              <w:spacing w:before="30" w:after="30" w:line="240" w:lineRule="auto"/>
              <w:jc w:val="left"/>
            </w:pPr>
            <w:r>
              <w:rPr>
                <w:color w:val="263238"/>
                <w:sz w:val="19"/>
              </w:rPr>
              <w:t xml:space="preserve">Coalition Financial Markets protocol: coordinated market stabilisation under triple-confirmation and cooling-off rules.</w:t>
            </w:r>
          </w:p>
        </w:tc>
      </w:tr>
      <w:tr>
        <w:tc>
          <w:tcPr>
            <w:tcW w:w="2200" w:type="dxa"/>
            <w:vAlign w:val="center"/>
          </w:tcPr>
          <w:p>
            <w:pPr>
              <w:spacing w:before="30" w:after="30" w:line="240" w:lineRule="auto"/>
              <w:jc w:val="left"/>
            </w:pPr>
            <w:r>
              <w:rPr>
                <w:color w:val="263238"/>
                <w:sz w:val="19"/>
              </w:rPr>
              <w:t xml:space="preserve">De-escalation default</w:t>
            </w:r>
          </w:p>
        </w:tc>
        <w:tc>
          <w:tcPr>
            <w:tcW w:w="7200" w:type="dxa"/>
            <w:vAlign w:val="center"/>
          </w:tcPr>
          <w:p>
            <w:pPr>
              <w:spacing w:before="30" w:after="30" w:line="240" w:lineRule="auto"/>
              <w:jc w:val="left"/>
            </w:pPr>
            <w:r>
              <w:rPr>
                <w:color w:val="263238"/>
                <w:sz w:val="19"/>
              </w:rPr>
              <w:t xml:space="preserve">The standing rule that measures suspend upon verified coercer withdrawal, with face-saving language attached.</w:t>
            </w:r>
          </w:p>
        </w:tc>
      </w:tr>
      <w:tr>
        <w:tc>
          <w:tcPr>
            <w:tcW w:w="2200" w:type="dxa"/>
            <w:vAlign w:val="center"/>
          </w:tcPr>
          <w:p>
            <w:pPr>
              <w:spacing w:before="30" w:after="30" w:line="240" w:lineRule="auto"/>
              <w:jc w:val="left"/>
            </w:pPr>
            <w:r>
              <w:rPr>
                <w:color w:val="263238"/>
                <w:sz w:val="19"/>
              </w:rPr>
              <w:t xml:space="preserve">Cohesion Multiplier</w:t>
            </w:r>
          </w:p>
        </w:tc>
        <w:tc>
          <w:tcPr>
            <w:tcW w:w="7200" w:type="dxa"/>
            <w:vAlign w:val="center"/>
          </w:tcPr>
          <w:p>
            <w:pPr>
              <w:spacing w:before="30" w:after="30" w:line="240" w:lineRule="auto"/>
              <w:jc w:val="left"/>
            </w:pPr>
            <w:r>
              <w:rPr>
                <w:color w:val="263238"/>
                <w:sz w:val="19"/>
              </w:rPr>
              <w:t xml:space="preserve">The severity uplift applied when coercion targets multiple members simultaneously (25, 50, 75% bands).</w:t>
            </w:r>
          </w:p>
        </w:tc>
      </w:tr>
      <w:tr>
        <w:tc>
          <w:tcPr>
            <w:tcW w:w="2200" w:type="dxa"/>
            <w:vAlign w:val="center"/>
          </w:tcPr>
          <w:p>
            <w:pPr>
              <w:spacing w:before="30" w:after="30" w:line="240" w:lineRule="auto"/>
              <w:jc w:val="left"/>
            </w:pPr>
            <w:r>
              <w:rPr>
                <w:color w:val="263238"/>
                <w:sz w:val="19"/>
              </w:rPr>
              <w:t xml:space="preserve">Step-Back / Earn-Back</w:t>
            </w:r>
          </w:p>
        </w:tc>
        <w:tc>
          <w:tcPr>
            <w:tcW w:w="7200" w:type="dxa"/>
            <w:vAlign w:val="center"/>
          </w:tcPr>
          <w:p>
            <w:pPr>
              <w:spacing w:before="30" w:after="30" w:line="240" w:lineRule="auto"/>
              <w:jc w:val="left"/>
            </w:pPr>
            <w:r>
              <w:rPr>
                <w:color w:val="263238"/>
                <w:sz w:val="19"/>
              </w:rPr>
              <w:t xml:space="preserve">The compliance schedule returning suspended benefits in verified 30-day tranches.</w:t>
            </w:r>
          </w:p>
        </w:tc>
      </w:tr>
      <w:tr>
        <w:tc>
          <w:tcPr>
            <w:tcW w:w="2200" w:type="dxa"/>
            <w:vAlign w:val="center"/>
          </w:tcPr>
          <w:p>
            <w:pPr>
              <w:spacing w:before="30" w:after="30" w:line="240" w:lineRule="auto"/>
              <w:jc w:val="left"/>
            </w:pPr>
            <w:r>
              <w:rPr>
                <w:color w:val="263238"/>
                <w:sz w:val="19"/>
              </w:rPr>
              <w:t xml:space="preserve">AIM</w:t>
            </w:r>
          </w:p>
        </w:tc>
        <w:tc>
          <w:tcPr>
            <w:tcW w:w="7200" w:type="dxa"/>
            <w:vAlign w:val="center"/>
          </w:tcPr>
          <w:p>
            <w:pPr>
              <w:spacing w:before="30" w:after="30" w:line="240" w:lineRule="auto"/>
              <w:jc w:val="left"/>
            </w:pPr>
            <w:r>
              <w:rPr>
                <w:color w:val="263238"/>
                <w:sz w:val="19"/>
              </w:rPr>
              <w:t xml:space="preserve">Adaptive Institutional Mutation: the 55% vote, 18-month experimental mechanism for rapid institutional evolution.</w:t>
            </w:r>
          </w:p>
        </w:tc>
      </w:tr>
      <w:tr>
        <w:tc>
          <w:tcPr>
            <w:tcW w:w="2200" w:type="dxa"/>
            <w:vAlign w:val="center"/>
          </w:tcPr>
          <w:p>
            <w:pPr>
              <w:spacing w:before="30" w:after="30" w:line="240" w:lineRule="auto"/>
              <w:jc w:val="left"/>
            </w:pPr>
            <w:r>
              <w:rPr>
                <w:color w:val="263238"/>
                <w:sz w:val="19"/>
              </w:rPr>
              <w:t xml:space="preserve">DMAP</w:t>
            </w:r>
          </w:p>
        </w:tc>
        <w:tc>
          <w:tcPr>
            <w:tcW w:w="7200" w:type="dxa"/>
            <w:vAlign w:val="center"/>
          </w:tcPr>
          <w:p>
            <w:pPr>
              <w:spacing w:before="30" w:after="30" w:line="240" w:lineRule="auto"/>
              <w:jc w:val="left"/>
            </w:pPr>
            <w:r>
              <w:rPr>
                <w:color w:val="263238"/>
                <w:sz w:val="19"/>
              </w:rPr>
              <w:t xml:space="preserve">Digital Market Access Pass: 30-day regulatory approval for certified digital service providers.</w:t>
            </w:r>
          </w:p>
        </w:tc>
      </w:tr>
      <w:tr>
        <w:tc>
          <w:tcPr>
            <w:tcW w:w="2200" w:type="dxa"/>
            <w:vAlign w:val="center"/>
          </w:tcPr>
          <w:p>
            <w:pPr>
              <w:spacing w:before="30" w:after="30" w:line="240" w:lineRule="auto"/>
              <w:jc w:val="left"/>
            </w:pPr>
            <w:r>
              <w:rPr>
                <w:color w:val="263238"/>
                <w:sz w:val="19"/>
              </w:rPr>
              <w:t xml:space="preserve">Track A</w:t>
            </w:r>
          </w:p>
        </w:tc>
        <w:tc>
          <w:tcPr>
            <w:tcW w:w="7200" w:type="dxa"/>
            <w:vAlign w:val="center"/>
          </w:tcPr>
          <w:p>
            <w:pPr>
              <w:spacing w:before="30" w:after="30" w:line="240" w:lineRule="auto"/>
              <w:jc w:val="left"/>
            </w:pPr>
            <w:r>
              <w:rPr>
                <w:color w:val="263238"/>
                <w:sz w:val="19"/>
              </w:rPr>
              <w:t xml:space="preserve">The automatic first-response channel: Fund liquidity, SFI settlement continuity, and Dashboard status upgrade within 0 to 6 hours of a certified event.</w:t>
            </w:r>
          </w:p>
        </w:tc>
      </w:tr>
      <w:tr>
        <w:tc>
          <w:tcPr>
            <w:tcW w:w="2200" w:type="dxa"/>
            <w:vAlign w:val="center"/>
          </w:tcPr>
          <w:p>
            <w:pPr>
              <w:spacing w:before="30" w:after="30" w:line="240" w:lineRule="auto"/>
              <w:jc w:val="left"/>
            </w:pPr>
            <w:r>
              <w:rPr>
                <w:color w:val="263238"/>
                <w:sz w:val="19"/>
              </w:rPr>
              <w:t xml:space="preserve">Weighted vote</w:t>
            </w:r>
          </w:p>
        </w:tc>
        <w:tc>
          <w:tcPr>
            <w:tcW w:w="7200" w:type="dxa"/>
            <w:vAlign w:val="center"/>
          </w:tcPr>
          <w:p>
            <w:pPr>
              <w:spacing w:before="30" w:after="30" w:line="240" w:lineRule="auto"/>
              <w:jc w:val="left"/>
            </w:pPr>
            <w:r>
              <w:rPr>
                <w:color w:val="263238"/>
                <w:sz w:val="19"/>
              </w:rPr>
              <w:t xml:space="preserve">The 50/30/20 Council formula combining GDP, trade exposure, and tier status, with passage thresholds from 55 to 75% by decision class.</w:t>
            </w:r>
          </w:p>
        </w:tc>
      </w:tr>
      <w:tr>
        <w:tc>
          <w:tcPr>
            <w:tcW w:w="2200" w:type="dxa"/>
            <w:vAlign w:val="center"/>
          </w:tcPr>
          <w:p>
            <w:pPr>
              <w:spacing w:before="30" w:after="30" w:line="240" w:lineRule="auto"/>
              <w:jc w:val="left"/>
            </w:pPr>
            <w:r>
              <w:rPr>
                <w:color w:val="263238"/>
                <w:sz w:val="19"/>
              </w:rPr>
              <w:t xml:space="preserve">Red-Line Categories</w:t>
            </w:r>
          </w:p>
        </w:tc>
        <w:tc>
          <w:tcPr>
            <w:tcW w:w="7200" w:type="dxa"/>
            <w:vAlign w:val="center"/>
          </w:tcPr>
          <w:p>
            <w:pPr>
              <w:spacing w:before="30" w:after="30" w:line="240" w:lineRule="auto"/>
              <w:jc w:val="left"/>
            </w:pPr>
            <w:r>
              <w:rPr>
                <w:color w:val="263238"/>
                <w:sz w:val="19"/>
              </w:rPr>
              <w:t xml:space="preserve">The ten classes of coercive conduct whose certification triggers the fastest clocks and the strongest presumptions.</w:t>
            </w:r>
          </w:p>
        </w:tc>
      </w:tr>
      <w:tr>
        <w:tc>
          <w:tcPr>
            <w:tcW w:w="2200" w:type="dxa"/>
            <w:vAlign w:val="center"/>
          </w:tcPr>
          <w:p>
            <w:pPr>
              <w:spacing w:before="30" w:after="30" w:line="240" w:lineRule="auto"/>
              <w:jc w:val="left"/>
            </w:pPr>
            <w:r>
              <w:rPr>
                <w:color w:val="263238"/>
                <w:sz w:val="19"/>
              </w:rPr>
              <w:t xml:space="preserve">Mutual Architecture</w:t>
            </w:r>
          </w:p>
        </w:tc>
        <w:tc>
          <w:tcPr>
            <w:tcW w:w="7200" w:type="dxa"/>
            <w:vAlign w:val="center"/>
          </w:tcPr>
          <w:p>
            <w:pPr>
              <w:spacing w:before="30" w:after="30" w:line="240" w:lineRule="auto"/>
              <w:jc w:val="left"/>
            </w:pPr>
            <w:r>
              <w:rPr>
                <w:color w:val="263238"/>
                <w:sz w:val="19"/>
              </w:rPr>
              <w:t xml:space="preserve">The drafting principle that frames every constraint as a property of the shared framework, never of one member over another.</w:t>
            </w:r>
          </w:p>
        </w:tc>
      </w:tr>
      <w:tr>
        <w:tc>
          <w:tcPr>
            <w:tcW w:w="2200" w:type="dxa"/>
            <w:vAlign w:val="center"/>
          </w:tcPr>
          <w:p>
            <w:pPr>
              <w:spacing w:before="30" w:after="30" w:line="240" w:lineRule="auto"/>
              <w:jc w:val="left"/>
            </w:pPr>
            <w:r>
              <w:rPr>
                <w:color w:val="263238"/>
                <w:sz w:val="19"/>
              </w:rPr>
              <w:t xml:space="preserve">Grand Review Convention</w:t>
            </w:r>
          </w:p>
        </w:tc>
        <w:tc>
          <w:tcPr>
            <w:tcW w:w="7200" w:type="dxa"/>
            <w:vAlign w:val="center"/>
          </w:tcPr>
          <w:p>
            <w:pPr>
              <w:spacing w:before="30" w:after="30" w:line="240" w:lineRule="auto"/>
              <w:jc w:val="left"/>
            </w:pPr>
            <w:r>
              <w:rPr>
                <w:color w:val="263238"/>
                <w:sz w:val="19"/>
              </w:rPr>
              <w:t xml:space="preserve">The mandatory 6-year constituent assembly reviewing operations, amendments, and AIM Mutations.</w:t>
            </w:r>
          </w:p>
        </w:tc>
      </w:tr>
      <w:tr>
        <w:tc>
          <w:tcPr>
            <w:tcW w:w="2200" w:type="dxa"/>
            <w:vAlign w:val="center"/>
          </w:tcPr>
          <w:p>
            <w:pPr>
              <w:spacing w:before="30" w:after="30" w:line="240" w:lineRule="auto"/>
              <w:jc w:val="left"/>
            </w:pPr>
            <w:r>
              <w:rPr>
                <w:color w:val="263238"/>
                <w:sz w:val="19"/>
              </w:rPr>
              <w:t xml:space="preserve">Phoenix Protocol</w:t>
            </w:r>
          </w:p>
        </w:tc>
        <w:tc>
          <w:tcPr>
            <w:tcW w:w="7200" w:type="dxa"/>
            <w:vAlign w:val="center"/>
          </w:tcPr>
          <w:p>
            <w:pPr>
              <w:spacing w:before="30" w:after="30" w:line="240" w:lineRule="auto"/>
              <w:jc w:val="left"/>
            </w:pPr>
            <w:r>
              <w:rPr>
                <w:color w:val="263238"/>
                <w:sz w:val="19"/>
              </w:rPr>
              <w:t xml:space="preserve">The 180-day reconstruction facility restoring a member's economy after a certified coercion shock.</w:t>
            </w:r>
          </w:p>
        </w:tc>
      </w:tr>
    </w:tbl>
    <w:p>
      <w:pPr>
        <w:sectPr>
          <w:headerReference w:type="default" r:id="Re345f6626aca4bd5"/>
          <w:footerReference w:type="default" r:id="R4377ad80bcd24252"/>
          <w:pgSz w:w="11906" w:h="16838"/>
          <w:pgMar w:top="1800" w:right="1440" w:bottom="1440" w:left="1440" w:header="720" w:footer="720" w:gutter="0"/>
        </w:sectPr>
      </w:pPr>
    </w:p>
    <w:p>
      <w:pPr>
        <w:spacing w:before="0" w:after="0" w:line="240" w:lineRule="atLeast"/>
        <w:jc w:val="center"/>
      </w:pPr>
      <w:r>
        <w:rPr>
          <w:sz w:val="2"/>
        </w:rPr>
        <w:drawing>
          <wp:inline distT="0" distB="0" distL="0" distR="0">
            <wp:extent cx="7560000" cy="10692000"/>
            <wp:effectExtent l="0" t="0" r="0" b="0"/>
            <wp:docPr id="2" name="BackcoverArt"/>
            <wp:cNvGraphicFramePr>
              <a:graphicFrameLocks noChangeAspect="1"/>
            </wp:cNvGraphicFramePr>
            <a:graphic>
              <a:graphicData uri="http://schemas.openxmlformats.org/drawingml/2006/picture">
                <pic:pic>
                  <pic:nvPicPr>
                    <pic:cNvPr id="0" name="BackcoverArt.png"/>
                    <pic:cNvPicPr/>
                  </pic:nvPicPr>
                  <pic:blipFill>
                    <a:blip r:embed="R4ad2aae1d5b64573"/>
                    <a:stretch>
                      <a:fillRect/>
                    </a:stretch>
                  </pic:blipFill>
                  <pic:spPr>
                    <a:xfrm>
                      <a:off x="0" y="0"/>
                      <a:ext cx="7560000" cy="10692000"/>
                    </a:xfrm>
                    <a:prstGeom prst="rect"/>
                  </pic:spPr>
                </pic:pic>
              </a:graphicData>
            </a:graphic>
          </wp:inline>
        </w:drawing>
      </w:r>
    </w:p>
    <w:sectPr>
      <w:headerReference w:type="default" r:id="Rc82415b1e37545ae"/>
      <w:footerReference w:type="default" r:id="R21339fc57d32401a"/>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7"/>
      </w:rPr>
      <w:fldChar w:fldCharType="begin"/>
    </w:r>
    <w:r>
      <w:rPr>
        <w:color w:val="78909C"/>
        <w:sz w:val="17"/>
      </w:rPr>
      <w:instrText xml:space="preserve"> PAGE </w:instrText>
    </w:r>
    <w:r>
      <w:rPr>
        <w:color w:val="78909C"/>
        <w:sz w:val="17"/>
      </w:rPr>
      <w:fldChar w:fldCharType="separate"/>
    </w:r>
    <w:r>
      <w:rPr>
        <w:color w:val="78909C"/>
        <w:sz w:val="17"/>
      </w:rPr>
      <w:t>1</w:t>
    </w:r>
    <w:r>
      <w:rPr>
        <w:color w:val="78909C"/>
        <w:sz w:val="17"/>
      </w:rPr>
      <w:fldChar w:fldCharType="end"/>
    </w:r>
  </w:p>
</w:ftr>
</file>

<file path=word/footer2.xml><?xml version="1.0" encoding="utf-8"?>
<w:ftr xmlns:w="http://schemas.openxmlformats.org/wordprocessingml/2006/main">
  <w:p>
    <w:r/>
  </w:p>
</w:ftr>
</file>

<file path=word/header1.xml><?xml version="1.0" encoding="utf-8"?>
<w:hdr xmlns:w="http://schemas.openxmlformats.org/wordprocessingml/2006/main">
  <w:p>
    <w:pPr>
      <w:pBdr>
        <w:bottom w:val="single" w:color="CFD8DC" w:sz="4" w:space="2"/>
      </w:pBdr>
      <w:spacing w:after="0"/>
      <w:jc w:val="right"/>
    </w:pPr>
    <w:r>
      <w:rPr>
        <w:color w:val="78909C"/>
        <w:sz w:val="16"/>
      </w:rPr>
      <w:t>IMESI Condensed · Version 15.0</w:t>
    </w:r>
  </w:p>
</w:hdr>
</file>

<file path=word/header2.xml><?xml version="1.0" encoding="utf-8"?>
<w:hdr xmlns:w="http://schemas.openxmlformats.org/wordprocessingml/2006/main">
  <w:p>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alibri" w:hAnsi="Calibri" w:eastAsia="Microsoft YaHei"/>
      <w:color w:val="263238"/>
      <w:sz w:val="21"/>
    </w:rPr>
  </w:style>
  <w:style w:type="paragraph" w:styleId="Heading1">
    <w:name w:val="heading 1"/>
    <w:basedOn w:val="Normal"/>
    <w:pPr>
      <w:keepNext/>
      <w:keepLines/>
      <w:pBdr>
        <w:bottom w:val="single" w:color="B8860B" w:sz="8" w:space="4"/>
      </w:pBdr>
      <w:spacing w:before="520" w:after="200"/>
      <w:outlineLvl w:val="0"/>
    </w:pPr>
    <w:rPr>
      <w:rFonts w:ascii="Calibri" w:hAnsi="Calibri" w:eastAsia="Microsoft YaHei"/>
      <w:b/>
      <w:color w:val="37474F"/>
      <w:sz w:val="32"/>
    </w:rPr>
  </w:style>
  <w:style w:type="paragraph" w:styleId="Heading2">
    <w:name w:val="heading 2"/>
    <w:basedOn w:val="Normal"/>
    <w:pPr>
      <w:keepNext/>
      <w:keepLines/>
      <w:spacing w:before="340" w:after="140"/>
      <w:outlineLvl w:val="1"/>
    </w:pPr>
    <w:rPr>
      <w:rFonts w:ascii="Calibri" w:hAnsi="Calibri" w:eastAsia="Microsoft YaHei"/>
      <w:b/>
      <w:color w:val="37474F"/>
      <w:sz w:val="25"/>
    </w:rPr>
  </w:style>
  <w:style w:type="paragraph" w:styleId="Heading3">
    <w:name w:val="heading 3"/>
    <w:basedOn w:val="Normal"/>
    <w:pPr>
      <w:keepNext/>
      <w:keepLines/>
      <w:spacing w:before="240" w:after="100"/>
      <w:outlineLvl w:val="2"/>
    </w:pPr>
    <w:rPr>
      <w:rFonts w:ascii="Calibri" w:hAnsi="Calibri" w:eastAsia="Microsoft YaHei"/>
      <w:b/>
      <w:color w:val="546E7A"/>
      <w:sz w:val="21"/>
    </w:rPr>
  </w:style>
  <w:style w:type="paragraph" w:styleId="Caption">
    <w:name w:val="Caption"/>
    <w:basedOn w:val="Normal"/>
    <w:pPr>
      <w:spacing w:before="60" w:after="240"/>
      <w:jc w:val="left"/>
    </w:pPr>
    <w:rPr>
      <w:i/>
      <w:color w:val="78909C"/>
      <w:sz w:val="18"/>
    </w:rPr>
  </w:style>
  <w:style w:type="paragraph" w:styleId="TOC1">
    <w:name w:val="toc 1"/>
    <w:basedOn w:val="Normal"/>
    <w:pPr>
      <w:tabs>
        <w:tab w:val="right" w:leader="dot" w:pos="9350"/>
      </w:tabs>
      <w:spacing w:before="180" w:after="50" w:line="260" w:lineRule="auto"/>
      <w:ind w:left="0"/>
      <w:jc w:val="left"/>
    </w:pPr>
    <w:rPr>
      <w:b/>
      <w:color w:val="263238"/>
      <w:sz w:val="21"/>
    </w:rPr>
  </w:style>
  <w:style w:type="paragraph" w:styleId="TOC2">
    <w:name w:val="toc 2"/>
    <w:basedOn w:val="Normal"/>
    <w:pPr>
      <w:tabs>
        <w:tab w:val="right" w:leader="dot" w:pos="9350"/>
      </w:tabs>
      <w:spacing w:before="40" w:after="50" w:line="260" w:lineRule="auto"/>
      <w:ind w:left="380"/>
      <w:jc w:val="left"/>
    </w:pPr>
    <w:rPr>
      <w:color w:val="546E7A"/>
      <w:sz w:val="21"/>
    </w:rPr>
  </w:style>
</w:styles>
</file>

<file path=word/_rels/document.xml.rels><?xml version='1.0' encoding='UTF-8'?>
<Relationships xmlns="http://schemas.openxmlformats.org/package/2006/relationships"><Relationship Type="http://schemas.openxmlformats.org/officeDocument/2006/relationships/styles" Target="styles.xml" Id="Rf13b55675dc84e03" /><Relationship Type="http://schemas.openxmlformats.org/officeDocument/2006/relationships/image" Target="media/image.png" Id="Reecaea7272bb4b28" /><Relationship Type="http://schemas.openxmlformats.org/officeDocument/2006/relationships/image" Target="media/image2.png" Id="R4ad2aae1d5b64573" /><Relationship Type="http://schemas.openxmlformats.org/officeDocument/2006/relationships/header" Target="header1.xml" Id="Re345f6626aca4bd5" /><Relationship Type="http://schemas.openxmlformats.org/officeDocument/2006/relationships/footer" Target="footer1.xml" Id="R4377ad80bcd24252" /><Relationship Type="http://schemas.openxmlformats.org/officeDocument/2006/relationships/header" Target="header2.xml" Id="Rc82415b1e37545ae" /><Relationship Type="http://schemas.openxmlformats.org/officeDocument/2006/relationships/footer" Target="footer2.xml" Id="R21339fc57d32401a" /><Relationship Type="http://schemas.openxmlformats.org/officeDocument/2006/relationships/settings" Target="settings.xml" Id="R396cd199264f43b3" /></Relationships>
</file>