
<file path=[Content_Types].xml><?xml version="1.0" encoding="utf-8"?>
<Types xmlns="http://schemas.openxmlformats.org/package/2006/content-types">
  <Default Extension="xml" ContentType="application/xml"/>
  <Default Extension="rels" ContentType="application/vnd.openxmlformats-package.relationship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f13595d5bd8c4999" /></Relationships>
</file>

<file path=word/document.xml><?xml version="1.0" encoding="utf-8"?>
<w:document xmlns:r="http://schemas.openxmlformats.org/officeDocument/2006/relationships" xmlns:w="http://schemas.openxmlformats.org/wordprocessingml/2006/main">
  <w:body>
    <w:p>
      <w:pPr>
        <w:spacing w:before="4200" w:after="120"/>
        <w:jc w:val="center"/>
      </w:pPr>
      <w:r>
        <w:rPr>
          <w:rFonts w:ascii="Calibri" w:hAnsi="Calibri" w:eastAsia="Calibri"/>
          <w:b/>
          <w:caps/>
          <w:color w:val="37474F"/>
          <w:spacing w:val="60"/>
          <w:sz w:val="96"/>
        </w:rPr>
        <w:t>IMESI</w:t>
      </w:r>
    </w:p>
    <w:p>
      <w:pPr>
        <w:spacing w:before="0" w:after="480"/>
        <w:jc w:val="center"/>
      </w:pPr>
      <w:r>
        <w:rPr>
          <w:rFonts w:ascii="Calibri" w:hAnsi="Calibri" w:eastAsia="Calibri"/>
          <w:color w:val="546E7A"/>
          <w:sz w:val="28"/>
        </w:rPr>
        <w:t>International Mutual Economic Security Instrument</w:t>
      </w:r>
    </w:p>
    <w:p>
      <w:pPr>
        <w:pBdr>
          <w:bottom w:val="single" w:color="B0BEC5" w:sz="4" w:space="1"/>
        </w:pBdr>
        <w:spacing w:after="480"/>
        <w:ind w:left="2200" w:right="2200"/>
        <w:jc w:val="center"/>
      </w:pPr>
    </w:p>
    <w:p>
      <w:pPr>
        <w:spacing w:before="0" w:after="200"/>
        <w:jc w:val="center"/>
      </w:pPr>
      <w:r>
        <w:rPr>
          <w:rFonts w:ascii="Calibri" w:hAnsi="Calibri" w:eastAsia="Calibri"/>
          <w:b/>
          <w:caps/>
          <w:color w:val="37474F"/>
          <w:spacing w:val="20"/>
          <w:sz w:val="44"/>
        </w:rPr>
        <w:t>Frequently Asked Questions for Ministers</w:t>
      </w:r>
    </w:p>
    <w:p>
      <w:pPr>
        <w:spacing w:before="0" w:after="120"/>
        <w:jc w:val="center"/>
      </w:pPr>
      <w:r>
        <w:rPr>
          <w:rFonts w:ascii="Calibri" w:hAnsi="Calibri" w:eastAsia="Calibri"/>
          <w:b/>
          <w:color w:val="37474F"/>
          <w:sz w:val="32"/>
        </w:rPr>
        <w:t>Version 15.0</w:t>
      </w:r>
    </w:p>
    <w:p>
      <w:pPr>
        <w:spacing w:before="0" w:after="560"/>
        <w:jc w:val="center"/>
      </w:pPr>
      <w:r>
        <w:rPr>
          <w:rFonts w:ascii="Calibri" w:hAnsi="Calibri" w:eastAsia="Calibri"/>
          <w:color w:val="546E7A"/>
          <w:sz w:val="24"/>
        </w:rPr>
        <w:t>August 2026</w:t>
      </w:r>
    </w:p>
    <w:p>
      <w:pPr>
        <w:spacing w:before="0" w:after="120"/>
        <w:jc w:val="center"/>
      </w:pPr>
      <w:r>
        <w:rPr>
          <w:rFonts w:ascii="Calibri" w:hAnsi="Calibri" w:eastAsia="Calibri"/>
          <w:color w:val="212121"/>
          <w:sz w:val="22"/>
        </w:rPr>
        <w:t>35 Questions and Answers for Senior Government Officials</w:t>
      </w:r>
    </w:p>
    <w:p>
      <w:pPr>
        <w:spacing w:before="0" w:after="2400"/>
        <w:jc w:val="center"/>
      </w:pPr>
      <w:r>
        <w:rPr>
          <w:rFonts w:ascii="Calibri" w:hAnsi="Calibri" w:eastAsia="Calibri"/>
          <w:color w:val="546E7A"/>
          <w:sz w:val="20"/>
        </w:rPr>
        <w:t>Updated for the v15.0 Red Team, Defector, Integrity, Military, Anti-Fragility, WTO-Defence, and Gap-Closing Provisions</w:t>
      </w:r>
    </w:p>
    <w:p>
      <w:pPr>
        <w:spacing w:before="0" w:after="0"/>
        <w:jc w:val="center"/>
      </w:pPr>
      <w:r>
        <w:rPr>
          <w:rFonts w:ascii="Calibri" w:hAnsi="Calibri" w:eastAsia="Calibri"/>
          <w:b/>
          <w:caps/>
          <w:color w:val="78909C"/>
          <w:spacing w:val="30"/>
          <w:sz w:val="18"/>
        </w:rPr>
        <w:t>REFERENCE ARCHITECTURE | FOR OPEN CIRCULATION</w:t>
      </w:r>
    </w:p>
    <w:p>
      <w:pPr>
        <w:sectPr>
          <w:type w:val="nextPage"/>
          <w:pgSz w:w="11906" w:h="16838"/>
          <w:pgMar w:top="1134" w:right="1134" w:bottom="1134" w:left="1134" w:header="720" w:footer="720" w:gutter="0"/>
          <w:pgBorders>
            <w:top w:val="double" w:color="37474F" w:sz="6" w:space="28"/>
            <w:left w:val="double" w:color="37474F" w:sz="6" w:space="28"/>
            <w:bottom w:val="double" w:color="37474F" w:sz="6" w:space="28"/>
            <w:right w:val="double" w:color="37474F" w:sz="6" w:space="28"/>
          </w:pgBorders>
        </w:sectPr>
      </w:pPr>
    </w:p>
    <w:p>
      <w:pPr>
        <w:keepNext/>
        <w:spacing w:after="360"/>
      </w:pPr>
      <w:r>
        <w:rPr>
          <w:rFonts w:ascii="Calibri" w:hAnsi="Calibri" w:eastAsia="Calibri"/>
          <w:b/>
          <w:caps/>
          <w:color w:val="37474F"/>
          <w:sz w:val="32"/>
        </w:rPr>
        <w:t>Table of Contents</w:t>
      </w:r>
    </w:p>
    <w:p>
      <w:pPr>
        <w:pStyle w:val="TOC1"/>
      </w:pPr>
      <w:r>
        <w:fldChar w:fldCharType="begin"/>
      </w:r>
      <w:r>
        <w:instrText xml:space="preserve"> TOC \o "1-2" \h \z \u </w:instrText>
      </w:r>
      <w:r>
        <w:fldChar w:fldCharType="separate"/>
      </w:r>
    </w:p>
    <w:p>
      <w:pPr>
        <w:pStyle w:val="TOC1"/>
      </w:pPr>
      <w:hyperlink w:history="true" w:anchor="_Toc9100">
        <w:r>
          <w:rPr>
            <w:rStyle w:val="Hyperlink"/>
            <w:noProof/>
          </w:rPr>
          <w:t>I. WHAT IMESI IS</w:t>
        </w:r>
        <w:r>
          <w:rPr>
            <w:noProof/>
            <w:webHidden/>
          </w:rPr>
          <w:tab/>
        </w:r>
        <w:r>
          <w:rPr>
            <w:noProof/>
            <w:webHidden/>
          </w:rPr>
          <w:fldChar w:fldCharType="begin"/>
        </w:r>
        <w:r>
          <w:rPr>
            <w:noProof/>
            <w:webHidden/>
          </w:rPr>
          <w:instrText xml:space="preserve"> PAGEREF _Toc9100 \h </w:instrText>
        </w:r>
        <w:r>
          <w:rPr>
            <w:noProof/>
            <w:webHidden/>
          </w:rPr>
          <w:fldChar w:fldCharType="separate"/>
        </w:r>
        <w:r>
          <w:rPr>
            <w:noProof/>
            <w:webHidden/>
          </w:rPr>
          <w:t>3</w:t>
        </w:r>
        <w:r>
          <w:rPr>
            <w:noProof/>
            <w:webHidden/>
          </w:rPr>
          <w:fldChar w:fldCharType="end"/>
        </w:r>
      </w:hyperlink>
    </w:p>
    <w:p>
      <w:pPr>
        <w:pStyle w:val="TOC2"/>
      </w:pPr>
      <w:hyperlink w:history="true" w:anchor="_Toc9101">
        <w:r>
          <w:rPr>
            <w:rStyle w:val="Hyperlink"/>
            <w:noProof/>
          </w:rPr>
          <w:t>1. What is IMESI in one sentence?</w:t>
        </w:r>
        <w:r>
          <w:rPr>
            <w:noProof/>
            <w:webHidden/>
          </w:rPr>
          <w:tab/>
        </w:r>
        <w:r>
          <w:rPr>
            <w:noProof/>
            <w:webHidden/>
          </w:rPr>
          <w:fldChar w:fldCharType="begin"/>
        </w:r>
        <w:r>
          <w:rPr>
            <w:noProof/>
            <w:webHidden/>
          </w:rPr>
          <w:instrText xml:space="preserve"> PAGEREF _Toc9101 \h </w:instrText>
        </w:r>
        <w:r>
          <w:rPr>
            <w:noProof/>
            <w:webHidden/>
          </w:rPr>
          <w:fldChar w:fldCharType="separate"/>
        </w:r>
        <w:r>
          <w:rPr>
            <w:noProof/>
            <w:webHidden/>
          </w:rPr>
          <w:t>3</w:t>
        </w:r>
        <w:r>
          <w:rPr>
            <w:noProof/>
            <w:webHidden/>
          </w:rPr>
          <w:fldChar w:fldCharType="end"/>
        </w:r>
      </w:hyperlink>
    </w:p>
    <w:p>
      <w:pPr>
        <w:pStyle w:val="TOC2"/>
      </w:pPr>
      <w:hyperlink w:history="true" w:anchor="_Toc9102">
        <w:r>
          <w:rPr>
            <w:rStyle w:val="Hyperlink"/>
            <w:noProof/>
          </w:rPr>
          <w:t>2. How is IMESI different from a trade bloc or military alliance?</w:t>
        </w:r>
        <w:r>
          <w:rPr>
            <w:noProof/>
            <w:webHidden/>
          </w:rPr>
          <w:tab/>
        </w:r>
        <w:r>
          <w:rPr>
            <w:noProof/>
            <w:webHidden/>
          </w:rPr>
          <w:fldChar w:fldCharType="begin"/>
        </w:r>
        <w:r>
          <w:rPr>
            <w:noProof/>
            <w:webHidden/>
          </w:rPr>
          <w:instrText xml:space="preserve"> PAGEREF _Toc9102 \h </w:instrText>
        </w:r>
        <w:r>
          <w:rPr>
            <w:noProof/>
            <w:webHidden/>
          </w:rPr>
          <w:fldChar w:fldCharType="separate"/>
        </w:r>
        <w:r>
          <w:rPr>
            <w:noProof/>
            <w:webHidden/>
          </w:rPr>
          <w:t>3</w:t>
        </w:r>
        <w:r>
          <w:rPr>
            <w:noProof/>
            <w:webHidden/>
          </w:rPr>
          <w:fldChar w:fldCharType="end"/>
        </w:r>
      </w:hyperlink>
    </w:p>
    <w:p>
      <w:pPr>
        <w:pStyle w:val="TOC2"/>
      </w:pPr>
      <w:hyperlink w:history="true" w:anchor="_Toc9103">
        <w:r>
          <w:rPr>
            <w:rStyle w:val="Hyperlink"/>
            <w:noProof/>
          </w:rPr>
          <w:t>3. Is IMESI directed against any specific country?</w:t>
        </w:r>
        <w:r>
          <w:rPr>
            <w:noProof/>
            <w:webHidden/>
          </w:rPr>
          <w:tab/>
        </w:r>
        <w:r>
          <w:rPr>
            <w:noProof/>
            <w:webHidden/>
          </w:rPr>
          <w:fldChar w:fldCharType="begin"/>
        </w:r>
        <w:r>
          <w:rPr>
            <w:noProof/>
            <w:webHidden/>
          </w:rPr>
          <w:instrText xml:space="preserve"> PAGEREF _Toc9103 \h </w:instrText>
        </w:r>
        <w:r>
          <w:rPr>
            <w:noProof/>
            <w:webHidden/>
          </w:rPr>
          <w:fldChar w:fldCharType="separate"/>
        </w:r>
        <w:r>
          <w:rPr>
            <w:noProof/>
            <w:webHidden/>
          </w:rPr>
          <w:t>4</w:t>
        </w:r>
        <w:r>
          <w:rPr>
            <w:noProof/>
            <w:webHidden/>
          </w:rPr>
          <w:fldChar w:fldCharType="end"/>
        </w:r>
      </w:hyperlink>
    </w:p>
    <w:p>
      <w:pPr>
        <w:pStyle w:val="TOC2"/>
      </w:pPr>
      <w:hyperlink w:history="true" w:anchor="_Toc9104">
        <w:r>
          <w:rPr>
            <w:rStyle w:val="Hyperlink"/>
            <w:noProof/>
          </w:rPr>
          <w:t>4. What concrete benefits does membership deliver in peacetime, before any crisis?</w:t>
        </w:r>
        <w:r>
          <w:rPr>
            <w:noProof/>
            <w:webHidden/>
          </w:rPr>
          <w:tab/>
        </w:r>
        <w:r>
          <w:rPr>
            <w:noProof/>
            <w:webHidden/>
          </w:rPr>
          <w:fldChar w:fldCharType="begin"/>
        </w:r>
        <w:r>
          <w:rPr>
            <w:noProof/>
            <w:webHidden/>
          </w:rPr>
          <w:instrText xml:space="preserve"> PAGEREF _Toc9104 \h </w:instrText>
        </w:r>
        <w:r>
          <w:rPr>
            <w:noProof/>
            <w:webHidden/>
          </w:rPr>
          <w:fldChar w:fldCharType="separate"/>
        </w:r>
        <w:r>
          <w:rPr>
            <w:noProof/>
            <w:webHidden/>
          </w:rPr>
          <w:t>4</w:t>
        </w:r>
        <w:r>
          <w:rPr>
            <w:noProof/>
            <w:webHidden/>
          </w:rPr>
          <w:fldChar w:fldCharType="end"/>
        </w:r>
      </w:hyperlink>
    </w:p>
    <w:p>
      <w:pPr>
        <w:pStyle w:val="TOC2"/>
      </w:pPr>
      <w:hyperlink w:history="true" w:anchor="_Toc9105">
        <w:r>
          <w:rPr>
            <w:rStyle w:val="Hyperlink"/>
            <w:noProof/>
          </w:rPr>
          <w:t>5. What changed in IMESI v15.0? [NEW]</w:t>
        </w:r>
        <w:r>
          <w:rPr>
            <w:noProof/>
            <w:webHidden/>
          </w:rPr>
          <w:tab/>
        </w:r>
        <w:r>
          <w:rPr>
            <w:noProof/>
            <w:webHidden/>
          </w:rPr>
          <w:fldChar w:fldCharType="begin"/>
        </w:r>
        <w:r>
          <w:rPr>
            <w:noProof/>
            <w:webHidden/>
          </w:rPr>
          <w:instrText xml:space="preserve"> PAGEREF _Toc9105 \h </w:instrText>
        </w:r>
        <w:r>
          <w:rPr>
            <w:noProof/>
            <w:webHidden/>
          </w:rPr>
          <w:fldChar w:fldCharType="separate"/>
        </w:r>
        <w:r>
          <w:rPr>
            <w:noProof/>
            <w:webHidden/>
          </w:rPr>
          <w:t>5</w:t>
        </w:r>
        <w:r>
          <w:rPr>
            <w:noProof/>
            <w:webHidden/>
          </w:rPr>
          <w:fldChar w:fldCharType="end"/>
        </w:r>
      </w:hyperlink>
    </w:p>
    <w:p>
      <w:pPr>
        <w:pStyle w:val="TOC1"/>
      </w:pPr>
      <w:hyperlink w:history="true" w:anchor="_Toc9106">
        <w:r>
          <w:rPr>
            <w:rStyle w:val="Hyperlink"/>
            <w:noProof/>
          </w:rPr>
          <w:t>II. SOVEREIGNTY AND PARLIAMENTARY CONTROL</w:t>
        </w:r>
        <w:r>
          <w:rPr>
            <w:noProof/>
            <w:webHidden/>
          </w:rPr>
          <w:tab/>
        </w:r>
        <w:r>
          <w:rPr>
            <w:noProof/>
            <w:webHidden/>
          </w:rPr>
          <w:fldChar w:fldCharType="begin"/>
        </w:r>
        <w:r>
          <w:rPr>
            <w:noProof/>
            <w:webHidden/>
          </w:rPr>
          <w:instrText xml:space="preserve"> PAGEREF _Toc9106 \h </w:instrText>
        </w:r>
        <w:r>
          <w:rPr>
            <w:noProof/>
            <w:webHidden/>
          </w:rPr>
          <w:fldChar w:fldCharType="separate"/>
        </w:r>
        <w:r>
          <w:rPr>
            <w:noProof/>
            <w:webHidden/>
          </w:rPr>
          <w:t>6</w:t>
        </w:r>
        <w:r>
          <w:rPr>
            <w:noProof/>
            <w:webHidden/>
          </w:rPr>
          <w:fldChar w:fldCharType="end"/>
        </w:r>
      </w:hyperlink>
    </w:p>
    <w:p>
      <w:pPr>
        <w:pStyle w:val="TOC2"/>
      </w:pPr>
      <w:hyperlink w:history="true" w:anchor="_Toc9107">
        <w:r>
          <w:rPr>
            <w:rStyle w:val="Hyperlink"/>
            <w:noProof/>
          </w:rPr>
          <w:t>6. Does IMESI override national parliaments?</w:t>
        </w:r>
        <w:r>
          <w:rPr>
            <w:noProof/>
            <w:webHidden/>
          </w:rPr>
          <w:tab/>
        </w:r>
        <w:r>
          <w:rPr>
            <w:noProof/>
            <w:webHidden/>
          </w:rPr>
          <w:fldChar w:fldCharType="begin"/>
        </w:r>
        <w:r>
          <w:rPr>
            <w:noProof/>
            <w:webHidden/>
          </w:rPr>
          <w:instrText xml:space="preserve"> PAGEREF _Toc9107 \h </w:instrText>
        </w:r>
        <w:r>
          <w:rPr>
            <w:noProof/>
            <w:webHidden/>
          </w:rPr>
          <w:fldChar w:fldCharType="separate"/>
        </w:r>
        <w:r>
          <w:rPr>
            <w:noProof/>
            <w:webHidden/>
          </w:rPr>
          <w:t>6</w:t>
        </w:r>
        <w:r>
          <w:rPr>
            <w:noProof/>
            <w:webHidden/>
          </w:rPr>
          <w:fldChar w:fldCharType="end"/>
        </w:r>
      </w:hyperlink>
    </w:p>
    <w:p>
      <w:pPr>
        <w:pStyle w:val="TOC2"/>
      </w:pPr>
      <w:hyperlink w:history="true" w:anchor="_Toc9108">
        <w:r>
          <w:rPr>
            <w:rStyle w:val="Hyperlink"/>
            <w:noProof/>
          </w:rPr>
          <w:t>7. What if a proposed response is too costly for my country?</w:t>
        </w:r>
        <w:r>
          <w:rPr>
            <w:noProof/>
            <w:webHidden/>
          </w:rPr>
          <w:tab/>
        </w:r>
        <w:r>
          <w:rPr>
            <w:noProof/>
            <w:webHidden/>
          </w:rPr>
          <w:fldChar w:fldCharType="begin"/>
        </w:r>
        <w:r>
          <w:rPr>
            <w:noProof/>
            <w:webHidden/>
          </w:rPr>
          <w:instrText xml:space="preserve"> PAGEREF _Toc9108 \h </w:instrText>
        </w:r>
        <w:r>
          <w:rPr>
            <w:noProof/>
            <w:webHidden/>
          </w:rPr>
          <w:fldChar w:fldCharType="separate"/>
        </w:r>
        <w:r>
          <w:rPr>
            <w:noProof/>
            <w:webHidden/>
          </w:rPr>
          <w:t>7</w:t>
        </w:r>
        <w:r>
          <w:rPr>
            <w:noProof/>
            <w:webHidden/>
          </w:rPr>
          <w:fldChar w:fldCharType="end"/>
        </w:r>
      </w:hyperlink>
    </w:p>
    <w:p>
      <w:pPr>
        <w:pStyle w:val="TOC2"/>
      </w:pPr>
      <w:hyperlink w:history="true" w:anchor="_Toc9109">
        <w:r>
          <w:rPr>
            <w:rStyle w:val="Hyperlink"/>
            <w:noProof/>
          </w:rPr>
          <w:t>8. How does my government participate selectively or even silently?</w:t>
        </w:r>
        <w:r>
          <w:rPr>
            <w:noProof/>
            <w:webHidden/>
          </w:rPr>
          <w:tab/>
        </w:r>
        <w:r>
          <w:rPr>
            <w:noProof/>
            <w:webHidden/>
          </w:rPr>
          <w:fldChar w:fldCharType="begin"/>
        </w:r>
        <w:r>
          <w:rPr>
            <w:noProof/>
            <w:webHidden/>
          </w:rPr>
          <w:instrText xml:space="preserve"> PAGEREF _Toc9109 \h </w:instrText>
        </w:r>
        <w:r>
          <w:rPr>
            <w:noProof/>
            <w:webHidden/>
          </w:rPr>
          <w:fldChar w:fldCharType="separate"/>
        </w:r>
        <w:r>
          <w:rPr>
            <w:noProof/>
            <w:webHidden/>
          </w:rPr>
          <w:t>7</w:t>
        </w:r>
        <w:r>
          <w:rPr>
            <w:noProof/>
            <w:webHidden/>
          </w:rPr>
          <w:fldChar w:fldCharType="end"/>
        </w:r>
      </w:hyperlink>
    </w:p>
    <w:p>
      <w:pPr>
        <w:pStyle w:val="TOC2"/>
      </w:pPr>
      <w:hyperlink w:history="true" w:anchor="_Toc9110">
        <w:r>
          <w:rPr>
            <w:rStyle w:val="Hyperlink"/>
            <w:noProof/>
          </w:rPr>
          <w:t>9. How does a member leave IMESI if circumstances change?</w:t>
        </w:r>
        <w:r>
          <w:rPr>
            <w:noProof/>
            <w:webHidden/>
          </w:rPr>
          <w:tab/>
        </w:r>
        <w:r>
          <w:rPr>
            <w:noProof/>
            <w:webHidden/>
          </w:rPr>
          <w:fldChar w:fldCharType="begin"/>
        </w:r>
        <w:r>
          <w:rPr>
            <w:noProof/>
            <w:webHidden/>
          </w:rPr>
          <w:instrText xml:space="preserve"> PAGEREF _Toc9110 \h </w:instrText>
        </w:r>
        <w:r>
          <w:rPr>
            <w:noProof/>
            <w:webHidden/>
          </w:rPr>
          <w:fldChar w:fldCharType="separate"/>
        </w:r>
        <w:r>
          <w:rPr>
            <w:noProof/>
            <w:webHidden/>
          </w:rPr>
          <w:t>8</w:t>
        </w:r>
        <w:r>
          <w:rPr>
            <w:noProof/>
            <w:webHidden/>
          </w:rPr>
          <w:fldChar w:fldCharType="end"/>
        </w:r>
      </w:hyperlink>
    </w:p>
    <w:p>
      <w:pPr>
        <w:pStyle w:val="TOC1"/>
      </w:pPr>
      <w:hyperlink w:history="true" w:anchor="_Toc9111">
        <w:r>
          <w:rPr>
            <w:rStyle w:val="Hyperlink"/>
            <w:noProof/>
          </w:rPr>
          <w:t>III. HOW ACTIVATION WORKS</w:t>
        </w:r>
        <w:r>
          <w:rPr>
            <w:noProof/>
            <w:webHidden/>
          </w:rPr>
          <w:tab/>
        </w:r>
        <w:r>
          <w:rPr>
            <w:noProof/>
            <w:webHidden/>
          </w:rPr>
          <w:fldChar w:fldCharType="begin"/>
        </w:r>
        <w:r>
          <w:rPr>
            <w:noProof/>
            <w:webHidden/>
          </w:rPr>
          <w:instrText xml:space="preserve"> PAGEREF _Toc9111 \h </w:instrText>
        </w:r>
        <w:r>
          <w:rPr>
            <w:noProof/>
            <w:webHidden/>
          </w:rPr>
          <w:fldChar w:fldCharType="separate"/>
        </w:r>
        <w:r>
          <w:rPr>
            <w:noProof/>
            <w:webHidden/>
          </w:rPr>
          <w:t>9</w:t>
        </w:r>
        <w:r>
          <w:rPr>
            <w:noProof/>
            <w:webHidden/>
          </w:rPr>
          <w:fldChar w:fldCharType="end"/>
        </w:r>
      </w:hyperlink>
    </w:p>
    <w:p>
      <w:pPr>
        <w:pStyle w:val="TOC2"/>
      </w:pPr>
      <w:hyperlink w:history="true" w:anchor="_Toc9112">
        <w:r>
          <w:rPr>
            <w:rStyle w:val="Hyperlink"/>
            <w:noProof/>
          </w:rPr>
          <w:t>10. What triggers an IMESI activation?</w:t>
        </w:r>
        <w:r>
          <w:rPr>
            <w:noProof/>
            <w:webHidden/>
          </w:rPr>
          <w:tab/>
        </w:r>
        <w:r>
          <w:rPr>
            <w:noProof/>
            <w:webHidden/>
          </w:rPr>
          <w:fldChar w:fldCharType="begin"/>
        </w:r>
        <w:r>
          <w:rPr>
            <w:noProof/>
            <w:webHidden/>
          </w:rPr>
          <w:instrText xml:space="preserve"> PAGEREF _Toc9112 \h </w:instrText>
        </w:r>
        <w:r>
          <w:rPr>
            <w:noProof/>
            <w:webHidden/>
          </w:rPr>
          <w:fldChar w:fldCharType="separate"/>
        </w:r>
        <w:r>
          <w:rPr>
            <w:noProof/>
            <w:webHidden/>
          </w:rPr>
          <w:t>9</w:t>
        </w:r>
        <w:r>
          <w:rPr>
            <w:noProof/>
            <w:webHidden/>
          </w:rPr>
          <w:fldChar w:fldCharType="end"/>
        </w:r>
      </w:hyperlink>
    </w:p>
    <w:p>
      <w:pPr>
        <w:pStyle w:val="TOC2"/>
      </w:pPr>
      <w:hyperlink w:history="true" w:anchor="_Toc9113">
        <w:r>
          <w:rPr>
            <w:rStyle w:val="Hyperlink"/>
            <w:noProof/>
          </w:rPr>
          <w:t>11. How fast does IMESI respond?</w:t>
        </w:r>
        <w:r>
          <w:rPr>
            <w:noProof/>
            <w:webHidden/>
          </w:rPr>
          <w:tab/>
        </w:r>
        <w:r>
          <w:rPr>
            <w:noProof/>
            <w:webHidden/>
          </w:rPr>
          <w:fldChar w:fldCharType="begin"/>
        </w:r>
        <w:r>
          <w:rPr>
            <w:noProof/>
            <w:webHidden/>
          </w:rPr>
          <w:instrText xml:space="preserve"> PAGEREF _Toc9113 \h </w:instrText>
        </w:r>
        <w:r>
          <w:rPr>
            <w:noProof/>
            <w:webHidden/>
          </w:rPr>
          <w:fldChar w:fldCharType="separate"/>
        </w:r>
        <w:r>
          <w:rPr>
            <w:noProof/>
            <w:webHidden/>
          </w:rPr>
          <w:t>10</w:t>
        </w:r>
        <w:r>
          <w:rPr>
            <w:noProof/>
            <w:webHidden/>
          </w:rPr>
          <w:fldChar w:fldCharType="end"/>
        </w:r>
      </w:hyperlink>
    </w:p>
    <w:p>
      <w:pPr>
        <w:pStyle w:val="TOC2"/>
      </w:pPr>
      <w:hyperlink w:history="true" w:anchor="_Toc9114">
        <w:r>
          <w:rPr>
            <w:rStyle w:val="Hyperlink"/>
            <w:noProof/>
          </w:rPr>
          <w:t>12. What does a Phase 1 response actually look like?</w:t>
        </w:r>
        <w:r>
          <w:rPr>
            <w:noProof/>
            <w:webHidden/>
          </w:rPr>
          <w:tab/>
        </w:r>
        <w:r>
          <w:rPr>
            <w:noProof/>
            <w:webHidden/>
          </w:rPr>
          <w:fldChar w:fldCharType="begin"/>
        </w:r>
        <w:r>
          <w:rPr>
            <w:noProof/>
            <w:webHidden/>
          </w:rPr>
          <w:instrText xml:space="preserve"> PAGEREF _Toc9114 \h </w:instrText>
        </w:r>
        <w:r>
          <w:rPr>
            <w:noProof/>
            <w:webHidden/>
          </w:rPr>
          <w:fldChar w:fldCharType="separate"/>
        </w:r>
        <w:r>
          <w:rPr>
            <w:noProof/>
            <w:webHidden/>
          </w:rPr>
          <w:t>10</w:t>
        </w:r>
        <w:r>
          <w:rPr>
            <w:noProof/>
            <w:webHidden/>
          </w:rPr>
          <w:fldChar w:fldCharType="end"/>
        </w:r>
      </w:hyperlink>
    </w:p>
    <w:p>
      <w:pPr>
        <w:pStyle w:val="TOC2"/>
      </w:pPr>
      <w:hyperlink w:history="true" w:anchor="_Toc9115">
        <w:r>
          <w:rPr>
            <w:rStyle w:val="Hyperlink"/>
            <w:noProof/>
          </w:rPr>
          <w:t>13. How does escalation work, and what prevents runaway measures?</w:t>
        </w:r>
        <w:r>
          <w:rPr>
            <w:noProof/>
            <w:webHidden/>
          </w:rPr>
          <w:tab/>
        </w:r>
        <w:r>
          <w:rPr>
            <w:noProof/>
            <w:webHidden/>
          </w:rPr>
          <w:fldChar w:fldCharType="begin"/>
        </w:r>
        <w:r>
          <w:rPr>
            <w:noProof/>
            <w:webHidden/>
          </w:rPr>
          <w:instrText xml:space="preserve"> PAGEREF _Toc9115 \h </w:instrText>
        </w:r>
        <w:r>
          <w:rPr>
            <w:noProof/>
            <w:webHidden/>
          </w:rPr>
          <w:fldChar w:fldCharType="separate"/>
        </w:r>
        <w:r>
          <w:rPr>
            <w:noProof/>
            <w:webHidden/>
          </w:rPr>
          <w:t>11</w:t>
        </w:r>
        <w:r>
          <w:rPr>
            <w:noProof/>
            <w:webHidden/>
          </w:rPr>
          <w:fldChar w:fldCharType="end"/>
        </w:r>
      </w:hyperlink>
    </w:p>
    <w:p>
      <w:pPr>
        <w:pStyle w:val="TOC2"/>
      </w:pPr>
      <w:hyperlink w:history="true" w:anchor="_Toc9116">
        <w:r>
          <w:rPr>
            <w:rStyle w:val="Hyperlink"/>
            <w:noProof/>
          </w:rPr>
          <w:t>14. What is the Nofade Protocol, and why does the Instrument abolish sunset clauses?</w:t>
        </w:r>
        <w:r>
          <w:rPr>
            <w:noProof/>
            <w:webHidden/>
          </w:rPr>
          <w:tab/>
        </w:r>
        <w:r>
          <w:rPr>
            <w:noProof/>
            <w:webHidden/>
          </w:rPr>
          <w:fldChar w:fldCharType="begin"/>
        </w:r>
        <w:r>
          <w:rPr>
            <w:noProof/>
            <w:webHidden/>
          </w:rPr>
          <w:instrText xml:space="preserve"> PAGEREF _Toc9116 \h </w:instrText>
        </w:r>
        <w:r>
          <w:rPr>
            <w:noProof/>
            <w:webHidden/>
          </w:rPr>
          <w:fldChar w:fldCharType="separate"/>
        </w:r>
        <w:r>
          <w:rPr>
            <w:noProof/>
            <w:webHidden/>
          </w:rPr>
          <w:t>12</w:t>
        </w:r>
        <w:r>
          <w:rPr>
            <w:noProof/>
            <w:webHidden/>
          </w:rPr>
          <w:fldChar w:fldCharType="end"/>
        </w:r>
      </w:hyperlink>
    </w:p>
    <w:p>
      <w:pPr>
        <w:pStyle w:val="TOC2"/>
      </w:pPr>
      <w:hyperlink w:history="true" w:anchor="_Toc9117">
        <w:r>
          <w:rPr>
            <w:rStyle w:val="Hyperlink"/>
            <w:noProof/>
          </w:rPr>
          <w:t>15. How does IMESI respond to universal tariffs applied to all members at once?</w:t>
        </w:r>
        <w:r>
          <w:rPr>
            <w:noProof/>
            <w:webHidden/>
          </w:rPr>
          <w:tab/>
        </w:r>
        <w:r>
          <w:rPr>
            <w:noProof/>
            <w:webHidden/>
          </w:rPr>
          <w:fldChar w:fldCharType="begin"/>
        </w:r>
        <w:r>
          <w:rPr>
            <w:noProof/>
            <w:webHidden/>
          </w:rPr>
          <w:instrText xml:space="preserve"> PAGEREF _Toc9117 \h </w:instrText>
        </w:r>
        <w:r>
          <w:rPr>
            <w:noProof/>
            <w:webHidden/>
          </w:rPr>
          <w:fldChar w:fldCharType="separate"/>
        </w:r>
        <w:r>
          <w:rPr>
            <w:noProof/>
            <w:webHidden/>
          </w:rPr>
          <w:t>12</w:t>
        </w:r>
        <w:r>
          <w:rPr>
            <w:noProof/>
            <w:webHidden/>
          </w:rPr>
          <w:fldChar w:fldCharType="end"/>
        </w:r>
      </w:hyperlink>
    </w:p>
    <w:p>
      <w:pPr>
        <w:pStyle w:val="TOC1"/>
      </w:pPr>
      <w:hyperlink w:history="true" w:anchor="_Toc9118">
        <w:r>
          <w:rPr>
            <w:rStyle w:val="Hyperlink"/>
            <w:noProof/>
          </w:rPr>
          <w:t>IV. LEGAL COMPATIBILITY</w:t>
        </w:r>
        <w:r>
          <w:rPr>
            <w:noProof/>
            <w:webHidden/>
          </w:rPr>
          <w:tab/>
        </w:r>
        <w:r>
          <w:rPr>
            <w:noProof/>
            <w:webHidden/>
          </w:rPr>
          <w:fldChar w:fldCharType="begin"/>
        </w:r>
        <w:r>
          <w:rPr>
            <w:noProof/>
            <w:webHidden/>
          </w:rPr>
          <w:instrText xml:space="preserve"> PAGEREF _Toc9118 \h </w:instrText>
        </w:r>
        <w:r>
          <w:rPr>
            <w:noProof/>
            <w:webHidden/>
          </w:rPr>
          <w:fldChar w:fldCharType="separate"/>
        </w:r>
        <w:r>
          <w:rPr>
            <w:noProof/>
            <w:webHidden/>
          </w:rPr>
          <w:t>13</w:t>
        </w:r>
        <w:r>
          <w:rPr>
            <w:noProof/>
            <w:webHidden/>
          </w:rPr>
          <w:fldChar w:fldCharType="end"/>
        </w:r>
      </w:hyperlink>
    </w:p>
    <w:p>
      <w:pPr>
        <w:pStyle w:val="TOC2"/>
      </w:pPr>
      <w:hyperlink w:history="true" w:anchor="_Toc9119">
        <w:r>
          <w:rPr>
            <w:rStyle w:val="Hyperlink"/>
            <w:noProof/>
          </w:rPr>
          <w:t>16. Is IMESI compatible with WTO obligations?</w:t>
        </w:r>
        <w:r>
          <w:rPr>
            <w:noProof/>
            <w:webHidden/>
          </w:rPr>
          <w:tab/>
        </w:r>
        <w:r>
          <w:rPr>
            <w:noProof/>
            <w:webHidden/>
          </w:rPr>
          <w:fldChar w:fldCharType="begin"/>
        </w:r>
        <w:r>
          <w:rPr>
            <w:noProof/>
            <w:webHidden/>
          </w:rPr>
          <w:instrText xml:space="preserve"> PAGEREF _Toc9119 \h </w:instrText>
        </w:r>
        <w:r>
          <w:rPr>
            <w:noProof/>
            <w:webHidden/>
          </w:rPr>
          <w:fldChar w:fldCharType="separate"/>
        </w:r>
        <w:r>
          <w:rPr>
            <w:noProof/>
            <w:webHidden/>
          </w:rPr>
          <w:t>13</w:t>
        </w:r>
        <w:r>
          <w:rPr>
            <w:noProof/>
            <w:webHidden/>
          </w:rPr>
          <w:fldChar w:fldCharType="end"/>
        </w:r>
      </w:hyperlink>
    </w:p>
    <w:p>
      <w:pPr>
        <w:pStyle w:val="TOC2"/>
      </w:pPr>
      <w:hyperlink w:history="true" w:anchor="_Toc9120">
        <w:r>
          <w:rPr>
            <w:rStyle w:val="Hyperlink"/>
            <w:noProof/>
          </w:rPr>
          <w:t>17. How does v15.0 harden WTO compatibility in practice? [NEW]</w:t>
        </w:r>
        <w:r>
          <w:rPr>
            <w:noProof/>
            <w:webHidden/>
          </w:rPr>
          <w:tab/>
        </w:r>
        <w:r>
          <w:rPr>
            <w:noProof/>
            <w:webHidden/>
          </w:rPr>
          <w:fldChar w:fldCharType="begin"/>
        </w:r>
        <w:r>
          <w:rPr>
            <w:noProof/>
            <w:webHidden/>
          </w:rPr>
          <w:instrText xml:space="preserve"> PAGEREF _Toc9120 \h </w:instrText>
        </w:r>
        <w:r>
          <w:rPr>
            <w:noProof/>
            <w:webHidden/>
          </w:rPr>
          <w:fldChar w:fldCharType="separate"/>
        </w:r>
        <w:r>
          <w:rPr>
            <w:noProof/>
            <w:webHidden/>
          </w:rPr>
          <w:t>14</w:t>
        </w:r>
        <w:r>
          <w:rPr>
            <w:noProof/>
            <w:webHidden/>
          </w:rPr>
          <w:fldChar w:fldCharType="end"/>
        </w:r>
      </w:hyperlink>
    </w:p>
    <w:p>
      <w:pPr>
        <w:pStyle w:val="TOC2"/>
      </w:pPr>
      <w:hyperlink w:history="true" w:anchor="_Toc9121">
        <w:r>
          <w:rPr>
            <w:rStyle w:val="Hyperlink"/>
            <w:noProof/>
          </w:rPr>
          <w:t>18. Does membership conflict with existing FTAs or bilateral investment treaties?</w:t>
        </w:r>
        <w:r>
          <w:rPr>
            <w:noProof/>
            <w:webHidden/>
          </w:rPr>
          <w:tab/>
        </w:r>
        <w:r>
          <w:rPr>
            <w:noProof/>
            <w:webHidden/>
          </w:rPr>
          <w:fldChar w:fldCharType="begin"/>
        </w:r>
        <w:r>
          <w:rPr>
            <w:noProof/>
            <w:webHidden/>
          </w:rPr>
          <w:instrText xml:space="preserve"> PAGEREF _Toc9121 \h </w:instrText>
        </w:r>
        <w:r>
          <w:rPr>
            <w:noProof/>
            <w:webHidden/>
          </w:rPr>
          <w:fldChar w:fldCharType="separate"/>
        </w:r>
        <w:r>
          <w:rPr>
            <w:noProof/>
            <w:webHidden/>
          </w:rPr>
          <w:t>15</w:t>
        </w:r>
        <w:r>
          <w:rPr>
            <w:noProof/>
            <w:webHidden/>
          </w:rPr>
          <w:fldChar w:fldCharType="end"/>
        </w:r>
      </w:hyperlink>
    </w:p>
    <w:p>
      <w:pPr>
        <w:pStyle w:val="TOC2"/>
      </w:pPr>
      <w:hyperlink w:history="true" w:anchor="_Toc9122">
        <w:r>
          <w:rPr>
            <w:rStyle w:val="Hyperlink"/>
            <w:noProof/>
          </w:rPr>
          <w:t>19. How does IMESI interact with existing sanctions regimes?</w:t>
        </w:r>
        <w:r>
          <w:rPr>
            <w:noProof/>
            <w:webHidden/>
          </w:rPr>
          <w:tab/>
        </w:r>
        <w:r>
          <w:rPr>
            <w:noProof/>
            <w:webHidden/>
          </w:rPr>
          <w:fldChar w:fldCharType="begin"/>
        </w:r>
        <w:r>
          <w:rPr>
            <w:noProof/>
            <w:webHidden/>
          </w:rPr>
          <w:instrText xml:space="preserve"> PAGEREF _Toc9122 \h </w:instrText>
        </w:r>
        <w:r>
          <w:rPr>
            <w:noProof/>
            <w:webHidden/>
          </w:rPr>
          <w:fldChar w:fldCharType="separate"/>
        </w:r>
        <w:r>
          <w:rPr>
            <w:noProof/>
            <w:webHidden/>
          </w:rPr>
          <w:t>15</w:t>
        </w:r>
        <w:r>
          <w:rPr>
            <w:noProof/>
            <w:webHidden/>
          </w:rPr>
          <w:fldChar w:fldCharType="end"/>
        </w:r>
      </w:hyperlink>
    </w:p>
    <w:p>
      <w:pPr>
        <w:pStyle w:val="TOC1"/>
      </w:pPr>
      <w:hyperlink w:history="true" w:anchor="_Toc9123">
        <w:r>
          <w:rPr>
            <w:rStyle w:val="Hyperlink"/>
            <w:noProof/>
          </w:rPr>
          <w:t>V. SAFEGUARDS AGAINST MISUSE</w:t>
        </w:r>
        <w:r>
          <w:rPr>
            <w:noProof/>
            <w:webHidden/>
          </w:rPr>
          <w:tab/>
        </w:r>
        <w:r>
          <w:rPr>
            <w:noProof/>
            <w:webHidden/>
          </w:rPr>
          <w:fldChar w:fldCharType="begin"/>
        </w:r>
        <w:r>
          <w:rPr>
            <w:noProof/>
            <w:webHidden/>
          </w:rPr>
          <w:instrText xml:space="preserve"> PAGEREF _Toc9123 \h </w:instrText>
        </w:r>
        <w:r>
          <w:rPr>
            <w:noProof/>
            <w:webHidden/>
          </w:rPr>
          <w:fldChar w:fldCharType="separate"/>
        </w:r>
        <w:r>
          <w:rPr>
            <w:noProof/>
            <w:webHidden/>
          </w:rPr>
          <w:t>16</w:t>
        </w:r>
        <w:r>
          <w:rPr>
            <w:noProof/>
            <w:webHidden/>
          </w:rPr>
          <w:fldChar w:fldCharType="end"/>
        </w:r>
      </w:hyperlink>
    </w:p>
    <w:p>
      <w:pPr>
        <w:pStyle w:val="TOC2"/>
      </w:pPr>
      <w:hyperlink w:history="true" w:anchor="_Toc9124">
        <w:r>
          <w:rPr>
            <w:rStyle w:val="Hyperlink"/>
            <w:noProof/>
          </w:rPr>
          <w:t>20. What stops IMESI activation against routine trade policy?</w:t>
        </w:r>
        <w:r>
          <w:rPr>
            <w:noProof/>
            <w:webHidden/>
          </w:rPr>
          <w:tab/>
        </w:r>
        <w:r>
          <w:rPr>
            <w:noProof/>
            <w:webHidden/>
          </w:rPr>
          <w:fldChar w:fldCharType="begin"/>
        </w:r>
        <w:r>
          <w:rPr>
            <w:noProof/>
            <w:webHidden/>
          </w:rPr>
          <w:instrText xml:space="preserve"> PAGEREF _Toc9124 \h </w:instrText>
        </w:r>
        <w:r>
          <w:rPr>
            <w:noProof/>
            <w:webHidden/>
          </w:rPr>
          <w:fldChar w:fldCharType="separate"/>
        </w:r>
        <w:r>
          <w:rPr>
            <w:noProof/>
            <w:webHidden/>
          </w:rPr>
          <w:t>16</w:t>
        </w:r>
        <w:r>
          <w:rPr>
            <w:noProof/>
            <w:webHidden/>
          </w:rPr>
          <w:fldChar w:fldCharType="end"/>
        </w:r>
      </w:hyperlink>
    </w:p>
    <w:p>
      <w:pPr>
        <w:pStyle w:val="TOC2"/>
      </w:pPr>
      <w:hyperlink w:history="true" w:anchor="_Toc9125">
        <w:r>
          <w:rPr>
            <w:rStyle w:val="Hyperlink"/>
            <w:noProof/>
          </w:rPr>
          <w:t>21. What if a member files a bad-faith coercion claim?</w:t>
        </w:r>
        <w:r>
          <w:rPr>
            <w:noProof/>
            <w:webHidden/>
          </w:rPr>
          <w:tab/>
        </w:r>
        <w:r>
          <w:rPr>
            <w:noProof/>
            <w:webHidden/>
          </w:rPr>
          <w:fldChar w:fldCharType="begin"/>
        </w:r>
        <w:r>
          <w:rPr>
            <w:noProof/>
            <w:webHidden/>
          </w:rPr>
          <w:instrText xml:space="preserve"> PAGEREF _Toc9125 \h </w:instrText>
        </w:r>
        <w:r>
          <w:rPr>
            <w:noProof/>
            <w:webHidden/>
          </w:rPr>
          <w:fldChar w:fldCharType="separate"/>
        </w:r>
        <w:r>
          <w:rPr>
            <w:noProof/>
            <w:webHidden/>
          </w:rPr>
          <w:t>16</w:t>
        </w:r>
        <w:r>
          <w:rPr>
            <w:noProof/>
            <w:webHidden/>
          </w:rPr>
          <w:fldChar w:fldCharType="end"/>
        </w:r>
      </w:hyperlink>
    </w:p>
    <w:p>
      <w:pPr>
        <w:pStyle w:val="TOC2"/>
      </w:pPr>
      <w:hyperlink w:history="true" w:anchor="_Toc9126">
        <w:r>
          <w:rPr>
            <w:rStyle w:val="Hyperlink"/>
            <w:noProof/>
          </w:rPr>
          <w:t>22. Who certifies coercion, and are they independent?</w:t>
        </w:r>
        <w:r>
          <w:rPr>
            <w:noProof/>
            <w:webHidden/>
          </w:rPr>
          <w:tab/>
        </w:r>
        <w:r>
          <w:rPr>
            <w:noProof/>
            <w:webHidden/>
          </w:rPr>
          <w:fldChar w:fldCharType="begin"/>
        </w:r>
        <w:r>
          <w:rPr>
            <w:noProof/>
            <w:webHidden/>
          </w:rPr>
          <w:instrText xml:space="preserve"> PAGEREF _Toc9126 \h </w:instrText>
        </w:r>
        <w:r>
          <w:rPr>
            <w:noProof/>
            <w:webHidden/>
          </w:rPr>
          <w:fldChar w:fldCharType="separate"/>
        </w:r>
        <w:r>
          <w:rPr>
            <w:noProof/>
            <w:webHidden/>
          </w:rPr>
          <w:t>17</w:t>
        </w:r>
        <w:r>
          <w:rPr>
            <w:noProof/>
            <w:webHidden/>
          </w:rPr>
          <w:fldChar w:fldCharType="end"/>
        </w:r>
      </w:hyperlink>
    </w:p>
    <w:p>
      <w:pPr>
        <w:pStyle w:val="TOC2"/>
      </w:pPr>
      <w:hyperlink w:history="true" w:anchor="_Toc9127">
        <w:r>
          <w:rPr>
            <w:rStyle w:val="Hyperlink"/>
            <w:noProof/>
          </w:rPr>
          <w:t>23. What prevents the biggest economies from dominating?</w:t>
        </w:r>
        <w:r>
          <w:rPr>
            <w:noProof/>
            <w:webHidden/>
          </w:rPr>
          <w:tab/>
        </w:r>
        <w:r>
          <w:rPr>
            <w:noProof/>
            <w:webHidden/>
          </w:rPr>
          <w:fldChar w:fldCharType="begin"/>
        </w:r>
        <w:r>
          <w:rPr>
            <w:noProof/>
            <w:webHidden/>
          </w:rPr>
          <w:instrText xml:space="preserve"> PAGEREF _Toc9127 \h </w:instrText>
        </w:r>
        <w:r>
          <w:rPr>
            <w:noProof/>
            <w:webHidden/>
          </w:rPr>
          <w:fldChar w:fldCharType="separate"/>
        </w:r>
        <w:r>
          <w:rPr>
            <w:noProof/>
            <w:webHidden/>
          </w:rPr>
          <w:t>18</w:t>
        </w:r>
        <w:r>
          <w:rPr>
            <w:noProof/>
            <w:webHidden/>
          </w:rPr>
          <w:fldChar w:fldCharType="end"/>
        </w:r>
      </w:hyperlink>
    </w:p>
    <w:p>
      <w:pPr>
        <w:pStyle w:val="TOC2"/>
      </w:pPr>
      <w:hyperlink w:history="true" w:anchor="_Toc9128">
        <w:r>
          <w:rPr>
            <w:rStyle w:val="Hyperlink"/>
            <w:noProof/>
          </w:rPr>
          <w:t>24. Who supervises IMESI's automated triggers?</w:t>
        </w:r>
        <w:r>
          <w:rPr>
            <w:noProof/>
            <w:webHidden/>
          </w:rPr>
          <w:tab/>
        </w:r>
        <w:r>
          <w:rPr>
            <w:noProof/>
            <w:webHidden/>
          </w:rPr>
          <w:fldChar w:fldCharType="begin"/>
        </w:r>
        <w:r>
          <w:rPr>
            <w:noProof/>
            <w:webHidden/>
          </w:rPr>
          <w:instrText xml:space="preserve"> PAGEREF _Toc9128 \h </w:instrText>
        </w:r>
        <w:r>
          <w:rPr>
            <w:noProof/>
            <w:webHidden/>
          </w:rPr>
          <w:fldChar w:fldCharType="separate"/>
        </w:r>
        <w:r>
          <w:rPr>
            <w:noProof/>
            <w:webHidden/>
          </w:rPr>
          <w:t>18</w:t>
        </w:r>
        <w:r>
          <w:rPr>
            <w:noProof/>
            <w:webHidden/>
          </w:rPr>
          <w:fldChar w:fldCharType="end"/>
        </w:r>
      </w:hyperlink>
    </w:p>
    <w:p>
      <w:pPr>
        <w:pStyle w:val="TOC1"/>
      </w:pPr>
      <w:hyperlink w:history="true" w:anchor="_Toc9129">
        <w:r>
          <w:rPr>
            <w:rStyle w:val="Hyperlink"/>
            <w:noProof/>
          </w:rPr>
          <w:t>VI. FINANCIAL OBLIGATIONS</w:t>
        </w:r>
        <w:r>
          <w:rPr>
            <w:noProof/>
            <w:webHidden/>
          </w:rPr>
          <w:tab/>
        </w:r>
        <w:r>
          <w:rPr>
            <w:noProof/>
            <w:webHidden/>
          </w:rPr>
          <w:fldChar w:fldCharType="begin"/>
        </w:r>
        <w:r>
          <w:rPr>
            <w:noProof/>
            <w:webHidden/>
          </w:rPr>
          <w:instrText xml:space="preserve"> PAGEREF _Toc9129 \h </w:instrText>
        </w:r>
        <w:r>
          <w:rPr>
            <w:noProof/>
            <w:webHidden/>
          </w:rPr>
          <w:fldChar w:fldCharType="separate"/>
        </w:r>
        <w:r>
          <w:rPr>
            <w:noProof/>
            <w:webHidden/>
          </w:rPr>
          <w:t>19</w:t>
        </w:r>
        <w:r>
          <w:rPr>
            <w:noProof/>
            <w:webHidden/>
          </w:rPr>
          <w:fldChar w:fldCharType="end"/>
        </w:r>
      </w:hyperlink>
    </w:p>
    <w:p>
      <w:pPr>
        <w:pStyle w:val="TOC2"/>
      </w:pPr>
      <w:hyperlink w:history="true" w:anchor="_Toc9130">
        <w:r>
          <w:rPr>
            <w:rStyle w:val="Hyperlink"/>
            <w:noProof/>
          </w:rPr>
          <w:t>25. What does membership cost?</w:t>
        </w:r>
        <w:r>
          <w:rPr>
            <w:noProof/>
            <w:webHidden/>
          </w:rPr>
          <w:tab/>
        </w:r>
        <w:r>
          <w:rPr>
            <w:noProof/>
            <w:webHidden/>
          </w:rPr>
          <w:fldChar w:fldCharType="begin"/>
        </w:r>
        <w:r>
          <w:rPr>
            <w:noProof/>
            <w:webHidden/>
          </w:rPr>
          <w:instrText xml:space="preserve"> PAGEREF _Toc9130 \h </w:instrText>
        </w:r>
        <w:r>
          <w:rPr>
            <w:noProof/>
            <w:webHidden/>
          </w:rPr>
          <w:fldChar w:fldCharType="separate"/>
        </w:r>
        <w:r>
          <w:rPr>
            <w:noProof/>
            <w:webHidden/>
          </w:rPr>
          <w:t>19</w:t>
        </w:r>
        <w:r>
          <w:rPr>
            <w:noProof/>
            <w:webHidden/>
          </w:rPr>
          <w:fldChar w:fldCharType="end"/>
        </w:r>
      </w:hyperlink>
    </w:p>
    <w:p>
      <w:pPr>
        <w:pStyle w:val="TOC2"/>
      </w:pPr>
      <w:hyperlink w:history="true" w:anchor="_Toc9131">
        <w:r>
          <w:rPr>
            <w:rStyle w:val="Hyperlink"/>
            <w:noProof/>
          </w:rPr>
          <w:t>26. What is the target fund size?</w:t>
        </w:r>
        <w:r>
          <w:rPr>
            <w:noProof/>
            <w:webHidden/>
          </w:rPr>
          <w:tab/>
        </w:r>
        <w:r>
          <w:rPr>
            <w:noProof/>
            <w:webHidden/>
          </w:rPr>
          <w:fldChar w:fldCharType="begin"/>
        </w:r>
        <w:r>
          <w:rPr>
            <w:noProof/>
            <w:webHidden/>
          </w:rPr>
          <w:instrText xml:space="preserve"> PAGEREF _Toc9131 \h </w:instrText>
        </w:r>
        <w:r>
          <w:rPr>
            <w:noProof/>
            <w:webHidden/>
          </w:rPr>
          <w:fldChar w:fldCharType="separate"/>
        </w:r>
        <w:r>
          <w:rPr>
            <w:noProof/>
            <w:webHidden/>
          </w:rPr>
          <w:t>20</w:t>
        </w:r>
        <w:r>
          <w:rPr>
            <w:noProof/>
            <w:webHidden/>
          </w:rPr>
          <w:fldChar w:fldCharType="end"/>
        </w:r>
      </w:hyperlink>
    </w:p>
    <w:p>
      <w:pPr>
        <w:pStyle w:val="TOC2"/>
      </w:pPr>
      <w:hyperlink w:history="true" w:anchor="_Toc9132">
        <w:r>
          <w:rPr>
            <w:rStyle w:val="Hyperlink"/>
            <w:noProof/>
          </w:rPr>
          <w:t>27. What if the Fund runs low during a crisis?</w:t>
        </w:r>
        <w:r>
          <w:rPr>
            <w:noProof/>
            <w:webHidden/>
          </w:rPr>
          <w:tab/>
        </w:r>
        <w:r>
          <w:rPr>
            <w:noProof/>
            <w:webHidden/>
          </w:rPr>
          <w:fldChar w:fldCharType="begin"/>
        </w:r>
        <w:r>
          <w:rPr>
            <w:noProof/>
            <w:webHidden/>
          </w:rPr>
          <w:instrText xml:space="preserve"> PAGEREF _Toc9132 \h </w:instrText>
        </w:r>
        <w:r>
          <w:rPr>
            <w:noProof/>
            <w:webHidden/>
          </w:rPr>
          <w:fldChar w:fldCharType="separate"/>
        </w:r>
        <w:r>
          <w:rPr>
            <w:noProof/>
            <w:webHidden/>
          </w:rPr>
          <w:t>20</w:t>
        </w:r>
        <w:r>
          <w:rPr>
            <w:noProof/>
            <w:webHidden/>
          </w:rPr>
          <w:fldChar w:fldCharType="end"/>
        </w:r>
      </w:hyperlink>
    </w:p>
    <w:p>
      <w:pPr>
        <w:pStyle w:val="TOC1"/>
      </w:pPr>
      <w:hyperlink w:history="true" w:anchor="_Toc9133">
        <w:r>
          <w:rPr>
            <w:rStyle w:val="Hyperlink"/>
            <w:noProof/>
          </w:rPr>
          <w:t>VII. SMALL STATES AND DEVELOPING COUNTRIES</w:t>
        </w:r>
        <w:r>
          <w:rPr>
            <w:noProof/>
            <w:webHidden/>
          </w:rPr>
          <w:tab/>
        </w:r>
        <w:r>
          <w:rPr>
            <w:noProof/>
            <w:webHidden/>
          </w:rPr>
          <w:fldChar w:fldCharType="begin"/>
        </w:r>
        <w:r>
          <w:rPr>
            <w:noProof/>
            <w:webHidden/>
          </w:rPr>
          <w:instrText xml:space="preserve"> PAGEREF _Toc9133 \h </w:instrText>
        </w:r>
        <w:r>
          <w:rPr>
            <w:noProof/>
            <w:webHidden/>
          </w:rPr>
          <w:fldChar w:fldCharType="separate"/>
        </w:r>
        <w:r>
          <w:rPr>
            <w:noProof/>
            <w:webHidden/>
          </w:rPr>
          <w:t>21</w:t>
        </w:r>
        <w:r>
          <w:rPr>
            <w:noProof/>
            <w:webHidden/>
          </w:rPr>
          <w:fldChar w:fldCharType="end"/>
        </w:r>
      </w:hyperlink>
    </w:p>
    <w:p>
      <w:pPr>
        <w:pStyle w:val="TOC2"/>
      </w:pPr>
      <w:hyperlink w:history="true" w:anchor="_Toc9134">
        <w:r>
          <w:rPr>
            <w:rStyle w:val="Hyperlink"/>
            <w:noProof/>
          </w:rPr>
          <w:t>28. Why does a small state join IMESI?</w:t>
        </w:r>
        <w:r>
          <w:rPr>
            <w:noProof/>
            <w:webHidden/>
          </w:rPr>
          <w:tab/>
        </w:r>
        <w:r>
          <w:rPr>
            <w:noProof/>
            <w:webHidden/>
          </w:rPr>
          <w:fldChar w:fldCharType="begin"/>
        </w:r>
        <w:r>
          <w:rPr>
            <w:noProof/>
            <w:webHidden/>
          </w:rPr>
          <w:instrText xml:space="preserve"> PAGEREF _Toc9134 \h </w:instrText>
        </w:r>
        <w:r>
          <w:rPr>
            <w:noProof/>
            <w:webHidden/>
          </w:rPr>
          <w:fldChar w:fldCharType="separate"/>
        </w:r>
        <w:r>
          <w:rPr>
            <w:noProof/>
            <w:webHidden/>
          </w:rPr>
          <w:t>21</w:t>
        </w:r>
        <w:r>
          <w:rPr>
            <w:noProof/>
            <w:webHidden/>
          </w:rPr>
          <w:fldChar w:fldCharType="end"/>
        </w:r>
      </w:hyperlink>
    </w:p>
    <w:p>
      <w:pPr>
        <w:pStyle w:val="TOC2"/>
      </w:pPr>
      <w:hyperlink w:history="true" w:anchor="_Toc9135">
        <w:r>
          <w:rPr>
            <w:rStyle w:val="Hyperlink"/>
            <w:noProof/>
          </w:rPr>
          <w:t>29. How does a micro-state participate without binding obligations?</w:t>
        </w:r>
        <w:r>
          <w:rPr>
            <w:noProof/>
            <w:webHidden/>
          </w:rPr>
          <w:tab/>
        </w:r>
        <w:r>
          <w:rPr>
            <w:noProof/>
            <w:webHidden/>
          </w:rPr>
          <w:fldChar w:fldCharType="begin"/>
        </w:r>
        <w:r>
          <w:rPr>
            <w:noProof/>
            <w:webHidden/>
          </w:rPr>
          <w:instrText xml:space="preserve"> PAGEREF _Toc9135 \h </w:instrText>
        </w:r>
        <w:r>
          <w:rPr>
            <w:noProof/>
            <w:webHidden/>
          </w:rPr>
          <w:fldChar w:fldCharType="separate"/>
        </w:r>
        <w:r>
          <w:rPr>
            <w:noProof/>
            <w:webHidden/>
          </w:rPr>
          <w:t>22</w:t>
        </w:r>
        <w:r>
          <w:rPr>
            <w:noProof/>
            <w:webHidden/>
          </w:rPr>
          <w:fldChar w:fldCharType="end"/>
        </w:r>
      </w:hyperlink>
    </w:p>
    <w:p>
      <w:pPr>
        <w:pStyle w:val="TOC1"/>
      </w:pPr>
      <w:hyperlink w:history="true" w:anchor="_Toc9136">
        <w:r>
          <w:rPr>
            <w:rStyle w:val="Hyperlink"/>
            <w:noProof/>
          </w:rPr>
          <w:t>VIII. PRIVATE SECTOR AND MARKET IMPACT</w:t>
        </w:r>
        <w:r>
          <w:rPr>
            <w:noProof/>
            <w:webHidden/>
          </w:rPr>
          <w:tab/>
        </w:r>
        <w:r>
          <w:rPr>
            <w:noProof/>
            <w:webHidden/>
          </w:rPr>
          <w:fldChar w:fldCharType="begin"/>
        </w:r>
        <w:r>
          <w:rPr>
            <w:noProof/>
            <w:webHidden/>
          </w:rPr>
          <w:instrText xml:space="preserve"> PAGEREF _Toc9136 \h </w:instrText>
        </w:r>
        <w:r>
          <w:rPr>
            <w:noProof/>
            <w:webHidden/>
          </w:rPr>
          <w:fldChar w:fldCharType="separate"/>
        </w:r>
        <w:r>
          <w:rPr>
            <w:noProof/>
            <w:webHidden/>
          </w:rPr>
          <w:t>23</w:t>
        </w:r>
        <w:r>
          <w:rPr>
            <w:noProof/>
            <w:webHidden/>
          </w:rPr>
          <w:fldChar w:fldCharType="end"/>
        </w:r>
      </w:hyperlink>
    </w:p>
    <w:p>
      <w:pPr>
        <w:pStyle w:val="TOC2"/>
      </w:pPr>
      <w:hyperlink w:history="true" w:anchor="_Toc9137">
        <w:r>
          <w:rPr>
            <w:rStyle w:val="Hyperlink"/>
            <w:noProof/>
          </w:rPr>
          <w:t>30. How does IMESI affect private businesses?</w:t>
        </w:r>
        <w:r>
          <w:rPr>
            <w:noProof/>
            <w:webHidden/>
          </w:rPr>
          <w:tab/>
        </w:r>
        <w:r>
          <w:rPr>
            <w:noProof/>
            <w:webHidden/>
          </w:rPr>
          <w:fldChar w:fldCharType="begin"/>
        </w:r>
        <w:r>
          <w:rPr>
            <w:noProof/>
            <w:webHidden/>
          </w:rPr>
          <w:instrText xml:space="preserve"> PAGEREF _Toc9137 \h </w:instrText>
        </w:r>
        <w:r>
          <w:rPr>
            <w:noProof/>
            <w:webHidden/>
          </w:rPr>
          <w:fldChar w:fldCharType="separate"/>
        </w:r>
        <w:r>
          <w:rPr>
            <w:noProof/>
            <w:webHidden/>
          </w:rPr>
          <w:t>23</w:t>
        </w:r>
        <w:r>
          <w:rPr>
            <w:noProof/>
            <w:webHidden/>
          </w:rPr>
          <w:fldChar w:fldCharType="end"/>
        </w:r>
      </w:hyperlink>
    </w:p>
    <w:p>
      <w:pPr>
        <w:pStyle w:val="TOC2"/>
      </w:pPr>
      <w:hyperlink w:history="true" w:anchor="_Toc9138">
        <w:r>
          <w:rPr>
            <w:rStyle w:val="Hyperlink"/>
            <w:noProof/>
          </w:rPr>
          <w:t>31. How does IMESI affect banks and financial institutions?</w:t>
        </w:r>
        <w:r>
          <w:rPr>
            <w:noProof/>
            <w:webHidden/>
          </w:rPr>
          <w:tab/>
        </w:r>
        <w:r>
          <w:rPr>
            <w:noProof/>
            <w:webHidden/>
          </w:rPr>
          <w:fldChar w:fldCharType="begin"/>
        </w:r>
        <w:r>
          <w:rPr>
            <w:noProof/>
            <w:webHidden/>
          </w:rPr>
          <w:instrText xml:space="preserve"> PAGEREF _Toc9138 \h </w:instrText>
        </w:r>
        <w:r>
          <w:rPr>
            <w:noProof/>
            <w:webHidden/>
          </w:rPr>
          <w:fldChar w:fldCharType="separate"/>
        </w:r>
        <w:r>
          <w:rPr>
            <w:noProof/>
            <w:webHidden/>
          </w:rPr>
          <w:t>23</w:t>
        </w:r>
        <w:r>
          <w:rPr>
            <w:noProof/>
            <w:webHidden/>
          </w:rPr>
          <w:fldChar w:fldCharType="end"/>
        </w:r>
      </w:hyperlink>
    </w:p>
    <w:p>
      <w:pPr>
        <w:pStyle w:val="TOC1"/>
      </w:pPr>
      <w:hyperlink w:history="true" w:anchor="_Toc9139">
        <w:r>
          <w:rPr>
            <w:rStyle w:val="Hyperlink"/>
            <w:noProof/>
          </w:rPr>
          <w:t>IX. COALITION INTEGRITY</w:t>
        </w:r>
        <w:r>
          <w:rPr>
            <w:noProof/>
            <w:webHidden/>
          </w:rPr>
          <w:tab/>
        </w:r>
        <w:r>
          <w:rPr>
            <w:noProof/>
            <w:webHidden/>
          </w:rPr>
          <w:fldChar w:fldCharType="begin"/>
        </w:r>
        <w:r>
          <w:rPr>
            <w:noProof/>
            <w:webHidden/>
          </w:rPr>
          <w:instrText xml:space="preserve"> PAGEREF _Toc9139 \h </w:instrText>
        </w:r>
        <w:r>
          <w:rPr>
            <w:noProof/>
            <w:webHidden/>
          </w:rPr>
          <w:fldChar w:fldCharType="separate"/>
        </w:r>
        <w:r>
          <w:rPr>
            <w:noProof/>
            <w:webHidden/>
          </w:rPr>
          <w:t>24</w:t>
        </w:r>
        <w:r>
          <w:rPr>
            <w:noProof/>
            <w:webHidden/>
          </w:rPr>
          <w:fldChar w:fldCharType="end"/>
        </w:r>
      </w:hyperlink>
    </w:p>
    <w:p>
      <w:pPr>
        <w:pStyle w:val="TOC2"/>
      </w:pPr>
      <w:hyperlink w:history="true" w:anchor="_Toc9140">
        <w:r>
          <w:rPr>
            <w:rStyle w:val="Hyperlink"/>
            <w:noProof/>
          </w:rPr>
          <w:t>32. What if two members disagree on whether a third state is coercing?</w:t>
        </w:r>
        <w:r>
          <w:rPr>
            <w:noProof/>
            <w:webHidden/>
          </w:rPr>
          <w:tab/>
        </w:r>
        <w:r>
          <w:rPr>
            <w:noProof/>
            <w:webHidden/>
          </w:rPr>
          <w:fldChar w:fldCharType="begin"/>
        </w:r>
        <w:r>
          <w:rPr>
            <w:noProof/>
            <w:webHidden/>
          </w:rPr>
          <w:instrText xml:space="preserve"> PAGEREF _Toc9140 \h </w:instrText>
        </w:r>
        <w:r>
          <w:rPr>
            <w:noProof/>
            <w:webHidden/>
          </w:rPr>
          <w:fldChar w:fldCharType="separate"/>
        </w:r>
        <w:r>
          <w:rPr>
            <w:noProof/>
            <w:webHidden/>
          </w:rPr>
          <w:t>24</w:t>
        </w:r>
        <w:r>
          <w:rPr>
            <w:noProof/>
            <w:webHidden/>
          </w:rPr>
          <w:fldChar w:fldCharType="end"/>
        </w:r>
      </w:hyperlink>
    </w:p>
    <w:p>
      <w:pPr>
        <w:pStyle w:val="TOC2"/>
      </w:pPr>
      <w:hyperlink w:history="true" w:anchor="_Toc9141">
        <w:r>
          <w:rPr>
            <w:rStyle w:val="Hyperlink"/>
            <w:noProof/>
          </w:rPr>
          <w:t>33. What if the coercing state is also an IMESI member?</w:t>
        </w:r>
        <w:r>
          <w:rPr>
            <w:noProof/>
            <w:webHidden/>
          </w:rPr>
          <w:tab/>
        </w:r>
        <w:r>
          <w:rPr>
            <w:noProof/>
            <w:webHidden/>
          </w:rPr>
          <w:fldChar w:fldCharType="begin"/>
        </w:r>
        <w:r>
          <w:rPr>
            <w:noProof/>
            <w:webHidden/>
          </w:rPr>
          <w:instrText xml:space="preserve"> PAGEREF _Toc9141 \h </w:instrText>
        </w:r>
        <w:r>
          <w:rPr>
            <w:noProof/>
            <w:webHidden/>
          </w:rPr>
          <w:fldChar w:fldCharType="separate"/>
        </w:r>
        <w:r>
          <w:rPr>
            <w:noProof/>
            <w:webHidden/>
          </w:rPr>
          <w:t>25</w:t>
        </w:r>
        <w:r>
          <w:rPr>
            <w:noProof/>
            <w:webHidden/>
          </w:rPr>
          <w:fldChar w:fldCharType="end"/>
        </w:r>
      </w:hyperlink>
    </w:p>
    <w:p>
      <w:pPr>
        <w:pStyle w:val="TOC2"/>
      </w:pPr>
      <w:hyperlink w:history="true" w:anchor="_Toc9142">
        <w:r>
          <w:rPr>
            <w:rStyle w:val="Hyperlink"/>
            <w:noProof/>
          </w:rPr>
          <w:t>34. What if a major member tries to undermine IMESI from within?</w:t>
        </w:r>
        <w:r>
          <w:rPr>
            <w:noProof/>
            <w:webHidden/>
          </w:rPr>
          <w:tab/>
        </w:r>
        <w:r>
          <w:rPr>
            <w:noProof/>
            <w:webHidden/>
          </w:rPr>
          <w:fldChar w:fldCharType="begin"/>
        </w:r>
        <w:r>
          <w:rPr>
            <w:noProof/>
            <w:webHidden/>
          </w:rPr>
          <w:instrText xml:space="preserve"> PAGEREF _Toc9142 \h </w:instrText>
        </w:r>
        <w:r>
          <w:rPr>
            <w:noProof/>
            <w:webHidden/>
          </w:rPr>
          <w:fldChar w:fldCharType="separate"/>
        </w:r>
        <w:r>
          <w:rPr>
            <w:noProof/>
            <w:webHidden/>
          </w:rPr>
          <w:t>25</w:t>
        </w:r>
        <w:r>
          <w:rPr>
            <w:noProof/>
            <w:webHidden/>
          </w:rPr>
          <w:fldChar w:fldCharType="end"/>
        </w:r>
      </w:hyperlink>
    </w:p>
    <w:p>
      <w:pPr>
        <w:pStyle w:val="TOC1"/>
      </w:pPr>
      <w:hyperlink w:history="true" w:anchor="_Toc9143">
        <w:r>
          <w:rPr>
            <w:rStyle w:val="Hyperlink"/>
            <w:noProof/>
          </w:rPr>
          <w:t>X. FOUNDING THE COALITION</w:t>
        </w:r>
        <w:r>
          <w:rPr>
            <w:noProof/>
            <w:webHidden/>
          </w:rPr>
          <w:tab/>
        </w:r>
        <w:r>
          <w:rPr>
            <w:noProof/>
            <w:webHidden/>
          </w:rPr>
          <w:fldChar w:fldCharType="begin"/>
        </w:r>
        <w:r>
          <w:rPr>
            <w:noProof/>
            <w:webHidden/>
          </w:rPr>
          <w:instrText xml:space="preserve"> PAGEREF _Toc9143 \h </w:instrText>
        </w:r>
        <w:r>
          <w:rPr>
            <w:noProof/>
            <w:webHidden/>
          </w:rPr>
          <w:fldChar w:fldCharType="separate"/>
        </w:r>
        <w:r>
          <w:rPr>
            <w:noProof/>
            <w:webHidden/>
          </w:rPr>
          <w:t>26</w:t>
        </w:r>
        <w:r>
          <w:rPr>
            <w:noProof/>
            <w:webHidden/>
          </w:rPr>
          <w:fldChar w:fldCharType="end"/>
        </w:r>
      </w:hyperlink>
    </w:p>
    <w:p>
      <w:pPr>
        <w:pStyle w:val="TOC2"/>
      </w:pPr>
      <w:hyperlink w:history="true" w:anchor="_Toc9144">
        <w:r>
          <w:rPr>
            <w:rStyle w:val="Hyperlink"/>
            <w:noProof/>
          </w:rPr>
          <w:t>35. What protects early joiners from retaliation before IMESI reaches full operation?</w:t>
        </w:r>
        <w:r>
          <w:rPr>
            <w:noProof/>
            <w:webHidden/>
          </w:rPr>
          <w:tab/>
        </w:r>
        <w:r>
          <w:rPr>
            <w:noProof/>
            <w:webHidden/>
          </w:rPr>
          <w:fldChar w:fldCharType="begin"/>
        </w:r>
        <w:r>
          <w:rPr>
            <w:noProof/>
            <w:webHidden/>
          </w:rPr>
          <w:instrText xml:space="preserve"> PAGEREF _Toc9144 \h </w:instrText>
        </w:r>
        <w:r>
          <w:rPr>
            <w:noProof/>
            <w:webHidden/>
          </w:rPr>
          <w:fldChar w:fldCharType="separate"/>
        </w:r>
        <w:r>
          <w:rPr>
            <w:noProof/>
            <w:webHidden/>
          </w:rPr>
          <w:t>26</w:t>
        </w:r>
        <w:r>
          <w:rPr>
            <w:noProof/>
            <w:webHidden/>
          </w:rPr>
          <w:fldChar w:fldCharType="end"/>
        </w:r>
      </w:hyperlink>
    </w:p>
    <w:p>
      <w:r>
        <w:fldChar w:fldCharType="end"/>
      </w:r>
    </w:p>
    <w:p>
      <w:pPr>
        <w:pStyle w:val="Heading1"/>
      </w:pPr>
      <w:r>
        <w:t>I. WHAT IMESI IS</w:t>
      </w:r>
      <w:bookmarkStart w:name="_Toc9100" w:id="1"/>
      <w:bookmarkEnd w:id="1"/>
    </w:p>
    <w:p>
      <w:pPr>
        <w:pStyle w:val="Heading2"/>
      </w:pPr>
      <w:r>
        <w:t>1. What is IMESI in one sentence?</w:t>
      </w:r>
      <w:bookmarkStart w:name="_Toc9101" w:id="2"/>
      <w:bookmarkEnd w:id="2"/>
    </w:p>
    <w:p>
      <w:r>
        <w:t xml:space="preserve">IMESI operates as a modular mutual economic security insurance mechanism that protects member states against economic coercion, meaning the use of trade, investment, or financial measures by one state to compel sovereign policy changes in another. Version 15.0 anchors every collective response in the GATT Article XXI security exception through the Section 9.1B pre-certification architecture, and the Mutual Architecture Declaration (Section 1.0F) frames every obligation as reciprocal by design: no Member restrains itself for another's benefit, because all Members operate within the same structural constraints, the same transparency obligations, and the same earn-back opportunities.</w:t>
      </w:r>
    </w:p>
    <w:p>
      <w:pPr>
        <w:pStyle w:val="Reference"/>
      </w:pPr>
      <w:r>
        <w:t>Reference: Executive Summary; Sections 1.0F, 1.1B, 9.1B</w:t>
      </w:r>
    </w:p>
    <w:p>
      <w:pPr>
        <w:pStyle w:val="Heading2"/>
      </w:pPr>
      <w:r>
        <w:t>2. How is IMESI different from a trade bloc or military alliance?</w:t>
      </w:r>
      <w:bookmarkStart w:name="_Toc9102" w:id="3"/>
      <w:bookmarkEnd w:id="3"/>
    </w:p>
    <w:p>
      <w:r>
        <w:t xml:space="preserve">IMESI is neither. The framework sets no common tariffs, demands no foreign-policy coordination, and creates no mutual defence obligations. The v15.0 Declaration of Purpose and Nature (Section 1.1B) places beyond doubt that IMESI functions as a security instrument, not a trade instrument: it creates no common external tariff, obliges no Member to adopt common trade policies, and operates outside GATT Article XXIV because it constitutes no preferential trade agreement. Even where coercion coincides with armed-force threats, IMESI remains strictly an economic stabilisation and mutual insurance mechanism (Section 1.5B), and the v15.0 Nuclear Umbrella and Security Guarantee Neutrality provision (Section 4.7H) confirms that nothing in the Instrument requires or encourages any Member to alter its nuclear umbrella arrangements, collective security commitments, or bilateral defence treaties.</w:t>
      </w:r>
    </w:p>
    <w:p>
      <w:pPr>
        <w:pStyle w:val="Reference"/>
      </w:pPr>
      <w:r>
        <w:t>Reference: Philosophical Preamble; Sections 1.1B, 1.5B, 4.7H, 9.6A</w:t>
      </w:r>
    </w:p>
    <w:p>
      <w:pPr>
        <w:pStyle w:val="Heading2"/>
      </w:pPr>
      <w:r>
        <w:t>3. Is IMESI directed against any specific country?</w:t>
      </w:r>
      <w:bookmarkStart w:name="_Toc9103" w:id="4"/>
      <w:bookmarkEnd w:id="4"/>
    </w:p>
    <w:p>
      <w:r>
        <w:t xml:space="preserve">No. The Universal Applicability Principle (Section 2.0A) applies identical definitions, certification standards, and response mechanisms to economic coercion from any source, including IMESI's own members. IMESI responds to conduct, not identity, and opens membership to all states meeting accession criteria regardless of geopolitical orientation. Every IEWC determination carries a Non-Discrimination Certification (Section 4.2V) confirming that measures rest on documented coercion rather than on the identity or alignment of the state concerned, and the v15.0 Golden Share requirement (Section 4.7D) ensures that no single group of members forces or blocks a systemic decision.</w:t>
      </w:r>
    </w:p>
    <w:p>
      <w:pPr>
        <w:pStyle w:val="Reference"/>
      </w:pPr>
      <w:r>
        <w:t>Reference: Section 2.0A; Preamble (Third Addendum); Sections 4.2V, 4.7D</w:t>
      </w:r>
    </w:p>
    <w:p>
      <w:pPr>
        <w:pStyle w:val="Heading2"/>
      </w:pPr>
      <w:r>
        <w:t>4. What concrete benefits does membership deliver in peacetime, before any crisis?</w:t>
      </w:r>
      <w:bookmarkStart w:name="_Toc9104" w:id="5"/>
      <w:bookmarkEnd w:id="5"/>
    </w:p>
    <w:p>
      <w:r>
        <w:t xml:space="preserve">From Month 1, members receive: joint procurement savings of 10-18% on strategic inputs such as energy, pharmaceuticals, and critical minerals; IEWC early-warning intelligence identifying coercive threats 30-90 days before public escalation; SFI settlement and swap-line access reducing single-currency dependency; eligibility for Resilience Diversification Programme and Peacetime Fund projects; and Coercion Risk Dashboard placement signalling credible collective backing. v15.0 adds a standing benefit stack: the IMESI Trade Preference Margin (Section 3.18) grants compliant members a 5% tariff preference, rising to 10% for VCI-A members, during certified emergencies; the Talent Mobility and Skills Passport (Section 3.18A) gives certified professionals 30-day visa-free work authorisation across the coalition; the Digital Market Access Pass (Section 9.8D) delivers 30-day regulatory approval for certified digital service providers; the IMESI Infrastructure Investment Fund (Section 8.28C) finances USD 50-100 billion in connectivity projects; and the IMESI Liquidity Backstop Guarantee (Section 8.20E) operates a permanent USD 100 billion liquidity facility at IMF-equivalent rates without IMF conditionality.</w:t>
      </w:r>
    </w:p>
    <w:p>
      <w:pPr>
        <w:pStyle w:val="Reference"/>
      </w:pPr>
      <w:r>
        <w:t>Reference: Executive Summary; Sections 3.18, 3.18A, 8.20E, 8.28C, 9.8D, 10A.2D</w:t>
      </w:r>
    </w:p>
    <w:p>
      <w:pPr>
        <w:pStyle w:val="Heading2"/>
      </w:pPr>
      <w:r>
        <w:t>5. What changed in IMESI v15.0? [NEW]</w:t>
      </w:r>
      <w:bookmarkStart w:name="_Toc9105" w:id="6"/>
      <w:bookmarkEnd w:id="6"/>
    </w:p>
    <w:p>
      <w:r>
        <w:t xml:space="preserve">Version 15.0 (August 2026) integrates 94 provisions across eleven packages: 12 Red Team improvements, 10 Sovereign Defector amendments, 10 economic benefit carrots, 10 integrity hardening amendments, 10 military coercion hardening amendments, 6 anti-fragility amendments, 12 Heritage loophole fixes, the expulsion earn-back harmonisation fix, 12 WTO defence amendments, the Living Document Protocol (Section 10A.16), and 10 final gap-closing amendments. Headline mechanisms include GATT Article XXI pre-certification (Section 9.1B), automatic Phase 2 activation against systemic-economy Red-Line coercion (Section 5.5B, Addendum), the Systemic Decision Golden Share (Section 4.7D), the Existential Threat Immediate Protection Protocol (Section 5.14), the Military Insurance Fund (Section 8.34), the Attack-Induced Ratchet Clause (Section 1.7), and the Phoenix Protocol (Section 10A.7). Every provision underwent WTO-compatibility review and full Immutable Present-Tense Matrix redrafting before integration, and the version resolves four numbering collisions and merges five duplicated proposals.</w:t>
      </w:r>
    </w:p>
    <w:p>
      <w:pPr>
        <w:pStyle w:val="Reference"/>
      </w:pPr>
      <w:r>
        <w:t>Reference: v15.0 Red Team, Defector, Integrity, Military, Anti-Fragility, and WTO-Defence Summary</w:t>
      </w:r>
    </w:p>
    <w:p>
      <w:pPr>
        <w:pStyle w:val="Heading1"/>
      </w:pPr>
      <w:r>
        <w:t>II. SOVEREIGNTY AND PARLIAMENTARY CONTROL</w:t>
      </w:r>
      <w:bookmarkStart w:name="_Toc9106" w:id="7"/>
      <w:bookmarkEnd w:id="7"/>
    </w:p>
    <w:p>
      <w:pPr>
        <w:pStyle w:val="Heading2"/>
      </w:pPr>
      <w:r>
        <w:t>6. Does IMESI override national parliaments?</w:t>
      </w:r>
      <w:bookmarkStart w:name="_Toc9107" w:id="8"/>
      <w:bookmarkEnd w:id="8"/>
    </w:p>
    <w:p>
      <w:r>
        <w:t xml:space="preserve">No. The Domestic Sovereignty Safeguard (Section 1.0A) is non-derogable: no IMESI body possesses authority to impose measures directly within any member state, and all IMESI response measures operate through each member's existing constitutional and legislative processes. The Coordination Committee, IEWC, and Secretariat issue recommendations and certifications; domestic implementation remains the exclusive prerogative of national governments and parliaments. Any parliament rejects any measure at any time through the Democratic Override, and genuine domestic court rulings that block stabilisation measures constitute constitutional constraints under Section 3.8C. v15.0 adds the Crisis Continuity Mandate (Section 4.7E), which keeps the institution functioning even where two or more members simultaneously invoke the domestic sovereignty safeguard or notify withdrawal within a 7-day window.</w:t>
      </w:r>
    </w:p>
    <w:p>
      <w:pPr>
        <w:pStyle w:val="Reference"/>
      </w:pPr>
      <w:r>
        <w:t>Reference: Sections 1.0A, 3.8C, 4.7E; Annex 5A</w:t>
      </w:r>
    </w:p>
    <w:p>
      <w:pPr>
        <w:pStyle w:val="Heading2"/>
      </w:pPr>
      <w:r>
        <w:t>7. What if a proposed response is too costly for my country?</w:t>
      </w:r>
      <w:bookmarkStart w:name="_Toc9108" w:id="9"/>
      <w:bookmarkEnd w:id="9"/>
    </w:p>
    <w:p>
      <w:r>
        <w:t xml:space="preserve">Multiple safeguards apply. Packages exceeding 0.5% of GDP activate an affirmative parliamentary vote; above 1% of GDP, quarterly legislative review applies. A hard ceiling caps every member's total annual exposure, regular contributions plus emergency calls combined, at 0.25% of GDP, breachable only through explicit parliamentary authorisation by that member. The Domestic Industry Safeguard (Section 7.4A) lets a member adjust specific measures temporarily where implementation threatens a critical sector; the MOAR mechanism (Section 7.4) permits up to three sector-specific, six-month opt-outs per case at a 25% surcharge with automatic re-engagement; and the Implementation Flexibility Menu (Section 5.0I) offers five contribution channels: trade, procurement, financial-lite, regulatory, or a pure stabilisation contribution. The Step-Back/Earn-Back Protocol (Sections 5.4B-5.4H) suspends IMESI-internal benefits by tier rather than imposing penalties, and verified re-engagement earns benefits back on defined timelines.</w:t>
      </w:r>
    </w:p>
    <w:p>
      <w:pPr>
        <w:pStyle w:val="Reference"/>
      </w:pPr>
      <w:r>
        <w:t>Reference: Sections 5.0I, 5.4B-5.4H, 7.4, 7.4A, 8.0A; Financial Snapshot for Ministers</w:t>
      </w:r>
    </w:p>
    <w:p>
      <w:pPr>
        <w:pStyle w:val="Heading2"/>
      </w:pPr>
      <w:r>
        <w:t>8. How does my government participate selectively or even silently?</w:t>
      </w:r>
      <w:bookmarkStart w:name="_Toc9109" w:id="10"/>
      <w:bookmarkEnd w:id="10"/>
    </w:p>
    <w:p>
      <w:r>
        <w:t xml:space="preserve">Selective Participation (Section 3.3B) lets any member choose measure-level involvement in each activation without losing membership status or tier classification, and the v15.0 Meaningful Selective Participation Standard (Section 3.3B, Addendum) sets objective criteria for what counts as meaningful participation. Silent Participation (Section 3.3C) accommodates politically sensitive cases: contributions in financial flows, logistics, and procurement count in internal compliance metrics without public attribution, while trade and regulatory measures, which are inherently public, remain visible. The Minimum Viable Implementation Layer (Section 3.3D) limits binding obligations to Phase 0 plus a pre-notified Phase 1 menu, and the Non-Coordination Implementation Safe Harbour (Section 5.0H) confirms that members fulfil obligations through functionally equivalent national measures, with no identical tariffs or synchronised timing demanded.</w:t>
      </w:r>
    </w:p>
    <w:p>
      <w:pPr>
        <w:pStyle w:val="Reference"/>
      </w:pPr>
      <w:r>
        <w:t>Reference: Sections 3.3B, 3.3C, 3.3D, 5.0H</w:t>
      </w:r>
    </w:p>
    <w:p>
      <w:pPr>
        <w:pStyle w:val="Heading2"/>
      </w:pPr>
      <w:r>
        <w:t>9. How does a member leave IMESI if circumstances change?</w:t>
      </w:r>
      <w:bookmarkStart w:name="_Toc9110" w:id="11"/>
      <w:bookmarkEnd w:id="11"/>
    </w:p>
    <w:p>
      <w:r>
        <w:t xml:space="preserve">Exit is an act, not a fade (Annex 25, Article 1.5): withdrawal constitutes a deliberate, notified, time-bound sovereign decision. Members withdraw on 12 months' written notice to the Depositary with no financial penalty beyond ordinary Fund adjustments (Section 3.7B). v15.0 sharpens the distinctions (Section 3.7B, Third and Fourth Addenda): a member of less than 36 months repays 100% of net benefits received, loses all SFI access immediately, and faces a 5-year re-accession moratorium, closing the join-extract-leave loophole, while a member of 36 months or more stays under the standard 50% repayment cap and 24-month transition. A voluntary withdrawer re-enters after 24 months at Observer status; a member expelled for Non-Existential Misconduct re-enters only through Rehabilitation Review; and a member permanently excluded for Existential Misconduct holds no right of return (Sections 6.11, 1.0E). The State Succession Protocol (Section 3.7C) governs dissolution, merger, or absorption of a member state.</w:t>
      </w:r>
    </w:p>
    <w:p>
      <w:pPr>
        <w:pStyle w:val="Reference"/>
      </w:pPr>
      <w:r>
        <w:t>Reference: Sections 1.0E, 3.7B, 3.7C, 6.11; Annex 25</w:t>
      </w:r>
    </w:p>
    <w:p>
      <w:pPr>
        <w:pStyle w:val="Heading1"/>
      </w:pPr>
      <w:r>
        <w:t>III. HOW ACTIVATION WORKS</w:t>
      </w:r>
      <w:bookmarkStart w:name="_Toc9111" w:id="12"/>
      <w:bookmarkEnd w:id="12"/>
    </w:p>
    <w:p>
      <w:pPr>
        <w:pStyle w:val="Heading2"/>
      </w:pPr>
      <w:r>
        <w:t>10. What triggers an IMESI activation?</w:t>
      </w:r>
      <w:bookmarkStart w:name="_Toc9112" w:id="13"/>
      <w:bookmarkEnd w:id="13"/>
    </w:p>
    <w:p>
      <w:r>
        <w:t xml:space="preserve">Two pathways. Targeted Economic Coercion activates only when all five Article II elements coincide: an economic measure, including a credible threat; documented policy linkage; a sovereign policy target; material economic harm or credible threat; and absence of free choice. The Systemic Disruption pathway (GSD/SND, Sections 1.4-1.4B) activates on quantitative thresholds validated jointly by the IEWC and an independent economic panel, with no policy demand needed. v15.0 adds the Attack-Induced Ratchet Clause (Section 1.7): upon IEWC certification of coercion, systemic disruption, military-economic coercion, internal subversion, or coerced withdrawal, activation thresholds against the certified coercer reduce automatically and cumulatively for 60 months, operating under the Nofade Protocol until the coercer demonstrates 36 months of clean compliance. The Non-Use Guarantee (Section 1.4C) excludes routine policy, and any member challenges a questionable activation before the IAC, which issues a preliminary ruling within 7 days.</w:t>
      </w:r>
    </w:p>
    <w:p>
      <w:pPr>
        <w:pStyle w:val="Reference"/>
      </w:pPr>
      <w:r>
        <w:t>Reference: Article II, Section 2.1; Sections 1.4, 1.4B, 1.4C, 1.7</w:t>
      </w:r>
    </w:p>
    <w:p>
      <w:pPr>
        <w:pStyle w:val="Heading2"/>
      </w:pPr>
      <w:r>
        <w:t>11. How fast does IMESI respond?</w:t>
      </w:r>
      <w:bookmarkStart w:name="_Toc9113" w:id="14"/>
      <w:bookmarkEnd w:id="14"/>
    </w:p>
    <w:p>
      <w:r>
        <w:t xml:space="preserve">Think of three clocks. Hours: Track A automatic stabilisation, liquidity release, swap-line activation, supply-chain rerouting, and market-stability communications, deploys within hours of IEWC preliminary certification under pre-authorised mandates, with no political vote. Days: the Phase 1 CC vote lands within 5-7 days, the Rapid Legitimacy Signal Panel publishes its advisory Legitimacy Note within 72 hours, and Red-Line events move on compressed tracks. Months: deep reviews at 90 days force active decisions, and Phase 2+ measures persist at full strength through each 120-day rolling review point under the Nofade Protocol. v15.0 compresses the extreme cases: the Existential Threat Immediate Protection Protocol (Section 5.14) deploys emergency stabilisation within 2 hours of certification, and the Systemic Coercion override (Section 5.5B, Addendum) activates Phase 2 measures automatically within 24 hours where a systemic economy engages in Category 2 or Category 10 Red-Line conduct.</w:t>
      </w:r>
    </w:p>
    <w:p>
      <w:pPr>
        <w:pStyle w:val="Reference"/>
      </w:pPr>
      <w:r>
        <w:t>Reference: How the Clock Works; Sections 5.0F, 5.14, 5.5B, 5.0K</w:t>
      </w:r>
    </w:p>
    <w:p>
      <w:pPr>
        <w:pStyle w:val="Heading2"/>
      </w:pPr>
      <w:r>
        <w:t>12. What does a Phase 1 response actually look like?</w:t>
      </w:r>
      <w:bookmarkStart w:name="_Toc9114" w:id="15"/>
      <w:bookmarkEnd w:id="15"/>
    </w:p>
    <w:p>
      <w:r>
        <w:t xml:space="preserve">Phase 1 combines trade, procurement, and regulatory stabilisation measures at 15-30% intensity: coordinated tariff adjustments on selected imports from the coercing state, procurement shifts away from coercer-linked suppliers, and enhanced regulatory scrutiny of coercer-linked investments and licences. Financial instruments stay excluded from Phase 1 under the Graduated Use Protocol (Section 8.10I). Each member selects its channels from the Implementation Flexibility Menu (Section 5.0I), Standard Response Templates (Section 5.0J) supply pre-authorised parameter ranges, and the Secretariat issues a Binding WTO Compatibility Certification (Section 5.0L) and notifies the WTO Director-General and the coercing state within 48 hours before activation (Section 5.0K). v15.0 adds the First Activation Accountability Protocol (Section 5.0, Second Addendum): the first activation under the Instrument carries an enhanced Proportionality Certification Memo with humanitarian impact assessment, a 48-hour Legitimacy Note, a public CC session within 14 days, and a 30-day Phase 1 intensity cap absent a 60% vote to escalate earlier.</w:t>
      </w:r>
    </w:p>
    <w:p>
      <w:pPr>
        <w:pStyle w:val="Reference"/>
      </w:pPr>
      <w:r>
        <w:t>Reference: Sections 5.0, 5.0A, 5.0I, 5.0J, 5.0K, 5.0L, 8.10I</w:t>
      </w:r>
    </w:p>
    <w:p>
      <w:pPr>
        <w:pStyle w:val="Heading2"/>
      </w:pPr>
      <w:r>
        <w:t>13. How does escalation work, and what prevents runaway measures?</w:t>
      </w:r>
      <w:bookmarkStart w:name="_Toc9115" w:id="16"/>
      <w:bookmarkEnd w:id="16"/>
    </w:p>
    <w:p>
      <w:r>
        <w:t xml:space="preserve">Every phase transition rests on a separate CC vote: 55% for Phase 1, 60% for Phase 2, 70% for scope expansion, and 75% for measures targeting systemic economies. The Escalation Cascade Safeguard (Section 5.11) limits simultaneous semi-automatic activations; the Tariff Escalation Ceiling (Section 5.3E) imposes a mandatory 48-hour pause and a 14-day negotiation window once cumulative tariff intensity exceeds 60 percentage points; and cumulative stabilisation pressure on any coercing state stays within a 6-10% GDP burden band, with 8% as the presumptive ceiling. v15.0's single calibrated exception is the Systemic Coercion override (Section 5.5B, Addendum): where the IEWC certifies a systemic economy engaged in Category 2, Category 10, or military-nexus Pattern-of-Conduct coercion, Phase 2 activates automatically at 50% intensity on Day 1, scaling to 100% at Day 7, unless a 60% CC vote halts or modifies the escalation, with WTO notification within 6 hours and ex post IAC review within 14 days. Phase 3 always demands the standard 60% vote and human confirmation, and de-escalation remains the default at every point.</w:t>
      </w:r>
    </w:p>
    <w:p>
      <w:pPr>
        <w:pStyle w:val="Reference"/>
      </w:pPr>
      <w:r>
        <w:t>Reference: Sections 5.1B, 5.3E, 5.5B, 5.11; Annex 24</w:t>
      </w:r>
    </w:p>
    <w:p>
      <w:pPr>
        <w:pStyle w:val="Heading2"/>
      </w:pPr>
      <w:r>
        <w:t>14. What is the Nofade Protocol, and why does the Instrument abolish sunset clauses?</w:t>
      </w:r>
      <w:bookmarkStart w:name="_Toc9116" w:id="17"/>
      <w:bookmarkEnd w:id="17"/>
    </w:p>
    <w:p>
      <w:r>
        <w:t xml:space="preserve">The Nofade Rule (Annex 25) replaces every time-based expiry in the Instrument with rolling review horizons, on the principle that a commitment that expires is a commitment that plans to fail. Three operating rules follow. First, renewal by silence: periodic elements such as budgets, certifications, phase measures, and observer mandates renew automatically at each cycle boundary on a clean record, and only a written determination changes them. Second, default continuity: a stalled budget runs at the previous level and a stalled rate at the previous rate; no deadlock suspends or degrades any operation. Third, banked performance: every verified day of compliance accumulates permanently as the factual baseline for later reviews. v15.0's Living Document Protocol (Section 10A.16) extends the same principle to the text itself: the Charter stays stable and changes by treaty amendment only, while the Operational Manual and Technical Reference evolve continuously through published updates subject to member objection, and no update causes any commitment to fade, expire, or decay.</w:t>
      </w:r>
    </w:p>
    <w:p>
      <w:pPr>
        <w:pStyle w:val="Reference"/>
      </w:pPr>
      <w:r>
        <w:t>Reference: Annex 25; Sections 3.7, 5.4A, 10A.16</w:t>
      </w:r>
    </w:p>
    <w:p>
      <w:pPr>
        <w:pStyle w:val="Heading2"/>
      </w:pPr>
      <w:r>
        <w:t>15. How does IMESI respond to universal tariffs applied to all members at once?</w:t>
      </w:r>
      <w:bookmarkStart w:name="_Toc9117" w:id="18"/>
      <w:bookmarkEnd w:id="18"/>
    </w:p>
    <w:p>
      <w:r>
        <w:t xml:space="preserve">Category 7 of the Red-Line Coercion Categories treats a tariff applied to all IMESI members, or a broad subset, causing aggregate harm above 1% of combined IMESI GDP as a Category 2 Red-Line event, triggering the Systemic-Economy Fast-Track (Section 5.1A) regardless of the individual rate. The Baseline Shift Doctrine (Section 1.4E) classifies an across-the-board MFN tariff rise exceeding 200% relative to the prior baseline as Constructive Systemic Disruption, and the Elimination of the MFN Consistency Safe Harbor (Section 1.4D, Addendum) strips Non-Use Guarantee protection from nominally universal tariffs whose affected trade volume originates 80% or more from IMESI members. v15.0 adds Category 10 (Unilateral Tariff Regime Disruption, Section 2.2B) to the automatic-activation list: where a systemic economy commits Category 10 conduct, Phase 2 measures activate automatically within 24 hours under the Section 5.5B override, anchored in the Section 9.1B GATT Article XXI pre-certification.</w:t>
      </w:r>
    </w:p>
    <w:p>
      <w:pPr>
        <w:pStyle w:val="Reference"/>
      </w:pPr>
      <w:r>
        <w:t>Reference: Sections 1.4D, 1.4E, 2.2B, 5.1A, 5.5B, 9.1B</w:t>
      </w:r>
    </w:p>
    <w:p>
      <w:pPr>
        <w:pStyle w:val="Heading1"/>
      </w:pPr>
      <w:r>
        <w:t>IV. LEGAL COMPATIBILITY</w:t>
      </w:r>
      <w:bookmarkStart w:name="_Toc9118" w:id="19"/>
      <w:bookmarkEnd w:id="19"/>
    </w:p>
    <w:p>
      <w:pPr>
        <w:pStyle w:val="Heading2"/>
      </w:pPr>
      <w:r>
        <w:t>16. Is IMESI compatible with WTO obligations?</w:t>
      </w:r>
      <w:bookmarkStart w:name="_Toc9119" w:id="20"/>
      <w:bookmarkEnd w:id="20"/>
    </w:p>
    <w:p>
      <w:r>
        <w:t xml:space="preserve">Yes. IMESI stabilisation measures rest on GATT Article XXI security exceptions and Article XX general exceptions, and v15.0 hard-wires that anchor: the IEWC's certification of an Adverse Economic Security Incident or economic coercion constitutes a formal determination that an emergency in international relations exists under GATT Article XXI(b)(iii) (Section 9.1B), documented in the Proportionality Certification Memo, transmitted to the WTO Secretariat and all members, and cited as the primary legal basis for any challenged measure, carrying deference before any WTO panel consistent with the Russia, Traffic in Transit standard. The Declaration of Purpose and Nature (Section 1.1B) establishes that IMESI functions as a security instrument, not a trade instrument, supplying the foundational argument against any most-favoured-nation or Article XXIV challenge. Every one of the 94 v15.0 provisions underwent individual WTO-compatibility review before adoption, and the review notes record each modification made to bring a proposal into alignment.</w:t>
      </w:r>
    </w:p>
    <w:p>
      <w:pPr>
        <w:pStyle w:val="Reference"/>
      </w:pPr>
      <w:r>
        <w:t>Reference: Sections 1.1B, 9.1B; Annexes 1A, 1A.1; v15.0 Summary, Part IX</w:t>
      </w:r>
    </w:p>
    <w:p>
      <w:pPr>
        <w:pStyle w:val="Heading2"/>
      </w:pPr>
      <w:r>
        <w:t>17. How does v15.0 harden WTO compatibility in practice? [NEW]</w:t>
      </w:r>
      <w:bookmarkStart w:name="_Toc9120" w:id="21"/>
      <w:bookmarkEnd w:id="21"/>
    </w:p>
    <w:p>
      <w:r>
        <w:t xml:space="preserve">Twelve defence amendments build a defence-in-depth record. The Pre-WTO Compatibility Assessment (Section 9.1, Addendum) and the Good Faith Engagement protocol (Section 9.1, Second Addendum) document consultation before and after every activation, including a 6-hour notification to the WTO Director-General for automatic activations. The WTO Coordination and Defence Unit (Section 9.2B), staffed by trade lawyers, trade economists, and former WTO panellists, coordinates the legal defence of IMESI measures in any dispute and maintains a public Legal Precedent Database. Pre-Authorised Security Exception Briefs (Annex 1A.1A) and the WTO Non-Violation Rebuttal Protocol (Section 9.4B) supply ready arguments for common attack vectors, the Affirmation of the Security Exception (Section 9.4C) records the coalition's legal position, and the Open Architecture itself operates as a legal defence (Section 9.6A, Addendum). Where a specific proposal carried WTO exposure, v15.0 modified it before adoption: the ITPM tariff preference activates only as a temporary Article XXI security measure, the Digital Market Access Pass operates as an open GATS Article VII mutual recognition arrangement, and every compensation and insurance facility stays decoupled from export performance and import substitution under the SCM Agreement.</w:t>
      </w:r>
    </w:p>
    <w:p>
      <w:pPr>
        <w:pStyle w:val="Reference"/>
      </w:pPr>
      <w:r>
        <w:t>Reference: Sections 9.1, 9.1B, 9.2B, 9.4B, 9.4C, 9.6A; Annex 1A.1A; v15.0 WTO-Compatibility Review Notes</w:t>
      </w:r>
    </w:p>
    <w:p>
      <w:pPr>
        <w:pStyle w:val="Heading2"/>
      </w:pPr>
      <w:r>
        <w:t>18. Does membership conflict with existing FTAs or bilateral investment treaties?</w:t>
      </w:r>
      <w:bookmarkStart w:name="_Toc9121" w:id="22"/>
      <w:bookmarkEnd w:id="22"/>
    </w:p>
    <w:p>
      <w:r>
        <w:t xml:space="preserve">No. IMESI is explicitly non-exclusive. The Bilateral Deal Compatibility provision (Section 1.1A, Addendum) confirms that IMESI operates in full compatibility with all existing bilateral and regional trade agreements, and membership entails no modification, withdrawal, or limitation of any existing arrangement. The No Exclusivity Guarantee (Section 9.6A, Addendum) confirms that no member chooses between IMESI and any other coalition, regional agreement, or economic partnership. The FTA Coordination Protocol (Section 9.4A) and the Investment Treaty Coordination Protocol (Annex 1B.1) manage interactions in detail, the Open Architecture clause (Section 9.6A) lets non-members join selected modules without full membership, and the v15.0 WTO Plurilateral Notification (Annex 1A, Second Addendum) places the coalition's status on the multilateral record.</w:t>
      </w:r>
    </w:p>
    <w:p>
      <w:pPr>
        <w:pStyle w:val="Reference"/>
      </w:pPr>
      <w:r>
        <w:t>Reference: Sections 1.1A, 9.4A, 9.6A; Annexes 1A, 1B.1</w:t>
      </w:r>
    </w:p>
    <w:p>
      <w:pPr>
        <w:pStyle w:val="Heading2"/>
      </w:pPr>
      <w:r>
        <w:t>19. How does IMESI interact with existing sanctions regimes?</w:t>
      </w:r>
      <w:bookmarkStart w:name="_Toc9122" w:id="23"/>
      <w:bookmarkEnd w:id="23"/>
    </w:p>
    <w:p>
      <w:r>
        <w:t xml:space="preserve">IMESI demands no lifting, aligning, or modifying of existing national or alliance sanctions and operates alongside them as a complementary tool. IMESI intelligence and case analysis inform members' national sanctions decisions but never override them; members implement IMESI stabilisation measures and maintain independent sanctions simultaneously. Members whose sanctions obligations conflict with specific IMESI measures invoke Selective Participation (Section 3.3B) or the Domestic Industry Safeguard (Section 7.4A) without penalty. The Anti-Sanctions Protection (Article III, Addendum) protects members and prospective members sanctioned by third states for joining or supporting IMESI. IMESI is economic insurance, not a sanctions-coordination body.</w:t>
      </w:r>
    </w:p>
    <w:p>
      <w:pPr>
        <w:pStyle w:val="Reference"/>
      </w:pPr>
      <w:r>
        <w:t>Reference: Sections 3.3B, 7.4A; Article III (Addendum); Part C</w:t>
      </w:r>
    </w:p>
    <w:p>
      <w:pPr>
        <w:pStyle w:val="Heading1"/>
      </w:pPr>
      <w:r>
        <w:t>V. SAFEGUARDS AGAINST MISUSE</w:t>
      </w:r>
      <w:bookmarkStart w:name="_Toc9123" w:id="24"/>
      <w:bookmarkEnd w:id="24"/>
    </w:p>
    <w:p>
      <w:pPr>
        <w:pStyle w:val="Heading2"/>
      </w:pPr>
      <w:r>
        <w:t>20. What stops IMESI activation against routine trade policy?</w:t>
      </w:r>
      <w:bookmarkStart w:name="_Toc9124" w:id="25"/>
      <w:bookmarkEnd w:id="25"/>
    </w:p>
    <w:p>
      <w:r>
        <w:t xml:space="preserve">The Non-Use Guarantee (Section 1.4C) excludes standard MFN-basis tariff adjustments, monetary policy decisions by independent central banks, fiscal austerity or stimulus measures, and uniformly applied regulatory changes from both coercion and systemic-disruption classification. GSD/SND certification demands demonstrated systemic destabilisation beyond defined quantitative thresholds plus independent panel confirmation (Section 1.4D), and any member challenges an activation as falling within the guarantee by petition to the IAC, which issues a preliminary ruling within 7 days. The Regulatory Sovereignty Firewall (Section 1.0D) keeps IMESI from opining on the substantive desirability of members' regulatory choices. One calibrated exception applies: nominally universal measures whose effects concentrate on IMESI members lose the guarantee (Sections 1.4D, 1.4E), so the shield protects genuine routine policy, not disguise.</w:t>
      </w:r>
    </w:p>
    <w:p>
      <w:pPr>
        <w:pStyle w:val="Reference"/>
      </w:pPr>
      <w:r>
        <w:t>Reference: Sections 1.0D, 1.4C, 1.4D, 1.4E</w:t>
      </w:r>
    </w:p>
    <w:p>
      <w:pPr>
        <w:pStyle w:val="Heading2"/>
      </w:pPr>
      <w:r>
        <w:t>21. What if a member files a bad-faith coercion claim?</w:t>
      </w:r>
      <w:bookmarkStart w:name="_Toc9125" w:id="26"/>
      <w:bookmarkEnd w:id="26"/>
    </w:p>
    <w:p>
      <w:r>
        <w:t xml:space="preserve">Misuse Liability (Section 6.12) imposes automatic consequences where the IAC determines that a certification or AESI claim originated in bad faith or on materially misleading evidence: six-month suspension of CC voting rights, an additional 0.05% of GDP contribution to the Misuse Compensation Pool distributed to states that incurred costs from the wrongful activation, and publication of the finding on the Dashboard. A second bad-faith finding within 5 years triggers automatic tier downgrade and a 12-month voting suspension. The evidentiary bar protects good-faith participants: the IAC applies a clear-and-convincing standard, and honest analytical error or legitimate policy disagreement never qualifies. v15.0 adds the Abuse of Process Ratchet (Section 6.12I), which tightens consequences for serial misuse, and the Challenge Discipline provision (Section 5.1B, Second Addendum), which penalises frivolous escalation challenges.</w:t>
      </w:r>
    </w:p>
    <w:p>
      <w:pPr>
        <w:pStyle w:val="Reference"/>
      </w:pPr>
      <w:r>
        <w:t>Reference: Sections 2.15, 5.1B, 6.12, 6.12I</w:t>
      </w:r>
    </w:p>
    <w:p>
      <w:pPr>
        <w:pStyle w:val="Heading2"/>
      </w:pPr>
      <w:r>
        <w:t>22. Who certifies coercion, and are they independent?</w:t>
      </w:r>
      <w:bookmarkStart w:name="_Toc9126" w:id="27"/>
      <w:bookmarkEnd w:id="27"/>
    </w:p>
    <w:p>
      <w:r>
        <w:t xml:space="preserve">The IEWC certifies through a 7-of-10 majority: 5 core rotating members on 24-month terms, 3 affected-member seats whose holders recuse from voting when they are the coercion subject, and 2 independent experts appointed by the IAC rather than by member governments, with a 24-month cooling-off from government employment after service. At least 2 IEWC seats and 2 IAC seats stay reserved for small-state members, and no more than one third of either body comes from any single regional arrangement (Section 1.6B). v15.0 deepens independence: the Standing Expert Rotation and Independence Protocol (Section 4.2AG) prevents any individual from becoming indispensable, captured, or fatigued; the Intelligence Integrity Canary Protocol (Section 4.7F) exposes planted intelligence; the Standing Evidentiary Challenge Panel (Section 2.15G) gives certifications a standing independent check; and the Integrity and Anti-Corruption Protocol (Section 4.7) subjects every official to verified beneficial-ownership disclosure.</w:t>
      </w:r>
    </w:p>
    <w:p>
      <w:pPr>
        <w:pStyle w:val="Reference"/>
      </w:pPr>
      <w:r>
        <w:t>Reference: Sections 1.6B, 2.15G, 4.2AG, 4.7, 4.7F</w:t>
      </w:r>
    </w:p>
    <w:p>
      <w:pPr>
        <w:pStyle w:val="Heading2"/>
      </w:pPr>
      <w:r>
        <w:t>23. What prevents the biggest economies from dominating?</w:t>
      </w:r>
      <w:bookmarkStart w:name="_Toc9127" w:id="28"/>
      <w:bookmarkEnd w:id="28"/>
    </w:p>
    <w:p>
      <w:r>
        <w:t xml:space="preserve">Supermajority thresholds of 55-75% mean no single economy controls outcomes. v15.0's Systemic Decision Golden Share (Section 4.7D) adds a structural lock: decisions that certify a systemic economy as a coercer, authorise Phase 3 measures against a systemic economy, disburse more than 5% of the Fund, amend a Core provision, or impose anti-fragmentation penalties on a systemic economy receive affirmative votes from at least 60% of Enhanced Solidarity members, 50% of Full members, and 50% of the Small State Collective Caucus, automatically and non-waivably. The Caucus (Section 4.1A) casts a block vote on Fund architecture, burden-sharing, and accession rules calibrated to equal at least the voting weight of one systemic-economy member; the Development Balance Mechanism (Section 4.1D) grants LDC and developing members 1.5x voting weight on measures affecting more than 1% of their GDP; and institutional infrastructure spreads across a seven-node distributed architecture with automatic failover, so no host state controls operations (Sections 4.6D, 4.6F).</w:t>
      </w:r>
    </w:p>
    <w:p>
      <w:pPr>
        <w:pStyle w:val="Reference"/>
      </w:pPr>
      <w:r>
        <w:t>Reference: Sections 4.1A, 4.1D, 4.6D, 4.6F, 4.7D</w:t>
      </w:r>
    </w:p>
    <w:p>
      <w:pPr>
        <w:pStyle w:val="Heading2"/>
      </w:pPr>
      <w:r>
        <w:t>24. Who supervises IMESI's automated triggers?</w:t>
      </w:r>
      <w:bookmarkStart w:name="_Toc9128" w:id="29"/>
      <w:bookmarkEnd w:id="29"/>
    </w:p>
    <w:p>
      <w:r>
        <w:t xml:space="preserve">A Human-on-the-Loop oversight architecture governs every automated trigger (Section 4.5A): trigger verification initiates Phase 1 stabilisation measures on a short, time-boxed countdown, while the Supermajority Emergency Abort (Section 4.5B) lets a recorded two-thirds vote execute an immediate pause within a 24-hour verification window where a trigger stems from a reporting error or verified systemic misunderstanding, and the Evidentiary Data-Auditing Safeguard (Section 8.18C) suspends automated triggers where parallel data feeds diverge by more than 5%. Phase 2 and above always demand explicit human confirmation, and financial instruments demand a separate 60% CC vote (Section 8.10I). v15.0's automatic activations carry the same discipline: the Section 5.5B override deploys only upon the Section 9.1B pre-certification, climbs a documented 7-day intensity ladder that a 60% vote halts at any point, and undergoes ex post IAC review within 14 days, and the Financial Architecture Resilience Protocol (Section 8.10C, Addendum) confines automatic financial activation to defensive liquidity and settlement functions under the GATS prudential carve-out.</w:t>
      </w:r>
    </w:p>
    <w:p>
      <w:pPr>
        <w:pStyle w:val="Reference"/>
      </w:pPr>
      <w:r>
        <w:t>Reference: Sections 4.5A, 4.5B, 5.5B, 8.10C, 8.10I, 8.18C</w:t>
      </w:r>
    </w:p>
    <w:p>
      <w:pPr>
        <w:pStyle w:val="Heading1"/>
      </w:pPr>
      <w:r>
        <w:t>VI. FINANCIAL OBLIGATIONS</w:t>
      </w:r>
      <w:bookmarkStart w:name="_Toc9129" w:id="30"/>
      <w:bookmarkEnd w:id="30"/>
    </w:p>
    <w:p>
      <w:pPr>
        <w:pStyle w:val="Heading2"/>
      </w:pPr>
      <w:r>
        <w:t>25. What does membership cost?</w:t>
      </w:r>
      <w:bookmarkStart w:name="_Toc9130" w:id="31"/>
      <w:bookmarkEnd w:id="31"/>
    </w:p>
    <w:p>
      <w:r>
        <w:t xml:space="preserve">Contributions are GDP-proportional: large advanced economies (GDP above USD 2 trillion) approximately 0.06-0.08% of GDP per year, mid-size economies (USD 200 billion to 2 trillion) approximately 0.03-0.05%, small states (below USD 200 billion) approximately 0.01-0.02%, and LDCs and micro-states under 0.01%. A hard annual cap holds every member's total exposure, regular contributions plus emergency calls combined, at 0.25% of GDP, and breaching the cap demands explicit parliamentary authorisation by that member. v15.0 adds two dedicated contribution lines: Tier 2+ members contribute 0.02% of GDP annually to the Infrastructure Investment Fund (Section 8.28C) and 0.01% of GDP annually to the Liquidity Backstop Guarantee (Section 8.20E). The Burden-Sharing Hardship Exemption (Section 8.4A) grants coercion-damaged members automatic 12-month relief, and Nofade default continuity keeps core operations funded at previous levels through any budget stall.</w:t>
      </w:r>
    </w:p>
    <w:p>
      <w:pPr>
        <w:pStyle w:val="Reference"/>
      </w:pPr>
      <w:r>
        <w:t>Reference: Financial Snapshot for Ministers; Sections 8.0A, 8.4A, 8.20E, 8.28C; Annex 8A</w:t>
      </w:r>
    </w:p>
    <w:p>
      <w:pPr>
        <w:pStyle w:val="Heading2"/>
      </w:pPr>
      <w:r>
        <w:t>26. What is the target fund size?</w:t>
      </w:r>
      <w:bookmarkStart w:name="_Toc9131" w:id="32"/>
      <w:bookmarkEnd w:id="32"/>
    </w:p>
    <w:p>
      <w:r>
        <w:t xml:space="preserve">For a 12-member founding coalition with approximately USD 45 trillion combined GDP, annual aggregate contributions run approximately USD 2.2-4.5 billion, reaching a 5-year Fund target of approximately USD 11-22 billion (Annex 8A), with the SFI liquidity backstop holding a minimum of USD 15 billion in immediately available reserves. No single activation draws more than 15% of total Fund capacity, or 0.15% of any individual member's GDP, absent a 75% CC supermajority, so no single crisis drains the system. v15.0 ring-fences dedicated sub-facilities within that architecture: the Military Insurance Fund at 5% of total Fund size (Section 8.34), the Bilateral Deal Insurance Facility at 3% (Section 6.12G), and the First-Response Compensation Fund at 2% (Section 8.18D), each replenished annually through standard contributions.</w:t>
      </w:r>
    </w:p>
    <w:p>
      <w:pPr>
        <w:pStyle w:val="Reference"/>
      </w:pPr>
      <w:r>
        <w:t>Reference: Annex 8A; Sections 6.12G, 8.18D, 8.34</w:t>
      </w:r>
    </w:p>
    <w:p>
      <w:pPr>
        <w:pStyle w:val="Heading2"/>
      </w:pPr>
      <w:r>
        <w:t>27. What if the Fund runs low during a crisis?</w:t>
      </w:r>
      <w:bookmarkStart w:name="_Toc9132" w:id="33"/>
      <w:bookmarkEnd w:id="33"/>
    </w:p>
    <w:p>
      <w:r>
        <w:t xml:space="preserve">Fund Solvency Safeguards (Section 8.4D) impose a 25% liquidity floor and graduated responses: below 30% liquid reserves, a 55% CC vote triggers an emergency contribution call; below 20%, an automatic emergency call executes without a vote and the Director-General approaches the IMF and BIS under pre-negotiated credit lines; below 5%, the insolvency protocol freezes new allocations and convenes the CC within 24 hours. The Multi-Crisis Stress Envelope (Section 8.4E) governs concurrent crises, with allocations prioritising humanitarian and small-state cases first. v15.0's Encirclement Doctrine (Section 5.16) raises the fixed maximum draw from 0.15% to 0.25% of GDP per 12-month period where three or more members face simultaneous or sequential military coercion from the same coercing state, with humanitarian corridor and civilian protection cases first in line. Coalition Capacity Insurance (Section 8.30) adds a market-based backstop, and the 0.25% of GDP annual exposure cap per member holds throughout.</w:t>
      </w:r>
    </w:p>
    <w:p>
      <w:pPr>
        <w:pStyle w:val="Reference"/>
      </w:pPr>
      <w:r>
        <w:t>Reference: Sections 5.16, 8.4D, 8.4E, 8.30</w:t>
      </w:r>
    </w:p>
    <w:p>
      <w:pPr>
        <w:pStyle w:val="Heading1"/>
      </w:pPr>
      <w:r>
        <w:t>VII. SMALL STATES AND DEVELOPING COUNTRIES</w:t>
      </w:r>
      <w:bookmarkStart w:name="_Toc9133" w:id="34"/>
      <w:bookmarkEnd w:id="34"/>
    </w:p>
    <w:p>
      <w:pPr>
        <w:pStyle w:val="Heading2"/>
      </w:pPr>
      <w:r>
        <w:t>28. Why does a small state join IMESI?</w:t>
      </w:r>
      <w:bookmarkStart w:name="_Toc9134" w:id="35"/>
      <w:bookmarkEnd w:id="35"/>
    </w:p>
    <w:p>
      <w:r>
        <w:t xml:space="preserve">Small states face the highest coercion vulnerability and the least capacity to resist alone. IMESI provides 17 dedicated small-state protections, including the Small States Collective Caucus block vote weighted to match a systemic economy (Section 4.1A), a 20% hard-reserve of the Fund for small-state cases (Section 8.1A), the Small-State First Activation Presumption (Section 5.0B), the Non-Abandonment Clause (Section 5.0C), Preferential Aggregation combining scattered pressure on 3 or more small states into one consolidated case (Section 2.1C), the Legal and Negotiation Support Unit (Section 4.2S), and reserved IEWC and IAC seats (Section 1.6B). v15.0 adds teeth: the Golden Share requirement (Section 4.7D) gives the Caucus a structural voice in every systemic decision; the First-Response Compensation Fund (Section 8.18D) pays automatic compensation within 7 days of certification even where the CC delays or blocks activation; and the Solidarity Bonus Amplifier (Section 8.36) rewards members that maintain full participation through an attack with a 10% allocation bonus, cumulative to 30%.</w:t>
      </w:r>
    </w:p>
    <w:p>
      <w:pPr>
        <w:pStyle w:val="Reference"/>
      </w:pPr>
      <w:r>
        <w:t>Reference: Sections 1.6B, 2.1C, 4.1A, 4.7D, 5.0B, 5.0C, 8.1A, 8.18D, 8.36</w:t>
      </w:r>
    </w:p>
    <w:p>
      <w:pPr>
        <w:pStyle w:val="Heading2"/>
      </w:pPr>
      <w:r>
        <w:t>29. How does a micro-state participate without binding obligations?</w:t>
      </w:r>
      <w:bookmarkStart w:name="_Toc9135" w:id="36"/>
      <w:bookmarkEnd w:id="36"/>
    </w:p>
    <w:p>
      <w:r>
        <w:t xml:space="preserve">The Micro-State Participation Framework (Annex 22A), open to members below USD 10 billion GDP or 500,000 population, lets micro-states substitute symbolic or low-cost measures for heavy trade measures, including targeted visa restrictions on coercer-state officials, regulatory gestures, diplomatic signalling, and information-sharing contributions, assessed at 100% compliance equivalence for burden-sharing purposes where the micro-state implements at least two substitution categories per case. The Founding Observer Track (Section 3.2C) offers zero-risk entry with no financial commitments. v15.0's Observer+ Graduation and Exit Accountability rule (Section 3.2C, Second Addendum) makes Observer+ a true trial period rather than a permanent free ride: a member that fails to graduate to Tier 1 within 24 months loses Observer+ benefits and faces a 10-year moratorium on re-application, while graduates keep their banked performance. During crises, the Tariff Refugee Window admits states facing universal tariff disruption at Observer+ level for 90 days with zero obligations, full SFI humanitarian access, and intelligence sharing.</w:t>
      </w:r>
    </w:p>
    <w:p>
      <w:pPr>
        <w:pStyle w:val="Reference"/>
      </w:pPr>
      <w:r>
        <w:t>Reference: Annex 22A; Sections 3.1A, 3.2C</w:t>
      </w:r>
    </w:p>
    <w:p>
      <w:pPr>
        <w:pStyle w:val="Heading1"/>
      </w:pPr>
      <w:r>
        <w:t>VIII. PRIVATE SECTOR AND MARKET IMPACT</w:t>
      </w:r>
      <w:bookmarkStart w:name="_Toc9136" w:id="37"/>
      <w:bookmarkEnd w:id="37"/>
    </w:p>
    <w:p>
      <w:pPr>
        <w:pStyle w:val="Heading2"/>
      </w:pPr>
      <w:r>
        <w:t>30. How does IMESI affect private businesses?</w:t>
      </w:r>
      <w:bookmarkStart w:name="_Toc9137" w:id="38"/>
      <w:bookmarkEnd w:id="38"/>
    </w:p>
    <w:p>
      <w:r>
        <w:t xml:space="preserve">Four principles govern all firm obligations (Section 9.8B): proportionality, predictability, due process, and a non-punitive stance for firms complying in good faith with domestic law in a coercer state's jurisdiction. The incentive stack now spans two versions. v14.0 delivers the binding 24-hour customs clearance guarantee, the 5% certified-supplier procurement preference, 30-day fast-track arbitration with Compliance Credits, the 25% trade-credit reinsurance premium rebate during active cases, and the Business Continuity Safe Harbor for firms facing retaliation for complying with IMESI measures. v15.0 adds the Digital Market Access Pass (Section 9.8D) with 30-day regulatory approval for certified digital service providers, the Skills Passport (Section 3.18A) for certified professionals, and the Corporate Integrity Pledge (Section 9.8E), whose signatories receive a 5% preference inside the Joint Procurement Consortium on identical terms for certified firms of every member origin, consistent with GPA Article V.</w:t>
      </w:r>
    </w:p>
    <w:p>
      <w:pPr>
        <w:pStyle w:val="Reference"/>
      </w:pPr>
      <w:r>
        <w:t>Reference: Sections 3.13, 3.18A, 8.14, 8.33, 9.8, 9.8A, 9.8B, 9.8D, 9.8E</w:t>
      </w:r>
    </w:p>
    <w:p>
      <w:pPr>
        <w:pStyle w:val="Heading2"/>
      </w:pPr>
      <w:r>
        <w:t>31. How does IMESI affect banks and financial institutions?</w:t>
      </w:r>
      <w:bookmarkStart w:name="_Toc9138" w:id="39"/>
      <w:bookmarkEnd w:id="39"/>
    </w:p>
    <w:p>
      <w:r>
        <w:t xml:space="preserve">Phase 0 and Phase 1 impose zero new obligations on banks; financial instruments stay excluded from Phase 1 entirely, and financial measures activate only at Phase 2 or above through a separate 60% CC vote distinct from the general Phase 2 authorisation (Section 8.10I). The Sanctions-Proof Letter of Credit Guarantee (Section 8.10, Second Addendum) provides a 100% SFI guarantee on trade finance Letters of Credit issued by IMESI clearing banks, enforceable even where the coercing state blocks settlement, funded by a 0.5-1% premium into a self-sustaining reserve under the GATS prudential carve-out. v15.0 adds two resilience layers: the Financial Architecture Resilience Protocol (Section 8.10C, Addendum) activates the Standalone Financial Emergency Protocol automatically where a coercer's pressure on the IMF or BIS delays a member's access beyond 48 hours, confined to defensive liquidity and settlement functions; and SFI Asset Protection (Section 8.10K) distributes nodes so no host state exerts leverage over the infrastructure. Central bank swap-line coordination remains defensive liquidity available at all phases (Section 4.6H).</w:t>
      </w:r>
    </w:p>
    <w:p>
      <w:pPr>
        <w:pStyle w:val="Reference"/>
      </w:pPr>
      <w:r>
        <w:t>Reference: Sections 4.6H, 8.10, 8.10C, 8.10I, 8.10K</w:t>
      </w:r>
    </w:p>
    <w:p>
      <w:pPr>
        <w:pStyle w:val="Heading1"/>
      </w:pPr>
      <w:r>
        <w:t>IX. COALITION INTEGRITY</w:t>
      </w:r>
      <w:bookmarkStart w:name="_Toc9139" w:id="40"/>
      <w:bookmarkEnd w:id="40"/>
    </w:p>
    <w:p>
      <w:pPr>
        <w:pStyle w:val="Heading2"/>
      </w:pPr>
      <w:r>
        <w:t>32. What if two members disagree on whether a third state is coercing?</w:t>
      </w:r>
      <w:bookmarkStart w:name="_Toc9140" w:id="41"/>
      <w:bookmarkEnd w:id="41"/>
    </w:p>
    <w:p>
      <w:r>
        <w:t xml:space="preserve">Intra-coalition disagreements route to expedited dispute resolution during active cases (Section 6.9A): a three-jurist IAC panel issues a preliminary ruling within 21 days, binding unless appealed within 7 days, with the appeal decided within 14 days, a total timeline of up to 42 days. Where the parties decline the expedited track, the dispute suspends for the duration of the active case plus 30 days while both members maintain full participation. A Partition option lets the objecting member carve the disputed sector out of its contribution through a sector-specific MOAR invocation, surcharge-free if maintained under 6 months, while non-disputed measures remain binding. Disagreement never freezes stabilisation: Track A proceeds under pre-authorised mandates, and the objecting member invokes Selective Participation (Section 3.3B) to abstain from specific measures. Proceedings continue even where a party declines to participate (Section 6.9B).</w:t>
      </w:r>
    </w:p>
    <w:p>
      <w:pPr>
        <w:pStyle w:val="Reference"/>
      </w:pPr>
      <w:r>
        <w:t>Reference: Sections 3.3B, 6.9A, 6.9B</w:t>
      </w:r>
    </w:p>
    <w:p>
      <w:pPr>
        <w:pStyle w:val="Heading2"/>
      </w:pPr>
      <w:r>
        <w:t>33. What if the coercing state is also an IMESI member?</w:t>
      </w:r>
      <w:bookmarkStart w:name="_Toc9141" w:id="42"/>
      <w:bookmarkEnd w:id="42"/>
    </w:p>
    <w:p>
      <w:r>
        <w:t xml:space="preserve">The Universal Applicability Principle (Section 2.0A) applies identical evidentiary standards, procedural safeguards, and proportionality tests to intra-member coercion, and the accused member recuses automatically from the IEWC. Where the accused member is a systemic economy, Symmetric Restraint (Section 7.5) demands a three-quarters CC majority plus concurrence of the IEWC and an Independent Economic Review Panel, and the v15.0 Golden Share requirement (Section 4.7D) adds cross-tier consent from the Enhanced Solidarity members, the Full members, and the Small State Collective Caucus for any certification of a systemic economy. The Ratchet Clause (Section 1.7) applies to members exactly as to non-members: a member certified as a coercer faces a 25% Fund contribution increase and a 25% voting-rights reduction on Article II and Article V decisions for 60 months. This symmetry preserves IMESI's credibility as a rules-based system that disciplines conduct by its own members under the same standards it applies outward.</w:t>
      </w:r>
    </w:p>
    <w:p>
      <w:pPr>
        <w:pStyle w:val="Reference"/>
      </w:pPr>
      <w:r>
        <w:t>Reference: Sections 1.7, 2.0A, 4.7D, 7.5, 8.10I</w:t>
      </w:r>
    </w:p>
    <w:p>
      <w:pPr>
        <w:pStyle w:val="Heading2"/>
      </w:pPr>
      <w:r>
        <w:t>34. What if a major member tries to undermine IMESI from within?</w:t>
      </w:r>
      <w:bookmarkStart w:name="_Toc9142" w:id="43"/>
      <w:bookmarkEnd w:id="43"/>
    </w:p>
    <w:p>
      <w:r>
        <w:t xml:space="preserve">Layered institutional resilience provisions address internal subversion. The Member Misconduct protocol (Section 6.11) responds within 72 hours to documented intelligence leakage, measure sabotage, or repeated anti-fragmentation violations through temporary suspension of tier status, voting rights, Fund access, and SFI priority rates, and v15.0 harmonises the endgame: substantiated Non-Existential Misconduct brings expulsion with a Rehabilitation Review pathway after 36 months, while Existential Misconduct brings permanent exclusion under a heightened evidentiary standard, the single carve-out to the no-permanent-exclusion guarantee (Sections 6.11, 1.0E). The Integrity and Anti-Corruption Protocol (Section 4.7) mandates beneficial-ownership disclosure for every official; the Whistleblower Fortress Protocol (Section 4.7B) protects and rewards exposure; Voting Integrity and Anti-Coercion Verification (Section 4.7C) nullifies bribed votes automatically; permanent revolving-door restrictions (Section 4.7A, Addendum) block departing officials from monetising access; and the Solidarity Audit Protocol (Section 4.7G) detects induced non-compliance and silent sabotage continuously. The seven-node distributed architecture, the Quiet Absentee Protocol (Section 4.1C, Addendum), and Nofade default continuity keep the institution running through manufactured deadlock.</w:t>
      </w:r>
    </w:p>
    <w:p>
      <w:pPr>
        <w:pStyle w:val="Reference"/>
      </w:pPr>
      <w:r>
        <w:t>Reference: Sections 1.0E, 4.1C, 4.7, 4.7A, 4.7B, 4.7C, 4.7G, 6.11; Annex 25</w:t>
      </w:r>
    </w:p>
    <w:p>
      <w:pPr>
        <w:pStyle w:val="Heading1"/>
      </w:pPr>
      <w:r>
        <w:t>X. FOUNDING THE COALITION</w:t>
      </w:r>
      <w:bookmarkStart w:name="_Toc9143" w:id="44"/>
      <w:bookmarkEnd w:id="44"/>
    </w:p>
    <w:p>
      <w:pPr>
        <w:pStyle w:val="Heading2"/>
      </w:pPr>
      <w:r>
        <w:t>35. What protects early joiners from retaliation before IMESI reaches full operation?</w:t>
      </w:r>
      <w:bookmarkStart w:name="_Toc9144" w:id="45"/>
      <w:bookmarkEnd w:id="45"/>
    </w:p>
    <w:p>
      <w:r>
        <w:t xml:space="preserve">The pre-formation package protects joiners from day one: the Observer Status Guarantee (Section 3.2C, Addendum) grants any state coerced for applying automatic Emergency Protection Facility access from the application date; the Pre-Formation Tariff Shield (Section 8.1A, Addendum) funds immediate liquidity and compensation where tariffs above 5% hit a founding member within 90 days of signing the Founding Pledge; and the Retroactive Protection Clause (Section 3.7, Addendum) extends coverage to measures imposed between pledge and ratification. v15.0 adds the Strategic Buffer Accession Fast-Track (Section 3.15B) for frontline states and the Phoenix Protocol (Section 10A.7): upon any certified attack, the Secretariat immediately extends Observer+ offers to all WTO members, halves accession timelines for new applicants, and surges the Decoupling Acceleration Reserve against the certified coercer. The Instrument enters into force upon ratification by at least 6 member states collectively representing at least 15% of global GDP across at least 3 geographic regions (Section 10A.2B, Addendum), with the Depositary designated under Section 4.8.</w:t>
      </w:r>
    </w:p>
    <w:p>
      <w:pPr>
        <w:pStyle w:val="Reference"/>
      </w:pPr>
      <w:r>
        <w:t>Reference: Sections 3.2C, 3.7, 3.15B, 4.8, 8.1A, 10A.2B, 10A.7; v12.0 Additions Summary, Part III</w:t>
      </w:r>
    </w:p>
    <w:p>
      <w:pPr>
        <w:pBdr>
          <w:top w:val="single" w:color="B0BEC5" w:sz="4" w:space="8"/>
        </w:pBdr>
        <w:spacing w:before="360"/>
      </w:pPr>
      <w:r>
        <w:rPr>
          <w:rFonts w:ascii="Georgia" w:hAnsi="Georgia"/>
          <w:i/>
          <w:color w:val="546E7A"/>
          <w:sz w:val="18"/>
        </w:rPr>
        <w:t>This FAQ summarises IMESI v15.0 (August 2026). The full framework text, including the v15.0 Red Team, Defector, Integrity, Military, Anti-Fragility, WTO-Defence, and Gap-Closing Summary and Annex 25 (The Nofade Rule, Protocol for Continuous Effect), circulates openly for detailed review.</w:t>
      </w:r>
    </w:p>
    <w:sectPr>
      <w:headerReference w:type="default" r:id="Rbb6c99f3e8684f86"/>
      <w:footerReference w:type="default" r:id="R5aaf78a148ea4915"/>
      <w:type w:val="nextPage"/>
      <w:pgSz w:w="11906" w:h="16838"/>
      <w:pgMar w:top="1134" w:right="1134" w:bottom="1134" w:left="1134" w:header="720" w:footer="720" w:gutter="0"/>
      <w:pgBorders>
        <w:top w:val="double" w:color="37474F" w:sz="6" w:space="28"/>
        <w:left w:val="double" w:color="37474F" w:sz="6" w:space="28"/>
        <w:bottom w:val="double" w:color="37474F" w:sz="6" w:space="28"/>
        <w:right w:val="double" w:color="37474F" w:sz="6" w:space="28"/>
      </w:pgBorders>
    </w:sectPr>
  </w:body>
</w:document>
</file>

<file path=word/footer1.xml><?xml version="1.0" encoding="utf-8"?>
<w:ftr xmlns:w="http://schemas.openxmlformats.org/wordprocessingml/2006/main">
  <w:p>
    <w:pPr>
      <w:pBdr>
        <w:top w:val="single" w:color="B0BEC5" w:sz="2" w:space="4"/>
      </w:pBdr>
      <w:jc w:val="center"/>
    </w:pPr>
    <w:r>
      <w:rPr>
        <w:rFonts w:ascii="Calibri" w:hAnsi="Calibri"/>
        <w:color w:val="78909C"/>
        <w:sz w:val="18"/>
      </w:rPr>
      <w:t xml:space="preserve">Page </w:t>
    </w:r>
    <w:r>
      <w:rPr>
        <w:rFonts w:ascii="Calibri" w:hAnsi="Calibri"/>
        <w:color w:val="78909C"/>
        <w:sz w:val="18"/>
      </w:rPr>
      <w:fldChar w:fldCharType="begin"/>
    </w:r>
    <w:r>
      <w:rPr>
        <w:rFonts w:ascii="Calibri" w:hAnsi="Calibri"/>
        <w:color w:val="78909C"/>
        <w:sz w:val="18"/>
      </w:rPr>
      <w:instrText xml:space="preserve"> PAGE </w:instrText>
    </w:r>
    <w:r>
      <w:rPr>
        <w:rFonts w:ascii="Calibri" w:hAnsi="Calibri"/>
        <w:color w:val="78909C"/>
        <w:sz w:val="18"/>
      </w:rPr>
      <w:fldChar w:fldCharType="separate"/>
    </w:r>
    <w:r>
      <w:rPr>
        <w:rFonts w:ascii="Calibri" w:hAnsi="Calibri"/>
        <w:color w:val="78909C"/>
        <w:sz w:val="18"/>
      </w:rPr>
      <w:t>2</w:t>
    </w:r>
    <w:r>
      <w:rPr>
        <w:rFonts w:ascii="Calibri" w:hAnsi="Calibri"/>
        <w:color w:val="78909C"/>
        <w:sz w:val="18"/>
      </w:rPr>
      <w:fldChar w:fldCharType="end"/>
    </w:r>
  </w:p>
</w:ftr>
</file>

<file path=word/header1.xml><?xml version="1.0" encoding="utf-8"?>
<w:hdr xmlns:w="http://schemas.openxmlformats.org/wordprocessingml/2006/main">
  <w:p>
    <w:pPr>
      <w:pBdr>
        <w:bottom w:val="single" w:color="B0BEC5" w:sz="2" w:space="4"/>
      </w:pBdr>
      <w:jc w:val="right"/>
    </w:pPr>
    <w:r>
      <w:rPr>
        <w:rFonts w:ascii="Calibri" w:hAnsi="Calibri"/>
        <w:color w:val="546E7A"/>
        <w:sz w:val="18"/>
      </w:rPr>
      <w:t>IMESI FAQ v15.0  |  Frequently Asked Questions for Ministers</w:t>
    </w:r>
  </w:p>
</w:hdr>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styleId="Normal" w:default="true">
    <w:name w:val="Normal"/>
    <w:pPr>
      <w:spacing w:after="120" w:line="300" w:lineRule="auto"/>
      <w:jc w:val="both"/>
    </w:pPr>
    <w:rPr>
      <w:rFonts w:ascii="Georgia" w:hAnsi="Georgia" w:eastAsia="Georgia"/>
      <w:color w:val="212121"/>
      <w:sz w:val="21"/>
    </w:rPr>
  </w:style>
  <w:style w:type="paragraph" w:styleId="Heading1">
    <w:name w:val="heading 1"/>
    <w:basedOn w:val="Normal"/>
    <w:uiPriority w:val="9"/>
    <w:qFormat/>
    <w:pPr>
      <w:keepNext/>
      <w:keepLines/>
      <w:pageBreakBefore/>
      <w:spacing w:after="280"/>
      <w:jc w:val="left"/>
      <w:outlineLvl w:val="0"/>
    </w:pPr>
    <w:rPr>
      <w:rFonts w:ascii="Calibri" w:hAnsi="Calibri" w:eastAsia="Calibri"/>
      <w:b/>
      <w:caps/>
      <w:color w:val="37474F"/>
      <w:spacing w:val="12"/>
      <w:sz w:val="32"/>
    </w:rPr>
  </w:style>
  <w:style w:type="paragraph" w:styleId="Heading2">
    <w:name w:val="heading 2"/>
    <w:basedOn w:val="Normal"/>
    <w:uiPriority w:val="9"/>
    <w:qFormat/>
    <w:pPr>
      <w:keepNext/>
      <w:keepLines/>
      <w:spacing w:before="360" w:after="160"/>
      <w:jc w:val="left"/>
      <w:outlineLvl w:val="1"/>
    </w:pPr>
    <w:rPr>
      <w:rFonts w:ascii="Calibri" w:hAnsi="Calibri" w:eastAsia="Calibri"/>
      <w:b/>
      <w:color w:val="37474F"/>
      <w:spacing w:val="12"/>
      <w:sz w:val="26"/>
    </w:rPr>
  </w:style>
  <w:style w:type="paragraph" w:styleId="TOC1">
    <w:name w:val="toc 1"/>
    <w:uiPriority w:val="39"/>
    <w:pPr>
      <w:tabs>
        <w:tab w:val="right" w:leader="dot" w:pos="9638"/>
      </w:tabs>
      <w:spacing w:before="120" w:after="40"/>
    </w:pPr>
    <w:rPr>
      <w:rFonts w:ascii="Calibri" w:hAnsi="Calibri"/>
      <w:b/>
      <w:color w:val="37474F"/>
      <w:sz w:val="21"/>
    </w:rPr>
  </w:style>
  <w:style w:type="paragraph" w:styleId="TOC2">
    <w:name w:val="toc 2"/>
    <w:uiPriority w:val="39"/>
    <w:pPr>
      <w:tabs>
        <w:tab w:val="right" w:leader="dot" w:pos="9638"/>
      </w:tabs>
      <w:spacing w:after="20"/>
      <w:ind w:left="360"/>
    </w:pPr>
    <w:rPr>
      <w:rFonts w:ascii="Calibri" w:hAnsi="Calibri"/>
      <w:color w:val="212121"/>
      <w:sz w:val="20"/>
    </w:rPr>
  </w:style>
  <w:style w:type="character" w:styleId="Hyperlink">
    <w:name w:val="Hyperlink"/>
    <w:basedOn w:val="DefaultParagraphFont"/>
    <w:uiPriority w:val="99"/>
    <w:unhideWhenUsed/>
    <w:rPr>
      <w:color w:val="467886"/>
      <w:u w:val="single"/>
    </w:rPr>
  </w:style>
  <w:style w:type="paragraph" w:styleId="Reference">
    <w:name w:val="Reference"/>
    <w:basedOn w:val="Normal"/>
    <w:pPr>
      <w:spacing w:after="280"/>
    </w:pPr>
    <w:rPr>
      <w:rFonts w:ascii="Georgia" w:hAnsi="Georgia" w:eastAsia="Georgia"/>
      <w:i/>
      <w:color w:val="546E7A"/>
      <w:sz w:val="18"/>
    </w:rPr>
  </w:style>
</w:styles>
</file>

<file path=word/_rels/document.xml.rels><?xml version='1.0' encoding='UTF-8'?>
<Relationships xmlns="http://schemas.openxmlformats.org/package/2006/relationships"><Relationship Type="http://schemas.openxmlformats.org/officeDocument/2006/relationships/styles" Target="styles.xml" Id="R727bfa8d31874d9e" /><Relationship Type="http://schemas.openxmlformats.org/officeDocument/2006/relationships/header" Target="header1.xml" Id="Rbb6c99f3e8684f86" /><Relationship Type="http://schemas.openxmlformats.org/officeDocument/2006/relationships/footer" Target="footer1.xml" Id="R5aaf78a148ea4915" /><Relationship Type="http://schemas.openxmlformats.org/officeDocument/2006/relationships/settings" Target="settings.xml" Id="Rd632d626e70d48a5" /></Relationships>
</file>