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Relationship Id="R81a5d44d9f084337"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150"/>
      </w:pPr>
    </w:p>
    <w:p>
      <w:pPr>
        <w:pStyle w:val="Normal"/>
        <w:spacing w:after="200"/>
        <w:jc w:val="center"/>
      </w:pPr>
      <w:r>
        <w:rPr>
          <w:rFonts w:ascii="Calibri" w:hAnsi="Calibri" w:eastAsia="Microsoft YaHei" w:cs="Calibri"/>
          <w:b/>
          <w:color w:val="455A64"/>
          <w:sz w:val="80"/>
          <w:szCs w:val="120"/>
          <w:spacing w:val="30"/>
        </w:rPr>
        <w:t>IMESI Operational Doctrine &amp; Response Architecture</w:t>
      </w:r>
    </w:p>
    <w:p>
      <w:pPr>
        <w:pStyle w:val="Normal"/>
        <w:spacing w:after="700"/>
        <w:jc w:val="center"/>
      </w:pPr>
      <w:r>
        <w:rPr>
          <w:rFonts w:ascii="Calibri" w:hAnsi="Calibri" w:eastAsia="Microsoft YaHei" w:cs="Calibri"/>
          <w:color w:val="263238"/>
          <w:sz w:val="30"/>
          <w:szCs w:val="30"/>
          <w:spacing w:val="20"/>
        </w:rPr>
        <w:t>International Mutual Economic Security Instrument</w:t>
      </w:r>
    </w:p>
    <w:p>
      <w:pPr>
        <w:pStyle w:val="Normal"/>
        <w:spacing w:after="200"/>
        <w:jc w:val="center"/>
      </w:pPr>
      <w:r>
        <w:rPr>
          <w:rFonts w:ascii="Calibri" w:hAnsi="Calibri" w:eastAsia="Microsoft YaHei" w:cs="Calibri"/>
          <w:color w:val="546E7A"/>
          <w:sz w:val="24"/>
          <w:szCs w:val="24"/>
        </w:rPr>
        <w:t xml:space="preserve">Strategic Layer  |  Senior Officials, Analysts, Planners</w:t>
      </w:r>
    </w:p>
    <w:p>
      <w:pPr>
        <w:pStyle w:val="Normal"/>
        <w:spacing w:after="80"/>
        <w:jc w:val="center"/>
      </w:pPr>
      <w:r>
        <w:rPr>
          <w:rFonts w:ascii="Calibri" w:hAnsi="Calibri" w:eastAsia="Microsoft YaHei" w:cs="Calibri"/>
          <w:color w:val="546E7A"/>
          <w:sz w:val="22"/>
          <w:szCs w:val="22"/>
        </w:rPr>
        <w:t>With 135 WTO-Aligned Amendments, 62 v12.1 Hardening Provisions, 32 v13.0 Hybrid Architecture and Hardening Provisions, 10 v14.0 Private-Sector Incentive Provisions, 94 v15.0 Red Team, Defector, Integrity, Military, Anti-Fragility, WTO-Defence, and Gap-Closing Provisions, the Nofade Protocol,</w:t>
      </w:r>
    </w:p>
    <w:p>
      <w:pPr>
        <w:pStyle w:val="Normal"/>
        <w:spacing w:after="1200"/>
        <w:jc w:val="center"/>
      </w:pPr>
      <w:r>
        <w:rPr>
          <w:rFonts w:ascii="Calibri" w:hAnsi="Calibri" w:eastAsia="Microsoft YaHei" w:cs="Calibri"/>
          <w:color w:val="546E7A"/>
          <w:sz w:val="22"/>
          <w:szCs w:val="22"/>
        </w:rPr>
        <w:t>and Full Immutable Present-Tense Matrix Redraft</w:t>
      </w:r>
    </w:p>
    <w:p>
      <w:pPr>
        <w:pStyle w:val="Normal"/>
        <w:pBdr>
          <w:bottom w:val="single" w:color="B8860B" w:sz="12" w:space="1"/>
        </w:pBdr>
        <w:spacing w:after="500"/>
        <w:ind w:left="2400" w:right="2400"/>
      </w:pPr>
    </w:p>
    <w:p>
      <w:pPr>
        <w:pStyle w:val="Normal"/>
        <w:spacing w:after="240"/>
        <w:jc w:val="center"/>
      </w:pPr>
      <w:r>
        <w:rPr>
          <w:rFonts w:ascii="Calibri" w:hAnsi="Calibri" w:eastAsia="Microsoft YaHei" w:cs="Calibri"/>
          <w:b/>
          <w:color w:val="B8860B"/>
          <w:sz w:val="44"/>
          <w:szCs w:val="44"/>
          <w:spacing w:val="40"/>
        </w:rPr>
        <w:t>Version 15.0 (Hardened)</w:t>
      </w:r>
    </w:p>
    <w:p>
      <w:pPr>
        <w:pStyle w:val="Normal"/>
        <w:spacing w:after="300"/>
        <w:jc w:val="center"/>
      </w:pPr>
      <w:r>
        <w:rPr>
          <w:rFonts w:ascii="Calibri" w:hAnsi="Calibri" w:eastAsia="Microsoft YaHei" w:cs="Calibri"/>
          <w:color w:val="263238"/>
          <w:sz w:val="26"/>
          <w:szCs w:val="26"/>
        </w:rPr>
        <w:t>August 2026</w:t>
      </w:r>
    </w:p>
    <w:p>
      <w:pPr>
        <w:pStyle w:val="Normal"/>
        <w:spacing w:after="0"/>
        <w:jc w:val="center"/>
        <w:sectPr>
          <w:headerReference w:type="default" r:id="rId1"/>
          <w:footerReference w:type="default" r:id="rId2"/>
          <w:headerReference w:type="first" r:id="rId3"/>
          <w:footerReference w:type="first" r:id="rId4"/>
          <w:headerReference w:type="even" r:id="rId5"/>
          <w:footerReference w:type="even" r:id="rId6"/>
          <w:type w:val="nextPage"/>
          <w:pgSz w:w="11906" w:h="16838"/>
          <w:pgMar w:top="1440" w:right="1440" w:bottom="1440" w:left="1440" w:header="720" w:footer="720"/>
          <w:pgBorders>
            <w:top w:val="single" w:color="B8860B" w:sz="18" w:space="24"/>
            <w:left w:val="single" w:color="B8860B" w:sz="18" w:space="24"/>
            <w:bottom w:val="single" w:color="B8860B" w:sz="18" w:space="24"/>
            <w:right w:val="single" w:color="B8860B" w:sz="18" w:space="24"/>
          </w:pgBorders>
          <w:titlePg/>
        </w:sectPr>
      </w:pPr>
      <w:r>
        <w:rPr>
          <w:rFonts w:ascii="Calibri" w:hAnsi="Calibri" w:eastAsia="Microsoft YaHei" w:cs="Calibri"/>
          <w:color w:val="78909C"/>
          <w:sz w:val="20"/>
          <w:szCs w:val="20"/>
          <w:spacing w:val="30"/>
        </w:rPr>
        <w:t xml:space="preserve">REFERENCE ARCHITECTURE  |  FOR OPEN CIRCULATION</w:t>
      </w:r>
    </w:p>
    <w:p>
      <w:pPr>
        <w:pStyle w:val="Normal"/>
        <w:keepNext/>
        <w:spacing w:after="360"/>
      </w:pPr>
      <w:r>
        <w:rPr>
          <w:rFonts w:ascii="Calibri" w:eastAsia="Calibri" w:hAnsi="Calibri" w:cs="Calibri"/>
          <w:b/>
          <w:color w:val="37474F"/>
          <w:sz w:val="32"/>
          <w:szCs w:val="32"/>
          <w:caps/>
        </w:rPr>
        <w:t>Table of Contents</w:t>
      </w:r>
    </w:p>
    <w:p>
      <w:pPr>
        <w:pStyle w:val="TOC1"/>
      </w:pPr>
      <w:r>
        <w:fldChar w:fldCharType="begin"/>
      </w:r>
      <w:r>
        <w:instrText xml:space="preserve"> TOC \o "1-2" \h \z \u </w:instrText>
      </w:r>
      <w:r>
        <w:fldChar w:fldCharType="separate"/>
      </w:r>
      <w:r>
        <w:t xml:space="preserve">PART B: OPERATIONAL ANNEXES</w:t>
        <w:tab/>
        <w:t>5</w:t>
      </w:r>
    </w:p>
    <w:p>
      <w:pPr>
        <w:pStyle w:val="TOC1"/>
      </w:pPr>
      <w:r>
        <w:rPr>
          <w:rFonts w:ascii="Calibri" w:hAnsi="Calibri" w:eastAsia="Calibri" w:cs="Calibri"/>
          <w:b/>
          <w:color w:val="37474F"/>
          <w:sz w:val="21"/>
          <w:szCs w:val="21"/>
        </w:rPr>
        <w:t>ANNEX 1: LEGAL FOUNDATIONS AND DEFENCE</w:t>
      </w:r>
      <w:r>
        <w:rPr>
          <w:rFonts w:ascii="Calibri" w:hAnsi="Calibri"/>
          <w:b/>
          <w:color w:val="37474F"/>
          <w:sz w:val="21"/>
        </w:rPr>
        <w:tab/>
      </w:r>
      <w:r>
        <w:rPr>
          <w:rFonts w:ascii="Calibri" w:hAnsi="Calibri" w:eastAsia="Calibri" w:cs="Calibri"/>
          <w:b/>
          <w:color w:val="37474F"/>
          <w:sz w:val="21"/>
          <w:szCs w:val="21"/>
        </w:rPr>
        <w:t>5</w:t>
      </w:r>
    </w:p>
    <w:p>
      <w:pPr>
        <w:pStyle w:val="TOC1"/>
      </w:pPr>
      <w:r>
        <w:rPr>
          <w:rFonts w:ascii="Calibri" w:hAnsi="Calibri" w:eastAsia="Calibri" w:cs="Calibri"/>
          <w:b/>
          <w:color w:val="37474F"/>
          <w:sz w:val="21"/>
          <w:szCs w:val="21"/>
        </w:rPr>
        <w:t>ANNEX 1A: WTO COMPATIBILITY AND REINFORCEMENT PROTOCOL</w:t>
      </w:r>
      <w:r>
        <w:rPr>
          <w:rFonts w:ascii="Calibri" w:hAnsi="Calibri"/>
          <w:b/>
          <w:color w:val="37474F"/>
          <w:sz w:val="21"/>
        </w:rPr>
        <w:tab/>
      </w:r>
      <w:r>
        <w:rPr>
          <w:rFonts w:ascii="Calibri" w:hAnsi="Calibri" w:eastAsia="Calibri" w:cs="Calibri"/>
          <w:b/>
          <w:color w:val="37474F"/>
          <w:sz w:val="21"/>
          <w:szCs w:val="21"/>
        </w:rPr>
        <w:t>7</w:t>
      </w:r>
    </w:p>
    <w:p>
      <w:pPr>
        <w:pStyle w:val="TOC1"/>
      </w:pPr>
      <w:r>
        <w:rPr>
          <w:rFonts w:ascii="Calibri" w:hAnsi="Calibri" w:eastAsia="Calibri" w:cs="Calibri"/>
          <w:b/>
          <w:color w:val="37474F"/>
          <w:sz w:val="21"/>
          <w:szCs w:val="21"/>
        </w:rPr>
        <w:t>ANNEX 1A.2: WTO INTEGRATION ROADMAP</w:t>
      </w:r>
      <w:r>
        <w:rPr>
          <w:rFonts w:ascii="Calibri" w:hAnsi="Calibri"/>
          <w:b/>
          <w:color w:val="37474F"/>
          <w:sz w:val="21"/>
        </w:rPr>
        <w:tab/>
      </w:r>
      <w:r>
        <w:rPr>
          <w:rFonts w:ascii="Calibri" w:hAnsi="Calibri" w:eastAsia="Calibri" w:cs="Calibri"/>
          <w:b/>
          <w:color w:val="37474F"/>
          <w:sz w:val="21"/>
          <w:szCs w:val="21"/>
        </w:rPr>
        <w:t>8</w:t>
      </w:r>
    </w:p>
    <w:p>
      <w:pPr>
        <w:pStyle w:val="TOC1"/>
      </w:pPr>
      <w:r>
        <w:rPr>
          <w:rFonts w:ascii="Calibri" w:hAnsi="Calibri" w:eastAsia="Calibri" w:cs="Calibri"/>
          <w:b/>
          <w:color w:val="37474F"/>
          <w:sz w:val="21"/>
          <w:szCs w:val="21"/>
        </w:rPr>
        <w:t>ANNEX 2: PROPORTIONALITY GUIDELINES MATRIX</w:t>
      </w:r>
      <w:r>
        <w:rPr>
          <w:rFonts w:ascii="Calibri" w:hAnsi="Calibri"/>
          <w:b/>
          <w:color w:val="37474F"/>
          <w:sz w:val="21"/>
        </w:rPr>
        <w:tab/>
      </w:r>
      <w:r>
        <w:rPr>
          <w:rFonts w:ascii="Calibri" w:hAnsi="Calibri" w:eastAsia="Calibri" w:cs="Calibri"/>
          <w:b/>
          <w:color w:val="37474F"/>
          <w:sz w:val="21"/>
          <w:szCs w:val="21"/>
        </w:rPr>
        <w:t>9</w:t>
      </w:r>
    </w:p>
    <w:p>
      <w:pPr>
        <w:pStyle w:val="TOC1"/>
      </w:pPr>
      <w:r>
        <w:rPr>
          <w:rFonts w:ascii="Calibri" w:hAnsi="Calibri" w:eastAsia="Calibri" w:cs="Calibri"/>
          <w:b/>
          <w:color w:val="37474F"/>
          <w:sz w:val="21"/>
          <w:szCs w:val="21"/>
        </w:rPr>
        <w:t>ANNEX 3: SUPPLY CHAIN RESILIENCE STRATEGY</w:t>
      </w:r>
      <w:r>
        <w:rPr>
          <w:rFonts w:ascii="Calibri" w:hAnsi="Calibri"/>
          <w:b/>
          <w:color w:val="37474F"/>
          <w:sz w:val="21"/>
        </w:rPr>
        <w:tab/>
      </w:r>
      <w:r>
        <w:rPr>
          <w:rFonts w:ascii="Calibri" w:hAnsi="Calibri" w:eastAsia="Calibri" w:cs="Calibri"/>
          <w:b/>
          <w:color w:val="37474F"/>
          <w:sz w:val="21"/>
          <w:szCs w:val="21"/>
        </w:rPr>
        <w:t>9</w:t>
      </w:r>
    </w:p>
    <w:p>
      <w:pPr>
        <w:pStyle w:val="TOC1"/>
      </w:pPr>
      <w:r>
        <w:rPr>
          <w:rFonts w:ascii="Calibri" w:hAnsi="Calibri" w:eastAsia="Calibri" w:cs="Calibri"/>
          <w:b/>
          <w:color w:val="37474F"/>
          <w:sz w:val="21"/>
          <w:szCs w:val="21"/>
        </w:rPr>
        <w:t>ANNEX 3A: SUPPLY CHAIN RED TEAM EXERCISE</w:t>
      </w:r>
      <w:r>
        <w:rPr>
          <w:rFonts w:ascii="Calibri" w:hAnsi="Calibri"/>
          <w:b/>
          <w:color w:val="37474F"/>
          <w:sz w:val="21"/>
        </w:rPr>
        <w:tab/>
      </w:r>
      <w:r>
        <w:rPr>
          <w:rFonts w:ascii="Calibri" w:hAnsi="Calibri" w:eastAsia="Calibri" w:cs="Calibri"/>
          <w:b/>
          <w:color w:val="37474F"/>
          <w:sz w:val="21"/>
          <w:szCs w:val="21"/>
        </w:rPr>
        <w:t>11</w:t>
      </w:r>
    </w:p>
    <w:p>
      <w:pPr>
        <w:pStyle w:val="TOC1"/>
      </w:pPr>
      <w:r>
        <w:rPr>
          <w:rFonts w:ascii="Calibri" w:hAnsi="Calibri" w:eastAsia="Calibri" w:cs="Calibri"/>
          <w:b/>
          <w:color w:val="37474F"/>
          <w:sz w:val="21"/>
          <w:szCs w:val="21"/>
        </w:rPr>
        <w:t>ANNEX 3B: TRADE FACILITATION CORRIDORS</w:t>
      </w:r>
      <w:r>
        <w:rPr>
          <w:rFonts w:ascii="Calibri" w:hAnsi="Calibri"/>
          <w:b/>
          <w:color w:val="37474F"/>
          <w:sz w:val="21"/>
        </w:rPr>
        <w:tab/>
      </w:r>
      <w:r>
        <w:rPr>
          <w:rFonts w:ascii="Calibri" w:hAnsi="Calibri" w:eastAsia="Calibri" w:cs="Calibri"/>
          <w:b/>
          <w:color w:val="37474F"/>
          <w:sz w:val="21"/>
          <w:szCs w:val="21"/>
        </w:rPr>
        <w:t>12</w:t>
      </w:r>
    </w:p>
    <w:p>
      <w:pPr>
        <w:pStyle w:val="TOC1"/>
      </w:pPr>
      <w:r>
        <w:rPr>
          <w:rFonts w:ascii="Calibri" w:hAnsi="Calibri" w:eastAsia="Calibri" w:cs="Calibri"/>
          <w:b/>
          <w:color w:val="37474F"/>
          <w:sz w:val="21"/>
          <w:szCs w:val="21"/>
        </w:rPr>
        <w:t>ANNEX 3C: RE-ROUTING AND DIVERSIFICATION ADVISORIES</w:t>
      </w:r>
      <w:r>
        <w:rPr>
          <w:rFonts w:ascii="Calibri" w:hAnsi="Calibri"/>
          <w:b/>
          <w:color w:val="37474F"/>
          <w:sz w:val="21"/>
        </w:rPr>
        <w:tab/>
      </w:r>
      <w:r>
        <w:rPr>
          <w:rFonts w:ascii="Calibri" w:hAnsi="Calibri" w:eastAsia="Calibri" w:cs="Calibri"/>
          <w:b/>
          <w:color w:val="37474F"/>
          <w:sz w:val="21"/>
          <w:szCs w:val="21"/>
        </w:rPr>
        <w:t>12</w:t>
      </w:r>
    </w:p>
    <w:p>
      <w:pPr>
        <w:pStyle w:val="TOC1"/>
      </w:pPr>
      <w:r>
        <w:rPr>
          <w:rFonts w:ascii="Calibri" w:hAnsi="Calibri" w:eastAsia="Calibri" w:cs="Calibri"/>
          <w:b/>
          <w:color w:val="37474F"/>
          <w:sz w:val="21"/>
          <w:szCs w:val="21"/>
        </w:rPr>
        <w:t>Annex 4: Pre-Authorised Scenario Library, Full operational packages for Scenarios Alpha through Pi as</w:t>
      </w:r>
      <w:r>
        <w:rPr>
          <w:rFonts w:ascii="Calibri" w:hAnsi="Calibri"/>
          <w:b/>
          <w:color w:val="37474F"/>
          <w:sz w:val="21"/>
        </w:rPr>
        <w:tab/>
      </w:r>
      <w:r>
        <w:rPr>
          <w:rFonts w:ascii="Calibri" w:hAnsi="Calibri" w:eastAsia="Calibri" w:cs="Calibri"/>
          <w:b/>
          <w:color w:val="37474F"/>
          <w:sz w:val="21"/>
          <w:szCs w:val="21"/>
        </w:rPr>
        <w:t>12</w:t>
      </w:r>
    </w:p>
    <w:p>
      <w:pPr>
        <w:pStyle w:val="TOC1"/>
      </w:pPr>
      <w:r>
        <w:rPr>
          <w:rFonts w:ascii="Calibri" w:hAnsi="Calibri" w:eastAsia="Calibri" w:cs="Calibri"/>
          <w:b/>
          <w:color w:val="37474F"/>
          <w:sz w:val="21"/>
          <w:szCs w:val="21"/>
        </w:rPr>
        <w:t>Annex 5: IEWC Operational Procedures, Protocols for intelligence collection, analysis, dissemination,</w:t>
      </w:r>
      <w:r>
        <w:rPr>
          <w:rFonts w:ascii="Calibri" w:hAnsi="Calibri"/>
          <w:b/>
          <w:color w:val="37474F"/>
          <w:sz w:val="21"/>
        </w:rPr>
        <w:tab/>
      </w:r>
      <w:r>
        <w:rPr>
          <w:rFonts w:ascii="Calibri" w:hAnsi="Calibri" w:eastAsia="Calibri" w:cs="Calibri"/>
          <w:b/>
          <w:color w:val="37474F"/>
          <w:sz w:val="21"/>
          <w:szCs w:val="21"/>
        </w:rPr>
        <w:t>13</w:t>
      </w:r>
    </w:p>
    <w:p>
      <w:pPr>
        <w:pStyle w:val="TOC1"/>
      </w:pPr>
      <w:r>
        <w:rPr>
          <w:rFonts w:ascii="Calibri" w:hAnsi="Calibri" w:eastAsia="Calibri" w:cs="Calibri"/>
          <w:b/>
          <w:color w:val="37474F"/>
          <w:sz w:val="21"/>
          <w:szCs w:val="21"/>
        </w:rPr>
        <w:t>ANNEX 8: FACE-SAVING OFF-RAMP PROTOCOLS</w:t>
      </w:r>
      <w:r>
        <w:rPr>
          <w:rFonts w:ascii="Calibri" w:hAnsi="Calibri"/>
          <w:b/>
          <w:color w:val="37474F"/>
          <w:sz w:val="21"/>
        </w:rPr>
        <w:tab/>
      </w:r>
      <w:r>
        <w:rPr>
          <w:rFonts w:ascii="Calibri" w:hAnsi="Calibri" w:eastAsia="Calibri" w:cs="Calibri"/>
          <w:b/>
          <w:color w:val="37474F"/>
          <w:sz w:val="21"/>
          <w:szCs w:val="21"/>
        </w:rPr>
        <w:t>13</w:t>
      </w:r>
    </w:p>
    <w:p>
      <w:pPr>
        <w:pStyle w:val="TOC1"/>
      </w:pPr>
      <w:r>
        <w:rPr>
          <w:rFonts w:ascii="Calibri" w:hAnsi="Calibri" w:eastAsia="Calibri" w:cs="Calibri"/>
          <w:b/>
          <w:color w:val="37474F"/>
          <w:sz w:val="21"/>
          <w:szCs w:val="21"/>
        </w:rPr>
        <w:t>ANNEX 9: FOUNDING COALITION STRATEGY</w:t>
      </w:r>
      <w:r>
        <w:rPr>
          <w:rFonts w:ascii="Calibri" w:hAnsi="Calibri"/>
          <w:b/>
          <w:color w:val="37474F"/>
          <w:sz w:val="21"/>
        </w:rPr>
        <w:tab/>
      </w:r>
      <w:r>
        <w:rPr>
          <w:rFonts w:ascii="Calibri" w:hAnsi="Calibri" w:eastAsia="Calibri" w:cs="Calibri"/>
          <w:b/>
          <w:color w:val="37474F"/>
          <w:sz w:val="21"/>
          <w:szCs w:val="21"/>
        </w:rPr>
        <w:t>14</w:t>
      </w:r>
    </w:p>
    <w:p>
      <w:pPr>
        <w:pStyle w:val="TOC1"/>
      </w:pPr>
      <w:r>
        <w:rPr>
          <w:rFonts w:ascii="Calibri" w:hAnsi="Calibri" w:eastAsia="Calibri" w:cs="Calibri"/>
          <w:b/>
          <w:color w:val="37474F"/>
          <w:sz w:val="21"/>
          <w:szCs w:val="21"/>
        </w:rPr>
        <w:t>ANNEX 10: LARGE-ECONOMY MARKET ACCESS PROTOCOL</w:t>
      </w:r>
      <w:r>
        <w:rPr>
          <w:rFonts w:ascii="Calibri" w:hAnsi="Calibri"/>
          <w:b/>
          <w:color w:val="37474F"/>
          <w:sz w:val="21"/>
        </w:rPr>
        <w:tab/>
      </w:r>
      <w:r>
        <w:rPr>
          <w:rFonts w:ascii="Calibri" w:hAnsi="Calibri" w:eastAsia="Calibri" w:cs="Calibri"/>
          <w:b/>
          <w:color w:val="37474F"/>
          <w:sz w:val="21"/>
          <w:szCs w:val="21"/>
        </w:rPr>
        <w:t>14</w:t>
      </w:r>
    </w:p>
    <w:p>
      <w:pPr>
        <w:pStyle w:val="TOC2"/>
      </w:pPr>
      <w:r>
        <w:rPr>
          <w:rFonts w:ascii="Calibri" w:hAnsi="Calibri" w:eastAsia="Calibri" w:cs="Calibri"/>
          <w:color w:val="212121"/>
          <w:sz w:val="20"/>
          <w:szCs w:val="20"/>
        </w:rPr>
        <w:t>Section 10.1: Sub-National Political-Economy Targeting</w:t>
      </w:r>
      <w:r>
        <w:rPr>
          <w:rFonts w:ascii="Calibri" w:hAnsi="Calibri"/>
          <w:color w:val="212121"/>
          <w:sz w:val="20"/>
        </w:rPr>
        <w:tab/>
      </w:r>
      <w:r>
        <w:rPr>
          <w:rFonts w:ascii="Calibri" w:hAnsi="Calibri" w:eastAsia="Calibri" w:cs="Calibri"/>
          <w:color w:val="212121"/>
          <w:sz w:val="20"/>
          <w:szCs w:val="20"/>
        </w:rPr>
        <w:t>14</w:t>
      </w:r>
    </w:p>
    <w:p>
      <w:pPr>
        <w:pStyle w:val="TOC2"/>
      </w:pPr>
      <w:r>
        <w:rPr>
          <w:rFonts w:ascii="Calibri" w:hAnsi="Calibri" w:eastAsia="Calibri" w:cs="Calibri"/>
          <w:color w:val="212121"/>
          <w:sz w:val="20"/>
          <w:szCs w:val="20"/>
        </w:rPr>
        <w:t>Section 10.2: Legislative and Stakeholder Consultation Protocol</w:t>
      </w:r>
      <w:r>
        <w:rPr>
          <w:rFonts w:ascii="Calibri" w:hAnsi="Calibri"/>
          <w:color w:val="212121"/>
          <w:sz w:val="20"/>
        </w:rPr>
        <w:tab/>
      </w:r>
      <w:r>
        <w:rPr>
          <w:rFonts w:ascii="Calibri" w:hAnsi="Calibri" w:eastAsia="Calibri" w:cs="Calibri"/>
          <w:color w:val="212121"/>
          <w:sz w:val="20"/>
          <w:szCs w:val="20"/>
        </w:rPr>
        <w:t>15</w:t>
      </w:r>
    </w:p>
    <w:p>
      <w:pPr>
        <w:pStyle w:val="TOC2"/>
      </w:pPr>
      <w:r>
        <w:rPr>
          <w:rFonts w:ascii="Calibri" w:hAnsi="Calibri" w:eastAsia="Calibri" w:cs="Calibri"/>
          <w:color w:val="212121"/>
          <w:sz w:val="20"/>
          <w:szCs w:val="20"/>
        </w:rPr>
        <w:t>Section 10.3: "Reciprocal but Delayed" Implementation</w:t>
      </w:r>
      <w:r>
        <w:rPr>
          <w:rFonts w:ascii="Calibri" w:hAnsi="Calibri"/>
          <w:color w:val="212121"/>
          <w:sz w:val="20"/>
        </w:rPr>
        <w:tab/>
      </w:r>
      <w:r>
        <w:rPr>
          <w:rFonts w:ascii="Calibri" w:hAnsi="Calibri" w:eastAsia="Calibri" w:cs="Calibri"/>
          <w:color w:val="212121"/>
          <w:sz w:val="20"/>
          <w:szCs w:val="20"/>
        </w:rPr>
        <w:t>15</w:t>
      </w:r>
    </w:p>
    <w:p>
      <w:pPr>
        <w:pStyle w:val="TOC2"/>
      </w:pPr>
      <w:r>
        <w:rPr>
          <w:rFonts w:ascii="Calibri" w:hAnsi="Calibri" w:eastAsia="Calibri" w:cs="Calibri"/>
          <w:color w:val="212121"/>
          <w:sz w:val="20"/>
          <w:szCs w:val="20"/>
        </w:rPr>
        <w:t>Section 10.4: Commercial Stakeholder Mitigation Credits</w:t>
      </w:r>
      <w:r>
        <w:rPr>
          <w:rFonts w:ascii="Calibri" w:hAnsi="Calibri"/>
          <w:color w:val="212121"/>
          <w:sz w:val="20"/>
        </w:rPr>
        <w:tab/>
      </w:r>
      <w:r>
        <w:rPr>
          <w:rFonts w:ascii="Calibri" w:hAnsi="Calibri" w:eastAsia="Calibri" w:cs="Calibri"/>
          <w:color w:val="212121"/>
          <w:sz w:val="20"/>
          <w:szCs w:val="20"/>
        </w:rPr>
        <w:t>16</w:t>
      </w:r>
    </w:p>
    <w:p>
      <w:pPr>
        <w:pStyle w:val="TOC2"/>
      </w:pPr>
      <w:r>
        <w:rPr>
          <w:rFonts w:ascii="Calibri" w:hAnsi="Calibri" w:eastAsia="Calibri" w:cs="Calibri"/>
          <w:color w:val="212121"/>
          <w:sz w:val="20"/>
          <w:szCs w:val="20"/>
        </w:rPr>
        <w:t>Section 10.5: Substitution Acceleration Sub-Fund</w:t>
      </w:r>
      <w:r>
        <w:rPr>
          <w:rFonts w:ascii="Calibri" w:hAnsi="Calibri"/>
          <w:color w:val="212121"/>
          <w:sz w:val="20"/>
        </w:rPr>
        <w:tab/>
      </w:r>
      <w:r>
        <w:rPr>
          <w:rFonts w:ascii="Calibri" w:hAnsi="Calibri" w:eastAsia="Calibri" w:cs="Calibri"/>
          <w:color w:val="212121"/>
          <w:sz w:val="20"/>
          <w:szCs w:val="20"/>
        </w:rPr>
        <w:t>17</w:t>
      </w:r>
    </w:p>
    <w:p>
      <w:pPr>
        <w:pStyle w:val="TOC2"/>
      </w:pPr>
      <w:r>
        <w:rPr>
          <w:rFonts w:ascii="Calibri" w:hAnsi="Calibri" w:eastAsia="Calibri" w:cs="Calibri"/>
          <w:color w:val="212121"/>
          <w:sz w:val="20"/>
          <w:szCs w:val="20"/>
        </w:rPr>
        <w:t>Section 10.6: Accelerated Third-Country Recruitment</w:t>
      </w:r>
      <w:r>
        <w:rPr>
          <w:rFonts w:ascii="Calibri" w:hAnsi="Calibri"/>
          <w:color w:val="212121"/>
          <w:sz w:val="20"/>
        </w:rPr>
        <w:tab/>
      </w:r>
      <w:r>
        <w:rPr>
          <w:rFonts w:ascii="Calibri" w:hAnsi="Calibri" w:eastAsia="Calibri" w:cs="Calibri"/>
          <w:color w:val="212121"/>
          <w:sz w:val="20"/>
          <w:szCs w:val="20"/>
        </w:rPr>
        <w:t>17</w:t>
      </w:r>
    </w:p>
    <w:p>
      <w:pPr>
        <w:pStyle w:val="TOC2"/>
      </w:pPr>
      <w:r>
        <w:rPr>
          <w:rFonts w:ascii="Calibri" w:hAnsi="Calibri" w:eastAsia="Calibri" w:cs="Calibri"/>
          <w:color w:val="212121"/>
          <w:sz w:val="20"/>
          <w:szCs w:val="20"/>
        </w:rPr>
        <w:t>Section 10.7: Regulatory Friction Parallel Track</w:t>
      </w:r>
      <w:r>
        <w:rPr>
          <w:rFonts w:ascii="Calibri" w:hAnsi="Calibri"/>
          <w:color w:val="212121"/>
          <w:sz w:val="20"/>
        </w:rPr>
        <w:tab/>
      </w:r>
      <w:r>
        <w:rPr>
          <w:rFonts w:ascii="Calibri" w:hAnsi="Calibri" w:eastAsia="Calibri" w:cs="Calibri"/>
          <w:color w:val="212121"/>
          <w:sz w:val="20"/>
          <w:szCs w:val="20"/>
        </w:rPr>
        <w:t>18</w:t>
      </w:r>
    </w:p>
    <w:p>
      <w:pPr>
        <w:pStyle w:val="TOC2"/>
      </w:pPr>
      <w:r>
        <w:rPr>
          <w:rFonts w:ascii="Calibri" w:hAnsi="Calibri" w:eastAsia="Calibri" w:cs="Calibri"/>
          <w:color w:val="212121"/>
          <w:sz w:val="20"/>
          <w:szCs w:val="20"/>
        </w:rPr>
        <w:t>Section 10.8: Global Payment Diversification Module</w:t>
      </w:r>
      <w:r>
        <w:rPr>
          <w:rFonts w:ascii="Calibri" w:hAnsi="Calibri"/>
          <w:color w:val="212121"/>
          <w:sz w:val="20"/>
        </w:rPr>
        <w:tab/>
      </w:r>
      <w:r>
        <w:rPr>
          <w:rFonts w:ascii="Calibri" w:hAnsi="Calibri" w:eastAsia="Calibri" w:cs="Calibri"/>
          <w:color w:val="212121"/>
          <w:sz w:val="20"/>
          <w:szCs w:val="20"/>
        </w:rPr>
        <w:t>18</w:t>
      </w:r>
    </w:p>
    <w:p>
      <w:pPr>
        <w:pStyle w:val="TOC2"/>
      </w:pPr>
      <w:r>
        <w:rPr>
          <w:rFonts w:ascii="Calibri" w:hAnsi="Calibri" w:eastAsia="Calibri" w:cs="Calibri"/>
          <w:color w:val="212121"/>
          <w:sz w:val="20"/>
          <w:szCs w:val="20"/>
        </w:rPr>
        <w:t>Section 10.9: "Reinstatement Plus" Provisions</w:t>
      </w:r>
      <w:r>
        <w:rPr>
          <w:rFonts w:ascii="Calibri" w:hAnsi="Calibri"/>
          <w:color w:val="212121"/>
          <w:sz w:val="20"/>
        </w:rPr>
        <w:tab/>
      </w:r>
      <w:r>
        <w:rPr>
          <w:rFonts w:ascii="Calibri" w:hAnsi="Calibri" w:eastAsia="Calibri" w:cs="Calibri"/>
          <w:color w:val="212121"/>
          <w:sz w:val="20"/>
          <w:szCs w:val="20"/>
        </w:rPr>
        <w:t>19</w:t>
      </w:r>
    </w:p>
    <w:p>
      <w:pPr>
        <w:pStyle w:val="TOC2"/>
      </w:pPr>
      <w:r>
        <w:rPr>
          <w:rFonts w:ascii="Calibri" w:hAnsi="Calibri" w:eastAsia="Calibri" w:cs="Calibri"/>
          <w:color w:val="212121"/>
          <w:sz w:val="20"/>
          <w:szCs w:val="20"/>
        </w:rPr>
        <w:t>Section 10.10: WTO Article XXIII "Non-Violation" Coalition Case</w:t>
      </w:r>
      <w:r>
        <w:rPr>
          <w:rFonts w:ascii="Calibri" w:hAnsi="Calibri"/>
          <w:color w:val="212121"/>
          <w:sz w:val="20"/>
        </w:rPr>
        <w:tab/>
      </w:r>
      <w:r>
        <w:rPr>
          <w:rFonts w:ascii="Calibri" w:hAnsi="Calibri" w:eastAsia="Calibri" w:cs="Calibri"/>
          <w:color w:val="212121"/>
          <w:sz w:val="20"/>
          <w:szCs w:val="20"/>
        </w:rPr>
        <w:t>19</w:t>
      </w:r>
    </w:p>
    <w:p>
      <w:pPr>
        <w:pStyle w:val="TOC2"/>
      </w:pPr>
      <w:r>
        <w:rPr>
          <w:rFonts w:ascii="Calibri" w:hAnsi="Calibri" w:eastAsia="Calibri" w:cs="Calibri"/>
          <w:color w:val="212121"/>
          <w:sz w:val="20"/>
          <w:szCs w:val="20"/>
        </w:rPr>
        <w:t>Section 10.11: Tariff Shock Stabilisation Protocol</w:t>
      </w:r>
      <w:r>
        <w:rPr>
          <w:rFonts w:ascii="Calibri" w:hAnsi="Calibri"/>
          <w:color w:val="212121"/>
          <w:sz w:val="20"/>
        </w:rPr>
        <w:tab/>
      </w:r>
      <w:r>
        <w:rPr>
          <w:rFonts w:ascii="Calibri" w:hAnsi="Calibri" w:eastAsia="Calibri" w:cs="Calibri"/>
          <w:color w:val="212121"/>
          <w:sz w:val="20"/>
          <w:szCs w:val="20"/>
        </w:rPr>
        <w:t>21</w:t>
      </w:r>
    </w:p>
    <w:p>
      <w:pPr>
        <w:pStyle w:val="TOC2"/>
      </w:pPr>
      <w:r>
        <w:rPr>
          <w:rFonts w:ascii="Calibri" w:hAnsi="Calibri" w:eastAsia="Calibri" w:cs="Calibri"/>
          <w:color w:val="212121"/>
          <w:sz w:val="20"/>
          <w:szCs w:val="20"/>
        </w:rPr>
        <w:t>Section 10.12: Regulatory Calibration Option</w:t>
      </w:r>
      <w:r>
        <w:rPr>
          <w:rFonts w:ascii="Calibri" w:hAnsi="Calibri"/>
          <w:color w:val="212121"/>
          <w:sz w:val="20"/>
        </w:rPr>
        <w:tab/>
      </w:r>
      <w:r>
        <w:rPr>
          <w:rFonts w:ascii="Calibri" w:hAnsi="Calibri" w:eastAsia="Calibri" w:cs="Calibri"/>
          <w:color w:val="212121"/>
          <w:sz w:val="20"/>
          <w:szCs w:val="20"/>
        </w:rPr>
        <w:t>21</w:t>
      </w:r>
    </w:p>
    <w:p>
      <w:pPr>
        <w:pStyle w:val="TOC1"/>
      </w:pPr>
      <w:r>
        <w:rPr>
          <w:rFonts w:ascii="Calibri" w:hAnsi="Calibri" w:eastAsia="Calibri" w:cs="Calibri"/>
          <w:b/>
          <w:color w:val="37474F"/>
          <w:sz w:val="21"/>
          <w:szCs w:val="21"/>
        </w:rPr>
        <w:t>ANNEX 10B: MARKET INFRASTRUCTURE TRANSPARENCY AND</w:t>
      </w:r>
      <w:r>
        <w:rPr>
          <w:rFonts w:ascii="Calibri" w:hAnsi="Calibri"/>
          <w:b/>
          <w:color w:val="37474F"/>
          <w:sz w:val="21"/>
        </w:rPr>
        <w:tab/>
      </w:r>
      <w:r>
        <w:rPr>
          <w:rFonts w:ascii="Calibri" w:hAnsi="Calibri" w:eastAsia="Calibri" w:cs="Calibri"/>
          <w:b/>
          <w:color w:val="37474F"/>
          <w:sz w:val="21"/>
          <w:szCs w:val="21"/>
        </w:rPr>
        <w:t>22</w:t>
      </w:r>
    </w:p>
    <w:p>
      <w:pPr>
        <w:pStyle w:val="TOC1"/>
      </w:pPr>
      <w:r>
        <w:rPr>
          <w:rFonts w:ascii="Calibri" w:hAnsi="Calibri" w:eastAsia="Calibri" w:cs="Calibri"/>
          <w:b/>
          <w:color w:val="37474F"/>
          <w:sz w:val="21"/>
          <w:szCs w:val="21"/>
        </w:rPr>
        <w:t>ANNEX 11: AI SOVEREIGNTY SHIELD</w:t>
      </w:r>
      <w:r>
        <w:rPr>
          <w:rFonts w:ascii="Calibri" w:hAnsi="Calibri"/>
          <w:b/>
          <w:color w:val="37474F"/>
          <w:sz w:val="21"/>
        </w:rPr>
        <w:tab/>
      </w:r>
      <w:r>
        <w:rPr>
          <w:rFonts w:ascii="Calibri" w:hAnsi="Calibri" w:eastAsia="Calibri" w:cs="Calibri"/>
          <w:b/>
          <w:color w:val="37474F"/>
          <w:sz w:val="21"/>
          <w:szCs w:val="21"/>
        </w:rPr>
        <w:t>22</w:t>
      </w:r>
    </w:p>
    <w:p>
      <w:pPr>
        <w:pStyle w:val="TOC1"/>
      </w:pPr>
      <w:r>
        <w:rPr>
          <w:rFonts w:ascii="Calibri" w:hAnsi="Calibri" w:eastAsia="Calibri" w:cs="Calibri"/>
          <w:b/>
          <w:color w:val="37474F"/>
          <w:sz w:val="21"/>
          <w:szCs w:val="21"/>
        </w:rPr>
        <w:t>ANNEX 11A: IMESI-COMPATIBLE PLATFORM CERTIFICATION</w:t>
      </w:r>
      <w:r>
        <w:rPr>
          <w:rFonts w:ascii="Calibri" w:hAnsi="Calibri"/>
          <w:b/>
          <w:color w:val="37474F"/>
          <w:sz w:val="21"/>
        </w:rPr>
        <w:tab/>
      </w:r>
      <w:r>
        <w:rPr>
          <w:rFonts w:ascii="Calibri" w:hAnsi="Calibri" w:eastAsia="Calibri" w:cs="Calibri"/>
          <w:b/>
          <w:color w:val="37474F"/>
          <w:sz w:val="21"/>
          <w:szCs w:val="21"/>
        </w:rPr>
        <w:t>24</w:t>
      </w:r>
    </w:p>
    <w:p>
      <w:pPr>
        <w:pStyle w:val="TOC1"/>
      </w:pPr>
      <w:r>
        <w:rPr>
          <w:rFonts w:ascii="Calibri" w:hAnsi="Calibri" w:eastAsia="Calibri" w:cs="Calibri"/>
          <w:b/>
          <w:color w:val="37474F"/>
          <w:sz w:val="21"/>
          <w:szCs w:val="21"/>
        </w:rPr>
        <w:t>ANNEX 13: COALITION STRESS TEST PROTOCOL</w:t>
      </w:r>
      <w:r>
        <w:rPr>
          <w:rFonts w:ascii="Calibri" w:hAnsi="Calibri"/>
          <w:b/>
          <w:color w:val="37474F"/>
          <w:sz w:val="21"/>
        </w:rPr>
        <w:tab/>
      </w:r>
      <w:r>
        <w:rPr>
          <w:rFonts w:ascii="Calibri" w:hAnsi="Calibri" w:eastAsia="Calibri" w:cs="Calibri"/>
          <w:b/>
          <w:color w:val="37474F"/>
          <w:sz w:val="21"/>
          <w:szCs w:val="21"/>
        </w:rPr>
        <w:t>24</w:t>
      </w:r>
    </w:p>
    <w:p>
      <w:pPr>
        <w:pStyle w:val="TOC1"/>
      </w:pPr>
      <w:r>
        <w:rPr>
          <w:rFonts w:ascii="Calibri" w:hAnsi="Calibri" w:eastAsia="Calibri" w:cs="Calibri"/>
          <w:b/>
          <w:color w:val="37474F"/>
          <w:sz w:val="21"/>
          <w:szCs w:val="21"/>
        </w:rPr>
        <w:t>ANNEX 15: STRATEGIC STALEMATE DECLARED DOCTRINE</w:t>
      </w:r>
      <w:r>
        <w:rPr>
          <w:rFonts w:ascii="Calibri" w:hAnsi="Calibri"/>
          <w:b/>
          <w:color w:val="37474F"/>
          <w:sz w:val="21"/>
        </w:rPr>
        <w:tab/>
      </w:r>
      <w:r>
        <w:rPr>
          <w:rFonts w:ascii="Calibri" w:hAnsi="Calibri" w:eastAsia="Calibri" w:cs="Calibri"/>
          <w:b/>
          <w:color w:val="37474F"/>
          <w:sz w:val="21"/>
          <w:szCs w:val="21"/>
        </w:rPr>
        <w:t>25</w:t>
      </w:r>
    </w:p>
    <w:p>
      <w:pPr>
        <w:pStyle w:val="TOC1"/>
      </w:pPr>
      <w:r>
        <w:rPr>
          <w:rFonts w:ascii="Calibri" w:hAnsi="Calibri" w:eastAsia="Calibri" w:cs="Calibri"/>
          <w:b/>
          <w:color w:val="37474F"/>
          <w:sz w:val="21"/>
          <w:szCs w:val="21"/>
        </w:rPr>
        <w:t>ANNEX 16: STRATEGIC COMMUNICATIONS CHARTER</w:t>
      </w:r>
      <w:r>
        <w:rPr>
          <w:rFonts w:ascii="Calibri" w:hAnsi="Calibri"/>
          <w:b/>
          <w:color w:val="37474F"/>
          <w:sz w:val="21"/>
        </w:rPr>
        <w:tab/>
      </w:r>
      <w:r>
        <w:rPr>
          <w:rFonts w:ascii="Calibri" w:hAnsi="Calibri" w:eastAsia="Calibri" w:cs="Calibri"/>
          <w:b/>
          <w:color w:val="37474F"/>
          <w:sz w:val="21"/>
          <w:szCs w:val="21"/>
        </w:rPr>
        <w:t>26</w:t>
      </w:r>
    </w:p>
    <w:p>
      <w:pPr>
        <w:pStyle w:val="TOC1"/>
      </w:pPr>
      <w:r>
        <w:rPr>
          <w:rFonts w:ascii="Calibri" w:hAnsi="Calibri" w:eastAsia="Calibri" w:cs="Calibri"/>
          <w:b/>
          <w:color w:val="37474F"/>
          <w:sz w:val="21"/>
          <w:szCs w:val="21"/>
        </w:rPr>
        <w:t>ANNEX 16B: DOMESTIC COMMUNICATION GUIDANCE</w:t>
      </w:r>
      <w:r>
        <w:rPr>
          <w:rFonts w:ascii="Calibri" w:hAnsi="Calibri"/>
          <w:b/>
          <w:color w:val="37474F"/>
          <w:sz w:val="21"/>
        </w:rPr>
        <w:tab/>
      </w:r>
      <w:r>
        <w:rPr>
          <w:rFonts w:ascii="Calibri" w:hAnsi="Calibri" w:eastAsia="Calibri" w:cs="Calibri"/>
          <w:b/>
          <w:color w:val="37474F"/>
          <w:sz w:val="21"/>
          <w:szCs w:val="21"/>
        </w:rPr>
        <w:t>28</w:t>
      </w:r>
    </w:p>
    <w:p>
      <w:pPr>
        <w:pStyle w:val="TOC1"/>
      </w:pPr>
      <w:r>
        <w:rPr>
          <w:rFonts w:ascii="Calibri" w:hAnsi="Calibri" w:eastAsia="Calibri" w:cs="Calibri"/>
          <w:b/>
          <w:color w:val="37474F"/>
          <w:sz w:val="21"/>
          <w:szCs w:val="21"/>
        </w:rPr>
        <w:t>ANNEX 16C: LEADER TALKING POINTS AND AUDIENCE PITCHES</w:t>
      </w:r>
      <w:r>
        <w:rPr>
          <w:rFonts w:ascii="Calibri" w:hAnsi="Calibri"/>
          <w:b/>
          <w:color w:val="37474F"/>
          <w:sz w:val="21"/>
        </w:rPr>
        <w:tab/>
      </w:r>
      <w:r>
        <w:rPr>
          <w:rFonts w:ascii="Calibri" w:hAnsi="Calibri" w:eastAsia="Calibri" w:cs="Calibri"/>
          <w:b/>
          <w:color w:val="37474F"/>
          <w:sz w:val="21"/>
          <w:szCs w:val="21"/>
        </w:rPr>
        <w:t>29</w:t>
      </w:r>
    </w:p>
    <w:p>
      <w:pPr>
        <w:pStyle w:val="TOC1"/>
      </w:pPr>
      <w:r>
        <w:rPr>
          <w:rFonts w:ascii="Calibri" w:hAnsi="Calibri" w:eastAsia="Calibri" w:cs="Calibri"/>
          <w:b/>
          <w:color w:val="37474F"/>
          <w:sz w:val="21"/>
          <w:szCs w:val="21"/>
        </w:rPr>
        <w:t>ANNEX 21: TARIFF STABILITY COMPACT</w:t>
      </w:r>
      <w:r>
        <w:rPr>
          <w:rFonts w:ascii="Calibri" w:hAnsi="Calibri"/>
          <w:b/>
          <w:color w:val="37474F"/>
          <w:sz w:val="21"/>
        </w:rPr>
        <w:tab/>
      </w:r>
      <w:r>
        <w:rPr>
          <w:rFonts w:ascii="Calibri" w:hAnsi="Calibri" w:eastAsia="Calibri" w:cs="Calibri"/>
          <w:b/>
          <w:color w:val="37474F"/>
          <w:sz w:val="21"/>
          <w:szCs w:val="21"/>
        </w:rPr>
        <w:t>30</w:t>
      </w:r>
    </w:p>
    <w:p>
      <w:pPr>
        <w:pStyle w:val="TOC1"/>
      </w:pPr>
      <w:r>
        <w:rPr>
          <w:rFonts w:ascii="Calibri" w:hAnsi="Calibri" w:eastAsia="Calibri" w:cs="Calibri"/>
          <w:b/>
          <w:color w:val="37474F"/>
          <w:sz w:val="21"/>
          <w:szCs w:val="21"/>
        </w:rPr>
        <w:t>PART C: FINANCIAL PROTOCOL</w:t>
      </w:r>
      <w:r>
        <w:rPr>
          <w:rFonts w:ascii="Calibri" w:hAnsi="Calibri"/>
          <w:b/>
          <w:color w:val="37474F"/>
          <w:sz w:val="21"/>
        </w:rPr>
        <w:tab/>
      </w:r>
      <w:r>
        <w:rPr>
          <w:rFonts w:ascii="Calibri" w:hAnsi="Calibri" w:eastAsia="Calibri" w:cs="Calibri"/>
          <w:b/>
          <w:color w:val="37474F"/>
          <w:sz w:val="21"/>
          <w:szCs w:val="21"/>
        </w:rPr>
        <w:t>31</w:t>
      </w:r>
    </w:p>
    <w:p>
      <w:pPr>
        <w:pStyle w:val="TOC1"/>
      </w:pPr>
      <w:r>
        <w:rPr>
          <w:rFonts w:ascii="Calibri" w:hAnsi="Calibri" w:eastAsia="Calibri" w:cs="Calibri"/>
          <w:b/>
          <w:color w:val="37474F"/>
          <w:sz w:val="21"/>
          <w:szCs w:val="21"/>
        </w:rPr>
        <w:t>WHAT IMESI MEANS FOR FIRMS AND FINANCIAL INSTITUTIONS</w:t>
      </w:r>
      <w:r>
        <w:rPr>
          <w:rFonts w:ascii="Calibri" w:hAnsi="Calibri"/>
          <w:b/>
          <w:color w:val="37474F"/>
          <w:sz w:val="21"/>
        </w:rPr>
        <w:tab/>
      </w:r>
      <w:r>
        <w:rPr>
          <w:rFonts w:ascii="Calibri" w:hAnsi="Calibri" w:eastAsia="Calibri" w:cs="Calibri"/>
          <w:b/>
          <w:color w:val="37474F"/>
          <w:sz w:val="21"/>
          <w:szCs w:val="21"/>
        </w:rPr>
        <w:t>31</w:t>
      </w:r>
    </w:p>
    <w:p>
      <w:pPr>
        <w:pStyle w:val="TOC1"/>
      </w:pPr>
      <w:r>
        <w:rPr>
          <w:rFonts w:ascii="Calibri" w:hAnsi="Calibri" w:eastAsia="Calibri" w:cs="Calibri"/>
          <w:b/>
          <w:color w:val="37474F"/>
          <w:sz w:val="21"/>
          <w:szCs w:val="21"/>
        </w:rPr>
        <w:t>MINIMUM VIABLE SCENARIO: TARIFF SHOCK ON A MID-SIZE MEMBER</w:t>
      </w:r>
      <w:r>
        <w:rPr>
          <w:rFonts w:ascii="Calibri" w:hAnsi="Calibri"/>
          <w:b/>
          <w:color w:val="37474F"/>
          <w:sz w:val="21"/>
        </w:rPr>
        <w:tab/>
      </w:r>
      <w:r>
        <w:rPr>
          <w:rFonts w:ascii="Calibri" w:hAnsi="Calibri" w:eastAsia="Calibri" w:cs="Calibri"/>
          <w:b/>
          <w:color w:val="37474F"/>
          <w:sz w:val="21"/>
          <w:szCs w:val="21"/>
        </w:rPr>
        <w:t>33</w:t>
      </w:r>
    </w:p>
    <w:p>
      <w:pPr>
        <w:pStyle w:val="TOC1"/>
      </w:pPr>
      <w:r>
        <w:rPr>
          <w:rFonts w:ascii="Calibri" w:hAnsi="Calibri" w:eastAsia="Calibri" w:cs="Calibri"/>
          <w:b/>
          <w:color w:val="37474F"/>
          <w:sz w:val="21"/>
          <w:szCs w:val="21"/>
        </w:rPr>
        <w:t>FULL WALKTHROUGH: DISCRIMINATORY TARIFFS AND SUPPLY-CHAIN PRESSURE</w:t>
      </w:r>
      <w:r>
        <w:rPr>
          <w:rFonts w:ascii="Calibri" w:hAnsi="Calibri"/>
          <w:b/>
          <w:color w:val="37474F"/>
          <w:sz w:val="21"/>
        </w:rPr>
        <w:tab/>
      </w:r>
      <w:r>
        <w:rPr>
          <w:rFonts w:ascii="Calibri" w:hAnsi="Calibri" w:eastAsia="Calibri" w:cs="Calibri"/>
          <w:b/>
          <w:color w:val="37474F"/>
          <w:sz w:val="21"/>
          <w:szCs w:val="21"/>
        </w:rPr>
        <w:t>34</w:t>
      </w:r>
    </w:p>
    <w:p>
      <w:pPr>
        <w:pStyle w:val="TOC1"/>
      </w:pPr>
      <w:r>
        <w:rPr>
          <w:rFonts w:ascii="Calibri" w:hAnsi="Calibri" w:eastAsia="Calibri" w:cs="Calibri"/>
          <w:b/>
          <w:color w:val="37474F"/>
          <w:sz w:val="21"/>
          <w:szCs w:val="21"/>
        </w:rPr>
        <w:t>SCENARIO F: NON-MILITARY ECONOMIC PRESSURE ON A FRONTLINE STATE</w:t>
      </w:r>
      <w:r>
        <w:rPr>
          <w:rFonts w:ascii="Calibri" w:hAnsi="Calibri"/>
          <w:b/>
          <w:color w:val="37474F"/>
          <w:sz w:val="21"/>
        </w:rPr>
        <w:tab/>
      </w:r>
      <w:r>
        <w:rPr>
          <w:rFonts w:ascii="Calibri" w:hAnsi="Calibri" w:eastAsia="Calibri" w:cs="Calibri"/>
          <w:b/>
          <w:color w:val="37474F"/>
          <w:sz w:val="21"/>
          <w:szCs w:val="21"/>
        </w:rPr>
        <w:t>36</w:t>
      </w:r>
    </w:p>
    <w:p>
      <w:pPr>
        <w:pStyle w:val="TOC1"/>
      </w:pPr>
      <w:r>
        <w:rPr>
          <w:rFonts w:ascii="Calibri" w:hAnsi="Calibri" w:eastAsia="Calibri" w:cs="Calibri"/>
          <w:b/>
          <w:color w:val="37474F"/>
          <w:sz w:val="21"/>
          <w:szCs w:val="21"/>
        </w:rPr>
        <w:t>FAQ: What If Two IMESI Members Disagree on Whether a Third State Is Coercing?</w:t>
      </w:r>
      <w:r>
        <w:rPr>
          <w:rFonts w:ascii="Calibri" w:hAnsi="Calibri"/>
          <w:b/>
          <w:color w:val="37474F"/>
          <w:sz w:val="21"/>
        </w:rPr>
        <w:tab/>
      </w:r>
      <w:r>
        <w:rPr>
          <w:rFonts w:ascii="Calibri" w:hAnsi="Calibri" w:eastAsia="Calibri" w:cs="Calibri"/>
          <w:b/>
          <w:color w:val="37474F"/>
          <w:sz w:val="21"/>
          <w:szCs w:val="21"/>
        </w:rPr>
        <w:t>36</w:t>
      </w:r>
    </w:p>
    <w:p>
      <w:pPr>
        <w:pStyle w:val="TOC1"/>
      </w:pPr>
      <w:r>
        <w:rPr>
          <w:rFonts w:ascii="Calibri" w:hAnsi="Calibri" w:eastAsia="Calibri" w:cs="Calibri"/>
          <w:b/>
          <w:color w:val="37474F"/>
          <w:sz w:val="21"/>
          <w:szCs w:val="21"/>
        </w:rPr>
        <w:t>FAQ: What If the Coercing State Is Also an IMESI Member?</w:t>
      </w:r>
      <w:r>
        <w:rPr>
          <w:rFonts w:ascii="Calibri" w:hAnsi="Calibri"/>
          <w:b/>
          <w:color w:val="37474F"/>
          <w:sz w:val="21"/>
        </w:rPr>
        <w:tab/>
      </w:r>
      <w:r>
        <w:rPr>
          <w:rFonts w:ascii="Calibri" w:hAnsi="Calibri" w:eastAsia="Calibri" w:cs="Calibri"/>
          <w:b/>
          <w:color w:val="37474F"/>
          <w:sz w:val="21"/>
          <w:szCs w:val="21"/>
        </w:rPr>
        <w:t>37</w:t>
      </w:r>
    </w:p>
    <w:p>
      <w:pPr>
        <w:pStyle w:val="TOC1"/>
      </w:pPr>
      <w:r>
        <w:rPr>
          <w:rFonts w:ascii="Calibri" w:hAnsi="Calibri" w:eastAsia="Calibri" w:cs="Calibri"/>
          <w:b/>
          <w:color w:val="37474F"/>
          <w:sz w:val="21"/>
          <w:szCs w:val="21"/>
        </w:rPr>
        <w:t>FAQ: How Does IMESI Interact with Existing Sanctions Regimes?</w:t>
      </w:r>
      <w:r>
        <w:rPr>
          <w:rFonts w:ascii="Calibri" w:hAnsi="Calibri"/>
          <w:b/>
          <w:color w:val="37474F"/>
          <w:sz w:val="21"/>
        </w:rPr>
        <w:tab/>
      </w:r>
      <w:r>
        <w:rPr>
          <w:rFonts w:ascii="Calibri" w:hAnsi="Calibri" w:eastAsia="Calibri" w:cs="Calibri"/>
          <w:b/>
          <w:color w:val="37474F"/>
          <w:sz w:val="21"/>
          <w:szCs w:val="21"/>
        </w:rPr>
        <w:t>37</w:t>
      </w:r>
    </w:p>
    <w:p>
      <w:pPr>
        <w:pStyle w:val="TOC1"/>
      </w:pPr>
      <w:r>
        <w:rPr>
          <w:rFonts w:ascii="Calibri" w:hAnsi="Calibri" w:eastAsia="Calibri" w:cs="Calibri"/>
          <w:b/>
          <w:color w:val="37474F"/>
          <w:sz w:val="21"/>
          <w:szCs w:val="21"/>
        </w:rPr>
        <w:t>PILOT SCENARIO PROPOSAL: TARIFF COERCION AGAINST SMALL AGRICULTURAL EXPORTERS</w:t>
      </w:r>
      <w:r>
        <w:rPr>
          <w:rFonts w:ascii="Calibri" w:hAnsi="Calibri"/>
          <w:b/>
          <w:color w:val="37474F"/>
          <w:sz w:val="21"/>
        </w:rPr>
        <w:tab/>
      </w:r>
      <w:r>
        <w:rPr>
          <w:rFonts w:ascii="Calibri" w:hAnsi="Calibri" w:eastAsia="Calibri" w:cs="Calibri"/>
          <w:b/>
          <w:color w:val="37474F"/>
          <w:sz w:val="21"/>
          <w:szCs w:val="21"/>
        </w:rPr>
        <w:t>37</w:t>
      </w:r>
    </w:p>
    <w:p>
      <w:pPr>
        <w:pStyle w:val="TOC1"/>
      </w:pPr>
      <w:r>
        <w:rPr>
          <w:rFonts w:ascii="Calibri" w:hAnsi="Calibri" w:eastAsia="Calibri" w:cs="Calibri"/>
          <w:b/>
          <w:color w:val="37474F"/>
          <w:sz w:val="21"/>
          <w:szCs w:val="21"/>
        </w:rPr>
        <w:t>PART D: STRATEGIC GUIDANCE, CASE STUDIES</w:t>
      </w:r>
      <w:r>
        <w:rPr>
          <w:rFonts w:ascii="Calibri" w:hAnsi="Calibri"/>
          <w:b/>
          <w:color w:val="37474F"/>
          <w:sz w:val="21"/>
        </w:rPr>
        <w:tab/>
      </w:r>
      <w:r>
        <w:rPr>
          <w:rFonts w:ascii="Calibri" w:hAnsi="Calibri" w:eastAsia="Calibri" w:cs="Calibri"/>
          <w:b/>
          <w:color w:val="37474F"/>
          <w:sz w:val="21"/>
          <w:szCs w:val="21"/>
        </w:rPr>
        <w:t>39</w:t>
      </w:r>
    </w:p>
    <w:p>
      <w:pPr>
        <w:pStyle w:val="TOC1"/>
      </w:pPr>
      <w:r>
        <w:rPr>
          <w:rFonts w:ascii="Calibri" w:hAnsi="Calibri" w:eastAsia="Calibri" w:cs="Calibri"/>
          <w:b/>
          <w:color w:val="37474F"/>
          <w:sz w:val="21"/>
          <w:szCs w:val="21"/>
        </w:rPr>
        <w:t>Scenario A: Broad-Based Trade Restriction Event</w:t>
      </w:r>
      <w:r>
        <w:rPr>
          <w:rFonts w:ascii="Calibri" w:hAnsi="Calibri"/>
          <w:b/>
          <w:color w:val="37474F"/>
          <w:sz w:val="21"/>
        </w:rPr>
        <w:tab/>
      </w:r>
      <w:r>
        <w:rPr>
          <w:rFonts w:ascii="Calibri" w:hAnsi="Calibri" w:eastAsia="Calibri" w:cs="Calibri"/>
          <w:b/>
          <w:color w:val="37474F"/>
          <w:sz w:val="21"/>
          <w:szCs w:val="21"/>
        </w:rPr>
        <w:t>39</w:t>
      </w:r>
    </w:p>
    <w:p>
      <w:pPr>
        <w:pStyle w:val="TOC1"/>
      </w:pPr>
      <w:r>
        <w:rPr>
          <w:rFonts w:ascii="Calibri" w:hAnsi="Calibri" w:eastAsia="Calibri" w:cs="Calibri"/>
          <w:b/>
          <w:color w:val="37474F"/>
          <w:sz w:val="21"/>
          <w:szCs w:val="21"/>
        </w:rPr>
        <w:t>Scenario B: Strategic Supply Disruption Event</w:t>
      </w:r>
      <w:r>
        <w:rPr>
          <w:rFonts w:ascii="Calibri" w:hAnsi="Calibri"/>
          <w:b/>
          <w:color w:val="37474F"/>
          <w:sz w:val="21"/>
        </w:rPr>
        <w:tab/>
      </w:r>
      <w:r>
        <w:rPr>
          <w:rFonts w:ascii="Calibri" w:hAnsi="Calibri" w:eastAsia="Calibri" w:cs="Calibri"/>
          <w:b/>
          <w:color w:val="37474F"/>
          <w:sz w:val="21"/>
          <w:szCs w:val="21"/>
        </w:rPr>
        <w:t>39</w:t>
      </w:r>
    </w:p>
    <w:p>
      <w:pPr>
        <w:pStyle w:val="TOC1"/>
      </w:pPr>
      <w:r>
        <w:rPr>
          <w:rFonts w:ascii="Calibri" w:hAnsi="Calibri" w:eastAsia="Calibri" w:cs="Calibri"/>
          <w:b/>
          <w:color w:val="37474F"/>
          <w:sz w:val="21"/>
          <w:szCs w:val="21"/>
        </w:rPr>
        <w:t>Scenario C: Financial System Stress Event</w:t>
      </w:r>
      <w:r>
        <w:rPr>
          <w:rFonts w:ascii="Calibri" w:hAnsi="Calibri"/>
          <w:b/>
          <w:color w:val="37474F"/>
          <w:sz w:val="21"/>
        </w:rPr>
        <w:tab/>
      </w:r>
      <w:r>
        <w:rPr>
          <w:rFonts w:ascii="Calibri" w:hAnsi="Calibri" w:eastAsia="Calibri" w:cs="Calibri"/>
          <w:b/>
          <w:color w:val="37474F"/>
          <w:sz w:val="21"/>
          <w:szCs w:val="21"/>
        </w:rPr>
        <w:t>40</w:t>
      </w:r>
    </w:p>
    <w:p>
      <w:pPr>
        <w:pStyle w:val="TOC1"/>
      </w:pPr>
      <w:r>
        <w:rPr>
          <w:rFonts w:ascii="Calibri" w:hAnsi="Calibri" w:eastAsia="Calibri" w:cs="Calibri"/>
          <w:b/>
          <w:color w:val="37474F"/>
          <w:sz w:val="21"/>
          <w:szCs w:val="21"/>
        </w:rPr>
        <w:t>Scenario D: Coalition Fragmentation Attempt</w:t>
      </w:r>
      <w:r>
        <w:rPr>
          <w:rFonts w:ascii="Calibri" w:hAnsi="Calibri"/>
          <w:b/>
          <w:color w:val="37474F"/>
          <w:sz w:val="21"/>
        </w:rPr>
        <w:tab/>
      </w:r>
      <w:r>
        <w:rPr>
          <w:rFonts w:ascii="Calibri" w:hAnsi="Calibri" w:eastAsia="Calibri" w:cs="Calibri"/>
          <w:b/>
          <w:color w:val="37474F"/>
          <w:sz w:val="21"/>
          <w:szCs w:val="21"/>
        </w:rPr>
        <w:t>40</w:t>
      </w:r>
    </w:p>
    <w:p>
      <w:pPr>
        <w:pStyle w:val="TOC1"/>
      </w:pPr>
      <w:r>
        <w:rPr>
          <w:rFonts w:ascii="Calibri" w:hAnsi="Calibri" w:eastAsia="Calibri" w:cs="Calibri"/>
          <w:b/>
          <w:color w:val="37474F"/>
          <w:sz w:val="21"/>
          <w:szCs w:val="21"/>
        </w:rPr>
        <w:t>Scenario E: Systemic Tariff Shock by a Major Economy</w:t>
      </w:r>
      <w:r>
        <w:rPr>
          <w:rFonts w:ascii="Calibri" w:hAnsi="Calibri"/>
          <w:b/>
          <w:color w:val="37474F"/>
          <w:sz w:val="21"/>
        </w:rPr>
        <w:tab/>
      </w:r>
      <w:r>
        <w:rPr>
          <w:rFonts w:ascii="Calibri" w:hAnsi="Calibri" w:eastAsia="Calibri" w:cs="Calibri"/>
          <w:b/>
          <w:color w:val="37474F"/>
          <w:sz w:val="21"/>
          <w:szCs w:val="21"/>
        </w:rPr>
        <w:t>41</w:t>
      </w:r>
      <w:r>
        <w:fldChar w:fldCharType="end"/>
      </w:r>
    </w:p>
    <w:p>
      <w:pPr>
        <w:pStyle w:val="Heading3"/>
        <w:pageBreakBefore w:val="1"/>
      </w:pPr>
      <w:r>
        <w:rPr>
          <w:rFonts w:ascii="Calibri" w:hAnsi="Calibri" w:eastAsia="Microsoft YaHei" w:cs="Calibri"/>
          <w:b/>
          <w:color w:val="546E7A"/>
          <w:sz w:val="22"/>
          <w:szCs w:val="22"/>
        </w:rPr>
        <w:t>Document Architecture Note</w:t>
      </w:r>
    </w:p>
    <w:p>
      <w:pPr>
        <w:pStyle w:val="Normal"/>
      </w:pPr>
      <w:r>
        <w:rPr>
          <w:rFonts w:ascii="Calibri" w:hAnsi="Calibri" w:eastAsia="Microsoft YaHei" w:cs="Calibri"/>
          <w:color w:val="263238"/>
          <w:sz w:val="21"/>
          <w:szCs w:val="21"/>
        </w:rPr>
        <w:t>This document forms one volume of the three-volume IMESI v15.0 architecture. Volume 1, IMESI Charter &amp; Foundational Principles v15.0, defines the authority and legitimacy of the framework. Volume 2, IMESI Operational Doctrine &amp; Response Architecture v15.0, defines the behavior and response logic. Volume 3, IMESI Technical Annexes &amp; Enforcement Mechanisms v15.0, defines the mechanics and algorithms. Each volume reads independently for its audience, and cross-references to articles and annexes remain valid across the full three-volume set. This split preserves all content of the consolidated IMESI v15.0 master document.</w:t>
      </w:r>
    </w:p>
    <w:p>
      <w:pPr>
        <w:pStyle w:val="Heading1"/>
        <w:pageBreakBefore/>
      </w:pPr>
      <w:bookmarkStart w:name="_Toc000025" w:id="25"/>
      <w:r>
        <w:rPr>
          <w:rFonts w:ascii="Calibri" w:hAnsi="Calibri" w:eastAsia="Microsoft YaHei" w:cs="Calibri"/>
          <w:b/>
          <w:color w:val="455A64"/>
          <w:sz w:val="30"/>
          <w:szCs w:val="30"/>
        </w:rPr>
        <w:t>PART B: OPERATIONAL ANNEXES</w:t>
      </w:r>
      <w:bookmarkEnd w:id="25"/>
    </w:p>
    <w:p>
      <w:pPr>
        <w:pStyle w:val="Heading1"/>
      </w:pPr>
      <w:bookmarkStart w:name="_Toc000026" w:id="26"/>
      <w:r>
        <w:rPr>
          <w:rFonts w:ascii="Calibri" w:hAnsi="Calibri" w:eastAsia="Microsoft YaHei" w:cs="Calibri"/>
          <w:b/>
          <w:color w:val="455A64"/>
          <w:sz w:val="30"/>
          <w:szCs w:val="30"/>
        </w:rPr>
        <w:t>ANNEX 1: LEGAL FOUNDATIONS AND DEFENCE</w:t>
      </w:r>
      <w:bookmarkEnd w:id="26"/>
    </w:p>
    <w:p>
      <w:pPr>
        <w:pStyle w:val="Heading3"/>
      </w:pPr>
      <w:r>
        <w:rPr>
          <w:rFonts w:ascii="Calibri" w:hAnsi="Calibri" w:eastAsia="Microsoft YaHei" w:cs="Calibri"/>
          <w:b/>
          <w:color w:val="546E7A"/>
          <w:sz w:val="22"/>
          <w:szCs w:val="22"/>
        </w:rPr>
        <w:t>Annex 1 (Addendum): Unfair Trade Allegation Standard [NEW: v12.0]</w:t>
      </w:r>
    </w:p>
    <w:p>
      <w:pPr>
        <w:pStyle w:val="Normal"/>
      </w:pPr>
      <w:r>
        <w:rPr>
          <w:rFonts w:ascii="Calibri" w:hAnsi="Calibri" w:eastAsia="Microsoft YaHei" w:cs="Calibri"/>
          <w:color w:val="263238"/>
          <w:sz w:val="21"/>
          <w:szCs w:val="21"/>
        </w:rPr>
        <w:t>IMESI Members recognise that allegations of unfair trade practices frequently serve as pretext for economic coercion. Allegations unsupported by WTO-compliant findings, applied discriminatorily, or linked to non-trade demands constitute evidence of coercion rather than legitimate trade remedy.</w:t>
      </w:r>
    </w:p>
    <w:p>
      <w:pPr>
        <w:pStyle w:val="Heading3"/>
      </w:pPr>
      <w:r>
        <w:rPr>
          <w:rFonts w:ascii="Calibri" w:hAnsi="Calibri" w:eastAsia="Microsoft YaHei" w:cs="Calibri"/>
          <w:b/>
          <w:color w:val="546E7A"/>
          <w:sz w:val="22"/>
          <w:szCs w:val="22"/>
        </w:rPr>
        <w:t>Annex 1 (Second Addendum): Forced Labour and Human Rights Verification Standard [NEW: v12.0]</w:t>
      </w:r>
    </w:p>
    <w:p>
      <w:pPr>
        <w:pStyle w:val="Normal"/>
      </w:pPr>
      <w:r>
        <w:rPr>
          <w:rFonts w:ascii="Calibri" w:hAnsi="Calibri" w:eastAsia="Microsoft YaHei" w:cs="Calibri"/>
          <w:color w:val="263238"/>
          <w:sz w:val="21"/>
          <w:szCs w:val="21"/>
        </w:rPr>
        <w:t>Allegations of forced labour, human rights violations, or public health concerns undergo IEWC verification through independent third-party assessment before serving as justification for tariffs countered under this Instrument. Unilateral, non-verified allegations resulting in trade restrictions constitute Constructive Coercion under Section 2.1A.</w:t>
      </w:r>
    </w:p>
    <w:p>
      <w:pPr>
        <w:pStyle w:val="Heading3"/>
      </w:pPr>
      <w:r>
        <w:rPr>
          <w:rFonts w:ascii="Calibri" w:hAnsi="Calibri" w:eastAsia="Microsoft YaHei" w:cs="Calibri"/>
          <w:b/>
          <w:color w:val="546E7A"/>
          <w:sz w:val="22"/>
          <w:szCs w:val="22"/>
        </w:rPr>
        <w:t>Annex 1 (Third Addendum): Trade-Partner Compatibility Certification [NEW: v12.0]</w:t>
      </w:r>
    </w:p>
    <w:p>
      <w:pPr>
        <w:pStyle w:val="Normal"/>
      </w:pPr>
      <w:r>
        <w:rPr>
          <w:rFonts w:ascii="Calibri" w:hAnsi="Calibri" w:eastAsia="Microsoft YaHei" w:cs="Calibri"/>
          <w:color w:val="263238"/>
          <w:sz w:val="21"/>
          <w:szCs w:val="21"/>
        </w:rPr>
        <w:t>The Secretariat maintains a Trade-Partner Compatibility Certification for IMESI Members, demonstrating that IMESI participation violates no law, treaty, or bilateral commitment of any major trading partner. The Certification serves as a legal defence against claims that IMESI membership creates conflicts with existing obligations.</w:t>
      </w:r>
    </w:p>
    <w:p>
      <w:pPr>
        <w:pStyle w:val="Normal"/>
      </w:pPr>
      <w:r>
        <w:rPr>
          <w:rFonts w:ascii="Calibri" w:hAnsi="Calibri" w:eastAsia="Microsoft YaHei" w:cs="Calibri"/>
          <w:color w:val="263238"/>
          <w:sz w:val="21"/>
          <w:szCs w:val="21"/>
        </w:rPr>
        <w:t>IMESI stabilisation measures are grounded in established international law:</w:t>
      </w:r>
    </w:p>
    <w:p>
      <w:pPr>
        <w:pStyle w:val="Normal"/>
      </w:pPr>
      <w:r>
        <w:rPr>
          <w:rFonts w:ascii="Calibri" w:hAnsi="Calibri" w:eastAsia="Microsoft YaHei" w:cs="Calibri"/>
          <w:color w:val="263238"/>
          <w:sz w:val="21"/>
          <w:szCs w:val="21"/>
        </w:rPr>
        <w:t>Customary international law on economic coercion: states have the right to take proportionate stabilisation measures in response to internationally wrongful acts</w:t>
      </w:r>
    </w:p>
    <w:p>
      <w:pPr>
        <w:pStyle w:val="Normal"/>
        <w:numPr>
          <w:ilvl w:val="0"/>
          <w:numId w:val="1"/>
        </w:numPr>
      </w:pPr>
      <w:r>
        <w:rPr>
          <w:rFonts w:ascii="Calibri" w:hAnsi="Calibri" w:eastAsia="Microsoft YaHei" w:cs="Calibri"/>
          <w:color w:val="263238"/>
          <w:sz w:val="21"/>
          <w:szCs w:val="21"/>
        </w:rPr>
        <w:t>Articles on State Responsibility (ASR): stabilisation measures are lawful when proportionate, reversible, and directed at inducing compliance with international obligations</w:t>
      </w:r>
    </w:p>
    <w:p>
      <w:pPr>
        <w:pStyle w:val="Normal"/>
        <w:numPr>
          <w:ilvl w:val="0"/>
          <w:numId w:val="1"/>
        </w:numPr>
      </w:pPr>
      <w:r>
        <w:rPr>
          <w:rFonts w:ascii="Calibri" w:hAnsi="Calibri" w:eastAsia="Microsoft YaHei" w:cs="Calibri"/>
          <w:color w:val="263238"/>
          <w:sz w:val="21"/>
          <w:szCs w:val="21"/>
        </w:rPr>
        <w:t>WTO Article XXI security exceptions: measures taken in time of emergency in international relations</w:t>
      </w:r>
    </w:p>
    <w:p>
      <w:pPr>
        <w:pStyle w:val="Normal"/>
        <w:numPr>
          <w:ilvl w:val="0"/>
          <w:numId w:val="1"/>
        </w:numPr>
      </w:pPr>
      <w:r>
        <w:rPr>
          <w:rFonts w:ascii="Calibri" w:hAnsi="Calibri" w:eastAsia="Microsoft YaHei" w:cs="Calibri"/>
          <w:color w:val="263238"/>
          <w:sz w:val="21"/>
          <w:szCs w:val="21"/>
        </w:rPr>
        <w:t>Investment treaty security exceptions: carve-outs for essential security interests in bilateral investment treaties</w:t>
      </w:r>
    </w:p>
    <w:p>
      <w:pPr>
        <w:pStyle w:val="Normal"/>
        <w:numPr>
          <w:ilvl w:val="0"/>
          <w:numId w:val="1"/>
        </w:numPr>
      </w:pPr>
      <w:r>
        <w:rPr>
          <w:rFonts w:ascii="Calibri" w:hAnsi="Calibri" w:eastAsia="Microsoft YaHei" w:cs="Calibri"/>
          <w:color w:val="263238"/>
          <w:sz w:val="21"/>
          <w:szCs w:val="21"/>
        </w:rPr>
        <w:t>Responses to anticipated legal challenges: IMESI provides comprehensive legal defence frameworks for member use in international proceedings</w:t>
      </w:r>
    </w:p>
    <w:p>
      <w:pPr>
        <w:pStyle w:val="Normal"/>
      </w:pPr>
      <w:r>
        <w:rPr>
          <w:rFonts w:ascii="Calibri" w:hAnsi="Calibri" w:eastAsia="Microsoft YaHei" w:cs="Calibri"/>
          <w:color w:val="263238"/>
          <w:sz w:val="21"/>
          <w:szCs w:val="21"/>
        </w:rPr>
        <w:t>Annex 1 (Addendum): Complementarity with Existing Fora [NEW: v9.8A Political Inoculation]</w:t>
      </w:r>
    </w:p>
    <w:p>
      <w:pPr>
        <w:pStyle w:val="Normal"/>
      </w:pPr>
      <w:r>
        <w:rPr>
          <w:rFonts w:ascii="Calibri" w:hAnsi="Calibri" w:eastAsia="Microsoft YaHei" w:cs="Calibri"/>
          <w:color w:val="263238"/>
          <w:sz w:val="21"/>
          <w:szCs w:val="21"/>
        </w:rPr>
        <w:t>IMESI procedures and findings are prohibited from replacing or preclude recourse to the World Trade Organization, IMF, or other applicable dispute-settlement fora. Where appropriate, Members seek to frame IMESI stabilisation measures in a manner that supports, and does not undermine, multilateral adjudication, including by coordinating legal positions and avoiding contradictory interpretations of core treaty obligations.</w:t>
      </w:r>
    </w:p>
    <w:p>
      <w:pPr>
        <w:pStyle w:val="Normal"/>
      </w:pPr>
      <w:r>
        <w:rPr>
          <w:rFonts w:ascii="Calibri" w:hAnsi="Calibri" w:eastAsia="Microsoft YaHei" w:cs="Calibri"/>
          <w:color w:val="263238"/>
          <w:sz w:val="21"/>
          <w:szCs w:val="21"/>
        </w:rPr>
        <w:t>Annex 1 (Addendum): Compatibility Assurance Protocol for Existing Frameworks [NEW: v9.8A Adoption Readiness]</w:t>
      </w:r>
    </w:p>
    <w:p>
      <w:pPr>
        <w:pStyle w:val="Normal"/>
      </w:pPr>
      <w:r>
        <w:rPr>
          <w:rFonts w:ascii="Calibri" w:hAnsi="Calibri" w:eastAsia="Microsoft YaHei" w:cs="Calibri"/>
          <w:color w:val="263238"/>
          <w:sz w:val="21"/>
          <w:szCs w:val="21"/>
        </w:rPr>
        <w:t>IMESI actions are designed to be legally defensible under existing international frameworks wherever possible. To this end:</w:t>
      </w:r>
    </w:p>
    <w:p>
      <w:pPr>
        <w:pStyle w:val="Normal"/>
      </w:pPr>
      <w:r>
        <w:rPr>
          <w:rFonts w:ascii="Calibri" w:hAnsi="Calibri" w:eastAsia="Microsoft YaHei" w:cs="Calibri"/>
          <w:color w:val="263238"/>
          <w:sz w:val="21"/>
          <w:szCs w:val="21"/>
        </w:rPr>
        <w:t>(a) The Secretariat maintains a Model Legal Justifications Library containing template legal arguments for IMESI measures under GATT Articles XX, XXI, and XXIV; IMF Articles of Agreement; bilateral investment treaties; and major regional trade agreements (EU, CPTPP, RCEP, AfCFTA, USMCA);</w:t>
      </w:r>
    </w:p>
    <w:p>
      <w:pPr>
        <w:pStyle w:val="Normal"/>
      </w:pPr>
      <w:r>
        <w:rPr>
          <w:rFonts w:ascii="Calibri" w:hAnsi="Calibri" w:eastAsia="Microsoft YaHei" w:cs="Calibri"/>
          <w:color w:val="263238"/>
          <w:sz w:val="21"/>
          <w:szCs w:val="21"/>
        </w:rPr>
        <w:t>(b) Before any Phase 2+ activation, the Secretariat prepares a Compatibility Assessment demonstrating how proposed measures are framed within at least two existing international legal frameworks;</w:t>
      </w:r>
    </w:p>
    <w:p>
      <w:pPr>
        <w:pStyle w:val="Normal"/>
      </w:pPr>
      <w:r>
        <w:rPr>
          <w:rFonts w:ascii="Calibri" w:hAnsi="Calibri" w:eastAsia="Microsoft YaHei" w:cs="Calibri"/>
          <w:color w:val="263238"/>
          <w:sz w:val="21"/>
          <w:szCs w:val="21"/>
        </w:rPr>
        <w:t>(c) Members are not asked to implement measures that the Secretariat assesses as having less than a reasonable prospect of legal defensibility under the Member's existing treaty obligations;</w:t>
      </w:r>
    </w:p>
    <w:p>
      <w:pPr>
        <w:pStyle w:val="Normal"/>
      </w:pPr>
      <w:r>
        <w:rPr>
          <w:rFonts w:ascii="Calibri" w:hAnsi="Calibri" w:eastAsia="Microsoft YaHei" w:cs="Calibri"/>
          <w:color w:val="263238"/>
          <w:sz w:val="21"/>
          <w:szCs w:val="21"/>
        </w:rPr>
        <w:t>(d) The Secretariat offers Members model domestic legislation and regulatory templates for implementing IMESI measures in a manner consistent with their existing FTA, BIT, and WTO commitments.</w:t>
      </w:r>
    </w:p>
    <w:p>
      <w:pPr>
        <w:pStyle w:val="Normal"/>
      </w:pPr>
      <w:r>
        <w:rPr>
          <w:rFonts w:ascii="Calibri" w:hAnsi="Calibri" w:eastAsia="Microsoft YaHei" w:cs="Calibri"/>
          <w:color w:val="263238"/>
          <w:sz w:val="21"/>
          <w:szCs w:val="21"/>
        </w:rPr>
        <w:t>This protocol reduces legal hesitation, helps government lawyers sign off faster, and accelerates real-world adoption by ensuring IMESI operates within, not against, the existing international legal order.</w:t>
      </w:r>
    </w:p>
    <w:p>
      <w:pPr>
        <w:pStyle w:val="Normal"/>
      </w:pPr>
      <w:r>
        <w:rPr>
          <w:rFonts w:ascii="Calibri" w:hAnsi="Calibri" w:eastAsia="Microsoft YaHei" w:cs="Calibri"/>
          <w:color w:val="263238"/>
          <w:sz w:val="21"/>
          <w:szCs w:val="21"/>
        </w:rPr>
        <w:t>Annex 1 (Addendum): IMESI-International Framework Compatibility Matrix [NEW: v9.8A Operational Accessibility]</w:t>
      </w:r>
    </w:p>
    <w:p>
      <w:pPr>
        <w:pStyle w:val="Normal"/>
      </w:pPr>
      <w:r>
        <w:rPr>
          <w:rFonts w:ascii="Calibri" w:hAnsi="Calibri" w:eastAsia="Microsoft YaHei" w:cs="Calibri"/>
          <w:color w:val="263238"/>
          <w:sz w:val="21"/>
          <w:szCs w:val="21"/>
        </w:rPr>
        <w:t>How each major IMESI tool is designed to be compatible with existing international frameworks:</w:t>
      </w:r>
    </w:p>
    <w:p>
      <w:pPr>
        <w:pStyle w:val="Normal"/>
      </w:pPr>
      <w:r>
        <w:rPr>
          <w:rFonts w:ascii="Calibri" w:hAnsi="Calibri" w:eastAsia="Microsoft YaHei" w:cs="Calibri"/>
          <w:color w:val="263238"/>
          <w:sz w:val="21"/>
          <w:szCs w:val="21"/>
        </w:rPr>
        <w:t>Tariff Responses</w:t>
      </w:r>
    </w:p>
    <w:p>
      <w:pPr>
        <w:pStyle w:val="Normal"/>
      </w:pPr>
      <w:r>
        <w:rPr>
          <w:rFonts w:ascii="Calibri" w:hAnsi="Calibri" w:eastAsia="Microsoft YaHei" w:cs="Calibri"/>
          <w:color w:val="263238"/>
          <w:sz w:val="21"/>
          <w:szCs w:val="21"/>
        </w:rPr>
        <w:t>WTO: justified under GATT Article XXI (security exceptions) and Article XX (general exceptions); Compatibility Assurance Protocol provides model legal arguments (Annex 1). IMF: no conflict (tariffs outside IMF mandate). FTAs: designed within existing safeguard clauses; model domestic legislation templates available. Regional agreements: coordinated through Members' existing FTA consultation mechanisms.</w:t>
      </w:r>
    </w:p>
    <w:p>
      <w:pPr>
        <w:pStyle w:val="Normal"/>
      </w:pPr>
      <w:r>
        <w:rPr>
          <w:rFonts w:ascii="Calibri" w:hAnsi="Calibri" w:eastAsia="Microsoft YaHei" w:cs="Calibri"/>
          <w:color w:val="263238"/>
          <w:sz w:val="21"/>
          <w:szCs w:val="21"/>
        </w:rPr>
        <w:t>Liquidity Windows and Swap Lines</w:t>
      </w:r>
    </w:p>
    <w:p>
      <w:pPr>
        <w:pStyle w:val="Normal"/>
      </w:pPr>
      <w:r>
        <w:rPr>
          <w:rFonts w:ascii="Calibri" w:hAnsi="Calibri" w:eastAsia="Microsoft YaHei" w:cs="Calibri"/>
          <w:color w:val="263238"/>
          <w:sz w:val="21"/>
          <w:szCs w:val="21"/>
        </w:rPr>
        <w:t>WTO: no conflict (financial stability measures). IMF: consistent with IMF Articles of Agreement; Debt Service Bridge requires IMF surveillance (Section 8.18A). FTAs: no conflict. Regional agreements: compatible with regional monetary cooperation frameworks.</w:t>
      </w:r>
    </w:p>
    <w:p>
      <w:pPr>
        <w:pStyle w:val="Normal"/>
      </w:pPr>
      <w:r>
        <w:rPr>
          <w:rFonts w:ascii="Calibri" w:hAnsi="Calibri" w:eastAsia="Microsoft YaHei" w:cs="Calibri"/>
          <w:color w:val="263238"/>
          <w:sz w:val="21"/>
          <w:szCs w:val="21"/>
        </w:rPr>
        <w:t>SFI Activation and Settlement Preferences</w:t>
      </w:r>
    </w:p>
    <w:p>
      <w:pPr>
        <w:pStyle w:val="Normal"/>
      </w:pPr>
      <w:r>
        <w:rPr>
          <w:rFonts w:ascii="Calibri" w:hAnsi="Calibri" w:eastAsia="Microsoft YaHei" w:cs="Calibri"/>
          <w:color w:val="263238"/>
          <w:sz w:val="21"/>
          <w:szCs w:val="21"/>
        </w:rPr>
        <w:t>WTO: framed as voluntary financial infrastructure, not trade restriction. IMF: Currency and Origin Neutrality Clause ensures consistency (Section 8.10H). FTAs: settlement preferences operate alongside, not against, existing clearing arrangements. Regional agreements: SFI nodes located across regions to avoid perception of competing infrastructure.</w:t>
      </w:r>
    </w:p>
    <w:p>
      <w:pPr>
        <w:pStyle w:val="Normal"/>
      </w:pPr>
      <w:r>
        <w:rPr>
          <w:rFonts w:ascii="Calibri" w:hAnsi="Calibri" w:eastAsia="Microsoft YaHei" w:cs="Calibri"/>
          <w:color w:val="263238"/>
          <w:sz w:val="21"/>
          <w:szCs w:val="21"/>
        </w:rPr>
        <w:t>GSD/SND Stabilisation</w:t>
      </w:r>
    </w:p>
    <w:p>
      <w:pPr>
        <w:pStyle w:val="Normal"/>
      </w:pPr>
      <w:r>
        <w:rPr>
          <w:rFonts w:ascii="Calibri" w:hAnsi="Calibri" w:eastAsia="Microsoft YaHei" w:cs="Calibri"/>
          <w:color w:val="263238"/>
          <w:sz w:val="21"/>
          <w:szCs w:val="21"/>
        </w:rPr>
        <w:t>WTO: stabilisation-first approach avoids WTO conflicts; trade restrictions only as last resort (Section 1.4D). IMF: mandatory IMF consultation before GSD/SND measures. FTAs: existing force majeure and safeguard clauses provide legal basis. Regional agreements: complementary to regional crisis-response mechanisms.</w:t>
      </w:r>
    </w:p>
    <w:p>
      <w:pPr>
        <w:pStyle w:val="Normal"/>
      </w:pPr>
      <w:r>
        <w:rPr>
          <w:rFonts w:ascii="Calibri" w:hAnsi="Calibri" w:eastAsia="Microsoft YaHei" w:cs="Calibri"/>
          <w:color w:val="263238"/>
          <w:sz w:val="21"/>
          <w:szCs w:val="21"/>
        </w:rPr>
        <w:t>Annex 1A.1 (Addendum): WTO Defensive Framing [NEW: v10.0]</w:t>
      </w:r>
    </w:p>
    <w:p>
      <w:pPr>
        <w:pStyle w:val="Normal"/>
      </w:pPr>
      <w:r>
        <w:rPr>
          <w:rFonts w:ascii="Calibri" w:hAnsi="Calibri" w:eastAsia="Microsoft YaHei" w:cs="Calibri"/>
          <w:color w:val="263238"/>
          <w:sz w:val="21"/>
          <w:szCs w:val="21"/>
        </w:rPr>
        <w:t>IMESI response measures are defended, as appropriate, under existing multilateral disciplines including security exceptions, balance-of-payments safeguards, and systemic-risk mitigation rationales, in addition to standard necessity and proportionality tests. This Annex provides model reasoning for Members electing to rely on such defences in relevant fora. Members, where relevant, draw on the model legal reasoning contained in the WTO Defence-in-Depth Protocol when defending IMESI-related measures in multilateral dispute-settlement or review processes.</w:t>
      </w:r>
    </w:p>
    <w:p>
      <w:pPr>
        <w:pStyle w:val="Heading1"/>
      </w:pPr>
      <w:bookmarkStart w:name="_Toc000027" w:id="27"/>
      <w:r>
        <w:rPr>
          <w:rFonts w:ascii="Calibri" w:hAnsi="Calibri" w:eastAsia="Microsoft YaHei" w:cs="Calibri"/>
          <w:b/>
          <w:color w:val="455A64"/>
          <w:sz w:val="30"/>
          <w:szCs w:val="30"/>
        </w:rPr>
        <w:t>ANNEX 1A: WTO COMPATIBILITY AND REINFORCEMENT PROTOCOL</w:t>
      </w:r>
      <w:bookmarkEnd w:id="27"/>
    </w:p>
    <w:p>
      <w:pPr>
        <w:pStyle w:val="Heading3"/>
      </w:pPr>
      <w:r>
        <w:rPr>
          <w:rFonts w:ascii="Calibri" w:hAnsi="Calibri" w:eastAsia="Microsoft YaHei" w:cs="Calibri"/>
          <w:b/>
          <w:color w:val="546E7A"/>
          <w:sz w:val="22"/>
          <w:szCs w:val="22"/>
        </w:rPr>
        <w:t>Annex 1A (Addendum): Pre-Emptive WTO Notice [NEW: v12.0]</w:t>
      </w:r>
    </w:p>
    <w:p>
      <w:pPr>
        <w:pStyle w:val="Normal"/>
      </w:pPr>
      <w:r>
        <w:rPr>
          <w:rFonts w:ascii="Calibri" w:hAnsi="Calibri" w:eastAsia="Microsoft YaHei" w:cs="Calibri"/>
          <w:color w:val="263238"/>
          <w:sz w:val="21"/>
          <w:szCs w:val="21"/>
        </w:rPr>
        <w:t>IMESI files a formal WTO notification of its formation and operational framework within 30 days of the founding conference. The notification includes the legal justification under GATT Article XXIV for regional integration, registering IMESI as a WTO-compatible arrangement before any challenge arises.</w:t>
      </w:r>
    </w:p>
    <w:p>
      <w:pPr>
        <w:pStyle w:val="Normal"/>
      </w:pPr>
      <w:r>
        <w:rPr>
          <w:rFonts w:ascii="Calibri" w:hAnsi="Calibri" w:eastAsia="Microsoft YaHei" w:cs="Calibri"/>
          <w:color w:val="263238"/>
          <w:sz w:val="21"/>
          <w:szCs w:val="21"/>
        </w:rPr>
        <w:t>WTO Deference (v9.5): IMESI is interpreted and applied in a manner consistent with members' rights and obligations under the WTO Agreements. Members remain committed, where feasible, to pursuing and engaging in WTO dispute settlement; IMESI responses are without prejudice to WTO proceedings. In the event of conflict between IMESI obligations and WTO commitments, members seek to reconcile the two in good faith, with WTO obligations taking precedence absent a specific Coordination Committee determination under Article V. Foundational Principle: IMESI operates within the multilateral trading system, not parallel to it. All stabilisation measures are designed to: preserve WTO-bound tariff commitments where possible; utilise GATT Article XXI (security exceptions) and Article XX (general exceptions) as primary legal basis; support, not pre-empt, WTO dispute settlement where functioning.</w:t>
      </w:r>
    </w:p>
    <w:p>
      <w:pPr>
        <w:pStyle w:val="Normal"/>
      </w:pPr>
      <w:r>
        <w:rPr>
          <w:rFonts w:ascii="Calibri" w:hAnsi="Calibri" w:eastAsia="Microsoft YaHei" w:cs="Calibri"/>
          <w:color w:val="263238"/>
          <w:sz w:val="21"/>
          <w:szCs w:val="21"/>
        </w:rPr>
        <w:t>WTO NOTIFICATION AND COMPATIBILITY CONSULTATION Phase 0 (24 hours): Informal DG-to-DG heads-up to the WTO Director-General when measures are likely to affect WTO-covered trade. Phase 1 (48 hours): Formal written notification to the WTO Committee on Trade and Development: summary of AESI/coercion; IMESI legal basis; intended WTO legal basis (GATT Article XX, XXI); expected duration and scope. Phase 2+ (72 hours): Invitation to WTO Secretariat to provide a non-binding technical assessment of WTO-law implications, with reference to GATT Articles XX and XXI. Major Measures (14 days): Where measures projected to affect &gt;1% of any member's GDP, request an advisory compatibility opinion from WTO Secretariat, considered alongside the Proportionality Certification Memo (Section 5.3A.2).</w:t>
      </w:r>
    </w:p>
    <w:p>
      <w:pPr>
        <w:pStyle w:val="Normal"/>
      </w:pPr>
      <w:r>
        <w:rPr>
          <w:rFonts w:ascii="Calibri" w:hAnsi="Calibri" w:eastAsia="Microsoft YaHei" w:cs="Calibri"/>
          <w:color w:val="263238"/>
          <w:sz w:val="21"/>
          <w:szCs w:val="21"/>
        </w:rPr>
        <w:t>Non-Binding Status: Any WTO assessment is strictly non-binding and does not create additional obligations or interpret WTO law. Override Authority: The CC, by 60% weighted vote, authorises measures deviating from an adverse WTO opinion, provided the Proportionality Memo explains reasons and identifies mitigation.</w:t>
      </w:r>
    </w:p>
    <w:p>
      <w:pPr>
        <w:pStyle w:val="Normal"/>
      </w:pPr>
      <w:r>
        <w:rPr>
          <w:rFonts w:ascii="Calibri" w:hAnsi="Calibri" w:eastAsia="Microsoft YaHei" w:cs="Calibri"/>
          <w:color w:val="263238"/>
          <w:sz w:val="21"/>
          <w:szCs w:val="21"/>
        </w:rPr>
        <w:t>WTO DISPUTE SEQUENCING AND COLLECTIVE DEFENCE Intra-IMESI Restraint: Members, as far as consistent with WTO obligations, refrain from initiating new WTO disputes against each other challenging IMESI-authorised measures during active cases. Existing Disputes: Where an intra-member WTO dispute already exists, parties seek in good faith to suspend or place on procedural standstill for up to 180 days, renewable by mutual agreement. Common Defence: For WTO disputes brought by non-members, the Secretariat coordinates a common defence package: sharing IEWC findings, Proportionality Memos, and Annex 1 legal analysis; facilitating coordinated submissions. Settlement Notification: Prior CC notification required before any member concludes a bilateral settlement of a WTO dispute involving IMESI measures. MC14 Alignment: The Coordination Committee reviews WTO Ministerial Conference outcomes within 30 days of conclusion and propose amendments to ensure consistency with agreed WTO reform directions.</w:t>
      </w:r>
    </w:p>
    <w:p>
      <w:pPr>
        <w:pStyle w:val="Heading3"/>
      </w:pPr>
      <w:r>
        <w:rPr>
          <w:rFonts w:ascii="Calibri" w:hAnsi="Calibri" w:eastAsia="Microsoft YaHei" w:cs="Calibri"/>
          <w:b/>
          <w:color w:val="546E7A"/>
          <w:sz w:val="22"/>
          <w:szCs w:val="22"/>
        </w:rPr>
        <w:t>Annex 1A (Second Addendum): WTO Plurilateral Notification [NEW: v15.0]</w:t>
      </w:r>
    </w:p>
    <w:p>
      <w:pPr>
        <w:pStyle w:val="Normal"/>
      </w:pPr>
      <w:r>
        <w:rPr>
          <w:rFonts w:ascii="Calibri" w:hAnsi="Calibri" w:eastAsia="Microsoft YaHei" w:cs="Calibri"/>
          <w:color w:val="263238"/>
          <w:sz w:val="21"/>
          <w:szCs w:val="21"/>
        </w:rPr>
        <w:t>(g) The Secretariat files, within 30 days of entry into force, a formal notification with the WTO Director-General, registering this Instrument as a plurilateral mutual insurance agreement.</w:t>
      </w:r>
    </w:p>
    <w:p>
      <w:pPr>
        <w:pStyle w:val="Normal"/>
      </w:pPr>
      <w:r>
        <w:rPr>
          <w:rFonts w:ascii="Calibri" w:hAnsi="Calibri" w:eastAsia="Microsoft YaHei" w:cs="Calibri"/>
          <w:color w:val="263238"/>
          <w:sz w:val="21"/>
          <w:szCs w:val="21"/>
        </w:rPr>
        <w:t>(h) The notification: (i) describes the purpose and nature of the Instrument; (ii) cites GATT Article XXI as the primary legal basis for the measures authorised; (iii) affirms the Instrument's open, non-discriminatory accession framework (Observer+ status); and (iv) requests that the Instrument be considered for inclusion in Annex 4 (Plurilateral Trade Agreements) of the WTO Agreement.</w:t>
      </w:r>
    </w:p>
    <w:p>
      <w:pPr>
        <w:pStyle w:val="Normal"/>
      </w:pPr>
      <w:r>
        <w:rPr>
          <w:rFonts w:ascii="Calibri" w:hAnsi="Calibri" w:eastAsia="Microsoft YaHei" w:cs="Calibri"/>
          <w:color w:val="263238"/>
          <w:sz w:val="21"/>
          <w:szCs w:val="21"/>
        </w:rPr>
        <w:t>(i) The Secretariat seeks observer status with the WTO Committee on Trade and Development and the Committee on Regional Trade Agreements.</w:t>
      </w:r>
    </w:p>
    <w:p>
      <w:pPr>
        <w:pStyle w:val="Normal"/>
      </w:pPr>
      <w:r>
        <w:rPr>
          <w:rFonts w:ascii="Calibri" w:hAnsi="Calibri" w:eastAsia="Microsoft YaHei" w:cs="Calibri"/>
          <w:color w:val="263238"/>
          <w:sz w:val="21"/>
          <w:szCs w:val="21"/>
        </w:rPr>
        <w:t>Rationale: Formal notification creates a legal record and opens a dialogue, preventing any single state from defining IMESI's status unilaterally. This also positions IMESI for eventual integration into the WTO's plurilateral framework.</w:t>
      </w:r>
    </w:p>
    <w:p>
      <w:pPr>
        <w:pStyle w:val="Heading1"/>
      </w:pPr>
      <w:bookmarkStart w:name="_Toc000029" w:id="29"/>
      <w:r>
        <w:rPr>
          <w:rFonts w:ascii="Calibri" w:hAnsi="Calibri" w:eastAsia="Microsoft YaHei" w:cs="Calibri"/>
          <w:b/>
          <w:color w:val="455A64"/>
          <w:sz w:val="30"/>
          <w:szCs w:val="30"/>
        </w:rPr>
        <w:t>ANNEX 1A.2: WTO INTEGRATION ROADMAP</w:t>
      </w:r>
      <w:bookmarkEnd w:id="29"/>
    </w:p>
    <w:p>
      <w:pPr>
        <w:pStyle w:val="Heading3"/>
      </w:pPr>
      <w:r>
        <w:rPr>
          <w:rFonts w:ascii="Calibri" w:hAnsi="Calibri" w:eastAsia="Microsoft YaHei" w:cs="Calibri"/>
          <w:b/>
          <w:color w:val="546E7A"/>
          <w:sz w:val="22"/>
          <w:szCs w:val="22"/>
        </w:rPr>
        <w:t>Annex 1A.2 (Addendum): GATT Article XXIV Plurilateral Recognition [NEW: v12.0]</w:t>
      </w:r>
    </w:p>
    <w:p>
      <w:pPr>
        <w:pStyle w:val="Normal"/>
      </w:pPr>
      <w:r>
        <w:rPr>
          <w:rFonts w:ascii="Calibri" w:hAnsi="Calibri" w:eastAsia="Microsoft YaHei" w:cs="Calibri"/>
          <w:color w:val="263238"/>
          <w:sz w:val="21"/>
          <w:szCs w:val="21"/>
        </w:rPr>
        <w:t>IMESI seeks recognition as a legitimate plurilateral mutual insurance mechanism under GATT Article XXIV, consistent with the understanding that such arrangements cover substantially all trade between parties in a manner that does not raise barriers to non-members.</w:t>
      </w:r>
    </w:p>
    <w:p>
      <w:pPr>
        <w:pStyle w:val="Heading3"/>
      </w:pPr>
      <w:r>
        <w:rPr>
          <w:rFonts w:ascii="Calibri" w:hAnsi="Calibri" w:eastAsia="Microsoft YaHei" w:cs="Calibri"/>
          <w:b/>
          <w:color w:val="546E7A"/>
          <w:sz w:val="22"/>
          <w:szCs w:val="22"/>
        </w:rPr>
        <w:t>Annex 1A.3: Standard WTO Notification Format [NEW: v12.0]</w:t>
      </w:r>
    </w:p>
    <w:p>
      <w:pPr>
        <w:pStyle w:val="Normal"/>
      </w:pPr>
      <w:r>
        <w:rPr>
          <w:rFonts w:ascii="Calibri" w:hAnsi="Calibri" w:eastAsia="Microsoft YaHei" w:cs="Calibri"/>
          <w:color w:val="263238"/>
          <w:sz w:val="21"/>
          <w:szCs w:val="21"/>
        </w:rPr>
        <w:t>Every measure notification to the WTO follows a standard format specifying: the legal basis under GATT Article XX or XXI; the measures imposed; the expected duration; the affected products and services; and a contact point for consultations.</w:t>
      </w:r>
    </w:p>
    <w:p>
      <w:pPr>
        <w:pStyle w:val="Normal"/>
      </w:pPr>
      <w:r>
        <w:rPr>
          <w:rFonts w:ascii="Calibri" w:hAnsi="Calibri" w:eastAsia="Microsoft YaHei" w:cs="Calibri"/>
          <w:color w:val="263238"/>
          <w:sz w:val="21"/>
          <w:szCs w:val="21"/>
        </w:rPr>
        <w:t>Without prejudice to current WTO rights and obligations, the Secretariat is mandated, subject to CC guidance, to explore a plurilateral framework within the WTO system for mutual economic security arrangements. MC Text Authority: The CC, by 55% weighted vote, instructs the Secretariat to prepare draft Ministerial Conference text clarifying that stabilisation measures responding to documented coercion is notified as plurilateral mutual insurance compatible with WTO. Aspirational: This roadmap is aspirational; failure to secure plurilateral status does not affect IMESI validity. Year 10 Review: The Year 10 Grand Review Convention reviews progress and decide (55% CC vote) whether to continue, modify, or discontinue.</w:t>
      </w:r>
    </w:p>
    <w:p>
      <w:pPr>
        <w:pStyle w:val="Heading1"/>
      </w:pPr>
      <w:bookmarkStart w:name="_Toc000032" w:id="32"/>
      <w:r>
        <w:rPr>
          <w:rFonts w:ascii="Calibri" w:hAnsi="Calibri" w:eastAsia="Microsoft YaHei" w:cs="Calibri"/>
          <w:b/>
          <w:color w:val="455A64"/>
          <w:sz w:val="30"/>
          <w:szCs w:val="30"/>
        </w:rPr>
        <w:t>ANNEX 2: PROPORTIONALITY GUIDELINES MATRIX</w:t>
      </w:r>
      <w:bookmarkEnd w:id="32"/>
    </w:p>
    <w:p>
      <w:pPr>
        <w:pStyle w:val="Normal"/>
      </w:pPr>
      <w:r>
        <w:rPr>
          <w:rFonts w:ascii="Calibri" w:hAnsi="Calibri" w:eastAsia="Microsoft YaHei" w:cs="Calibri"/>
          <w:color w:val="263238"/>
          <w:sz w:val="21"/>
          <w:szCs w:val="21"/>
        </w:rPr>
        <w:t>Three-Phase Escalation Ladder:</w:t>
      </w:r>
    </w:p>
    <w:p>
      <w:pPr>
        <w:pStyle w:val="Normal"/>
      </w:pPr>
      <w:r>
        <w:rPr>
          <w:rFonts w:ascii="Calibri" w:hAnsi="Calibri" w:eastAsia="Microsoft YaHei" w:cs="Calibri"/>
          <w:color w:val="263238"/>
          <w:sz w:val="21"/>
          <w:szCs w:val="21"/>
        </w:rPr>
        <w:t>Phase</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Package Level</w:t>
      </w:r>
    </w:p>
    <w:p>
      <w:pPr>
        <w:pStyle w:val="Normal"/>
      </w:pPr>
      <w:r>
        <w:rPr>
          <w:rFonts w:ascii="Calibri" w:hAnsi="Calibri" w:eastAsia="Microsoft YaHei" w:cs="Calibri"/>
          <w:color w:val="263238"/>
          <w:sz w:val="21"/>
          <w:szCs w:val="21"/>
        </w:rPr>
        <w:t>Purpose</w:t>
      </w:r>
    </w:p>
    <w:p>
      <w:pPr>
        <w:pStyle w:val="Normal"/>
      </w:pPr>
      <w:r>
        <w:rPr>
          <w:rFonts w:ascii="Calibri" w:hAnsi="Calibri" w:eastAsia="Microsoft YaHei" w:cs="Calibri"/>
          <w:color w:val="263238"/>
          <w:sz w:val="21"/>
          <w:szCs w:val="21"/>
        </w:rPr>
        <w:t>Phase 1</w:t>
      </w:r>
    </w:p>
    <w:p>
      <w:pPr>
        <w:pStyle w:val="Normal"/>
      </w:pPr>
      <w:r>
        <w:rPr>
          <w:rFonts w:ascii="Calibri" w:hAnsi="Calibri" w:eastAsia="Microsoft YaHei" w:cs="Calibri"/>
          <w:color w:val="263238"/>
          <w:sz w:val="21"/>
          <w:szCs w:val="21"/>
        </w:rPr>
        <w:t>Days 1–30</w:t>
      </w:r>
    </w:p>
    <w:p>
      <w:pPr>
        <w:pStyle w:val="Normal"/>
      </w:pPr>
      <w:r>
        <w:rPr>
          <w:rFonts w:ascii="Calibri" w:hAnsi="Calibri" w:eastAsia="Microsoft YaHei" w:cs="Calibri"/>
          <w:color w:val="263238"/>
          <w:sz w:val="21"/>
          <w:szCs w:val="21"/>
        </w:rPr>
        <w:t>15–30% of full package</w:t>
      </w:r>
    </w:p>
    <w:p>
      <w:pPr>
        <w:pStyle w:val="Normal"/>
      </w:pPr>
      <w:r>
        <w:rPr>
          <w:rFonts w:ascii="Calibri" w:hAnsi="Calibri" w:eastAsia="Microsoft YaHei" w:cs="Calibri"/>
          <w:color w:val="263238"/>
          <w:sz w:val="21"/>
          <w:szCs w:val="21"/>
        </w:rPr>
        <w:t>Signalling and proportional response</w:t>
      </w:r>
    </w:p>
    <w:p>
      <w:pPr>
        <w:pStyle w:val="Normal"/>
      </w:pPr>
      <w:r>
        <w:rPr>
          <w:rFonts w:ascii="Calibri" w:hAnsi="Calibri" w:eastAsia="Microsoft YaHei" w:cs="Calibri"/>
          <w:color w:val="263238"/>
          <w:sz w:val="21"/>
          <w:szCs w:val="21"/>
        </w:rPr>
        <w:t>Phase 2</w:t>
      </w:r>
    </w:p>
    <w:p>
      <w:pPr>
        <w:pStyle w:val="Normal"/>
      </w:pPr>
      <w:r>
        <w:rPr>
          <w:rFonts w:ascii="Calibri" w:hAnsi="Calibri" w:eastAsia="Microsoft YaHei" w:cs="Calibri"/>
          <w:color w:val="263238"/>
          <w:sz w:val="21"/>
          <w:szCs w:val="21"/>
        </w:rPr>
        <w:t>Days 30–60</w:t>
      </w:r>
    </w:p>
    <w:p>
      <w:pPr>
        <w:pStyle w:val="Normal"/>
      </w:pPr>
      <w:r>
        <w:rPr>
          <w:rFonts w:ascii="Calibri" w:hAnsi="Calibri" w:eastAsia="Microsoft YaHei" w:cs="Calibri"/>
          <w:color w:val="263238"/>
          <w:sz w:val="21"/>
          <w:szCs w:val="21"/>
        </w:rPr>
        <w:t>50–70% of full package</w:t>
      </w:r>
    </w:p>
    <w:p>
      <w:pPr>
        <w:pStyle w:val="Normal"/>
      </w:pPr>
      <w:r>
        <w:rPr>
          <w:rFonts w:ascii="Calibri" w:hAnsi="Calibri" w:eastAsia="Microsoft YaHei" w:cs="Calibri"/>
          <w:color w:val="263238"/>
          <w:sz w:val="21"/>
          <w:szCs w:val="21"/>
        </w:rPr>
        <w:t>Multi-domain pressure; exploit vulnerabilities</w:t>
      </w:r>
    </w:p>
    <w:p>
      <w:pPr>
        <w:pStyle w:val="Normal"/>
      </w:pPr>
      <w:r>
        <w:rPr>
          <w:rFonts w:ascii="Calibri" w:hAnsi="Calibri" w:eastAsia="Microsoft YaHei" w:cs="Calibri"/>
          <w:color w:val="263238"/>
          <w:sz w:val="21"/>
          <w:szCs w:val="21"/>
        </w:rPr>
        <w:t>Phase 3</w:t>
      </w:r>
    </w:p>
    <w:p>
      <w:pPr>
        <w:pStyle w:val="Normal"/>
      </w:pPr>
      <w:r>
        <w:rPr>
          <w:rFonts w:ascii="Calibri" w:hAnsi="Calibri" w:eastAsia="Microsoft YaHei" w:cs="Calibri"/>
          <w:color w:val="263238"/>
          <w:sz w:val="21"/>
          <w:szCs w:val="21"/>
        </w:rPr>
        <w:t>Days 60+</w:t>
      </w:r>
    </w:p>
    <w:p>
      <w:pPr>
        <w:pStyle w:val="Normal"/>
      </w:pPr>
      <w:r>
        <w:rPr>
          <w:rFonts w:ascii="Calibri" w:hAnsi="Calibri" w:eastAsia="Microsoft YaHei" w:cs="Calibri"/>
          <w:color w:val="263238"/>
          <w:sz w:val="21"/>
          <w:szCs w:val="21"/>
        </w:rPr>
        <w:t>100% of full package</w:t>
      </w:r>
    </w:p>
    <w:p>
      <w:pPr>
        <w:pStyle w:val="Normal"/>
      </w:pPr>
      <w:r>
        <w:rPr>
          <w:rFonts w:ascii="Calibri" w:hAnsi="Calibri" w:eastAsia="Microsoft YaHei" w:cs="Calibri"/>
          <w:color w:val="263238"/>
          <w:sz w:val="21"/>
          <w:szCs w:val="21"/>
        </w:rPr>
        <w:t>Unsustainable cost across multiple domains</w:t>
      </w:r>
    </w:p>
    <w:p>
      <w:pPr>
        <w:pStyle w:val="Normal"/>
      </w:pPr>
      <w:r>
        <w:rPr>
          <w:rFonts w:ascii="Calibri" w:hAnsi="Calibri" w:eastAsia="Microsoft YaHei" w:cs="Calibri"/>
          <w:color w:val="263238"/>
          <w:sz w:val="21"/>
          <w:szCs w:val="21"/>
        </w:rPr>
        <w:t>De-Escalation: Proportional reduction matching coercion withdrawal. Gradual rollback structure as specified in Article V, Section 5.3.</w:t>
      </w:r>
    </w:p>
    <w:p>
      <w:pPr>
        <w:pStyle w:val="Heading1"/>
      </w:pPr>
      <w:bookmarkStart w:name="_Toc000035" w:id="35"/>
      <w:r>
        <w:rPr>
          <w:rFonts w:ascii="Calibri" w:hAnsi="Calibri" w:eastAsia="Microsoft YaHei" w:cs="Calibri"/>
          <w:b/>
          <w:color w:val="455A64"/>
          <w:sz w:val="30"/>
          <w:szCs w:val="30"/>
        </w:rPr>
        <w:t>ANNEX 3: SUPPLY CHAIN RESILIENCE STRATEGY</w:t>
      </w:r>
      <w:bookmarkEnd w:id="35"/>
    </w:p>
    <w:p>
      <w:pPr>
        <w:pStyle w:val="Normal"/>
      </w:pPr>
      <w:r>
        <w:rPr>
          <w:rFonts w:ascii="Calibri" w:hAnsi="Calibri" w:eastAsia="Microsoft YaHei" w:cs="Calibri"/>
          <w:color w:val="263238"/>
          <w:sz w:val="21"/>
          <w:szCs w:val="21"/>
        </w:rPr>
        <w:t>Mandatory Annual Dependency Audits: Critical materials (rare earths, semiconductors, pharma inputs); critical technologies (AI, quantum, advanced manufacturing); critical services (cloud, payments, logistics); critical infrastructure (subsea cables, energy, transport).</w:t>
      </w:r>
    </w:p>
    <w:p>
      <w:pPr>
        <w:pStyle w:val="Normal"/>
      </w:pPr>
      <w:r>
        <w:rPr>
          <w:rFonts w:ascii="Calibri" w:hAnsi="Calibri" w:eastAsia="Microsoft YaHei" w:cs="Calibri"/>
          <w:color w:val="263238"/>
          <w:sz w:val="21"/>
          <w:szCs w:val="21"/>
        </w:rPr>
        <w:t>Joint Strategic Stockpiling:</w:t>
      </w:r>
    </w:p>
    <w:p>
      <w:pPr>
        <w:pStyle w:val="Normal"/>
      </w:pPr>
      <w:r>
        <w:rPr>
          <w:rFonts w:ascii="Calibri" w:hAnsi="Calibri" w:eastAsia="Microsoft YaHei" w:cs="Calibri"/>
          <w:color w:val="263238"/>
          <w:sz w:val="21"/>
          <w:szCs w:val="21"/>
        </w:rPr>
        <w:t>Category</w:t>
      </w:r>
    </w:p>
    <w:p>
      <w:pPr>
        <w:pStyle w:val="Normal"/>
      </w:pPr>
      <w:r>
        <w:rPr>
          <w:rFonts w:ascii="Calibri" w:hAnsi="Calibri" w:eastAsia="Microsoft YaHei" w:cs="Calibri"/>
          <w:color w:val="263238"/>
          <w:sz w:val="21"/>
          <w:szCs w:val="21"/>
        </w:rPr>
        <w:t>Target Reserve</w:t>
      </w:r>
    </w:p>
    <w:p>
      <w:pPr>
        <w:pStyle w:val="Normal"/>
      </w:pPr>
      <w:r>
        <w:rPr>
          <w:rFonts w:ascii="Calibri" w:hAnsi="Calibri" w:eastAsia="Microsoft YaHei" w:cs="Calibri"/>
          <w:color w:val="263238"/>
          <w:sz w:val="21"/>
          <w:szCs w:val="21"/>
        </w:rPr>
        <w:t>Critical rare earths</w:t>
      </w:r>
    </w:p>
    <w:p>
      <w:pPr>
        <w:pStyle w:val="Normal"/>
      </w:pPr>
      <w:r>
        <w:rPr>
          <w:rFonts w:ascii="Calibri" w:hAnsi="Calibri" w:eastAsia="Microsoft YaHei" w:cs="Calibri"/>
          <w:color w:val="263238"/>
          <w:sz w:val="21"/>
          <w:szCs w:val="21"/>
        </w:rPr>
        <w:t>6–12 month supply</w:t>
      </w:r>
    </w:p>
    <w:p>
      <w:pPr>
        <w:pStyle w:val="Normal"/>
      </w:pPr>
      <w:r>
        <w:rPr>
          <w:rFonts w:ascii="Calibri" w:hAnsi="Calibri" w:eastAsia="Microsoft YaHei" w:cs="Calibri"/>
          <w:color w:val="263238"/>
          <w:sz w:val="21"/>
          <w:szCs w:val="21"/>
        </w:rPr>
        <w:t>Pharmaceutical ingredients</w:t>
      </w:r>
    </w:p>
    <w:p>
      <w:pPr>
        <w:pStyle w:val="Normal"/>
      </w:pPr>
      <w:r>
        <w:rPr>
          <w:rFonts w:ascii="Calibri" w:hAnsi="Calibri" w:eastAsia="Microsoft YaHei" w:cs="Calibri"/>
          <w:color w:val="263238"/>
          <w:sz w:val="21"/>
          <w:szCs w:val="21"/>
        </w:rPr>
        <w:t>3–6 month supply</w:t>
      </w:r>
    </w:p>
    <w:p>
      <w:pPr>
        <w:pStyle w:val="Normal"/>
      </w:pPr>
      <w:r>
        <w:rPr>
          <w:rFonts w:ascii="Calibri" w:hAnsi="Calibri" w:eastAsia="Microsoft YaHei" w:cs="Calibri"/>
          <w:color w:val="263238"/>
          <w:sz w:val="21"/>
          <w:szCs w:val="21"/>
        </w:rPr>
        <w:t>Key semiconductors</w:t>
      </w:r>
    </w:p>
    <w:p>
      <w:pPr>
        <w:pStyle w:val="Normal"/>
      </w:pPr>
      <w:r>
        <w:rPr>
          <w:rFonts w:ascii="Calibri" w:hAnsi="Calibri" w:eastAsia="Microsoft YaHei" w:cs="Calibri"/>
          <w:color w:val="263238"/>
          <w:sz w:val="21"/>
          <w:szCs w:val="21"/>
        </w:rPr>
        <w:t>3–6 month supply</w:t>
      </w:r>
    </w:p>
    <w:p>
      <w:pPr>
        <w:pStyle w:val="Normal"/>
      </w:pPr>
      <w:r>
        <w:rPr>
          <w:rFonts w:ascii="Calibri" w:hAnsi="Calibri" w:eastAsia="Microsoft YaHei" w:cs="Calibri"/>
          <w:color w:val="263238"/>
          <w:sz w:val="21"/>
          <w:szCs w:val="21"/>
        </w:rPr>
        <w:t>Energy reserves</w:t>
      </w:r>
    </w:p>
    <w:p>
      <w:pPr>
        <w:pStyle w:val="Normal"/>
      </w:pPr>
      <w:r>
        <w:rPr>
          <w:rFonts w:ascii="Calibri" w:hAnsi="Calibri" w:eastAsia="Microsoft YaHei" w:cs="Calibri"/>
          <w:color w:val="263238"/>
          <w:sz w:val="21"/>
          <w:szCs w:val="21"/>
        </w:rPr>
        <w:t>90–180 days where applicable</w:t>
      </w:r>
    </w:p>
    <w:p>
      <w:pPr>
        <w:pStyle w:val="Normal"/>
      </w:pPr>
      <w:r>
        <w:rPr>
          <w:rFonts w:ascii="Calibri" w:hAnsi="Calibri" w:eastAsia="Microsoft YaHei" w:cs="Calibri"/>
          <w:color w:val="263238"/>
          <w:sz w:val="21"/>
          <w:szCs w:val="21"/>
        </w:rPr>
        <w:t>Food security commodities</w:t>
      </w:r>
    </w:p>
    <w:p>
      <w:pPr>
        <w:pStyle w:val="Normal"/>
      </w:pPr>
      <w:r>
        <w:rPr>
          <w:rFonts w:ascii="Calibri" w:hAnsi="Calibri" w:eastAsia="Microsoft YaHei" w:cs="Calibri"/>
          <w:color w:val="263238"/>
          <w:sz w:val="21"/>
          <w:szCs w:val="21"/>
        </w:rPr>
        <w:t>Variable by region</w:t>
      </w:r>
    </w:p>
    <w:p>
      <w:pPr>
        <w:pStyle w:val="Normal"/>
      </w:pPr>
      <w:r>
        <w:rPr>
          <w:rFonts w:ascii="Calibri" w:hAnsi="Calibri" w:eastAsia="Microsoft YaHei" w:cs="Calibri"/>
          <w:color w:val="263238"/>
          <w:sz w:val="21"/>
          <w:szCs w:val="21"/>
        </w:rPr>
        <w:t>Battery minerals graphite)</w:t>
      </w:r>
    </w:p>
    <w:p>
      <w:pPr>
        <w:pStyle w:val="Normal"/>
      </w:pPr>
      <w:r>
        <w:rPr>
          <w:rFonts w:ascii="Calibri" w:hAnsi="Calibri" w:eastAsia="Microsoft YaHei" w:cs="Calibri"/>
          <w:color w:val="263238"/>
          <w:sz w:val="21"/>
          <w:szCs w:val="21"/>
        </w:rPr>
        <w:t>(lithium,</w:t>
      </w:r>
    </w:p>
    <w:p>
      <w:pPr>
        <w:pStyle w:val="Normal"/>
      </w:pPr>
      <w:r>
        <w:rPr>
          <w:rFonts w:ascii="Calibri" w:hAnsi="Calibri" w:eastAsia="Microsoft YaHei" w:cs="Calibri"/>
          <w:color w:val="263238"/>
          <w:sz w:val="21"/>
          <w:szCs w:val="21"/>
        </w:rPr>
        <w:t>cobalt,</w:t>
      </w:r>
    </w:p>
    <w:p>
      <w:pPr>
        <w:pStyle w:val="Normal"/>
      </w:pPr>
      <w:r>
        <w:rPr>
          <w:rFonts w:ascii="Calibri" w:hAnsi="Calibri" w:eastAsia="Microsoft YaHei" w:cs="Calibri"/>
          <w:color w:val="263238"/>
          <w:sz w:val="21"/>
          <w:szCs w:val="21"/>
        </w:rPr>
        <w:t>nickel,</w:t>
      </w:r>
    </w:p>
    <w:p>
      <w:pPr>
        <w:pStyle w:val="Normal"/>
      </w:pPr>
      <w:r>
        <w:rPr>
          <w:rFonts w:ascii="Calibri" w:hAnsi="Calibri" w:eastAsia="Microsoft YaHei" w:cs="Calibri"/>
          <w:color w:val="263238"/>
          <w:sz w:val="21"/>
          <w:szCs w:val="21"/>
        </w:rPr>
        <w:t>6–12 month supply</w:t>
      </w:r>
    </w:p>
    <w:p>
      <w:pPr>
        <w:pStyle w:val="Normal"/>
      </w:pPr>
      <w:r>
        <w:rPr>
          <w:rFonts w:ascii="Calibri" w:hAnsi="Calibri" w:eastAsia="Microsoft YaHei" w:cs="Calibri"/>
          <w:color w:val="263238"/>
          <w:sz w:val="21"/>
          <w:szCs w:val="21"/>
        </w:rPr>
        <w:t>Solar PV and wind components (inverters, turbines, polysilicon)</w:t>
      </w:r>
    </w:p>
    <w:p>
      <w:pPr>
        <w:pStyle w:val="Normal"/>
      </w:pPr>
      <w:r>
        <w:rPr>
          <w:rFonts w:ascii="Calibri" w:hAnsi="Calibri" w:eastAsia="Microsoft YaHei" w:cs="Calibri"/>
          <w:color w:val="263238"/>
          <w:sz w:val="21"/>
          <w:szCs w:val="21"/>
        </w:rPr>
        <w:t>3–6 month supply</w:t>
      </w:r>
    </w:p>
    <w:p>
      <w:pPr>
        <w:pStyle w:val="Normal"/>
      </w:pPr>
      <w:r>
        <w:rPr>
          <w:rFonts w:ascii="Calibri" w:hAnsi="Calibri" w:eastAsia="Microsoft YaHei" w:cs="Calibri"/>
          <w:color w:val="263238"/>
          <w:sz w:val="21"/>
          <w:szCs w:val="21"/>
        </w:rPr>
        <w:t>Green hydrogen / ammonia</w:t>
      </w:r>
    </w:p>
    <w:p>
      <w:pPr>
        <w:pStyle w:val="Normal"/>
      </w:pPr>
      <w:r>
        <w:rPr>
          <w:rFonts w:ascii="Calibri" w:hAnsi="Calibri" w:eastAsia="Microsoft YaHei" w:cs="Calibri"/>
          <w:color w:val="263238"/>
          <w:sz w:val="21"/>
          <w:szCs w:val="21"/>
        </w:rPr>
        <w:t>90–180 days where applicable</w:t>
      </w:r>
    </w:p>
    <w:p>
      <w:pPr>
        <w:pStyle w:val="Normal"/>
      </w:pPr>
      <w:r>
        <w:rPr>
          <w:rFonts w:ascii="Calibri" w:hAnsi="Calibri" w:eastAsia="Microsoft YaHei" w:cs="Calibri"/>
          <w:color w:val="263238"/>
          <w:sz w:val="21"/>
          <w:szCs w:val="21"/>
        </w:rPr>
        <w:t>Grid-scale storage systems</w:t>
      </w:r>
    </w:p>
    <w:p>
      <w:pPr>
        <w:pStyle w:val="Normal"/>
      </w:pPr>
      <w:r>
        <w:rPr>
          <w:rFonts w:ascii="Calibri" w:hAnsi="Calibri" w:eastAsia="Microsoft YaHei" w:cs="Calibri"/>
          <w:color w:val="263238"/>
          <w:sz w:val="21"/>
          <w:szCs w:val="21"/>
        </w:rPr>
        <w:t>2–4 month supply</w:t>
      </w:r>
    </w:p>
    <w:p>
      <w:pPr>
        <w:pStyle w:val="Normal"/>
      </w:pPr>
      <w:r>
        <w:rPr>
          <w:rFonts w:ascii="Calibri" w:hAnsi="Calibri" w:eastAsia="Microsoft YaHei" w:cs="Calibri"/>
          <w:color w:val="263238"/>
          <w:sz w:val="21"/>
          <w:szCs w:val="21"/>
        </w:rPr>
        <w:t>Joint Procurement Consortium: Members aggregate demand for green technology inputs to reduce single-source dependencies and achieve scale pricing, mirroring existing semiconductor joint R&amp;D; language.</w:t>
      </w:r>
    </w:p>
    <w:p>
      <w:pPr>
        <w:pStyle w:val="Normal"/>
      </w:pPr>
      <w:r>
        <w:rPr>
          <w:rFonts w:ascii="Calibri" w:hAnsi="Calibri" w:eastAsia="Microsoft YaHei" w:cs="Calibri"/>
          <w:color w:val="263238"/>
          <w:sz w:val="21"/>
          <w:szCs w:val="21"/>
        </w:rPr>
        <w:t>Alternative Supply Chain Development:</w:t>
      </w:r>
    </w:p>
    <w:p>
      <w:pPr>
        <w:pStyle w:val="Normal"/>
        <w:numPr>
          <w:ilvl w:val="0"/>
          <w:numId w:val="1"/>
        </w:numPr>
      </w:pPr>
      <w:r>
        <w:rPr>
          <w:rFonts w:ascii="Calibri" w:hAnsi="Calibri" w:eastAsia="Microsoft YaHei" w:cs="Calibri"/>
          <w:color w:val="263238"/>
          <w:sz w:val="21"/>
          <w:szCs w:val="21"/>
        </w:rPr>
        <w:t>Immediate (0–90 days): strategic reserve deployment</w:t>
      </w:r>
    </w:p>
    <w:p>
      <w:pPr>
        <w:pStyle w:val="Normal"/>
        <w:numPr>
          <w:ilvl w:val="0"/>
          <w:numId w:val="1"/>
        </w:numPr>
      </w:pPr>
      <w:r>
        <w:rPr>
          <w:rFonts w:ascii="Calibri" w:hAnsi="Calibri" w:eastAsia="Microsoft YaHei" w:cs="Calibri"/>
          <w:color w:val="263238"/>
          <w:sz w:val="21"/>
          <w:szCs w:val="21"/>
        </w:rPr>
        <w:t>Medium-term (90 days–2 years): alternative sourcing, capacity investment</w:t>
      </w:r>
    </w:p>
    <w:p>
      <w:pPr>
        <w:pStyle w:val="Normal"/>
        <w:numPr>
          <w:ilvl w:val="0"/>
          <w:numId w:val="1"/>
        </w:numPr>
      </w:pPr>
      <w:r>
        <w:rPr>
          <w:rFonts w:ascii="Calibri" w:hAnsi="Calibri" w:eastAsia="Microsoft YaHei" w:cs="Calibri"/>
          <w:color w:val="263238"/>
          <w:sz w:val="21"/>
          <w:szCs w:val="21"/>
        </w:rPr>
        <w:t>Long-term (2+ years): structural diversification, technology substitution Resilience Target: Reduce dependencies where a single source exceeds 50% by 75% within 5 years.</w:t>
      </w:r>
    </w:p>
    <w:p>
      <w:pPr>
        <w:pStyle w:val="Normal"/>
      </w:pPr>
      <w:r>
        <w:rPr>
          <w:rFonts w:ascii="Calibri" w:hAnsi="Calibri" w:eastAsia="Microsoft YaHei" w:cs="Calibri"/>
          <w:color w:val="263238"/>
          <w:sz w:val="21"/>
          <w:szCs w:val="21"/>
        </w:rPr>
        <w:t>Mandatory Climate-Digital Stress Testing Scenario Type</w:t>
      </w:r>
    </w:p>
    <w:p>
      <w:pPr>
        <w:pStyle w:val="Normal"/>
      </w:pPr>
      <w:r>
        <w:rPr>
          <w:rFonts w:ascii="Calibri" w:hAnsi="Calibri" w:eastAsia="Microsoft YaHei" w:cs="Calibri"/>
          <w:color w:val="263238"/>
          <w:sz w:val="21"/>
          <w:szCs w:val="21"/>
        </w:rPr>
        <w:t>Frequency</w:t>
      </w:r>
    </w:p>
    <w:p>
      <w:pPr>
        <w:pStyle w:val="Normal"/>
      </w:pPr>
      <w:r>
        <w:rPr>
          <w:rFonts w:ascii="Calibri" w:hAnsi="Calibri" w:eastAsia="Microsoft YaHei" w:cs="Calibri"/>
          <w:color w:val="263238"/>
          <w:sz w:val="21"/>
          <w:szCs w:val="21"/>
        </w:rPr>
        <w:t>Scope</w:t>
      </w:r>
    </w:p>
    <w:p>
      <w:pPr>
        <w:pStyle w:val="Normal"/>
      </w:pPr>
      <w:r>
        <w:rPr>
          <w:rFonts w:ascii="Calibri" w:hAnsi="Calibri" w:eastAsia="Microsoft YaHei" w:cs="Calibri"/>
          <w:color w:val="263238"/>
          <w:sz w:val="21"/>
          <w:szCs w:val="21"/>
        </w:rPr>
        <w:t>Green tech supply chain + digital infrastructure simultaneous shock</w:t>
      </w:r>
    </w:p>
    <w:p>
      <w:pPr>
        <w:pStyle w:val="Normal"/>
      </w:pPr>
      <w:r>
        <w:rPr>
          <w:rFonts w:ascii="Calibri" w:hAnsi="Calibri" w:eastAsia="Microsoft YaHei" w:cs="Calibri"/>
          <w:color w:val="263238"/>
          <w:sz w:val="21"/>
          <w:szCs w:val="21"/>
        </w:rPr>
        <w:t>Annual</w:t>
      </w:r>
    </w:p>
    <w:p>
      <w:pPr>
        <w:pStyle w:val="Normal"/>
      </w:pPr>
      <w:r>
        <w:rPr>
          <w:rFonts w:ascii="Calibri" w:hAnsi="Calibri" w:eastAsia="Microsoft YaHei" w:cs="Calibri"/>
          <w:color w:val="263238"/>
          <w:sz w:val="21"/>
          <w:szCs w:val="21"/>
        </w:rPr>
        <w:t>IEWC coordinates with climate and digital analysis cells</w:t>
      </w:r>
    </w:p>
    <w:p>
      <w:pPr>
        <w:pStyle w:val="Normal"/>
      </w:pPr>
      <w:r>
        <w:rPr>
          <w:rFonts w:ascii="Calibri" w:hAnsi="Calibri" w:eastAsia="Microsoft YaHei" w:cs="Calibri"/>
          <w:color w:val="263238"/>
          <w:sz w:val="21"/>
          <w:szCs w:val="21"/>
        </w:rPr>
        <w:t>AI-enabled market manipulation as coercion</w:t>
      </w:r>
    </w:p>
    <w:p>
      <w:pPr>
        <w:pStyle w:val="Normal"/>
      </w:pPr>
      <w:r>
        <w:rPr>
          <w:rFonts w:ascii="Calibri" w:hAnsi="Calibri" w:eastAsia="Microsoft YaHei" w:cs="Calibri"/>
          <w:color w:val="263238"/>
          <w:sz w:val="21"/>
          <w:szCs w:val="21"/>
        </w:rPr>
        <w:t>Biennial</w:t>
      </w:r>
    </w:p>
    <w:p>
      <w:pPr>
        <w:pStyle w:val="Normal"/>
      </w:pPr>
      <w:r>
        <w:rPr>
          <w:rFonts w:ascii="Calibri" w:hAnsi="Calibri" w:eastAsia="Microsoft YaHei" w:cs="Calibri"/>
          <w:color w:val="263238"/>
          <w:sz w:val="21"/>
          <w:szCs w:val="21"/>
        </w:rPr>
        <w:t>Simulated algorithmic trading disruption, deepfake financial disinformation</w:t>
      </w:r>
    </w:p>
    <w:p>
      <w:pPr>
        <w:pStyle w:val="Normal"/>
      </w:pPr>
      <w:r>
        <w:rPr>
          <w:rFonts w:ascii="Calibri" w:hAnsi="Calibri" w:eastAsia="Microsoft YaHei" w:cs="Calibri"/>
          <w:color w:val="263238"/>
          <w:sz w:val="21"/>
          <w:szCs w:val="21"/>
        </w:rPr>
        <w:t>Climate transition financing exclusion</w:t>
      </w:r>
    </w:p>
    <w:p>
      <w:pPr>
        <w:pStyle w:val="Normal"/>
      </w:pPr>
      <w:r>
        <w:rPr>
          <w:rFonts w:ascii="Calibri" w:hAnsi="Calibri" w:eastAsia="Microsoft YaHei" w:cs="Calibri"/>
          <w:color w:val="263238"/>
          <w:sz w:val="21"/>
          <w:szCs w:val="21"/>
        </w:rPr>
        <w:t>Annual</w:t>
      </w:r>
    </w:p>
    <w:p>
      <w:pPr>
        <w:pStyle w:val="Normal"/>
      </w:pPr>
      <w:r>
        <w:rPr>
          <w:rFonts w:ascii="Calibri" w:hAnsi="Calibri" w:eastAsia="Microsoft YaHei" w:cs="Calibri"/>
          <w:color w:val="263238"/>
          <w:sz w:val="21"/>
          <w:szCs w:val="21"/>
        </w:rPr>
        <w:t>Test alternative payment systems for green bond issuance if major clearing systems denied</w:t>
      </w:r>
    </w:p>
    <w:p>
      <w:pPr>
        <w:pStyle w:val="Normal"/>
      </w:pPr>
      <w:r>
        <w:rPr>
          <w:rFonts w:ascii="Calibri" w:hAnsi="Calibri" w:eastAsia="Microsoft YaHei" w:cs="Calibri"/>
          <w:color w:val="263238"/>
          <w:sz w:val="21"/>
          <w:szCs w:val="21"/>
        </w:rPr>
        <w:t>Tariff Cascade Stress Test (v9.3)</w:t>
      </w:r>
    </w:p>
    <w:p>
      <w:pPr>
        <w:pStyle w:val="Normal"/>
      </w:pPr>
      <w:r>
        <w:rPr>
          <w:rFonts w:ascii="Calibri" w:hAnsi="Calibri" w:eastAsia="Microsoft YaHei" w:cs="Calibri"/>
          <w:color w:val="263238"/>
          <w:sz w:val="21"/>
          <w:szCs w:val="21"/>
        </w:rPr>
        <w:t>Biennial</w:t>
      </w:r>
    </w:p>
    <w:p>
      <w:pPr>
        <w:pStyle w:val="Normal"/>
      </w:pPr>
      <w:r>
        <w:rPr>
          <w:rFonts w:ascii="Calibri" w:hAnsi="Calibri" w:eastAsia="Microsoft YaHei" w:cs="Calibri"/>
          <w:color w:val="263238"/>
          <w:sz w:val="21"/>
          <w:szCs w:val="21"/>
        </w:rPr>
        <w:t>Simulation of &gt;15pp tariff increases across major trading relationships; tests alternative supplier activation, inventory buffers, joint procurement readiness</w:t>
      </w:r>
    </w:p>
    <w:p>
      <w:pPr>
        <w:pStyle w:val="Normal"/>
      </w:pPr>
      <w:r>
        <w:rPr>
          <w:rFonts w:ascii="Calibri" w:hAnsi="Calibri" w:eastAsia="Microsoft YaHei" w:cs="Calibri"/>
          <w:color w:val="263238"/>
          <w:sz w:val="21"/>
          <w:szCs w:val="21"/>
        </w:rPr>
        <w:t>Stress test results feed the public Coercion Risk Dashboard without revealing classified vulnerabilities.</w:t>
      </w:r>
    </w:p>
    <w:p>
      <w:pPr>
        <w:pStyle w:val="Heading1"/>
      </w:pPr>
      <w:bookmarkStart w:name="_Toc000036" w:id="36"/>
      <w:r>
        <w:rPr>
          <w:rFonts w:ascii="Calibri" w:hAnsi="Calibri" w:eastAsia="Microsoft YaHei" w:cs="Calibri"/>
          <w:b/>
          <w:color w:val="455A64"/>
          <w:sz w:val="30"/>
          <w:szCs w:val="30"/>
        </w:rPr>
        <w:t>ANNEX 3A: SUPPLY CHAIN RED TEAM EXERCISE</w:t>
      </w:r>
      <w:bookmarkEnd w:id="36"/>
    </w:p>
    <w:p>
      <w:pPr>
        <w:pStyle w:val="Normal"/>
      </w:pPr>
      <w:r>
        <w:rPr>
          <w:rFonts w:ascii="Calibri" w:hAnsi="Calibri" w:eastAsia="Microsoft YaHei" w:cs="Calibri"/>
          <w:color w:val="263238"/>
          <w:sz w:val="21"/>
          <w:szCs w:val="21"/>
        </w:rPr>
        <w:t>Annual Exercise (biennial if capacity constraints): Member intelligence services simulate coercion against each other's actual supply chains. Red team: 3-member state intelligence services (rotating). Blue team: target member's IEWC and economic security officials. Scenario: realistic coercion based on actual supply chain vulnerabilities (classified). Findings and Adjustment: Findings classified; summary published with sensitive details redacted. IEWC assesses stockpile adjustments based on findings. Adjustment decisions by standard CC vote (not automatic). Timeline: findings within 30 days; adjustment proposals within 60 days; CC vote within 90 days. Participation: Mandatory for Tier 3; voluntary for Tier 2 with 10% Fund surcharge for non-participation. Safe harbour: good-faith participation immunity from findings-based criticism. VCI credit: successful red team defence counts toward Annex 13A scoring. International Partnership (Year 3–5): Invite non-member intelligence services as observers in 50% of exercises by Year 5. Builds confidence in IMESI defensive intent; deters mischaracterisation as economic warfare coalition; conditional on reciprocal information sharing.</w:t>
      </w:r>
    </w:p>
    <w:p>
      <w:pPr>
        <w:pStyle w:val="Normal"/>
      </w:pPr>
      <w:r>
        <w:rPr>
          <w:rFonts w:ascii="Calibri" w:hAnsi="Calibri" w:eastAsia="Microsoft YaHei" w:cs="Calibri"/>
          <w:color w:val="263238"/>
          <w:sz w:val="21"/>
          <w:szCs w:val="21"/>
        </w:rPr>
        <w:t>Negotiation status: Tier 3 protected secondary priority. Entirely deferrable; first exercise Year 2 at earliest. Core: concept of red team exercise exists.</w:t>
      </w:r>
    </w:p>
    <w:p>
      <w:pPr>
        <w:pStyle w:val="Heading1"/>
      </w:pPr>
      <w:bookmarkStart w:name="_Toc000037" w:id="37"/>
      <w:r>
        <w:rPr>
          <w:rFonts w:ascii="Calibri" w:hAnsi="Calibri" w:eastAsia="Microsoft YaHei" w:cs="Calibri"/>
          <w:b/>
          <w:color w:val="455A64"/>
          <w:sz w:val="30"/>
          <w:szCs w:val="30"/>
        </w:rPr>
        <w:t>ANNEX 3B: TRADE FACILITATION CORRIDORS</w:t>
      </w:r>
      <w:bookmarkEnd w:id="37"/>
    </w:p>
    <w:p>
      <w:pPr>
        <w:pStyle w:val="Normal"/>
      </w:pPr>
      <w:r>
        <w:rPr>
          <w:rFonts w:ascii="Calibri" w:hAnsi="Calibri" w:eastAsia="Microsoft YaHei" w:cs="Calibri"/>
          <w:color w:val="263238"/>
          <w:sz w:val="21"/>
          <w:szCs w:val="21"/>
        </w:rPr>
        <w:t>When a Member's exports are subject to undue delays or administrative obstructions by a non-member in a manner consistent with an AESI, other Members enhance temporarily trade facilitation measures for affected goods and sectors. (a) Prioritised clearance: Affected goods receive expedited customs processing with target clearance times of 24 hours for perishables and 72 hours for other goods (b) Simplified procedures: Temporary acceptance of self-certification, reduced documentary requirements, and mutual recognition of conformity assessments for AESI-affected trade (c) Dedicated corridors: Where feasible, Members designate specific ports of entry with dedicated processing lanes for AESI-affected trade flows (d) Duration: Enhanced facilitation measures remain in effect for the duration of the AESI certification plus 60 days for orderly normalisation</w:t>
      </w:r>
    </w:p>
    <w:p>
      <w:pPr>
        <w:pStyle w:val="Heading1"/>
      </w:pPr>
      <w:bookmarkStart w:name="_Toc000038" w:id="38"/>
      <w:r>
        <w:rPr>
          <w:rFonts w:ascii="Calibri" w:hAnsi="Calibri" w:eastAsia="Microsoft YaHei" w:cs="Calibri"/>
          <w:b/>
          <w:color w:val="455A64"/>
          <w:sz w:val="30"/>
          <w:szCs w:val="30"/>
        </w:rPr>
        <w:t>ANNEX 3C: RE-ROUTING AND DIVERSIFICATION ADVISORIES</w:t>
      </w:r>
      <w:bookmarkEnd w:id="38"/>
    </w:p>
    <w:p>
      <w:pPr>
        <w:pStyle w:val="Normal"/>
      </w:pPr>
      <w:r>
        <w:rPr>
          <w:rFonts w:ascii="Calibri" w:hAnsi="Calibri" w:eastAsia="Microsoft YaHei" w:cs="Calibri"/>
          <w:color w:val="263238"/>
          <w:sz w:val="21"/>
          <w:szCs w:val="21"/>
        </w:rPr>
        <w:t>The Secretariat, acting on the recommendation of the IEWC, issues non-binding advisories to Members on re-routing trade and diversifying logistics and supply chains away from points of heightened AESI-related risk. Content: Advisories include: (a) identified risk corridors and chokepoints; (b) alternative routing options with cost and time estimates; (c) available Joint Procurement Consortium alternative suppliers; (d) SFI settlement options for re-routed trade. Advisories are informational and create no obligation to alter existing commercial arrangements. Frequency: Standing advisories are updated quarterly; emergency advisories issued within 48 hours of AESI certification. All advisories classified Restricted unless the CC authorises public release.</w:t>
      </w:r>
    </w:p>
    <w:p>
      <w:pPr>
        <w:pStyle w:val="Heading3"/>
      </w:pPr>
      <w:r>
        <w:rPr>
          <w:rFonts w:ascii="Calibri" w:hAnsi="Calibri" w:eastAsia="Microsoft YaHei" w:cs="Calibri"/>
          <w:b/>
          <w:color w:val="546E7A"/>
          <w:sz w:val="22"/>
          <w:szCs w:val="22"/>
        </w:rPr>
        <w:t>ANNEXES 4–7: OPERATIONAL PROCEDURES</w:t>
      </w:r>
    </w:p>
    <w:p>
      <w:pPr>
        <w:pStyle w:val="Heading1"/>
      </w:pPr>
      <w:bookmarkStart w:name="_Toc000039" w:id="39"/>
      <w:r>
        <w:rPr>
          <w:rFonts w:ascii="Calibri" w:hAnsi="Calibri" w:eastAsia="Microsoft YaHei" w:cs="Calibri"/>
          <w:b/>
          <w:color w:val="455A64"/>
          <w:sz w:val="30"/>
          <w:szCs w:val="30"/>
        </w:rPr>
        <w:t>Annex 4: Pre-Authorised Scenario Library, Full operational packages for Scenarios Alpha through Pi as</w:t>
      </w:r>
      <w:bookmarkEnd w:id="39"/>
    </w:p>
    <w:p>
      <w:pPr>
        <w:pStyle w:val="Normal"/>
      </w:pPr>
      <w:r>
        <w:rPr>
          <w:rFonts w:ascii="Calibri" w:hAnsi="Calibri" w:eastAsia="Microsoft YaHei" w:cs="Calibri"/>
          <w:color w:val="263238"/>
          <w:sz w:val="21"/>
          <w:szCs w:val="21"/>
        </w:rPr>
        <w:t>specified in Article V, Section 5.4. Each scenario includes trigger criteria, stabilisation measure packages, timelines, burden-sharing allocations, communication strategy, and off-ramp provisions.</w:t>
      </w:r>
    </w:p>
    <w:p>
      <w:pPr>
        <w:pStyle w:val="Normal"/>
      </w:pPr>
      <w:r>
        <w:rPr>
          <w:rFonts w:ascii="Calibri" w:hAnsi="Calibri" w:eastAsia="Microsoft YaHei" w:cs="Calibri"/>
          <w:color w:val="263238"/>
          <w:sz w:val="21"/>
          <w:szCs w:val="21"/>
        </w:rPr>
        <w:t>Systemic Shock Scenarios (v8.8):</w:t>
      </w:r>
    </w:p>
    <w:p>
      <w:pPr>
        <w:pStyle w:val="Normal"/>
      </w:pPr>
      <w:r>
        <w:rPr>
          <w:rFonts w:ascii="Calibri" w:hAnsi="Calibri" w:eastAsia="Microsoft YaHei" w:cs="Calibri"/>
          <w:color w:val="263238"/>
          <w:sz w:val="21"/>
          <w:szCs w:val="21"/>
        </w:rPr>
        <w:t>Scenario Sigma (Σ): Global Tariff Cascade, Trigger: Non-discriminatory tariffs &gt;15% ad valorem imposed by &gt;2 major economies simultaneously, affecting &gt;25% of IMESI trade. Response: Automatic SFI settlement preference; joint WTO Article XXIII coalition case; accelerated alternative supplier contracting.</w:t>
      </w:r>
    </w:p>
    <w:p>
      <w:pPr>
        <w:pStyle w:val="Normal"/>
      </w:pPr>
      <w:r>
        <w:rPr>
          <w:rFonts w:ascii="Calibri" w:hAnsi="Calibri" w:eastAsia="Microsoft YaHei" w:cs="Calibri"/>
          <w:color w:val="263238"/>
          <w:sz w:val="21"/>
          <w:szCs w:val="21"/>
        </w:rPr>
        <w:t>Scenario Tau (Τ): Capital Control Contagion, Trigger: Emergency capital controls by &gt;2 reserve-currency issuers within 30 days. Response: SFI emergency liquidity facility; IMF Article XIV coordinated standstill; Resilience Fund balance-of-payments support. Scenario Upsilon (Υ): Strategic Commodity Export Ban, Trigger: Export restrictions affecting &gt;30% global supply of energy, food, or critical minerals without IEA/FAO coordination. Response: Strategic stockpile coordinated release; joint procurement from non-participating producers; price stabilisation mechanism activation. Scenario Phi (Φ): Cyber-Economic Hybrid, Trigger: Cyber operation against member financial infrastructure coinciding with trade restriction demands; or ransomware attack on supply chain logistics with policy linkage. Response: Automatic Phase 2 financial stabilisation measures; coordinated cyber defence; alternative logistics activation; public attribution coalition.</w:t>
      </w:r>
    </w:p>
    <w:p>
      <w:pPr>
        <w:pStyle w:val="Heading1"/>
      </w:pPr>
      <w:bookmarkStart w:name="_Toc000040" w:id="40"/>
      <w:r>
        <w:rPr>
          <w:rFonts w:ascii="Calibri" w:hAnsi="Calibri" w:eastAsia="Microsoft YaHei" w:cs="Calibri"/>
          <w:b/>
          <w:color w:val="455A64"/>
          <w:sz w:val="30"/>
          <w:szCs w:val="30"/>
        </w:rPr>
        <w:t>Annex 5: IEWC Operational Procedures, Protocols for intelligence collection, analysis, dissemination,</w:t>
      </w:r>
      <w:bookmarkEnd w:id="40"/>
    </w:p>
    <w:p>
      <w:pPr>
        <w:pStyle w:val="Normal"/>
      </w:pPr>
      <w:r>
        <w:rPr>
          <w:rFonts w:ascii="Calibri" w:hAnsi="Calibri" w:eastAsia="Microsoft YaHei" w:cs="Calibri"/>
          <w:color w:val="263238"/>
          <w:sz w:val="21"/>
          <w:szCs w:val="21"/>
        </w:rPr>
        <w:t>security classification, dashboard operation, and reporting schedules.</w:t>
      </w:r>
    </w:p>
    <w:p>
      <w:pPr>
        <w:pStyle w:val="Heading1"/>
      </w:pPr>
      <w:bookmarkStart w:name="_Toc000045" w:id="45"/>
      <w:r>
        <w:rPr>
          <w:rFonts w:ascii="Calibri" w:hAnsi="Calibri" w:eastAsia="Microsoft YaHei" w:cs="Calibri"/>
          <w:b/>
          <w:color w:val="455A64"/>
          <w:sz w:val="30"/>
          <w:szCs w:val="30"/>
        </w:rPr>
        <w:t>ANNEX 8: FACE-SAVING OFF-RAMP PROTOCOLS</w:t>
      </w:r>
      <w:bookmarkEnd w:id="45"/>
    </w:p>
    <w:p>
      <w:r>
        <w:t>Principle: Durable settlements require allowing coercers to exit with dignity. Primary Resolution Pathway (v8.5): The three options below are presumptive defaults for case resolution, the Coordination Committee explores these pathways first before authorising escalation beyond Phase 1. Deviation from face-saving resolution requires 60% weighted vote with published justification explaining why off-ramp pathways are insufficient. This elevates diplomacy from secondary to primary. Option 1, Phased Compliance (Preferred): Coercer commits to remove measures over 60–180 day timeline. Each phase verified independently. IMESI reduces stabilisation measures proportionally. Option 2, Partial Compliance with Face-Saving: Coercer withdraws 80–90% of measures, maintaining symbolic measures for domestic reasons. Accepted if core demands abandoned and remaining measures economically immaterial.</w:t>
      </w:r>
    </w:p>
    <w:p>
      <w:r>
        <w:t>Option 3, Technical Mechanism Substitution: Coercer replaces overt coercion with face-saving technical mechanism. Accepted if substance is resolution.</w:t>
      </w:r>
    </w:p>
    <w:p>
      <w:r>
        <w:t>Resolution Language Guidance:</w:t>
      </w:r>
    </w:p>
    <w:p>
      <w:r>
        <w:t>Avoid</w:t>
      </w:r>
    </w:p>
    <w:p>
      <w:r>
        <w:t>Use Instead</w:t>
      </w:r>
    </w:p>
    <w:p>
      <w:r>
        <w:t>"Coercer capitulated"</w:t>
      </w:r>
    </w:p>
    <w:p>
      <w:r>
        <w:t>"Constructive dialogue led to mutual understanding"</w:t>
      </w:r>
    </w:p>
    <w:p>
      <w:r>
        <w:t>"Economic pressure forced policy reversal"</w:t>
      </w:r>
    </w:p>
    <w:p>
      <w:r>
        <w:t>"Technical solutions addressed concerns"</w:t>
      </w:r>
    </w:p>
    <w:p>
      <w:r>
        <w:t>"Victory for coalition"</w:t>
      </w:r>
    </w:p>
    <w:p>
      <w:r>
        <w:t>"Both parties showed flexibility"</w:t>
      </w:r>
    </w:p>
    <w:p>
      <w:r>
        <w:t>Any framing implying humiliation</w:t>
      </w:r>
    </w:p>
    <w:p>
      <w:r>
        <w:t>"Positive outcome for rules-based order"</w:t>
      </w:r>
    </w:p>
    <w:p>
      <w:pPr>
        <w:pStyle w:val="Heading1"/>
      </w:pPr>
      <w:r>
        <w:t>ANNEX 9: FOUNDING COALITION STRATEGY</w:t>
      </w:r>
      <w:bookmarkStart w:name="_Toc000046" w:id="46"/>
      <w:bookmarkEnd w:id="46"/>
    </w:p>
    <w:p>
      <w:r>
        <w:t>Core Anchor (6 States): France, Germany, Netherlands (EU core), United Kingdom, Japan, Canada. Provides geographic diversity, ~20% global GDP, political legitimacy, complementary capabilities, and proven G7 coordination. Immediate Expansion (Year 1): Australia, South Korea, Italy, Spain. Consider Poland, Sweden, or Finland. Year 2–3 High Priority: India (Observer+ pathway), Mexico, Indonesia, Brazil, Singapore, UAE/Saudi Arabia. Non-Member Major Power Integration: Option A, engage through Observer+ pathway pending political transition. Option B, functional integration without formal accession (intelligence sharing, supply chain cooperation). Option C, design for institutional viability independent of any single major power's participation. Sequencing: Start narrow, prove value, expand organically. Premature expansion before credibility carries high failure risk.</w:t>
      </w:r>
    </w:p>
    <w:p>
      <w:pPr>
        <w:pStyle w:val="Heading1"/>
      </w:pPr>
      <w:r>
        <w:t>ANNEX 10: LARGE-ECONOMY MARKET ACCESS PROTOCOL</w:t>
      </w:r>
      <w:bookmarkStart w:name="_Toc000047" w:id="47"/>
      <w:bookmarkEnd w:id="47"/>
    </w:p>
    <w:p>
      <w:r>
        <w:t>This annex operationalises IMESI's stabilisation response when broad-based tariff coercion originates from a systemic economy, defined by indicator-based criteria (&gt;5% global GDP, reserve-currency status, or &gt;15% of members' combined trade volume) rather than the identity of any specific state. The protocol is actor-neutral and applies identically regardless of the coercer's identity. It is designed to make tariff imposition politically costly within the coercing state's own system, without triggering uncontrollable escalation.</w:t>
      </w:r>
    </w:p>
    <w:p>
      <w:pPr>
        <w:pStyle w:val="Heading2"/>
      </w:pPr>
      <w:r>
        <w:t>Section 10.1: Sub-National Political-Economy Targeting</w:t>
      </w:r>
    </w:p>
    <w:p>
      <w:r>
        <w:t>The IEWC maintains a continuously updated database of the coercing state's exports by geographic region, political-economy sensitivity, and industry concentration. Upon tariff activation, stabilisation measures</w:t>
      </w:r>
    </w:p>
    <w:p>
      <w:r>
        <w:t>automatically prioritise products from regions with:</w:t>
      </w:r>
    </w:p>
    <w:p>
      <w:pPr>
        <w:pStyle w:val="Normal"/>
        <w:numPr>
          <w:ilvl w:val="0"/>
          <w:numId w:val="1"/>
        </w:numPr>
      </w:pPr>
      <w:r>
        <w:t>High electoral significance or political sensitivity within the coercing state</w:t>
      </w:r>
    </w:p>
    <w:p>
      <w:pPr>
        <w:pStyle w:val="Normal"/>
        <w:numPr>
          <w:ilvl w:val="0"/>
          <w:numId w:val="1"/>
        </w:numPr>
      </w:pPr>
      <w:r>
        <w:t>Concentrated industry dependence on IMESI member markets (agriculture, manufacturing, technology)</w:t>
      </w:r>
    </w:p>
    <w:p>
      <w:pPr>
        <w:pStyle w:val="Normal"/>
        <w:numPr>
          <w:ilvl w:val="0"/>
          <w:numId w:val="1"/>
        </w:numPr>
      </w:pPr>
      <w:r>
        <w:t>Significant influence over national trade policy through legislative representation or lobbying weight</w:t>
      </w:r>
    </w:p>
    <w:p>
      <w:pPr>
        <w:pStyle w:val="Normal"/>
        <w:numPr>
          <w:ilvl w:val="0"/>
          <w:numId w:val="1"/>
        </w:numPr>
      </w:pPr>
      <w:r>
        <w:t>Cultural or symbolic export significance amplifying political visibility of stabilisation measures</w:t>
      </w:r>
    </w:p>
    <w:p>
      <w:r>
        <w:t>Illustrative Targeting Matrix (v9.3A): For broad-based tariff coercion originating from representative democracies, IEWC political-economy analysis identifies: agricultural exports from electorally competitive regions; manufacturing outputs from politically sensitive industrial districts; energy exports from producing states with concentrated electoral weight; and services/tech from economically dominant metropolitan areas with legislative influence. Targeting calibrated to maximise electoral cost-per-tariff-dollar for the coercing administration while minimising consumer impact on IMESI members. This maximises domestic political pressure within the coercing state while minimising total trade volume affected and limiting consumer harm to IMESI members. Targeting is updated annually based on economic mapping and political-economy analysis.</w:t>
      </w:r>
    </w:p>
    <w:p>
      <w:pPr>
        <w:pStyle w:val="Heading2"/>
      </w:pPr>
      <w:r>
        <w:t>Section 10.2: Legislative and Stakeholder Consultation Protocol</w:t>
      </w:r>
    </w:p>
    <w:p>
      <w:r>
        <w:t>Upon stabilisation measure authorisation targeting a representative democracy, the Secretariat automatically</w:t>
      </w:r>
    </w:p>
    <w:p>
      <w:r>
        <w:t>distributes:</w:t>
      </w:r>
    </w:p>
    <w:p>
      <w:pPr>
        <w:pStyle w:val="Normal"/>
        <w:numPr>
          <w:ilvl w:val="0"/>
          <w:numId w:val="1"/>
        </w:numPr>
      </w:pPr>
      <w:r>
        <w:t>Briefings to relevant legislative committees in the coercing state 48 hours before each escalation phase</w:t>
      </w:r>
    </w:p>
    <w:p>
      <w:pPr>
        <w:pStyle w:val="Normal"/>
        <w:numPr>
          <w:ilvl w:val="0"/>
          <w:numId w:val="1"/>
        </w:numPr>
      </w:pPr>
      <w:r>
        <w:t>Detailed impact assessments to affected industry associations (agriculture, manufacturing, technology, services)</w:t>
      </w:r>
    </w:p>
    <w:p>
      <w:pPr>
        <w:pStyle w:val="Normal"/>
        <w:numPr>
          <w:ilvl w:val="0"/>
          <w:numId w:val="1"/>
        </w:numPr>
      </w:pPr>
      <w:r>
        <w:t>Economic modelling showing region-level economic impacts and employment effects</w:t>
      </w:r>
    </w:p>
    <w:p>
      <w:pPr>
        <w:pStyle w:val="Normal"/>
        <w:numPr>
          <w:ilvl w:val="0"/>
          <w:numId w:val="1"/>
        </w:numPr>
      </w:pPr>
      <w:r>
        <w:t>Comparison data: cost of tariffs to the coercing state's businesses versus cost of policy concessions demanded from IMESI members Targeted Distribution (v9.3A): For representative democracies: automatic distribution to relevant legislative committees (trade, finance, agriculture, foreign affairs), industry associations in tariff-affected sectors, sub-national governors/premiers of regions with concentrated export exposure, and business roundtables with quantified cost-per-firm estimates. Materials prepared in the coercing state's official languages with consumer-impact infographics optimised for media use. This mobilises domestic opposition within the coercing state as a lever without direct government-to-government confrontation. Legislative and business pressure has historically proven decisive in tariff reversals across multiple jurisdictions.</w:t>
      </w:r>
    </w:p>
    <w:p>
      <w:pPr>
        <w:pStyle w:val="Heading2"/>
      </w:pPr>
      <w:r>
        <w:t>Section 10.3: "Reciprocal but Delayed" Implementation</w:t>
      </w:r>
    </w:p>
    <w:p>
      <w:r>
        <w:t>Stabilisation measures are authorised immediately but implementation is staggered to create a negotiating</w:t>
      </w:r>
    </w:p>
    <w:p>
      <w:r>
        <w:t>window:</w:t>
      </w:r>
    </w:p>
    <w:p>
      <w:r>
        <w:t>Day</w:t>
      </w:r>
    </w:p>
    <w:p>
      <w:r>
        <w:t>Implementation Level</w:t>
      </w:r>
    </w:p>
    <w:p>
      <w:r>
        <w:t>Condition</w:t>
      </w:r>
    </w:p>
    <w:p>
      <w:r>
        <w:t>Day 0</w:t>
      </w:r>
    </w:p>
    <w:p>
      <w:r>
        <w:t>Authorised, implemented</w:t>
      </w:r>
    </w:p>
    <w:p>
      <w:r>
        <w:t>Day 30</w:t>
      </w:r>
    </w:p>
    <w:p>
      <w:r>
        <w:t>25% implemented</w:t>
      </w:r>
    </w:p>
    <w:p>
      <w:r>
        <w:t>Suspended if good-faith negotiations commence</w:t>
      </w:r>
    </w:p>
    <w:p>
      <w:r>
        <w:t>Day 60</w:t>
      </w:r>
    </w:p>
    <w:p>
      <w:r>
        <w:t>50% implemented</w:t>
      </w:r>
    </w:p>
    <w:p>
      <w:r>
        <w:t>Reduced if substantive progress verified</w:t>
      </w:r>
    </w:p>
    <w:p>
      <w:r>
        <w:t>Day 90</w:t>
      </w:r>
    </w:p>
    <w:p>
      <w:r>
        <w:t>100% implemented</w:t>
      </w:r>
    </w:p>
    <w:p>
      <w:r>
        <w:t>Full Phase 1 operational</w:t>
      </w:r>
    </w:p>
    <w:p>
      <w:r>
        <w:t>0%</w:t>
      </w:r>
    </w:p>
    <w:p>
      <w:r>
        <w:t>Public announcement with explicit timeline</w:t>
      </w:r>
    </w:p>
    <w:p>
      <w:r>
        <w:t>Escalation Communication (v9.3A): Each phase transition accompanied by coordinated public statement: "IMESI stabilisation measures advancing to [X]% implementation. Full suspension remains available upon commencement of good-faith negotiations." This creates credible threat with built-in negotiating window, demonstrating defensive intent while preserving escalation capacity. Media strategy coordinated through Annex</w:t>
      </w:r>
    </w:p>
    <w:p>
      <w:r>
        <w:t>16 Communications Charter. The public commitment, "Full implementation suspended if good-faith negotiations commence", demonstrates defensive intent to international audiences while maintaining credible escalation.</w:t>
      </w:r>
    </w:p>
    <w:p>
      <w:pPr>
        <w:pStyle w:val="Heading2"/>
      </w:pPr>
      <w:r>
        <w:t>Section 10.4: Commercial Stakeholder Mitigation Credits</w:t>
      </w:r>
    </w:p>
    <w:p>
      <w:r>
        <w:t>IMESI stabilisation measures include explicit exemptions for companies in the coercing state that: (a) Publicly oppose the tariff policy through industry association statements or legislative testimony (b) Engage in alternative supply chain development with IMESI member companies (c) Maintain or expand investment in IMESI member states during the dispute Enhanced Credit Criteria (v9.3A): Additional qualifying actions for mitigation credits: (d) maintaining existing employment levels in IMESI member facilities during tariff disputes; (e) redirecting supply chain investment to IMESI members; (f) providing technical testimony to legislative bodies on tariff harm. Credits are publicly listed on the IMESI Cooperation Dashboard, creating visible commercial incentive for companies to distance themselves from tariff aggression. Mitigation credits reward business community division within the coercing state without IMESI governments picking winners. This creates commercial incentives for private sector advocacy against coercion and undermines any unified domestic front supporting tariff policy.</w:t>
      </w:r>
    </w:p>
    <w:p>
      <w:pPr>
        <w:pStyle w:val="Heading2"/>
      </w:pPr>
      <w:r>
        <w:t>Section 10.5: Substitution Acceleration Sub-Fund</w:t>
      </w:r>
    </w:p>
    <w:p>
      <w:r>
        <w:t>A dedicated USD 5 billion facility within the Resilience Fund rapidly subsidises IMESI members' structural shift away from the coercing state's suppliers during tariff disputes. This demonstrates permanent structural</w:t>
      </w:r>
    </w:p>
    <w:p>
      <w:r>
        <w:t>consequences of coercion, not just temporary reciprocal pain. Eligible uses:</w:t>
      </w:r>
    </w:p>
    <w:p>
      <w:pPr>
        <w:pStyle w:val="Normal"/>
        <w:numPr>
          <w:ilvl w:val="0"/>
          <w:numId w:val="1"/>
        </w:numPr>
      </w:pPr>
      <w:r>
        <w:t>Subsidies for IMESI-to-IMESI supplier substitution (alternative source development)</w:t>
      </w:r>
    </w:p>
    <w:p>
      <w:pPr>
        <w:pStyle w:val="Normal"/>
        <w:numPr>
          <w:ilvl w:val="0"/>
          <w:numId w:val="1"/>
        </w:numPr>
      </w:pPr>
      <w:r>
        <w:t>Capacity building for alternative suppliers in critical sectors</w:t>
      </w:r>
    </w:p>
    <w:p>
      <w:pPr>
        <w:pStyle w:val="Normal"/>
        <w:numPr>
          <w:ilvl w:val="0"/>
          <w:numId w:val="1"/>
        </w:numPr>
      </w:pPr>
      <w:r>
        <w:t>Long-term procurement contracts guaranteeing market share to substitute suppliers</w:t>
      </w:r>
    </w:p>
    <w:p>
      <w:pPr>
        <w:pStyle w:val="Normal"/>
        <w:numPr>
          <w:ilvl w:val="0"/>
          <w:numId w:val="1"/>
        </w:numPr>
      </w:pPr>
      <w:r>
        <w:t>Repositioning cost compensation (logistics, certification, retooling) The strategic signal: tariff withdrawal alone becomes insufficient, the coercing state also compensates for repositioning costs already incurred. Cost Imposition Logic (v9.3A): The strategic calculation for the coercing state becomes: tariff withdrawal alone is insufficient to restore pre-coercion market position, the coercer also compensates for repositioning costs already incurred by IMESI members. This transforms the calculus from 'absorb short-term pain for long-term gain' to 'short-term tariffs trigger permanent structural consequences that only good-faith behaviour unwinds partially.' Reversible Diversification (v8.5): Subsidies include 5-year re-evaluation windows. If the original coercing state meets compliance milestones (verified by IEWC: coercion withdrawn, compliance monitoring accepted, no recurrence within 24 months), subsidised firms return to original suppliers without penalty. This ensures diversification is encouraged but not mandated as permanent economic divorce. The strategic signal evolves: coercion has structural consequences, but good-faith engagement reverses them.</w:t>
      </w:r>
    </w:p>
    <w:p>
      <w:pPr>
        <w:pStyle w:val="Heading2"/>
      </w:pPr>
      <w:r>
        <w:t>Section 10.6: Accelerated Third-Country Recruitment</w:t>
      </w:r>
    </w:p>
    <w:p>
      <w:r>
        <w:t>Upon tariff activation by a large economy, the Secretariat immediately extends Observer+ offers to non-member</w:t>
      </w:r>
    </w:p>
    <w:p>
      <w:r>
        <w:t>states facing similar coercion or at risk of being targeted next:</w:t>
      </w:r>
    </w:p>
    <w:p>
      <w:pPr>
        <w:pStyle w:val="Normal"/>
        <w:numPr>
          <w:ilvl w:val="0"/>
          <w:numId w:val="1"/>
        </w:numPr>
      </w:pPr>
      <w:r>
        <w:t>Major trading economies with significant export exposure to the coercing state</w:t>
      </w:r>
    </w:p>
    <w:p>
      <w:pPr>
        <w:pStyle w:val="Normal"/>
        <w:numPr>
          <w:ilvl w:val="0"/>
          <w:numId w:val="1"/>
        </w:numPr>
      </w:pPr>
      <w:r>
        <w:t>States with strategic energy or commodity relationships vulnerable to secondary pressure</w:t>
      </w:r>
    </w:p>
    <w:p>
      <w:pPr>
        <w:pStyle w:val="Normal"/>
        <w:numPr>
          <w:ilvl w:val="0"/>
          <w:numId w:val="1"/>
        </w:numPr>
      </w:pPr>
      <w:r>
        <w:t>Regional economic communities facing direct or indirect tariff spillover Coordinated messaging: "Join now, receive protection, avoid becoming the next target." This expands the coalition through low-commitment Observer+ without requiring full obligations, increasing the coercing state's isolation and the collective economic weight arrayed against tariff policy.</w:t>
      </w:r>
    </w:p>
    <w:p>
      <w:pPr>
        <w:pStyle w:val="Heading2"/>
      </w:pPr>
      <w:r>
        <w:t>Section 10.7: Regulatory Friction Parallel Track</w:t>
      </w:r>
    </w:p>
    <w:p>
      <w:pPr>
        <w:pStyle w:val="Heading3"/>
      </w:pPr>
      <w:r>
        <w:rPr>
          <w:rFonts w:ascii="Calibri" w:hAnsi="Calibri" w:eastAsia="Microsoft YaHei" w:cs="Calibri"/>
          <w:b/>
          <w:color w:val="546E7A"/>
          <w:sz w:val="22"/>
          <w:szCs w:val="22"/>
        </w:rPr>
        <w:t>Section 10.7 (Addendum): De Minimis Exploit Closure [NEW: v11.0]</w:t>
      </w:r>
    </w:p>
    <w:p>
      <w:pPr>
        <w:pStyle w:val="Normal"/>
      </w:pPr>
      <w:r>
        <w:rPr>
          <w:rFonts w:ascii="Calibri" w:hAnsi="Calibri" w:eastAsia="Microsoft YaHei" w:cs="Calibri"/>
          <w:color w:val="263238"/>
          <w:sz w:val="21"/>
          <w:szCs w:val="21"/>
        </w:rPr>
        <w:t>An adjustment of the de minimis threshold that specifically targets e-commerce packages from IMESI states, including lowering the threshold, constitutes a regulatory friction measure and warrants a Phase 1 tariff escalation on luxury goods.</w:t>
      </w:r>
    </w:p>
    <w:p>
      <w:pPr>
        <w:pStyle w:val="Heading3"/>
      </w:pPr>
      <w:r>
        <w:rPr>
          <w:rFonts w:ascii="Calibri" w:hAnsi="Calibri" w:eastAsia="Microsoft YaHei" w:cs="Calibri"/>
          <w:b/>
          <w:color w:val="546E7A"/>
          <w:sz w:val="22"/>
          <w:szCs w:val="22"/>
        </w:rPr>
        <w:t>Section 10.7A: De Minimis Manipulation [NEW: v12.0]</w:t>
      </w:r>
    </w:p>
    <w:p>
      <w:pPr>
        <w:pStyle w:val="Normal"/>
      </w:pPr>
      <w:r>
        <w:rPr>
          <w:rFonts w:ascii="Calibri" w:hAnsi="Calibri" w:eastAsia="Microsoft YaHei" w:cs="Calibri"/>
          <w:color w:val="263238"/>
          <w:sz w:val="21"/>
          <w:szCs w:val="21"/>
        </w:rPr>
        <w:t>Where a state adjusts its de minimis threshold specifically to target e-commerce shipments, postal traffic, or small-package deliveries from IMESI Members, the adjustment constitutes a non-tariff barrier triggering the Regulatory Friction Parallel Track (Section 10.7). Adjustments applied discriminatorily or with less than 30 days’ notice classify as Constructive Tariff Coercion under Section 2.1A.</w:t>
      </w:r>
    </w:p>
    <w:p>
      <w:pPr>
        <w:pStyle w:val="Normal"/>
      </w:pPr>
      <w:r>
        <w:rPr>
          <w:rFonts w:ascii="Calibri" w:hAnsi="Calibri" w:eastAsia="Microsoft YaHei" w:cs="Calibri"/>
          <w:color w:val="263238"/>
          <w:sz w:val="21"/>
          <w:szCs w:val="21"/>
        </w:rPr>
        <w:t>In parallel with tariff stabilisation measures, IMESI activates non-tariff measures that are technically</w:t>
      </w:r>
    </w:p>
    <w:p>
      <w:pPr>
        <w:pStyle w:val="Normal"/>
      </w:pPr>
      <w:r>
        <w:rPr>
          <w:rFonts w:ascii="Calibri" w:hAnsi="Calibri" w:eastAsia="Microsoft YaHei" w:cs="Calibri"/>
          <w:color w:val="263238"/>
          <w:sz w:val="21"/>
          <w:szCs w:val="21"/>
        </w:rPr>
        <w:t>WTO-compliant and harder to respond to symmetrically:</w:t>
      </w:r>
    </w:p>
    <w:p>
      <w:pPr>
        <w:pStyle w:val="Normal"/>
        <w:numPr>
          <w:ilvl w:val="0"/>
          <w:numId w:val="1"/>
        </w:numPr>
      </w:pPr>
      <w:r>
        <w:rPr>
          <w:rFonts w:ascii="Calibri" w:hAnsi="Calibri" w:eastAsia="Microsoft YaHei" w:cs="Calibri"/>
          <w:color w:val="263238"/>
          <w:sz w:val="21"/>
          <w:szCs w:val="21"/>
        </w:rPr>
        <w:t>Extended customs inspections on the coercing state's goods (additional 5–15 business days processing)</w:t>
      </w:r>
    </w:p>
    <w:p>
      <w:pPr>
        <w:pStyle w:val="Normal"/>
        <w:numPr>
          <w:ilvl w:val="0"/>
          <w:numId w:val="1"/>
        </w:numPr>
      </w:pPr>
      <w:r>
        <w:rPr>
          <w:rFonts w:ascii="Calibri" w:hAnsi="Calibri" w:eastAsia="Microsoft YaHei" w:cs="Calibri"/>
          <w:color w:val="263238"/>
          <w:sz w:val="21"/>
          <w:szCs w:val="21"/>
        </w:rPr>
        <w:t>Enhanced safety and environmental reviews for products entering member markets</w:t>
      </w:r>
    </w:p>
    <w:p>
      <w:pPr>
        <w:pStyle w:val="Normal"/>
        <w:numPr>
          <w:ilvl w:val="0"/>
          <w:numId w:val="1"/>
        </w:numPr>
      </w:pPr>
      <w:r>
        <w:rPr>
          <w:rFonts w:ascii="Calibri" w:hAnsi="Calibri" w:eastAsia="Microsoft YaHei" w:cs="Calibri"/>
          <w:color w:val="263238"/>
          <w:sz w:val="21"/>
          <w:szCs w:val="21"/>
        </w:rPr>
        <w:t>Licensing delays for the coercing state's services firms (banking, consulting, digital services)</w:t>
      </w:r>
    </w:p>
    <w:p>
      <w:pPr>
        <w:pStyle w:val="Normal"/>
        <w:numPr>
          <w:ilvl w:val="0"/>
          <w:numId w:val="1"/>
        </w:numPr>
      </w:pPr>
      <w:r>
        <w:rPr>
          <w:rFonts w:ascii="Calibri" w:hAnsi="Calibri" w:eastAsia="Microsoft YaHei" w:cs="Calibri"/>
          <w:color w:val="263238"/>
          <w:sz w:val="21"/>
          <w:szCs w:val="21"/>
        </w:rPr>
        <w:t>Enhanced regulatory scrutiny of agricultural imports (phytosanitary standards, labelling requirements)</w:t>
      </w:r>
    </w:p>
    <w:p>
      <w:pPr>
        <w:pStyle w:val="Normal"/>
        <w:numPr>
          <w:ilvl w:val="0"/>
          <w:numId w:val="1"/>
        </w:numPr>
      </w:pPr>
      <w:r>
        <w:rPr>
          <w:rFonts w:ascii="Calibri" w:hAnsi="Calibri" w:eastAsia="Microsoft YaHei" w:cs="Calibri"/>
          <w:color w:val="263238"/>
          <w:sz w:val="21"/>
          <w:szCs w:val="21"/>
        </w:rPr>
        <w:t>Procurement preference adjustments favouring alternative suppliers in government contracts WTO Compliance Architecture (v9.3A): All regulatory friction measures are individually WTO-compliant (legitimate safety, environmental, and consumer protection objectives) and harder for the coercing state to respond to symmetrically. Cost imposition: Cumulative commercial burden across 5–15 day inspection delays, enhanced reviews, and licensing processing creates equivalent tariff burden of 3–8% without headline escalation and without triggering WTO tariff retaliation authorisation. These measures create cumulative commercial burden without headline tariff escalation, preserving IMESI's proportionate image while imposing real costs.</w:t>
      </w:r>
    </w:p>
    <w:p>
      <w:pPr>
        <w:pStyle w:val="Heading2"/>
      </w:pPr>
      <w:r>
        <w:rPr>
          <w:rFonts w:ascii="Calibri" w:hAnsi="Calibri" w:eastAsia="Microsoft YaHei" w:cs="Calibri"/>
          <w:b/>
          <w:color w:val="263238"/>
          <w:sz w:val="25"/>
          <w:szCs w:val="25"/>
        </w:rPr>
        <w:t>Section 10.8: Global Payment Diversification Module</w:t>
      </w:r>
    </w:p>
    <w:p>
      <w:pPr>
        <w:pStyle w:val="Normal"/>
      </w:pPr>
      <w:r>
        <w:rPr>
          <w:rFonts w:ascii="Calibri" w:hAnsi="Calibri" w:eastAsia="Microsoft YaHei" w:cs="Calibri"/>
          <w:color w:val="263238"/>
          <w:sz w:val="21"/>
          <w:szCs w:val="21"/>
        </w:rPr>
        <w:t>During tariff disputes with a reserve-currency issuer, IMESI activates central bank swap lines among members</w:t>
      </w:r>
    </w:p>
    <w:p>
      <w:pPr>
        <w:pStyle w:val="Normal"/>
      </w:pPr>
      <w:r>
        <w:rPr>
          <w:rFonts w:ascii="Calibri" w:hAnsi="Calibri" w:eastAsia="Microsoft YaHei" w:cs="Calibri"/>
          <w:color w:val="263238"/>
          <w:sz w:val="21"/>
          <w:szCs w:val="21"/>
        </w:rPr>
        <w:t>to reduce dependence on the coercing state's currency:</w:t>
      </w:r>
    </w:p>
    <w:p>
      <w:pPr>
        <w:pStyle w:val="Normal"/>
      </w:pPr>
      <w:r>
        <w:rPr>
          <w:rFonts w:ascii="Calibri" w:hAnsi="Calibri" w:eastAsia="Microsoft YaHei" w:cs="Calibri"/>
          <w:color w:val="263238"/>
          <w:sz w:val="21"/>
          <w:szCs w:val="21"/>
        </w:rPr>
        <w:t>Bilateral swap lines in member currencies for trade settlement (bypassing the reserve currency for intra-IMESI trade)</w:t>
      </w:r>
    </w:p>
    <w:p>
      <w:pPr>
        <w:pStyle w:val="Normal"/>
        <w:numPr>
          <w:ilvl w:val="0"/>
          <w:numId w:val="1"/>
        </w:numPr>
      </w:pPr>
      <w:r>
        <w:rPr>
          <w:rFonts w:ascii="Calibri" w:hAnsi="Calibri" w:eastAsia="Microsoft YaHei" w:cs="Calibri"/>
          <w:color w:val="263238"/>
          <w:sz w:val="21"/>
          <w:szCs w:val="21"/>
        </w:rPr>
        <w:t>Coordinated foreign exchange reserve diversification (gradual, signalled)</w:t>
      </w:r>
    </w:p>
    <w:p>
      <w:pPr>
        <w:pStyle w:val="Normal"/>
        <w:numPr>
          <w:ilvl w:val="0"/>
          <w:numId w:val="1"/>
        </w:numPr>
      </w:pPr>
      <w:r>
        <w:rPr>
          <w:rFonts w:ascii="Calibri" w:hAnsi="Calibri" w:eastAsia="Microsoft YaHei" w:cs="Calibri"/>
          <w:color w:val="263238"/>
          <w:sz w:val="21"/>
          <w:szCs w:val="21"/>
        </w:rPr>
        <w:t>Market signalling of long-term intent to build alternative trade settlement infrastructure</w:t>
      </w:r>
    </w:p>
    <w:p>
      <w:pPr>
        <w:pStyle w:val="Normal"/>
        <w:numPr>
          <w:ilvl w:val="0"/>
          <w:numId w:val="1"/>
        </w:numPr>
      </w:pPr>
      <w:r>
        <w:rPr>
          <w:rFonts w:ascii="Calibri" w:hAnsi="Calibri" w:eastAsia="Microsoft YaHei" w:cs="Calibri"/>
          <w:color w:val="263238"/>
          <w:sz w:val="21"/>
          <w:szCs w:val="21"/>
        </w:rPr>
        <w:t>Joint IMESI bond issuance in non-reserve currencies as alternative reserve asset Coordinated Signalling (v9.3A): Joint IMESI bond issuance in non-reserve currencies serves as alternative reserve asset and visible signal of long-term diversification intent. Even partial coordination among 10+ states representing 30%+ of global GDP carries significant market weight. Cost imposition: Gradually reduces reserve-currency leverage as coercive tool; the signal of coordinated diversification intent itself imposes costs before physical settlement shifts occur. This gradually diversifies settlement options and reduces single-currency concentration risk, consistent with IMF financial-stability guidance on payment system resilience. The signal alone, coordinated intent to build redundancy, carries significant stabilisation weight by reducing any single currency's leverage as a coercive</w:t>
      </w:r>
    </w:p>
    <w:p>
      <w:pPr>
        <w:pStyle w:val="Normal"/>
      </w:pPr>
      <w:r>
        <w:rPr>
          <w:rFonts w:ascii="Calibri" w:hAnsi="Calibri" w:eastAsia="Microsoft YaHei" w:cs="Calibri"/>
          <w:color w:val="263238"/>
          <w:sz w:val="21"/>
          <w:szCs w:val="21"/>
        </w:rPr>
        <w:t>tool.</w:t>
      </w:r>
    </w:p>
    <w:p>
      <w:pPr>
        <w:pStyle w:val="Heading2"/>
      </w:pPr>
      <w:r>
        <w:rPr>
          <w:rFonts w:ascii="Calibri" w:hAnsi="Calibri" w:eastAsia="Microsoft YaHei" w:cs="Calibri"/>
          <w:b/>
          <w:color w:val="263238"/>
          <w:sz w:val="25"/>
          <w:szCs w:val="25"/>
        </w:rPr>
        <w:t>Section 10.9: "Reinstatement Plus" Provisions</w:t>
      </w:r>
    </w:p>
    <w:p>
      <w:pPr>
        <w:pStyle w:val="Heading3"/>
      </w:pPr>
      <w:r>
        <w:rPr>
          <w:rFonts w:ascii="Calibri" w:hAnsi="Calibri" w:eastAsia="Microsoft YaHei" w:cs="Calibri"/>
          <w:b/>
          <w:color w:val="546E7A"/>
          <w:sz w:val="22"/>
          <w:szCs w:val="22"/>
        </w:rPr>
        <w:t>Section 10.9 (Addendum): Reinstatement Plus Hard Coding [NEW: v11.0]</w:t>
      </w:r>
    </w:p>
    <w:p>
      <w:pPr>
        <w:pStyle w:val="Normal"/>
      </w:pPr>
      <w:r>
        <w:rPr>
          <w:rFonts w:ascii="Calibri" w:hAnsi="Calibri" w:eastAsia="Microsoft YaHei" w:cs="Calibri"/>
          <w:color w:val="263238"/>
          <w:sz w:val="21"/>
          <w:szCs w:val="21"/>
        </w:rPr>
        <w:t>The +25% penalty for re-imposition applies automatically without a new Coordination Committee vote. The penalty applies retroactively to the date of withdrawal, eliminating the holiday period between withdrawal and re-imposition.</w:t>
      </w:r>
    </w:p>
    <w:p>
      <w:pPr>
        <w:pStyle w:val="Heading3"/>
      </w:pPr>
      <w:r>
        <w:rPr>
          <w:rFonts w:ascii="Calibri" w:hAnsi="Calibri" w:eastAsia="Microsoft YaHei" w:cs="Calibri"/>
          <w:b/>
          <w:color w:val="546E7A"/>
          <w:sz w:val="22"/>
          <w:szCs w:val="22"/>
        </w:rPr>
        <w:t>Section 10.9 (Second Addendum): Retroactive Reinstatement Surcharge [NEW: v12.0]</w:t>
      </w:r>
    </w:p>
    <w:p>
      <w:pPr>
        <w:pStyle w:val="Normal"/>
      </w:pPr>
      <w:r>
        <w:rPr>
          <w:rFonts w:ascii="Calibri" w:hAnsi="Calibri" w:eastAsia="Microsoft YaHei" w:cs="Calibri"/>
          <w:color w:val="263238"/>
          <w:sz w:val="21"/>
          <w:szCs w:val="21"/>
        </w:rPr>
        <w:t>Upon re-imposition, all previously withdrawn stabilisation measures resume immediately, and the framework applies a retroactive surcharge equivalent to 25% of the tariff revenue the coercer collected during the withdrawal period, implemented through tariff-equivalent measures credited to the Mutual Economic Security Fund.</w:t>
      </w:r>
    </w:p>
    <w:p>
      <w:pPr>
        <w:pStyle w:val="Normal"/>
      </w:pPr>
      <w:r>
        <w:rPr>
          <w:rFonts w:ascii="Calibri" w:hAnsi="Calibri" w:eastAsia="Microsoft YaHei" w:cs="Calibri"/>
          <w:color w:val="263238"/>
          <w:sz w:val="21"/>
          <w:szCs w:val="21"/>
        </w:rPr>
        <w:t>If any coercing state withdraws tariffs and then reimposes within 24 months:</w:t>
      </w:r>
    </w:p>
    <w:p>
      <w:pPr>
        <w:pStyle w:val="Normal"/>
      </w:pPr>
      <w:r>
        <w:rPr>
          <w:rFonts w:ascii="Calibri" w:hAnsi="Calibri" w:eastAsia="Microsoft YaHei" w:cs="Calibri"/>
          <w:color w:val="263238"/>
          <w:sz w:val="21"/>
          <w:szCs w:val="21"/>
        </w:rPr>
        <w:t>(a) Automatic return to Phase 3 stabilisation measures, no new investigation or vote required (b) Additional 25% penalty tariff applied above previously authorised levels (c) Verification period extended to 36 months before any reduction (d) Substitution Acceleration Sub-Fund receives emergency allocation for permanent supplier transition Reinstatement Plus specifically prevents tariff cycling, impose, negotiate, withdraw, reimpose. The penalty structure makes temporary tactical withdrawal unattractive and incentivises durable settlement.</w:t>
      </w:r>
    </w:p>
    <w:p>
      <w:pPr>
        <w:pStyle w:val="Heading2"/>
      </w:pPr>
      <w:r>
        <w:rPr>
          <w:rFonts w:ascii="Calibri" w:hAnsi="Calibri" w:eastAsia="Microsoft YaHei" w:cs="Calibri"/>
          <w:b/>
          <w:color w:val="263238"/>
          <w:sz w:val="25"/>
          <w:szCs w:val="25"/>
        </w:rPr>
        <w:t>Section 10.10: WTO Article XXIII "Non-Violation" Coalition Case</w:t>
      </w:r>
    </w:p>
    <w:p>
      <w:pPr>
        <w:pStyle w:val="Normal"/>
      </w:pPr>
      <w:r>
        <w:rPr>
          <w:rFonts w:ascii="Calibri" w:hAnsi="Calibri" w:eastAsia="Microsoft YaHei" w:cs="Calibri"/>
          <w:color w:val="263238"/>
          <w:sz w:val="21"/>
          <w:szCs w:val="21"/>
        </w:rPr>
        <w:t>Upon broad-based tariff activation, IMESI members file a coordinated WTO Article XXIII complaint arguing that the coercing state's tariffs nullify trade benefits members reasonably expected under WTO commitments. This</w:t>
      </w:r>
    </w:p>
    <w:p>
      <w:pPr>
        <w:pStyle w:val="Normal"/>
      </w:pPr>
      <w:r>
        <w:rPr>
          <w:rFonts w:ascii="Calibri" w:hAnsi="Calibri" w:eastAsia="Microsoft YaHei" w:cs="Calibri"/>
          <w:color w:val="263238"/>
          <w:sz w:val="21"/>
          <w:szCs w:val="21"/>
        </w:rPr>
        <w:t>parallel legal track:</w:t>
      </w:r>
    </w:p>
    <w:p>
      <w:pPr>
        <w:pStyle w:val="Normal"/>
        <w:numPr>
          <w:ilvl w:val="0"/>
          <w:numId w:val="1"/>
        </w:numPr>
      </w:pPr>
      <w:r>
        <w:rPr>
          <w:rFonts w:ascii="Calibri" w:hAnsi="Calibri" w:eastAsia="Microsoft YaHei" w:cs="Calibri"/>
          <w:color w:val="263238"/>
          <w:sz w:val="21"/>
          <w:szCs w:val="21"/>
        </w:rPr>
        <w:t>Preserves IMESI's legal high ground and rules-based credibility</w:t>
      </w:r>
    </w:p>
    <w:p>
      <w:pPr>
        <w:pStyle w:val="Normal"/>
        <w:numPr>
          <w:ilvl w:val="0"/>
          <w:numId w:val="1"/>
        </w:numPr>
      </w:pPr>
      <w:r>
        <w:rPr>
          <w:rFonts w:ascii="Calibri" w:hAnsi="Calibri" w:eastAsia="Microsoft YaHei" w:cs="Calibri"/>
          <w:color w:val="263238"/>
          <w:sz w:val="21"/>
          <w:szCs w:val="21"/>
        </w:rPr>
        <w:t>Creates an international forum for third-party isolation of the coercing state (other WTO members join)</w:t>
      </w:r>
    </w:p>
    <w:p>
      <w:pPr>
        <w:pStyle w:val="Normal"/>
        <w:numPr>
          <w:ilvl w:val="0"/>
          <w:numId w:val="1"/>
        </w:numPr>
      </w:pPr>
      <w:r>
        <w:rPr>
          <w:rFonts w:ascii="Calibri" w:hAnsi="Calibri" w:eastAsia="Microsoft YaHei" w:cs="Calibri"/>
          <w:color w:val="263238"/>
          <w:sz w:val="21"/>
          <w:szCs w:val="21"/>
        </w:rPr>
        <w:t>Generates authoritative legal record even if WTO panel proceedings are slow</w:t>
      </w:r>
    </w:p>
    <w:p>
      <w:pPr>
        <w:pStyle w:val="Normal"/>
        <w:numPr>
          <w:ilvl w:val="0"/>
          <w:numId w:val="1"/>
        </w:numPr>
      </w:pPr>
      <w:r>
        <w:rPr>
          <w:rFonts w:ascii="Calibri" w:hAnsi="Calibri" w:eastAsia="Microsoft YaHei" w:cs="Calibri"/>
          <w:color w:val="263238"/>
          <w:sz w:val="21"/>
          <w:szCs w:val="21"/>
        </w:rPr>
        <w:t>Provides additional leverage in settlement negotiations The WTO case proceeds independently of IMESI stabilisation measures. Resolution of the IMESI case does not require withdrawal of the WTO filing.</w:t>
      </w:r>
    </w:p>
    <w:p>
      <w:pPr>
        <w:pStyle w:val="Normal"/>
      </w:pPr>
      <w:r>
        <w:rPr>
          <w:rFonts w:ascii="Calibri" w:hAnsi="Calibri" w:eastAsia="Microsoft YaHei" w:cs="Calibri"/>
          <w:color w:val="263238"/>
          <w:sz w:val="21"/>
          <w:szCs w:val="21"/>
        </w:rPr>
        <w:t>Escalation Discipline: Built-In Guardrails Guardrail</w:t>
      </w:r>
    </w:p>
    <w:p>
      <w:pPr>
        <w:pStyle w:val="Normal"/>
      </w:pPr>
      <w:r>
        <w:rPr>
          <w:rFonts w:ascii="Calibri" w:hAnsi="Calibri" w:eastAsia="Microsoft YaHei" w:cs="Calibri"/>
          <w:color w:val="263238"/>
          <w:sz w:val="21"/>
          <w:szCs w:val="21"/>
        </w:rPr>
        <w:t>Purpose</w:t>
      </w:r>
    </w:p>
    <w:p>
      <w:pPr>
        <w:pStyle w:val="Normal"/>
      </w:pPr>
      <w:r>
        <w:rPr>
          <w:rFonts w:ascii="Calibri" w:hAnsi="Calibri" w:eastAsia="Microsoft YaHei" w:cs="Calibri"/>
          <w:color w:val="263238"/>
          <w:sz w:val="21"/>
          <w:szCs w:val="21"/>
        </w:rPr>
        <w:t>Phase 1: Always diplomatic engagement first</w:t>
      </w:r>
    </w:p>
    <w:p>
      <w:pPr>
        <w:pStyle w:val="Normal"/>
      </w:pPr>
      <w:r>
        <w:rPr>
          <w:rFonts w:ascii="Calibri" w:hAnsi="Calibri" w:eastAsia="Microsoft YaHei" w:cs="Calibri"/>
          <w:color w:val="263238"/>
          <w:sz w:val="21"/>
          <w:szCs w:val="21"/>
        </w:rPr>
        <w:t>Demonstrates good faith to international audience</w:t>
      </w:r>
    </w:p>
    <w:p>
      <w:pPr>
        <w:pStyle w:val="Normal"/>
      </w:pPr>
      <w:r>
        <w:rPr>
          <w:rFonts w:ascii="Calibri" w:hAnsi="Calibri" w:eastAsia="Microsoft YaHei" w:cs="Calibri"/>
          <w:color w:val="263238"/>
          <w:sz w:val="21"/>
          <w:szCs w:val="21"/>
        </w:rPr>
        <w:t>Phase 2: Never exceed 100% tariff equivalent</w:t>
      </w:r>
    </w:p>
    <w:p>
      <w:pPr>
        <w:pStyle w:val="Normal"/>
      </w:pPr>
      <w:r>
        <w:rPr>
          <w:rFonts w:ascii="Calibri" w:hAnsi="Calibri" w:eastAsia="Microsoft YaHei" w:cs="Calibri"/>
          <w:color w:val="263238"/>
          <w:sz w:val="21"/>
          <w:szCs w:val="21"/>
        </w:rPr>
        <w:t>Avoids WTO counter-response authorisation threshold</w:t>
      </w:r>
    </w:p>
    <w:p>
      <w:pPr>
        <w:pStyle w:val="Normal"/>
      </w:pPr>
      <w:r>
        <w:rPr>
          <w:rFonts w:ascii="Calibri" w:hAnsi="Calibri" w:eastAsia="Microsoft YaHei" w:cs="Calibri"/>
          <w:color w:val="263238"/>
          <w:sz w:val="21"/>
          <w:szCs w:val="21"/>
        </w:rPr>
        <w:t>Phase 3: Financial/digital measures require separate 55% vote</w:t>
      </w:r>
    </w:p>
    <w:p>
      <w:pPr>
        <w:pStyle w:val="Normal"/>
      </w:pPr>
      <w:r>
        <w:rPr>
          <w:rFonts w:ascii="Calibri" w:hAnsi="Calibri" w:eastAsia="Microsoft YaHei" w:cs="Calibri"/>
          <w:color w:val="263238"/>
          <w:sz w:val="21"/>
          <w:szCs w:val="21"/>
        </w:rPr>
        <w:t>Prevents accidental systemic escalation</w:t>
      </w:r>
    </w:p>
    <w:p>
      <w:pPr>
        <w:pStyle w:val="Normal"/>
      </w:pPr>
      <w:r>
        <w:rPr>
          <w:rFonts w:ascii="Calibri" w:hAnsi="Calibri" w:eastAsia="Microsoft YaHei" w:cs="Calibri"/>
          <w:color w:val="263238"/>
          <w:sz w:val="21"/>
          <w:szCs w:val="21"/>
        </w:rPr>
        <w:t>Automatic review at Day 45, 90, 180</w:t>
      </w:r>
    </w:p>
    <w:p>
      <w:pPr>
        <w:pStyle w:val="Normal"/>
      </w:pPr>
      <w:r>
        <w:rPr>
          <w:rFonts w:ascii="Calibri" w:hAnsi="Calibri" w:eastAsia="Microsoft YaHei" w:cs="Calibri"/>
          <w:color w:val="263238"/>
          <w:sz w:val="21"/>
          <w:szCs w:val="21"/>
        </w:rPr>
        <w:t>Off-ramps remain open; coalition cohesion tested</w:t>
      </w:r>
    </w:p>
    <w:p>
      <w:pPr>
        <w:pStyle w:val="Normal"/>
      </w:pPr>
      <w:r>
        <w:rPr>
          <w:rFonts w:ascii="Calibri" w:hAnsi="Calibri" w:eastAsia="Microsoft YaHei" w:cs="Calibri"/>
          <w:color w:val="263238"/>
          <w:sz w:val="21"/>
          <w:szCs w:val="21"/>
        </w:rPr>
        <w:t>Bilateral settlement always permitted</w:t>
      </w:r>
    </w:p>
    <w:p>
      <w:pPr>
        <w:pStyle w:val="Normal"/>
      </w:pPr>
      <w:r>
        <w:rPr>
          <w:rFonts w:ascii="Calibri" w:hAnsi="Calibri" w:eastAsia="Microsoft YaHei" w:cs="Calibri"/>
          <w:color w:val="263238"/>
          <w:sz w:val="21"/>
          <w:szCs w:val="21"/>
        </w:rPr>
        <w:t>Individual members exit if core demands met</w:t>
      </w:r>
    </w:p>
    <w:p>
      <w:pPr>
        <w:pStyle w:val="Normal"/>
      </w:pPr>
      <w:r>
        <w:rPr>
          <w:rFonts w:ascii="Calibri" w:hAnsi="Calibri" w:eastAsia="Microsoft YaHei" w:cs="Calibri"/>
          <w:color w:val="263238"/>
          <w:sz w:val="21"/>
          <w:szCs w:val="21"/>
        </w:rPr>
        <w:t>Tactic-to-Response Matrix Coercion Tactic</w:t>
      </w:r>
    </w:p>
    <w:p>
      <w:pPr>
        <w:pStyle w:val="Normal"/>
      </w:pPr>
      <w:r>
        <w:rPr>
          <w:rFonts w:ascii="Calibri" w:hAnsi="Calibri" w:eastAsia="Microsoft YaHei" w:cs="Calibri"/>
          <w:color w:val="263238"/>
          <w:sz w:val="21"/>
          <w:szCs w:val="21"/>
        </w:rPr>
        <w:t>IMESI Stabilisation Response</w:t>
      </w:r>
    </w:p>
    <w:p>
      <w:pPr>
        <w:pStyle w:val="Normal"/>
      </w:pPr>
      <w:r>
        <w:rPr>
          <w:rFonts w:ascii="Calibri" w:hAnsi="Calibri" w:eastAsia="Microsoft YaHei" w:cs="Calibri"/>
          <w:color w:val="263238"/>
          <w:sz w:val="21"/>
          <w:szCs w:val="21"/>
        </w:rPr>
        <w:t>Blanket tariffs</w:t>
      </w:r>
    </w:p>
    <w:p>
      <w:pPr>
        <w:pStyle w:val="Normal"/>
      </w:pPr>
      <w:r>
        <w:rPr>
          <w:rFonts w:ascii="Calibri" w:hAnsi="Calibri" w:eastAsia="Microsoft YaHei" w:cs="Calibri"/>
          <w:color w:val="263238"/>
          <w:sz w:val="21"/>
          <w:szCs w:val="21"/>
        </w:rPr>
        <w:t>Sub-national political-economy targeting; legislative mobilisation</w:t>
      </w:r>
    </w:p>
    <w:p>
      <w:pPr>
        <w:pStyle w:val="Normal"/>
      </w:pPr>
      <w:r>
        <w:rPr>
          <w:rFonts w:ascii="Calibri" w:hAnsi="Calibri" w:eastAsia="Microsoft YaHei" w:cs="Calibri"/>
          <w:color w:val="263238"/>
          <w:sz w:val="21"/>
          <w:szCs w:val="21"/>
        </w:rPr>
        <w:t>Rapid escalation threats</w:t>
      </w:r>
    </w:p>
    <w:p>
      <w:pPr>
        <w:pStyle w:val="Normal"/>
      </w:pPr>
      <w:r>
        <w:rPr>
          <w:rFonts w:ascii="Calibri" w:hAnsi="Calibri" w:eastAsia="Microsoft YaHei" w:cs="Calibri"/>
          <w:color w:val="263238"/>
          <w:sz w:val="21"/>
          <w:szCs w:val="21"/>
        </w:rPr>
        <w:t>Reciprocal but delayed implementation</w:t>
      </w:r>
    </w:p>
    <w:p>
      <w:pPr>
        <w:pStyle w:val="Normal"/>
      </w:pPr>
      <w:r>
        <w:rPr>
          <w:rFonts w:ascii="Calibri" w:hAnsi="Calibri" w:eastAsia="Microsoft YaHei" w:cs="Calibri"/>
          <w:color w:val="263238"/>
          <w:sz w:val="21"/>
          <w:szCs w:val="21"/>
        </w:rPr>
        <w:t>Negotiate then reimpose</w:t>
      </w:r>
    </w:p>
    <w:p>
      <w:pPr>
        <w:pStyle w:val="Normal"/>
      </w:pPr>
      <w:r>
        <w:rPr>
          <w:rFonts w:ascii="Calibri" w:hAnsi="Calibri" w:eastAsia="Microsoft YaHei" w:cs="Calibri"/>
          <w:color w:val="263238"/>
          <w:sz w:val="21"/>
          <w:szCs w:val="21"/>
        </w:rPr>
        <w:t>Reinstatement Plus provisions</w:t>
      </w:r>
    </w:p>
    <w:p>
      <w:pPr>
        <w:pStyle w:val="Normal"/>
      </w:pPr>
      <w:r>
        <w:rPr>
          <w:rFonts w:ascii="Calibri" w:hAnsi="Calibri" w:eastAsia="Microsoft YaHei" w:cs="Calibri"/>
          <w:color w:val="263238"/>
          <w:sz w:val="21"/>
          <w:szCs w:val="21"/>
        </w:rPr>
        <w:t>Divide and conquer</w:t>
      </w:r>
    </w:p>
    <w:p>
      <w:pPr>
        <w:pStyle w:val="Normal"/>
      </w:pPr>
      <w:r>
        <w:rPr>
          <w:rFonts w:ascii="Calibri" w:hAnsi="Calibri" w:eastAsia="Microsoft YaHei" w:cs="Calibri"/>
          <w:color w:val="263238"/>
          <w:sz w:val="21"/>
          <w:szCs w:val="21"/>
        </w:rPr>
        <w:t>Third-country rapid recruitment; anti-fragmentation protocol</w:t>
      </w:r>
    </w:p>
    <w:p>
      <w:pPr>
        <w:pStyle w:val="Normal"/>
      </w:pPr>
      <w:r>
        <w:rPr>
          <w:rFonts w:ascii="Calibri" w:hAnsi="Calibri" w:eastAsia="Microsoft YaHei" w:cs="Calibri"/>
          <w:color w:val="263238"/>
          <w:sz w:val="21"/>
          <w:szCs w:val="21"/>
        </w:rPr>
        <w:t>Ignore multilateral rules</w:t>
      </w:r>
    </w:p>
    <w:p>
      <w:pPr>
        <w:pStyle w:val="Normal"/>
      </w:pPr>
      <w:r>
        <w:rPr>
          <w:rFonts w:ascii="Calibri" w:hAnsi="Calibri" w:eastAsia="Microsoft YaHei" w:cs="Calibri"/>
          <w:color w:val="263238"/>
          <w:sz w:val="21"/>
          <w:szCs w:val="21"/>
        </w:rPr>
        <w:t>WTO coalition case; regulatory friction</w:t>
      </w:r>
    </w:p>
    <w:p>
      <w:pPr>
        <w:pStyle w:val="Normal"/>
      </w:pPr>
      <w:r>
        <w:rPr>
          <w:rFonts w:ascii="Calibri" w:hAnsi="Calibri" w:eastAsia="Microsoft YaHei" w:cs="Calibri"/>
          <w:color w:val="263238"/>
          <w:sz w:val="21"/>
          <w:szCs w:val="21"/>
        </w:rPr>
        <w:t>Weaponise financial interdependence</w:t>
      </w:r>
    </w:p>
    <w:p>
      <w:pPr>
        <w:pStyle w:val="Normal"/>
      </w:pPr>
      <w:r>
        <w:rPr>
          <w:rFonts w:ascii="Calibri" w:hAnsi="Calibri" w:eastAsia="Microsoft YaHei" w:cs="Calibri"/>
          <w:color w:val="263238"/>
          <w:sz w:val="21"/>
          <w:szCs w:val="21"/>
        </w:rPr>
        <w:t>Payment diversification; substitution acceleration</w:t>
      </w:r>
    </w:p>
    <w:p>
      <w:pPr>
        <w:pStyle w:val="Normal"/>
      </w:pPr>
      <w:r>
        <w:rPr>
          <w:rFonts w:ascii="Calibri" w:hAnsi="Calibri" w:eastAsia="Microsoft YaHei" w:cs="Calibri"/>
          <w:color w:val="263238"/>
          <w:sz w:val="21"/>
          <w:szCs w:val="21"/>
        </w:rPr>
        <w:t>Exploit domestic divisions</w:t>
      </w:r>
    </w:p>
    <w:p>
      <w:pPr>
        <w:pStyle w:val="Normal"/>
      </w:pPr>
      <w:r>
        <w:rPr>
          <w:rFonts w:ascii="Calibri" w:hAnsi="Calibri" w:eastAsia="Microsoft YaHei" w:cs="Calibri"/>
          <w:color w:val="263238"/>
          <w:sz w:val="21"/>
          <w:szCs w:val="21"/>
        </w:rPr>
        <w:t>Commercial stakeholder mitigation credits</w:t>
      </w:r>
    </w:p>
    <w:p>
      <w:pPr>
        <w:pStyle w:val="Normal"/>
      </w:pPr>
      <w:r>
        <w:rPr>
          <w:rFonts w:ascii="Calibri" w:hAnsi="Calibri" w:eastAsia="Microsoft YaHei" w:cs="Calibri"/>
          <w:color w:val="263238"/>
          <w:sz w:val="21"/>
          <w:szCs w:val="21"/>
        </w:rPr>
        <w:t>These measures preserve proportional response while targeting the coercing state's domestic political-economy vulnerabilities, making tariffs politically costly for the administration imposing them, without triggering spiral into mutual economic destruction.</w:t>
      </w:r>
    </w:p>
    <w:p>
      <w:pPr>
        <w:pStyle w:val="Heading2"/>
      </w:pPr>
      <w:r>
        <w:rPr>
          <w:rFonts w:ascii="Calibri" w:hAnsi="Calibri" w:eastAsia="Microsoft YaHei" w:cs="Calibri"/>
          <w:b/>
          <w:color w:val="263238"/>
          <w:sz w:val="25"/>
          <w:szCs w:val="25"/>
        </w:rPr>
        <w:t>Section 10.11: Tariff Shock Stabilisation Protocol</w:t>
      </w:r>
    </w:p>
    <w:p>
      <w:pPr>
        <w:pStyle w:val="Heading3"/>
      </w:pPr>
      <w:r>
        <w:rPr>
          <w:rFonts w:ascii="Calibri" w:hAnsi="Calibri" w:eastAsia="Microsoft YaHei" w:cs="Calibri"/>
          <w:b/>
          <w:color w:val="546E7A"/>
          <w:sz w:val="22"/>
          <w:szCs w:val="22"/>
        </w:rPr>
        <w:t>Section 10.11A: Country of Origin Manipulation [NEW: v12.0]</w:t>
      </w:r>
    </w:p>
    <w:p>
      <w:pPr>
        <w:pStyle w:val="Normal"/>
      </w:pPr>
      <w:r>
        <w:rPr>
          <w:rFonts w:ascii="Calibri" w:hAnsi="Calibri" w:eastAsia="Microsoft YaHei" w:cs="Calibri"/>
          <w:color w:val="263238"/>
          <w:sz w:val="21"/>
          <w:szCs w:val="21"/>
        </w:rPr>
        <w:t>Where a coercing state changes country-of-origin rules, rules-of-origin verification procedures, or customs classification practices specifically to restrict IMESI Members’ access, the change triggers the Substitution Acceleration Sub-Fund (Section 10.5) and enables expedited HS Code reclassification assistance for affected Members.</w:t>
      </w:r>
    </w:p>
    <w:p>
      <w:pPr>
        <w:pStyle w:val="Heading3"/>
      </w:pPr>
      <w:r>
        <w:rPr>
          <w:rFonts w:ascii="Calibri" w:hAnsi="Calibri" w:eastAsia="Microsoft YaHei" w:cs="Calibri"/>
          <w:b/>
          <w:color w:val="546E7A"/>
          <w:sz w:val="22"/>
          <w:szCs w:val="22"/>
        </w:rPr>
        <w:t>Section 10.11A (Addendum): Country of Origin Fraud [NEW: v12.0]</w:t>
      </w:r>
    </w:p>
    <w:p>
      <w:pPr>
        <w:pStyle w:val="Normal"/>
      </w:pPr>
      <w:r>
        <w:rPr>
          <w:rFonts w:ascii="Calibri" w:hAnsi="Calibri" w:eastAsia="Microsoft YaHei" w:cs="Calibri"/>
          <w:color w:val="263238"/>
          <w:sz w:val="21"/>
          <w:szCs w:val="21"/>
        </w:rPr>
        <w:t>Where a coercer state manipulates country-of-origin rules, rules-of-origin verification, or customs classification to evade stabilisation measures, the IEWC certifies Country of Origin Fraud. Upon certification, IMESI Members: (a) require additional documentation from importers; (b) impose enhanced verification procedures; and (c) treat goods whose origin resists verification as coercer-origin goods for stabilisation purposes, with an importer rebuttal channel.</w:t>
      </w:r>
    </w:p>
    <w:p>
      <w:pPr>
        <w:pStyle w:val="Normal"/>
      </w:pPr>
      <w:r>
        <w:rPr>
          <w:rFonts w:ascii="Calibri" w:hAnsi="Calibri" w:eastAsia="Microsoft YaHei" w:cs="Calibri"/>
          <w:color w:val="263238"/>
          <w:sz w:val="21"/>
          <w:szCs w:val="21"/>
        </w:rPr>
        <w:t>When broad-based tariffs originate from systemic economies, IMESI deploys targeted stabilisation tools: (a) Tariff-Offset Procurement Pools: Joint purchasing consortia activated within 72 hours to secure critical inputs at pre-tariff prices through alternative suppliers; pooled demand provides negotiating leverage (b) HS Code Reclassification Assistance: Coordinated technical support for WTO-compliant tariff schedule reclassification to reduce effective tariff burden (c) Transshipment Corridor Facilitation: Rapid alternative routing through neutral jurisdictions with pre-negotiated customs agreements; Secretariat maintains standing framework with 10+ transit states (d) Investment Freeze Mitigation: Accelerated FDI promotion targeting tariff-disrupted supply chains; Anticipatory Damage Facility deploys 0.5% GDP liquidity injection (e) Tariff Engineering Technical Assistance: Expert support for transfer pricing coordination, free trade zone utilisation, and rules-of-origin optimisation within WTO-compliant parameters</w:t>
      </w:r>
    </w:p>
    <w:p>
      <w:pPr>
        <w:pStyle w:val="Heading2"/>
      </w:pPr>
      <w:r>
        <w:rPr>
          <w:rFonts w:ascii="Calibri" w:hAnsi="Calibri" w:eastAsia="Microsoft YaHei" w:cs="Calibri"/>
          <w:b/>
          <w:color w:val="263238"/>
          <w:sz w:val="25"/>
          <w:szCs w:val="25"/>
        </w:rPr>
        <w:t>Section 10.12: Regulatory Calibration Option</w:t>
      </w:r>
    </w:p>
    <w:p>
      <w:pPr>
        <w:pStyle w:val="Normal"/>
      </w:pPr>
      <w:r>
        <w:rPr>
          <w:rFonts w:ascii="Calibri" w:hAnsi="Calibri" w:eastAsia="Microsoft YaHei" w:cs="Calibri"/>
          <w:color w:val="263238"/>
          <w:sz w:val="21"/>
          <w:szCs w:val="21"/>
        </w:rPr>
        <w:t>Purpose: Illustrative non-tariff instrument for Phase 2+ stabilisation responses against broad-based tariff coercion. Not a standalone doctrine; deployment requires standard Coordination Committee authorisation per Article V. Mechanism: Members adopt simultaneously technical regulatory standards equivalent to the coercing state's most stringent domestic requirements, applied to imports from that state. Examples include: enhanced sanitary/phytosanitary inspection protocols; extended customs documentation requirements; or environmental compliance verification.</w:t>
      </w:r>
    </w:p>
    <w:p>
      <w:pPr>
        <w:pStyle w:val="Normal"/>
      </w:pPr>
      <w:r>
        <w:rPr>
          <w:rFonts w:ascii="Calibri" w:hAnsi="Calibri" w:eastAsia="Microsoft YaHei" w:cs="Calibri"/>
          <w:color w:val="263238"/>
          <w:sz w:val="21"/>
          <w:szCs w:val="21"/>
        </w:rPr>
        <w:t>Safeguards:</w:t>
      </w:r>
    </w:p>
    <w:p>
      <w:pPr>
        <w:pStyle w:val="Normal"/>
      </w:pPr>
      <w:r>
        <w:rPr>
          <w:rFonts w:ascii="Calibri" w:hAnsi="Calibri" w:eastAsia="Microsoft YaHei" w:cs="Calibri"/>
          <w:color w:val="263238"/>
          <w:sz w:val="21"/>
          <w:szCs w:val="21"/>
        </w:rPr>
        <w:t>(a) Standards are technically defensible under GATT Article XX(b) or (g) (b) Application is on a most-favoured-nation basis or justified by objective differentiation (c) Co-termination with parent Phase measures at case closure, no regulatory entrenchment beyond case closure (d) IEWC publishes 'regulatory equivalence assessment' before activation, demonstrating independent regulatory legitimacy Status: Illustrative option only. Members propose alternative non-tariff instruments through Constructive Alternative mechanism (Section 3.5). Cross-references: Regulatory Integrity Safeguard (Section 1.1); Regulatory Friction Parallel Track (Section 10.7).</w:t>
      </w:r>
    </w:p>
    <w:p>
      <w:pPr>
        <w:pStyle w:val="Heading1"/>
      </w:pPr>
      <w:r>
        <w:rPr>
          <w:rFonts w:ascii="Calibri" w:hAnsi="Calibri" w:eastAsia="Microsoft YaHei" w:cs="Calibri"/>
          <w:b/>
          <w:color w:val="455A64"/>
          <w:sz w:val="30"/>
          <w:szCs w:val="30"/>
        </w:rPr>
        <w:t>ANNEX 10B: MARKET INFRASTRUCTURE TRANSPARENCY AND</w:t>
      </w:r>
      <w:bookmarkStart w:name="_Toc000048" w:id="48"/>
      <w:bookmarkEnd w:id="48"/>
    </w:p>
    <w:p>
      <w:pPr>
        <w:pStyle w:val="Normal"/>
      </w:pPr>
      <w:r>
        <w:rPr>
          <w:rFonts w:ascii="Calibri" w:hAnsi="Calibri" w:eastAsia="Microsoft YaHei" w:cs="Calibri"/>
          <w:color w:val="263238"/>
          <w:sz w:val="21"/>
          <w:szCs w:val="21"/>
        </w:rPr>
        <w:t>DIALOGUE PROTOCOL Purpose: Structured engagement with ratings agencies, index providers, and asset managers to prevent market infrastructure from becoming a channel of economic coercion. IMESI Rating Review Right: (a) Ratings agencies provide 30-day advance notice to DG of downgrades affecting IMESI members during active coercion cases, with draft rationale. (b) 14-day window for IEWC to provide alternative economic analysis; agency acknowledges submission. (c) If downgrade proceeds despite challenge, agency publishes IEWC submission summary and response. Conflict of Interest Disclosure: Mandatory public disclosure of: revenue from any single state contracts &gt;10% of revenue, board members with state affiliations, methodology funding sources. IMESI-Compatible Market Infrastructure Code: Voluntary designation with PAS-style incentives: 5% procurement advantage; Dashboard recognition; transparency commitments; procedural fairness. No regulatory consequences for ratings; transparency alone as accountability mechanism. Negotiation status: Tier 2 bargaining chip. Core: transparency about ratings methodology conflicts. Expendable: regulatory discounting, mandatory collective engagement. Final acceptable form: advance notice + conflict disclosure + voluntary code with incentives.</w:t>
      </w:r>
    </w:p>
    <w:p>
      <w:pPr>
        <w:pStyle w:val="Heading1"/>
      </w:pPr>
      <w:r>
        <w:rPr>
          <w:rFonts w:ascii="Calibri" w:hAnsi="Calibri" w:eastAsia="Microsoft YaHei" w:cs="Calibri"/>
          <w:b/>
          <w:color w:val="455A64"/>
          <w:sz w:val="30"/>
          <w:szCs w:val="30"/>
        </w:rPr>
        <w:t>ANNEX 11: AI SOVEREIGNTY SHIELD</w:t>
      </w:r>
      <w:bookmarkStart w:name="_Toc000049" w:id="49"/>
      <w:bookmarkEnd w:id="49"/>
    </w:p>
    <w:p>
      <w:pPr>
        <w:pStyle w:val="Heading3"/>
      </w:pPr>
      <w:r>
        <w:rPr>
          <w:rFonts w:ascii="Calibri" w:hAnsi="Calibri" w:eastAsia="Microsoft YaHei" w:cs="Calibri"/>
          <w:b/>
          <w:color w:val="546E7A"/>
          <w:sz w:val="22"/>
          <w:szCs w:val="22"/>
        </w:rPr>
        <w:t>Annex 11 (Second Addendum): Intellectual Property Safeguard [NEW: v12.0]</w:t>
      </w:r>
    </w:p>
    <w:p>
      <w:pPr>
        <w:pStyle w:val="Normal"/>
      </w:pPr>
      <w:r>
        <w:rPr>
          <w:rFonts w:ascii="Calibri" w:hAnsi="Calibri" w:eastAsia="Microsoft YaHei" w:cs="Calibri"/>
          <w:color w:val="263238"/>
          <w:sz w:val="21"/>
          <w:szCs w:val="21"/>
        </w:rPr>
        <w:t>IMESI stabilisation measures respect WTO TRIPS obligations. Technology transfer requirements remain limited to coercion-critical sectors and include fair compensation mechanisms.</w:t>
      </w:r>
    </w:p>
    <w:p>
      <w:pPr>
        <w:pStyle w:val="Heading3"/>
      </w:pPr>
      <w:r>
        <w:rPr>
          <w:rFonts w:ascii="Calibri" w:hAnsi="Calibri" w:eastAsia="Microsoft YaHei" w:cs="Calibri"/>
          <w:b/>
          <w:color w:val="546E7A"/>
          <w:sz w:val="22"/>
          <w:szCs w:val="22"/>
        </w:rPr>
        <w:t>Annex 11 (Third Addendum): Dual-Use Expansion Response [NEW: v12.0]</w:t>
      </w:r>
    </w:p>
    <w:p>
      <w:pPr>
        <w:pStyle w:val="Normal"/>
      </w:pPr>
      <w:r>
        <w:rPr>
          <w:rFonts w:ascii="Calibri" w:hAnsi="Calibri" w:eastAsia="Microsoft YaHei" w:cs="Calibri"/>
          <w:color w:val="263238"/>
          <w:sz w:val="21"/>
          <w:szCs w:val="21"/>
        </w:rPr>
        <w:t>Where a coercer expands export controls to include items not traditionally classified as dual-use but critical to Member economies, including advanced manufacturing equipment, civilian semiconductors, and medical supplies, the expansion constitutes technology coercion under Section 2.12, triggering the Technology Solidarity Pledge (Section 3.14).</w:t>
      </w:r>
    </w:p>
    <w:p>
      <w:pPr>
        <w:pStyle w:val="Normal"/>
      </w:pPr>
      <w:r>
        <w:rPr>
          <w:rFonts w:ascii="Calibri" w:hAnsi="Calibri" w:eastAsia="Microsoft YaHei" w:cs="Calibri"/>
          <w:color w:val="263238"/>
          <w:sz w:val="21"/>
          <w:szCs w:val="21"/>
        </w:rPr>
        <w:t>Dedicated framework for AI and digital coercion, operationalising the threat identified in Sector Playbooks. Covered Measures: Cloud/AI service access denial; cross-border data flow restrictions as coercion; algorithmic trade barriers (discriminatory AI certification); compute resource embargoes (GPU and advanced chip cloud access).</w:t>
      </w:r>
    </w:p>
    <w:p>
      <w:pPr>
        <w:pStyle w:val="Normal"/>
      </w:pPr>
      <w:r>
        <w:rPr>
          <w:rFonts w:ascii="Calibri" w:hAnsi="Calibri" w:eastAsia="Microsoft YaHei" w:cs="Calibri"/>
          <w:color w:val="263238"/>
          <w:sz w:val="21"/>
          <w:szCs w:val="21"/>
        </w:rPr>
        <w:t>Stabilisation Response Menu:</w:t>
      </w:r>
    </w:p>
    <w:p>
      <w:pPr>
        <w:pStyle w:val="Normal"/>
      </w:pPr>
      <w:r>
        <w:rPr>
          <w:rFonts w:ascii="Calibri" w:hAnsi="Calibri" w:eastAsia="Microsoft YaHei" w:cs="Calibri"/>
          <w:color w:val="263238"/>
          <w:sz w:val="21"/>
          <w:szCs w:val="21"/>
        </w:rPr>
        <w:t>Coercion Type</w:t>
      </w:r>
    </w:p>
    <w:p>
      <w:pPr>
        <w:pStyle w:val="Normal"/>
      </w:pPr>
      <w:r>
        <w:rPr>
          <w:rFonts w:ascii="Calibri" w:hAnsi="Calibri" w:eastAsia="Microsoft YaHei" w:cs="Calibri"/>
          <w:color w:val="263238"/>
          <w:sz w:val="21"/>
          <w:szCs w:val="21"/>
        </w:rPr>
        <w:t>IMESI Response</w:t>
      </w:r>
    </w:p>
    <w:p>
      <w:pPr>
        <w:pStyle w:val="Normal"/>
      </w:pPr>
      <w:r>
        <w:rPr>
          <w:rFonts w:ascii="Calibri" w:hAnsi="Calibri" w:eastAsia="Microsoft YaHei" w:cs="Calibri"/>
          <w:color w:val="263238"/>
          <w:sz w:val="21"/>
          <w:szCs w:val="21"/>
        </w:rPr>
        <w:t>Cloud/AI service denial</w:t>
      </w:r>
    </w:p>
    <w:p>
      <w:pPr>
        <w:pStyle w:val="Normal"/>
      </w:pPr>
      <w:r>
        <w:rPr>
          <w:rFonts w:ascii="Calibri" w:hAnsi="Calibri" w:eastAsia="Microsoft YaHei" w:cs="Calibri"/>
          <w:color w:val="263238"/>
          <w:sz w:val="21"/>
          <w:szCs w:val="21"/>
        </w:rPr>
        <w:t>Coordinated data localisation requirements; joint sovereign cloud infrastructure; antitrust action against dominant providers</w:t>
      </w:r>
    </w:p>
    <w:p>
      <w:pPr>
        <w:pStyle w:val="Normal"/>
      </w:pPr>
      <w:r>
        <w:rPr>
          <w:rFonts w:ascii="Calibri" w:hAnsi="Calibri" w:eastAsia="Microsoft YaHei" w:cs="Calibri"/>
          <w:color w:val="263238"/>
          <w:sz w:val="21"/>
          <w:szCs w:val="21"/>
        </w:rPr>
        <w:t>Data flow restrictions</w:t>
      </w:r>
    </w:p>
    <w:p>
      <w:pPr>
        <w:pStyle w:val="Normal"/>
      </w:pPr>
      <w:r>
        <w:rPr>
          <w:rFonts w:ascii="Calibri" w:hAnsi="Calibri" w:eastAsia="Microsoft YaHei" w:cs="Calibri"/>
          <w:color w:val="263238"/>
          <w:sz w:val="21"/>
          <w:szCs w:val="21"/>
        </w:rPr>
        <w:t>Reciprocal data localisation; joint privacy standards creating alternative compliance bloc</w:t>
      </w:r>
    </w:p>
    <w:p>
      <w:pPr>
        <w:pStyle w:val="Normal"/>
      </w:pPr>
      <w:r>
        <w:rPr>
          <w:rFonts w:ascii="Calibri" w:hAnsi="Calibri" w:eastAsia="Microsoft YaHei" w:cs="Calibri"/>
          <w:color w:val="263238"/>
          <w:sz w:val="21"/>
          <w:szCs w:val="21"/>
        </w:rPr>
        <w:t>Compute embargoes</w:t>
      </w:r>
    </w:p>
    <w:p>
      <w:pPr>
        <w:pStyle w:val="Normal"/>
      </w:pPr>
      <w:r>
        <w:rPr>
          <w:rFonts w:ascii="Calibri" w:hAnsi="Calibri" w:eastAsia="Microsoft YaHei" w:cs="Calibri"/>
          <w:color w:val="263238"/>
          <w:sz w:val="21"/>
          <w:szCs w:val="21"/>
        </w:rPr>
        <w:t>Strategic compute reserve release; joint IMESI AI training facility using pooled resources</w:t>
      </w:r>
    </w:p>
    <w:p>
      <w:pPr>
        <w:pStyle w:val="Normal"/>
      </w:pPr>
      <w:r>
        <w:rPr>
          <w:rFonts w:ascii="Calibri" w:hAnsi="Calibri" w:eastAsia="Microsoft YaHei" w:cs="Calibri"/>
          <w:color w:val="263238"/>
          <w:sz w:val="21"/>
          <w:szCs w:val="21"/>
        </w:rPr>
        <w:t>Algorithmic trade barriers</w:t>
      </w:r>
    </w:p>
    <w:p>
      <w:pPr>
        <w:pStyle w:val="Normal"/>
      </w:pPr>
      <w:r>
        <w:rPr>
          <w:rFonts w:ascii="Calibri" w:hAnsi="Calibri" w:eastAsia="Microsoft YaHei" w:cs="Calibri"/>
          <w:color w:val="263238"/>
          <w:sz w:val="21"/>
          <w:szCs w:val="21"/>
        </w:rPr>
        <w:t>Mutual recognition of national AI certifications; coordinated non-recognition of discriminatory standards</w:t>
      </w:r>
    </w:p>
    <w:p>
      <w:pPr>
        <w:pStyle w:val="Normal"/>
      </w:pPr>
      <w:r>
        <w:rPr>
          <w:rFonts w:ascii="Calibri" w:hAnsi="Calibri" w:eastAsia="Microsoft YaHei" w:cs="Calibri"/>
          <w:color w:val="263238"/>
          <w:sz w:val="21"/>
          <w:szCs w:val="21"/>
        </w:rPr>
        <w:t>AI Early Warning Cell: 3–5 specialised analysts within the IEWC tracking model weights, compute flows, cloud concentration risks, and algorithmic discrimination patterns. Reports feed the Institutional Readiness Dashboard and quarterly risk reports.</w:t>
      </w:r>
    </w:p>
    <w:p>
      <w:pPr>
        <w:pStyle w:val="Normal"/>
      </w:pPr>
      <w:r>
        <w:rPr>
          <w:rFonts w:ascii="Calibri" w:hAnsi="Calibri" w:eastAsia="Microsoft YaHei" w:cs="Calibri"/>
          <w:color w:val="263238"/>
          <w:sz w:val="21"/>
          <w:szCs w:val="21"/>
        </w:rPr>
        <w:t>Technological Sovereignty Pooling:</w:t>
      </w:r>
    </w:p>
    <w:p>
      <w:pPr>
        <w:pStyle w:val="Normal"/>
      </w:pPr>
      <w:r>
        <w:rPr>
          <w:rFonts w:ascii="Calibri" w:hAnsi="Calibri" w:eastAsia="Microsoft YaHei" w:cs="Calibri"/>
          <w:color w:val="263238"/>
          <w:sz w:val="21"/>
          <w:szCs w:val="21"/>
        </w:rPr>
        <w:t>Joint Development Mandate: IMESI members commit to pooled R&amp;D; in coercion-critical technologies: advanced node semiconductors; quantum-resistant cryptography; sovereign AI models; green hydrogen electrolysis. IP Sharing: Jointly developed IP licensed to all members on non-exclusive, cost-recovery basis; no unilateral export restrictions among members. Coercion Response Integration: If a member is denied access to critical technology by the coercer, automatic access to pooled IP and joint production facilities. Non-Member Access: Observer+ states access pooled IP at 150% cost; Protective Association states at 125% cost, creating accession incentive. Anti-Fragmentation: Members prohibited from bilateral technology restrictions on other members; all tech controls multilateralised through IMESI coordination.</w:t>
      </w:r>
    </w:p>
    <w:p>
      <w:pPr>
        <w:pStyle w:val="Normal"/>
      </w:pPr>
      <w:r>
        <w:rPr>
          <w:rFonts w:ascii="Calibri" w:hAnsi="Calibri" w:eastAsia="Microsoft YaHei" w:cs="Calibri"/>
          <w:color w:val="263238"/>
          <w:sz w:val="21"/>
          <w:szCs w:val="21"/>
        </w:rPr>
        <w:t>Platform Coercion Protocol (v8.8):</w:t>
      </w:r>
    </w:p>
    <w:p>
      <w:pPr>
        <w:pStyle w:val="Normal"/>
      </w:pPr>
      <w:r>
        <w:rPr>
          <w:rFonts w:ascii="Calibri" w:hAnsi="Calibri" w:eastAsia="Microsoft YaHei" w:cs="Calibri"/>
          <w:color w:val="263238"/>
          <w:sz w:val="21"/>
          <w:szCs w:val="21"/>
        </w:rPr>
        <w:t>Digital platform measures constituting coercion include:</w:t>
      </w:r>
    </w:p>
    <w:p>
      <w:pPr>
        <w:pStyle w:val="Normal"/>
      </w:pPr>
      <w:r>
        <w:rPr>
          <w:rFonts w:ascii="Calibri" w:hAnsi="Calibri" w:eastAsia="Microsoft YaHei" w:cs="Calibri"/>
          <w:color w:val="263238"/>
          <w:sz w:val="21"/>
          <w:szCs w:val="21"/>
        </w:rPr>
        <w:t>(i) Algorithmic demotion of member state content tied to policy demands (ii) Coordinated account suspension of government entities (iii) Search/discovery manipulation affecting &gt;10% of member digital exports (iv) App store access denial as policy leverage</w:t>
      </w:r>
    </w:p>
    <w:p>
      <w:pPr>
        <w:pStyle w:val="Normal"/>
      </w:pPr>
      <w:r>
        <w:rPr>
          <w:rFonts w:ascii="Calibri" w:hAnsi="Calibri" w:eastAsia="Microsoft YaHei" w:cs="Calibri"/>
          <w:color w:val="263238"/>
          <w:sz w:val="21"/>
          <w:szCs w:val="21"/>
        </w:rPr>
        <w:t>Response: Mandatory interoperability requirements; antitrust coordination; sovereign platform development acceleration. Cross-references Section 2.12 Hybrid Coercion Doctrine for integrated assessment when platform coercion accompanies economic measures. Risk-Based Technology Safeguards: Upon confirmation of an AESI directed against any Member, all Members conduct expedited risk assessments of sensitive technology transfers to the implicated non-member and pauses, condition, or otherwise adjust new authorisations in the sectors concerned. Assessments are completed within 14 days of AESI certification. Existing licences are not affected unless the CC determines by 60% vote that ongoing transfers directly enable the AESI. Export-Control Consultation Mechanism: Members' competent authorities engage in coordinated consultations on export controls and technology-transfer policies in response to AESIs, with a view to ensuring that such transfers do not undermine the economic security of any Member. Consultations are convened by the Secretariat within 7 days of AESI certification and produces: (a) a common risk assessment; (b) voluntary alignment recommendations for licensing decisions; (c) information-sharing protocols for end-use monitoring. Consultations are without prejudice to members' sovereign authority over export control decisions.</w:t>
      </w:r>
    </w:p>
    <w:p>
      <w:pPr>
        <w:pStyle w:val="Heading1"/>
      </w:pPr>
      <w:r>
        <w:rPr>
          <w:rFonts w:ascii="Calibri" w:hAnsi="Calibri" w:eastAsia="Microsoft YaHei" w:cs="Calibri"/>
          <w:b/>
          <w:color w:val="455A64"/>
          <w:sz w:val="30"/>
          <w:szCs w:val="30"/>
        </w:rPr>
        <w:t>ANNEX 11A: IMESI-COMPATIBLE PLATFORM CERTIFICATION</w:t>
      </w:r>
      <w:bookmarkStart w:name="_Toc000050" w:id="50"/>
      <w:bookmarkEnd w:id="50"/>
    </w:p>
    <w:p>
      <w:pPr>
        <w:pStyle w:val="Normal"/>
      </w:pPr>
      <w:r>
        <w:rPr>
          <w:rFonts w:ascii="Calibri" w:hAnsi="Calibri" w:eastAsia="Microsoft YaHei" w:cs="Calibri"/>
          <w:color w:val="263238"/>
          <w:sz w:val="21"/>
          <w:szCs w:val="21"/>
        </w:rPr>
        <w:t>Certification Criteria: (a) Non-discriminatory terms of service; (b) due process for account restrictions; (c) interoperability compliance; (d) yearly third-party audit (no source-code escrow required). Benefits: Eligibility for IMESI-linked procurement; soft liability shield from coordinated PECP action (Section 2.14); positive listing on the public Institutional Readiness Dashboard. Voluntary: Certification is entirely voluntary. Non-certified platforms face no penalties but are not eligible for IMESI procurement advantages.</w:t>
      </w:r>
    </w:p>
    <w:p>
      <w:pPr>
        <w:pStyle w:val="Heading1"/>
      </w:pPr>
      <w:r>
        <w:rPr>
          <w:rFonts w:ascii="Calibri" w:hAnsi="Calibri" w:eastAsia="Microsoft YaHei" w:cs="Calibri"/>
          <w:b/>
          <w:color w:val="455A64"/>
          <w:sz w:val="30"/>
          <w:szCs w:val="30"/>
        </w:rPr>
        <w:t>ANNEX 13: COALITION STRESS TEST PROTOCOL</w:t>
      </w:r>
      <w:bookmarkStart w:name="_Toc000054" w:id="54"/>
      <w:bookmarkEnd w:id="54"/>
    </w:p>
    <w:p>
      <w:pPr>
        <w:pStyle w:val="Normal"/>
      </w:pPr>
      <w:r>
        <w:rPr>
          <w:rFonts w:ascii="Calibri" w:hAnsi="Calibri" w:eastAsia="Microsoft YaHei" w:cs="Calibri"/>
          <w:color w:val="263238"/>
          <w:sz w:val="21"/>
          <w:szCs w:val="21"/>
        </w:rPr>
        <w:t>Credibility depends on demonstrated capability, not assumed readiness. Testing is phased to de-risk founding while building toward full-coalition exercises.</w:t>
      </w:r>
    </w:p>
    <w:p>
      <w:pPr>
        <w:pStyle w:val="Normal"/>
      </w:pPr>
      <w:r>
        <w:rPr>
          <w:rFonts w:ascii="Calibri" w:hAnsi="Calibri" w:eastAsia="Microsoft YaHei" w:cs="Calibri"/>
          <w:color w:val="263238"/>
          <w:sz w:val="21"/>
          <w:szCs w:val="21"/>
        </w:rPr>
        <w:t>Phase 1, Pilot Exercise (Months 3–6 of negotiation):</w:t>
      </w:r>
    </w:p>
    <w:p>
      <w:pPr>
        <w:pStyle w:val="Normal"/>
        <w:numPr>
          <w:ilvl w:val="0"/>
          <w:numId w:val="1"/>
        </w:numPr>
      </w:pPr>
      <w:r>
        <w:rPr>
          <w:rFonts w:ascii="Calibri" w:hAnsi="Calibri" w:eastAsia="Microsoft YaHei" w:cs="Calibri"/>
          <w:color w:val="263238"/>
          <w:sz w:val="21"/>
          <w:szCs w:val="21"/>
        </w:rPr>
        <w:t>2–3 founding members (e.g. France, Japan, Canada) conduct a simulated coercion scenario with real voting procedures</w:t>
      </w:r>
    </w:p>
    <w:p>
      <w:pPr>
        <w:pStyle w:val="Normal"/>
        <w:numPr>
          <w:ilvl w:val="0"/>
          <w:numId w:val="1"/>
        </w:numPr>
      </w:pPr>
      <w:r>
        <w:rPr>
          <w:rFonts w:ascii="Calibri" w:hAnsi="Calibri" w:eastAsia="Microsoft YaHei" w:cs="Calibri"/>
          <w:color w:val="263238"/>
          <w:sz w:val="21"/>
          <w:szCs w:val="21"/>
        </w:rPr>
        <w:t>Small-scale stabilisation measures (targeted procurement preferences, regulatory friction), real but limited economic impact</w:t>
      </w:r>
    </w:p>
    <w:p>
      <w:pPr>
        <w:pStyle w:val="Normal"/>
        <w:numPr>
          <w:ilvl w:val="0"/>
          <w:numId w:val="1"/>
        </w:numPr>
      </w:pPr>
      <w:r>
        <w:rPr>
          <w:rFonts w:ascii="Calibri" w:hAnsi="Calibri" w:eastAsia="Microsoft YaHei" w:cs="Calibri"/>
          <w:color w:val="263238"/>
          <w:sz w:val="21"/>
          <w:szCs w:val="21"/>
        </w:rPr>
        <w:t>SFI settlement drill: clearing system trial on USD 100 million test volume</w:t>
      </w:r>
    </w:p>
    <w:p>
      <w:pPr>
        <w:pStyle w:val="Normal"/>
        <w:numPr>
          <w:ilvl w:val="0"/>
          <w:numId w:val="1"/>
        </w:numPr>
      </w:pPr>
      <w:r>
        <w:rPr>
          <w:rFonts w:ascii="Calibri" w:hAnsi="Calibri" w:eastAsia="Microsoft YaHei" w:cs="Calibri"/>
          <w:color w:val="263238"/>
          <w:sz w:val="21"/>
          <w:szCs w:val="21"/>
        </w:rPr>
        <w:t>IEWC analysis pipeline: real intelligence collection, reporting, and recommendation cycle</w:t>
      </w:r>
    </w:p>
    <w:p>
      <w:pPr>
        <w:pStyle w:val="Normal"/>
        <w:numPr>
          <w:ilvl w:val="0"/>
          <w:numId w:val="1"/>
        </w:numPr>
      </w:pPr>
      <w:r>
        <w:t>Pilot results published publicly, demonstrating that IEWC analyses, voting works, SFI settles Founding Conference proceeds after pilot success, no requirement for full-coalition exercise before founding.</w:t>
      </w:r>
    </w:p>
    <w:p>
      <w:r>
        <w:t>Phase 2, Full Coalition Exercise (Year 2, post-launch):</w:t>
      </w:r>
    </w:p>
    <w:p>
      <w:pPr>
        <w:pStyle w:val="Normal"/>
        <w:numPr>
          <w:ilvl w:val="0"/>
          <w:numId w:val="1"/>
        </w:numPr>
      </w:pPr>
      <w:r>
        <w:t>All members participate in simulated coercion event designed by external red-team (not IEWC)</w:t>
      </w:r>
    </w:p>
    <w:p>
      <w:r>
        <w:t>Real voting; small-scale stabilisation measure implementation; simulated defection by randomly selected members</w:t>
      </w:r>
    </w:p>
    <w:p>
      <w:pPr>
        <w:pStyle w:val="Normal"/>
        <w:numPr>
          <w:ilvl w:val="0"/>
          <w:numId w:val="1"/>
        </w:numPr>
      </w:pPr>
      <w:r>
        <w:t>Full exercise results published within 60 days including response times, burden-sharing calculations, and identified weaknesses</w:t>
      </w:r>
    </w:p>
    <w:p>
      <w:pPr>
        <w:pStyle w:val="Normal"/>
        <w:numPr>
          <w:ilvl w:val="0"/>
          <w:numId w:val="1"/>
        </w:numPr>
      </w:pPr>
      <w:r>
        <w:t>Findings inform Year 3 institutional review and amendment process</w:t>
      </w:r>
    </w:p>
    <w:p>
      <w:r>
        <w:t>Phase 3, Annual Exercises (Year 3+):</w:t>
      </w:r>
    </w:p>
    <w:p>
      <w:r>
        <w:t>Annual exercises continue with results published and corrective action plans required if systemic failure is identified (&gt;40% of members failing response timelines or &gt;25% defection rate in simulation).</w:t>
      </w:r>
    </w:p>
    <w:p>
      <w:r>
        <w:t>AESI-Specific Systemic Resilience Stress Tests: In addition to the scenario-based exercises above, Members participate in regular systemic resilience stress tests coordinated under this Instrument, designed to identify vulnerabilities in trade, finance, and critical supply chains to AESIs and to recommend remedial measures. Design: Stress tests model: (a) simultaneous AESIs affecting multiple Members across different sectors; (b) cascading failures in supply chains, payment systems, and logistics networks; (c) currency volatility and sovereign financing stress linked to AESIs; (d) information and cyber components</w:t>
      </w:r>
    </w:p>
    <w:p>
      <w:r>
        <w:t>accompanying economic measures. Tests are conducted at least annually with results reported to the CC within 30 days. Remediation: Where stress tests identify critical vulnerabilities, the Secretariat proposes remedial measures within 60 days. Members with identified vulnerabilities report implementation progress at the next Grand Review. Persistent unaddressed vulnerabilities affect CRR scores and Fund access priority.</w:t>
      </w:r>
    </w:p>
    <w:p>
      <w:pPr>
        <w:pStyle w:val="Heading1"/>
      </w:pPr>
      <w:r>
        <w:rPr>
          <w:rFonts w:ascii="Calibri" w:hAnsi="Calibri" w:eastAsia="Microsoft YaHei" w:cs="Calibri"/>
          <w:b/>
          <w:color w:val="455A64"/>
          <w:sz w:val="30"/>
          <w:szCs w:val="30"/>
        </w:rPr>
        <w:t>ANNEX 15: STRATEGIC STALEMATE DECLARED DOCTRINE</w:t>
      </w:r>
      <w:bookmarkStart w:name="_Toc000057" w:id="57"/>
      <w:bookmarkEnd w:id="57"/>
    </w:p>
    <w:p>
      <w:pPr>
        <w:pStyle w:val="Normal"/>
      </w:pPr>
      <w:r>
        <w:rPr>
          <w:rFonts w:ascii="Calibri" w:hAnsi="Calibri" w:eastAsia="Microsoft YaHei" w:cs="Calibri"/>
          <w:color w:val="263238"/>
          <w:sz w:val="21"/>
          <w:szCs w:val="21"/>
        </w:rPr>
        <w:t>When deterrence fails and coercion persists beyond Phase 3 at full intensity, IMESI deploys declared stalemate options per Section 7.5. Publishing these options in advance serves deterrence: the coercer cannot assume IMESI fractures, escalate uncontrollably, or run out of options. Option A, Structural Decoupling: Full activation of Decoupling Acceleration Reserve (Section 8.9); irreversible supply chain shift over 3–5 years; new bilateral supply agreements; joint industrial acceleration programme; permanent reduction of coercer's market leverage. Option B, Negotiated Standstill: Mediator-facilitated frozen conflict; maintained measures at current level; no further escalation; 12-month negotiation window (renewable once); structured offramp framework per Section 5.3C. Option C, Coalition Expansion Surge: Maximum ACE activation; reduced accession thresholds 20% for 180 days; Protective Association states offered expedited full membership; non-member outreach through IEWC intelligence-sharing incentives. Option D, Graduated Withdrawal: Managed de-escalation; core members maintain response; peripheral members exit with Fund compensation; re-entry fast-track per Section 4.6; lessons learned published within 90 days. Default: If no option achieves 60% weighted vote, Negotiated Standstill activates automatically with mandatory independent mediator appointment within 48 hours.</w:t>
      </w:r>
    </w:p>
    <w:p>
      <w:pPr>
        <w:pStyle w:val="Heading1"/>
      </w:pPr>
      <w:r>
        <w:rPr>
          <w:rFonts w:ascii="Calibri" w:hAnsi="Calibri" w:eastAsia="Microsoft YaHei" w:cs="Calibri"/>
          <w:b/>
          <w:color w:val="455A64"/>
          <w:sz w:val="30"/>
          <w:szCs w:val="30"/>
        </w:rPr>
        <w:t>ANNEX 16: STRATEGIC COMMUNICATIONS CHARTER</w:t>
      </w:r>
      <w:bookmarkStart w:name="_Toc000058" w:id="58"/>
      <w:bookmarkEnd w:id="58"/>
    </w:p>
    <w:p>
      <w:pPr>
        <w:pStyle w:val="Heading3"/>
      </w:pPr>
      <w:r>
        <w:rPr>
          <w:rFonts w:ascii="Calibri" w:hAnsi="Calibri" w:eastAsia="Microsoft YaHei" w:cs="Calibri"/>
          <w:b/>
          <w:color w:val="546E7A"/>
          <w:sz w:val="22"/>
          <w:szCs w:val="22"/>
        </w:rPr>
        <w:t>Annex 16 (Addendum): Disinformation Response Protocol [NEW: v12.0]</w:t>
      </w:r>
    </w:p>
    <w:p>
      <w:pPr>
        <w:pStyle w:val="Normal"/>
      </w:pPr>
      <w:r>
        <w:rPr>
          <w:rFonts w:ascii="Calibri" w:hAnsi="Calibri" w:eastAsia="Microsoft YaHei" w:cs="Calibri"/>
          <w:color w:val="263238"/>
          <w:sz w:val="21"/>
          <w:szCs w:val="21"/>
        </w:rPr>
        <w:t>Where a coercer engages in coordinated disinformation campaigns aimed at undermining IMESI cohesion, the Secretariat activates the Active Cognitive Defence mechanism (Section 2.9) and issues joint public clarifications. The Narrative Neutrality Rule does not apply to factual corrections of disinformation.</w:t>
      </w:r>
    </w:p>
    <w:p>
      <w:pPr>
        <w:pStyle w:val="Heading3"/>
      </w:pPr>
      <w:r>
        <w:rPr>
          <w:rFonts w:ascii="Calibri" w:hAnsi="Calibri" w:eastAsia="Microsoft YaHei" w:cs="Calibri"/>
          <w:b/>
          <w:color w:val="546E7A"/>
          <w:sz w:val="22"/>
          <w:szCs w:val="22"/>
        </w:rPr>
        <w:t>Annex 16 (Second Addendum): Narrative Defence Fund [NEW: v12.0]</w:t>
      </w:r>
    </w:p>
    <w:p>
      <w:pPr>
        <w:pStyle w:val="Normal"/>
      </w:pPr>
      <w:r>
        <w:rPr>
          <w:rFonts w:ascii="Calibri" w:hAnsi="Calibri" w:eastAsia="Microsoft YaHei" w:cs="Calibri"/>
          <w:color w:val="263238"/>
          <w:sz w:val="21"/>
          <w:szCs w:val="21"/>
        </w:rPr>
        <w:t>A dedicated Narrative Defence Fund, capitalised at 0.5% of the Peacetime Fund, finances independent media partnerships, fact-checking organisations, and strategic communications capacity in founding and prospective member states. The Fund counters disinformation about IMESI’s nature, costs, and objectives.</w:t>
      </w:r>
    </w:p>
    <w:p>
      <w:pPr>
        <w:pStyle w:val="Heading3"/>
      </w:pPr>
      <w:r>
        <w:rPr>
          <w:rFonts w:ascii="Calibri" w:hAnsi="Calibri" w:eastAsia="Microsoft YaHei" w:cs="Calibri"/>
          <w:b/>
          <w:color w:val="546E7A"/>
          <w:sz w:val="22"/>
          <w:szCs w:val="22"/>
        </w:rPr>
        <w:t>Annex 16 (Third Addendum): Civil Society Partnership Council [NEW: v12.0]</w:t>
      </w:r>
    </w:p>
    <w:p>
      <w:pPr>
        <w:pStyle w:val="Normal"/>
      </w:pPr>
      <w:r>
        <w:rPr>
          <w:rFonts w:ascii="Calibri" w:hAnsi="Calibri" w:eastAsia="Microsoft YaHei" w:cs="Calibri"/>
          <w:color w:val="263238"/>
          <w:sz w:val="21"/>
          <w:szCs w:val="21"/>
        </w:rPr>
        <w:t>IMESI maintains a standing Civil Society Partnership Council comprising NGOs, think tanks, and civil society organisations from all IMESI Members and prospective members. The Council provides independent validation of IMESI’s defensive, non-adversarial character.</w:t>
      </w:r>
    </w:p>
    <w:p>
      <w:pPr>
        <w:pStyle w:val="Normal"/>
      </w:pPr>
      <w:r>
        <w:rPr>
          <w:rFonts w:ascii="Calibri" w:hAnsi="Calibri" w:eastAsia="Microsoft YaHei" w:cs="Calibri"/>
          <w:color w:val="263238"/>
          <w:sz w:val="21"/>
          <w:szCs w:val="21"/>
        </w:rPr>
        <w:t>Coordinated Voice Protocol: Director-General as primary voice for coalition-level statements; 4 Regional Deputies (Americas, Europe, Asia-Pacific, Africa-Middle East) appointed by regional sub-committees; national governments retain voice on non-coercion matters with divergent national positions explicitly permitted to preserve non-alignment credibility.</w:t>
      </w:r>
    </w:p>
    <w:p>
      <w:pPr>
        <w:pStyle w:val="Normal"/>
      </w:pPr>
      <w:r>
        <w:rPr>
          <w:rFonts w:ascii="Calibri" w:hAnsi="Calibri" w:eastAsia="Microsoft YaHei" w:cs="Calibri"/>
          <w:color w:val="263238"/>
          <w:sz w:val="21"/>
          <w:szCs w:val="21"/>
        </w:rPr>
        <w:t>Transparency Ladder:</w:t>
      </w:r>
    </w:p>
    <w:p>
      <w:pPr>
        <w:pStyle w:val="Normal"/>
      </w:pPr>
      <w:r>
        <w:rPr>
          <w:rFonts w:ascii="Calibri" w:hAnsi="Calibri" w:eastAsia="Microsoft YaHei" w:cs="Calibri"/>
          <w:color w:val="263238"/>
          <w:sz w:val="21"/>
          <w:szCs w:val="21"/>
        </w:rPr>
        <w:t>Phase</w:t>
      </w:r>
    </w:p>
    <w:p>
      <w:pPr>
        <w:pStyle w:val="Normal"/>
      </w:pPr>
      <w:r>
        <w:rPr>
          <w:rFonts w:ascii="Calibri" w:hAnsi="Calibri" w:eastAsia="Microsoft YaHei" w:cs="Calibri"/>
          <w:color w:val="263238"/>
          <w:sz w:val="21"/>
          <w:szCs w:val="21"/>
        </w:rPr>
        <w:t>Public Disclosure</w:t>
      </w:r>
    </w:p>
    <w:p>
      <w:r>
        <w:t>Member Briefing</w:t>
      </w:r>
    </w:p>
    <w:p>
      <w:pPr>
        <w:pStyle w:val="Normal"/>
      </w:pPr>
      <w:r>
        <w:rPr>
          <w:rFonts w:ascii="Calibri" w:hAnsi="Calibri" w:eastAsia="Microsoft YaHei" w:cs="Calibri"/>
          <w:color w:val="263238"/>
          <w:sz w:val="21"/>
          <w:szCs w:val="21"/>
        </w:rPr>
        <w:t>Phase 0</w:t>
      </w:r>
    </w:p>
    <w:p>
      <w:pPr>
        <w:pStyle w:val="Normal"/>
      </w:pPr>
      <w:r>
        <w:rPr>
          <w:rFonts w:ascii="Calibri" w:hAnsi="Calibri" w:eastAsia="Microsoft YaHei" w:cs="Calibri"/>
          <w:color w:val="263238"/>
          <w:sz w:val="21"/>
          <w:szCs w:val="21"/>
        </w:rPr>
        <w:t>Dashboard amber; no state names</w:t>
      </w:r>
    </w:p>
    <w:p>
      <w:pPr>
        <w:pStyle w:val="Normal"/>
      </w:pPr>
      <w:r>
        <w:rPr>
          <w:rFonts w:ascii="Calibri" w:hAnsi="Calibri" w:eastAsia="Microsoft YaHei" w:cs="Calibri"/>
          <w:color w:val="263238"/>
          <w:sz w:val="21"/>
          <w:szCs w:val="21"/>
        </w:rPr>
        <w:t>Tier 2+ full brief</w:t>
      </w:r>
    </w:p>
    <w:p>
      <w:pPr>
        <w:pStyle w:val="Normal"/>
      </w:pPr>
      <w:r>
        <w:rPr>
          <w:rFonts w:ascii="Calibri" w:hAnsi="Calibri" w:eastAsia="Microsoft YaHei" w:cs="Calibri"/>
          <w:color w:val="263238"/>
          <w:sz w:val="21"/>
          <w:szCs w:val="21"/>
        </w:rPr>
        <w:t>Phase 1</w:t>
      </w:r>
    </w:p>
    <w:p>
      <w:pPr>
        <w:pStyle w:val="Normal"/>
      </w:pPr>
      <w:r>
        <w:rPr>
          <w:rFonts w:ascii="Calibri" w:hAnsi="Calibri" w:eastAsia="Microsoft YaHei" w:cs="Calibri"/>
          <w:color w:val="263238"/>
          <w:sz w:val="21"/>
          <w:szCs w:val="21"/>
        </w:rPr>
        <w:t>Dashboard red; coercer named; measures summarised</w:t>
      </w:r>
    </w:p>
    <w:p>
      <w:pPr>
        <w:pStyle w:val="Normal"/>
      </w:pPr>
      <w:r>
        <w:rPr>
          <w:rFonts w:ascii="Calibri" w:hAnsi="Calibri" w:eastAsia="Microsoft YaHei" w:cs="Calibri"/>
          <w:color w:val="263238"/>
          <w:sz w:val="21"/>
          <w:szCs w:val="21"/>
        </w:rPr>
        <w:t>All members</w:t>
      </w:r>
    </w:p>
    <w:p>
      <w:pPr>
        <w:pStyle w:val="Normal"/>
      </w:pPr>
      <w:r>
        <w:rPr>
          <w:rFonts w:ascii="Calibri" w:hAnsi="Calibri" w:eastAsia="Microsoft YaHei" w:cs="Calibri"/>
          <w:color w:val="263238"/>
          <w:sz w:val="21"/>
          <w:szCs w:val="21"/>
        </w:rPr>
        <w:t>Phase 2</w:t>
      </w:r>
    </w:p>
    <w:p>
      <w:pPr>
        <w:pStyle w:val="Normal"/>
      </w:pPr>
      <w:r>
        <w:rPr>
          <w:rFonts w:ascii="Calibri" w:hAnsi="Calibri" w:eastAsia="Microsoft YaHei" w:cs="Calibri"/>
          <w:color w:val="263238"/>
          <w:sz w:val="21"/>
          <w:szCs w:val="21"/>
        </w:rPr>
        <w:t>Detailed measures; economic impact</w:t>
      </w:r>
    </w:p>
    <w:p>
      <w:pPr>
        <w:pStyle w:val="Normal"/>
      </w:pPr>
      <w:r>
        <w:rPr>
          <w:rFonts w:ascii="Calibri" w:hAnsi="Calibri" w:eastAsia="Microsoft YaHei" w:cs="Calibri"/>
          <w:color w:val="263238"/>
          <w:sz w:val="21"/>
          <w:szCs w:val="21"/>
        </w:rPr>
        <w:t>All members + Strategic Partners</w:t>
      </w:r>
    </w:p>
    <w:p>
      <w:pPr>
        <w:pStyle w:val="Normal"/>
      </w:pPr>
      <w:r>
        <w:rPr>
          <w:rFonts w:ascii="Calibri" w:hAnsi="Calibri" w:eastAsia="Microsoft YaHei" w:cs="Calibri"/>
          <w:color w:val="263238"/>
          <w:sz w:val="21"/>
          <w:szCs w:val="21"/>
        </w:rPr>
        <w:t>Phase 3</w:t>
      </w:r>
    </w:p>
    <w:p>
      <w:pPr>
        <w:pStyle w:val="Normal"/>
      </w:pPr>
      <w:r>
        <w:rPr>
          <w:rFonts w:ascii="Calibri" w:hAnsi="Calibri" w:eastAsia="Microsoft YaHei" w:cs="Calibri"/>
          <w:color w:val="263238"/>
          <w:sz w:val="21"/>
          <w:szCs w:val="21"/>
        </w:rPr>
        <w:t>Full transparency except operational details</w:t>
      </w:r>
    </w:p>
    <w:p>
      <w:pPr>
        <w:pStyle w:val="Normal"/>
      </w:pPr>
      <w:r>
        <w:rPr>
          <w:rFonts w:ascii="Calibri" w:hAnsi="Calibri" w:eastAsia="Microsoft YaHei" w:cs="Calibri"/>
          <w:color w:val="263238"/>
          <w:sz w:val="21"/>
          <w:szCs w:val="21"/>
        </w:rPr>
        <w:t>All members + PA/SSP states</w:t>
      </w:r>
    </w:p>
    <w:p>
      <w:pPr>
        <w:pStyle w:val="Normal"/>
      </w:pPr>
      <w:r>
        <w:rPr>
          <w:rFonts w:ascii="Calibri" w:hAnsi="Calibri" w:eastAsia="Microsoft YaHei" w:cs="Calibri"/>
          <w:color w:val="263238"/>
          <w:sz w:val="21"/>
          <w:szCs w:val="21"/>
        </w:rPr>
        <w:t>Civil Society Partnership (Year 1): 20 accredited NGOs at founding, expanded to 50 by Year 5. Non-classified quarterly briefings; mandatory 'development impact statement' for public case launches; annual Civil Society Forum. Global South Media Network (Year 1–2): Pre-positioned partnerships with 50+ developing country outlets. Content sharing, 24-hour rapid rebuttal for 'rich-country cartel' framing, annual journalist workshops, funded from 0.5% Peacetime Fund allocation. Narrative Response Team (Year 1): 24/7 rapid rebuttal capacity: media and social media monitoring; pre-drafted narratives for 10 common attack frames; attribution only from DG or Regional Deputy; coverage in English, French, Spanish, Arabic, Mandarin, and Portuguese. Development Impact Statement: Mandatory for all public case launches: estimated effects on developing country trade/investment flows; mitigation measures; comparison of IMESI inaction vs. action costs for developing countries; input from affected developing country missions. Negotiation status: Tier 3 protected secondary priority. Numbers and timelines negotiable; is 'interim protocol' with Year 1 operational plan. Core: spokesperson system, transparency ladder, development impact statement.</w:t>
      </w:r>
    </w:p>
    <w:p>
      <w:pPr>
        <w:pStyle w:val="Normal"/>
      </w:pPr>
      <w:r>
        <w:rPr>
          <w:rFonts w:ascii="Calibri" w:hAnsi="Calibri" w:eastAsia="Microsoft YaHei" w:cs="Calibri"/>
          <w:color w:val="263238"/>
          <w:sz w:val="21"/>
          <w:szCs w:val="21"/>
        </w:rPr>
        <w:t>Annex 16 (Addendum): Small-State Communications Representation [NEW: v9.8A Small-State Protection]</w:t>
      </w:r>
    </w:p>
    <w:p>
      <w:pPr>
        <w:pStyle w:val="Normal"/>
      </w:pPr>
      <w:r>
        <w:rPr>
          <w:rFonts w:ascii="Calibri" w:hAnsi="Calibri" w:eastAsia="Microsoft YaHei" w:cs="Calibri"/>
          <w:color w:val="263238"/>
          <w:sz w:val="21"/>
          <w:szCs w:val="21"/>
        </w:rPr>
        <w:t>At least one Regional Deputy or spokesperson slot in the Strategic Communications Charter is reserved for a representative from a small-state, non-aligned, or Global South Member, nominated by the Small States Collective Caucus (Section 4.1A). This ensures small-state narratives and political needs shape how cases are presented publicly, preventing large-economy perspectives from dominating IMESI strategic communications.</w:t>
      </w:r>
    </w:p>
    <w:p>
      <w:pPr>
        <w:pStyle w:val="Normal"/>
      </w:pPr>
      <w:r>
        <w:rPr>
          <w:rFonts w:ascii="Calibri" w:hAnsi="Calibri" w:eastAsia="Microsoft YaHei" w:cs="Calibri"/>
          <w:color w:val="263238"/>
          <w:sz w:val="21"/>
          <w:szCs w:val="21"/>
        </w:rPr>
        <w:t>Annex 16 (Addendum): Narrative Neutrality Rule [NEW: v9.8A Institutional Maturity]</w:t>
      </w:r>
    </w:p>
    <w:p>
      <w:pPr>
        <w:pStyle w:val="Normal"/>
      </w:pPr>
      <w:r>
        <w:rPr>
          <w:rFonts w:ascii="Calibri" w:hAnsi="Calibri" w:eastAsia="Microsoft YaHei" w:cs="Calibri"/>
          <w:color w:val="263238"/>
          <w:sz w:val="21"/>
          <w:szCs w:val="21"/>
        </w:rPr>
        <w:t>All official IMESI communications, including Dashboard publications, press releases, Secretariat statements, and Strategic Communications outputs, use neutral, non-inflammatory language emphasising stabilisation, resilience, and rules-based order, not blame, punishment, or adversarial framing. Specifically: coercing states are referred to by factual descriptions of certified conduct, not characterisations of intent or moral judgement; stabilisation measures are described as "stabilisation responses" or "economic resilience measures"; and all public statements include reference to de-escalation pathways and the coercing state's ability to resolve the situation through policy modification.</w:t>
      </w:r>
    </w:p>
    <w:p>
      <w:pPr>
        <w:pStyle w:val="Normal"/>
      </w:pPr>
      <w:r>
        <w:rPr>
          <w:rFonts w:ascii="Calibri" w:hAnsi="Calibri" w:eastAsia="Microsoft YaHei" w:cs="Calibri"/>
          <w:color w:val="263238"/>
          <w:sz w:val="21"/>
          <w:szCs w:val="21"/>
        </w:rPr>
        <w:t>Annex 16 (Addendum): IMESI-Targeted Disinformation Response [NEW: v9.9]</w:t>
      </w:r>
    </w:p>
    <w:p>
      <w:pPr>
        <w:pStyle w:val="Normal"/>
      </w:pPr>
      <w:r>
        <w:rPr>
          <w:rFonts w:ascii="Calibri" w:hAnsi="Calibri" w:eastAsia="Microsoft YaHei" w:cs="Calibri"/>
          <w:color w:val="263238"/>
          <w:sz w:val="21"/>
          <w:szCs w:val="21"/>
        </w:rPr>
        <w:t>Coordinated disinformation campaigns that deliberately misrepresent IMESI's obligations, costs, or activation record, and that are linked to economic threats or inducements aimed at deterring membership, weakening participation, or provoking intra-coalition mistrust, is treated as cognitive coercion for the purposes of Section 2.9. In such cases, Members authorise a collective fact-based communication response, including joint public clarifications and targeted outreach to affected domestic constituencies, while remaining bound by the Narrative Neutrality Rule and the Non-Targeting Clause.</w:t>
      </w:r>
    </w:p>
    <w:p>
      <w:pPr>
        <w:pStyle w:val="Heading1"/>
      </w:pPr>
      <w:bookmarkStart w:name="_Toc000059" w:id="59"/>
      <w:r>
        <w:rPr>
          <w:rFonts w:ascii="Calibri" w:hAnsi="Calibri" w:eastAsia="Microsoft YaHei" w:cs="Calibri"/>
          <w:b/>
          <w:color w:val="455A64"/>
          <w:sz w:val="30"/>
          <w:szCs w:val="30"/>
        </w:rPr>
        <w:t>ANNEX 16B: DOMESTIC COMMUNICATION GUIDANCE</w:t>
      </w:r>
      <w:bookmarkEnd w:id="59"/>
    </w:p>
    <w:p>
      <w:pPr>
        <w:pStyle w:val="Normal"/>
      </w:pPr>
      <w:r>
        <w:rPr>
          <w:rFonts w:ascii="Calibri" w:hAnsi="Calibri" w:eastAsia="Microsoft YaHei" w:cs="Calibri"/>
          <w:color w:val="263238"/>
          <w:sz w:val="21"/>
          <w:szCs w:val="21"/>
        </w:rPr>
        <w:t>Purpose: Recommended messaging framework for member governments communicating IMESI participation domestically. Does not bind member communications; offers tested language for common political challenges.</w:t>
      </w:r>
    </w:p>
    <w:p>
      <w:pPr>
        <w:pStyle w:val="Normal"/>
      </w:pPr>
      <w:r>
        <w:rPr>
          <w:rFonts w:ascii="Calibri" w:hAnsi="Calibri" w:eastAsia="Microsoft YaHei" w:cs="Calibri"/>
          <w:color w:val="263238"/>
          <w:sz w:val="21"/>
          <w:szCs w:val="21"/>
        </w:rPr>
        <w:t>Core Messages:</w:t>
      </w:r>
    </w:p>
    <w:p>
      <w:pPr>
        <w:pStyle w:val="Normal"/>
      </w:pPr>
      <w:r>
        <w:rPr>
          <w:rFonts w:ascii="Calibri" w:hAnsi="Calibri" w:eastAsia="Microsoft YaHei" w:cs="Calibri"/>
          <w:color w:val="263238"/>
          <w:sz w:val="21"/>
          <w:szCs w:val="21"/>
        </w:rPr>
        <w:t>(a) Mutual insurance, not military alliance: 'IMESI works like home insurance, you pay a modest premium for protection against economic coercion, without surrendering control of your home.' (b) Defence of sovereignty, not delegation of it: 'Parliament and the Constitution remain ultimate gatekeepers. No IMESI body imposes measures within our borders.'</w:t>
      </w:r>
    </w:p>
    <w:p>
      <w:pPr>
        <w:pStyle w:val="Normal"/>
      </w:pPr>
      <w:r>
        <w:rPr>
          <w:rFonts w:ascii="Calibri" w:hAnsi="Calibri" w:eastAsia="Microsoft YaHei" w:cs="Calibri"/>
          <w:color w:val="263238"/>
          <w:sz w:val="21"/>
          <w:szCs w:val="21"/>
        </w:rPr>
        <w:t>(c) No specific adversary: 'IMESI protects against economic coercion from any source. It is not aimed at any country, it applies equally to all.' (d) Worker and business protection: 'When our industries face coercive trade disruption, IMESI provides immediate supply chain alternatives, procurement support, and compensation, protecting jobs and businesses.' (e) Democratic control: 'Major response packages require parliamentary approval. Measures are reversible and subject to regular review.'</w:t>
      </w:r>
    </w:p>
    <w:p>
      <w:pPr>
        <w:pStyle w:val="Normal"/>
      </w:pPr>
      <w:r>
        <w:rPr>
          <w:rFonts w:ascii="Calibri" w:hAnsi="Calibri" w:eastAsia="Microsoft YaHei" w:cs="Calibri"/>
          <w:color w:val="263238"/>
          <w:sz w:val="21"/>
          <w:szCs w:val="21"/>
        </w:rPr>
        <w:t>Counter-Narratives for Common Attack Lines:</w:t>
      </w:r>
    </w:p>
    <w:p>
      <w:pPr>
        <w:pStyle w:val="Normal"/>
      </w:pPr>
      <w:r>
        <w:rPr>
          <w:rFonts w:ascii="Calibri" w:hAnsi="Calibri" w:eastAsia="Microsoft YaHei" w:cs="Calibri"/>
          <w:color w:val="263238"/>
          <w:sz w:val="21"/>
          <w:szCs w:val="21"/>
        </w:rPr>
        <w:t>Attack Line</w:t>
      </w:r>
    </w:p>
    <w:p>
      <w:pPr>
        <w:pStyle w:val="Normal"/>
      </w:pPr>
      <w:r>
        <w:rPr>
          <w:rFonts w:ascii="Calibri" w:hAnsi="Calibri" w:eastAsia="Microsoft YaHei" w:cs="Calibri"/>
          <w:color w:val="263238"/>
          <w:sz w:val="21"/>
          <w:szCs w:val="21"/>
        </w:rPr>
        <w:t>Recommended Response</w:t>
      </w:r>
    </w:p>
    <w:p>
      <w:pPr>
        <w:pStyle w:val="Normal"/>
      </w:pPr>
      <w:r>
        <w:rPr>
          <w:rFonts w:ascii="Calibri" w:hAnsi="Calibri" w:eastAsia="Microsoft YaHei" w:cs="Calibri"/>
          <w:color w:val="263238"/>
          <w:sz w:val="21"/>
          <w:szCs w:val="21"/>
        </w:rPr>
        <w:t>'Economic NATO / auto-tariff bloc'</w:t>
      </w:r>
    </w:p>
    <w:p>
      <w:pPr>
        <w:pStyle w:val="Normal"/>
      </w:pPr>
      <w:r>
        <w:rPr>
          <w:rFonts w:ascii="Calibri" w:hAnsi="Calibri" w:eastAsia="Microsoft YaHei" w:cs="Calibri"/>
          <w:color w:val="263238"/>
          <w:sz w:val="21"/>
          <w:szCs w:val="21"/>
        </w:rPr>
        <w:t>'IMESI is insurance, not an alliance. Members retain independent trade policy and abstains from any specific action.'</w:t>
      </w:r>
    </w:p>
    <w:p>
      <w:pPr>
        <w:pStyle w:val="Normal"/>
      </w:pPr>
      <w:r>
        <w:rPr>
          <w:rFonts w:ascii="Calibri" w:hAnsi="Calibri" w:eastAsia="Microsoft YaHei" w:cs="Calibri"/>
          <w:color w:val="263238"/>
          <w:sz w:val="21"/>
          <w:szCs w:val="21"/>
        </w:rPr>
        <w:t>'Surrendering trade sovereignty'</w:t>
      </w:r>
    </w:p>
    <w:p>
      <w:pPr>
        <w:pStyle w:val="Normal"/>
      </w:pPr>
      <w:r>
        <w:rPr>
          <w:rFonts w:ascii="Calibri" w:hAnsi="Calibri" w:eastAsia="Microsoft YaHei" w:cs="Calibri"/>
          <w:color w:val="263238"/>
          <w:sz w:val="21"/>
          <w:szCs w:val="21"/>
        </w:rPr>
        <w:t>'All measures require national implementation through existing parliamentary processes. Nothing is automatic without democratic oversight.'</w:t>
      </w:r>
    </w:p>
    <w:p>
      <w:pPr>
        <w:pStyle w:val="Normal"/>
      </w:pPr>
      <w:r>
        <w:rPr>
          <w:rFonts w:ascii="Calibri" w:hAnsi="Calibri" w:eastAsia="Microsoft YaHei" w:cs="Calibri"/>
          <w:color w:val="263238"/>
          <w:sz w:val="21"/>
          <w:szCs w:val="21"/>
        </w:rPr>
        <w:t>'Provokes retaliation'</w:t>
      </w:r>
    </w:p>
    <w:p>
      <w:pPr>
        <w:pStyle w:val="Normal"/>
      </w:pPr>
      <w:r>
        <w:rPr>
          <w:rFonts w:ascii="Calibri" w:hAnsi="Calibri" w:eastAsia="Microsoft YaHei" w:cs="Calibri"/>
          <w:color w:val="263238"/>
          <w:sz w:val="21"/>
          <w:szCs w:val="21"/>
        </w:rPr>
        <w:t>'IMESI exists precisely because economic coercion is already happening. Collective insurance reduces the risk of being targeted, not increases it.'</w:t>
      </w:r>
    </w:p>
    <w:p>
      <w:pPr>
        <w:pStyle w:val="Normal"/>
      </w:pPr>
      <w:r>
        <w:rPr>
          <w:rFonts w:ascii="Calibri" w:hAnsi="Calibri" w:eastAsia="Microsoft YaHei" w:cs="Calibri"/>
          <w:color w:val="263238"/>
          <w:sz w:val="21"/>
          <w:szCs w:val="21"/>
        </w:rPr>
        <w:t>'Too expensive'</w:t>
      </w:r>
    </w:p>
    <w:p>
      <w:pPr>
        <w:pStyle w:val="Normal"/>
      </w:pPr>
      <w:r>
        <w:rPr>
          <w:rFonts w:ascii="Calibri" w:hAnsi="Calibri" w:eastAsia="Microsoft YaHei" w:cs="Calibri"/>
          <w:color w:val="263238"/>
          <w:sz w:val="21"/>
          <w:szCs w:val="21"/>
        </w:rPr>
        <w:t>'Initial contribution is a fraction of 1% of GDP, far less than the cost of facing coercion alone.'</w:t>
      </w:r>
    </w:p>
    <w:p>
      <w:pPr>
        <w:pStyle w:val="Normal"/>
      </w:pPr>
      <w:r>
        <w:rPr>
          <w:rFonts w:ascii="Calibri" w:hAnsi="Calibri" w:eastAsia="Microsoft YaHei" w:cs="Calibri"/>
          <w:color w:val="263238"/>
          <w:sz w:val="21"/>
          <w:szCs w:val="21"/>
        </w:rPr>
        <w:t>This annex is advisory. Member governments retain full control over domestic communications strategy.</w:t>
      </w:r>
    </w:p>
    <w:p>
      <w:pPr>
        <w:pStyle w:val="Heading1"/>
      </w:pPr>
      <w:bookmarkStart w:name="_Toc000060" w:id="60"/>
      <w:r>
        <w:rPr>
          <w:rFonts w:ascii="Calibri" w:hAnsi="Calibri" w:eastAsia="Microsoft YaHei" w:cs="Calibri"/>
          <w:b/>
          <w:color w:val="455A64"/>
          <w:sz w:val="30"/>
          <w:szCs w:val="30"/>
        </w:rPr>
        <w:t>ANNEX 16C: LEADER TALKING POINTS AND AUDIENCE PITCHES</w:t>
      </w:r>
      <w:bookmarkEnd w:id="60"/>
    </w:p>
    <w:p>
      <w:pPr>
        <w:pStyle w:val="Heading3"/>
      </w:pPr>
      <w:r>
        <w:rPr>
          <w:rFonts w:ascii="Calibri" w:hAnsi="Calibri" w:eastAsia="Microsoft YaHei" w:cs="Calibri"/>
          <w:b/>
          <w:color w:val="546E7A"/>
          <w:sz w:val="22"/>
          <w:szCs w:val="22"/>
        </w:rPr>
        <w:t>Annex 16C (Addendum): Stakeholder Outreach Mandate [NEW: v12.0]</w:t>
      </w:r>
    </w:p>
    <w:p>
      <w:pPr>
        <w:pStyle w:val="Normal"/>
      </w:pPr>
      <w:r>
        <w:rPr>
          <w:rFonts w:ascii="Calibri" w:hAnsi="Calibri" w:eastAsia="Microsoft YaHei" w:cs="Calibri"/>
          <w:color w:val="263238"/>
          <w:sz w:val="21"/>
          <w:szCs w:val="21"/>
        </w:rPr>
        <w:t>Before any accession vote, the Secretariat conducts targeted outreach to key stakeholders in the prospective Member: parliamentarians, business associations, labour unions, and civil society. The outreach programme provides accurate information about IMESI benefits, costs, and obligations.</w:t>
      </w:r>
    </w:p>
    <w:p>
      <w:pPr>
        <w:pStyle w:val="Normal"/>
      </w:pPr>
      <w:r>
        <w:rPr>
          <w:rFonts w:ascii="Calibri" w:hAnsi="Calibri" w:eastAsia="Microsoft YaHei" w:cs="Calibri"/>
          <w:color w:val="263238"/>
          <w:sz w:val="21"/>
          <w:szCs w:val="21"/>
        </w:rPr>
        <w:t>Status: Non-binding communication guidance. Advisory only.</w:t>
      </w:r>
    </w:p>
    <w:p>
      <w:pPr>
        <w:pStyle w:val="Normal"/>
      </w:pPr>
      <w:r>
        <w:rPr>
          <w:rFonts w:ascii="Calibri" w:hAnsi="Calibri" w:eastAsia="Microsoft YaHei" w:cs="Calibri"/>
          <w:color w:val="263238"/>
          <w:sz w:val="21"/>
          <w:szCs w:val="21"/>
        </w:rPr>
        <w:t>STOCK TALKING POINTS (any leader, any audience):</w:t>
      </w:r>
    </w:p>
    <w:p>
      <w:pPr>
        <w:pStyle w:val="Normal"/>
      </w:pPr>
      <w:r>
        <w:rPr>
          <w:rFonts w:ascii="Calibri" w:hAnsi="Calibri" w:eastAsia="Microsoft YaHei" w:cs="Calibri"/>
          <w:color w:val="263238"/>
          <w:sz w:val="21"/>
          <w:szCs w:val="21"/>
        </w:rPr>
        <w:t>1. Trade sovereignty is untouched: 'IMESI does not set tariffs, negotiate FTAs, or require any trade policy change. Our Parliament remains the sole authority over our trade policy.' 2. Cannot be dragged into sanctions: 'We choose our level of participation case-by-case. No IMESI body compels us to impose sanctions or stabilisation measures against our sovereign choice.' 3. Costs are capped: 'Our contribution is capped at a fraction of 1% of GDP. No stabilisation measure burden exceeds 5% GDP without our Parliament's explicit consent.' 4. Insurance, not alliance: 'This is economic insurance, like fire insurance for your house. You hope to never use it, but you need it in case someone tries to burn down your economy.' 5. Protects jobs and supply chains: 'When a trade shock hits, IMESI provides immediate supply chain alternatives, bridging loans, and procurement support, protecting our workers and businesses from bearing the cost alone.' 6. Not aimed at anyone: 'IMESI applies equally to economic coercion from any source. It is a defensive shield, not an offensive weapon.'</w:t>
      </w:r>
    </w:p>
    <w:p>
      <w:pPr>
        <w:pStyle w:val="Heading3"/>
      </w:pPr>
      <w:r>
        <w:rPr>
          <w:rFonts w:ascii="Calibri" w:hAnsi="Calibri" w:eastAsia="Microsoft YaHei" w:cs="Calibri"/>
          <w:b/>
          <w:color w:val="546E7A"/>
          <w:sz w:val="22"/>
          <w:szCs w:val="22"/>
        </w:rPr>
        <w:t>ELEVATOR PITCHES BY AUDIENCE:</w:t>
      </w:r>
    </w:p>
    <w:p>
      <w:pPr>
        <w:pStyle w:val="Normal"/>
      </w:pPr>
      <w:r>
        <w:rPr>
          <w:rFonts w:ascii="Calibri" w:hAnsi="Calibri" w:eastAsia="Microsoft YaHei" w:cs="Calibri"/>
          <w:color w:val="263238"/>
          <w:sz w:val="21"/>
          <w:szCs w:val="21"/>
        </w:rPr>
        <w:t>Audience</w:t>
      </w:r>
    </w:p>
    <w:p>
      <w:pPr>
        <w:pStyle w:val="Normal"/>
      </w:pPr>
      <w:r>
        <w:rPr>
          <w:rFonts w:ascii="Calibri" w:hAnsi="Calibri" w:eastAsia="Microsoft YaHei" w:cs="Calibri"/>
          <w:color w:val="263238"/>
          <w:sz w:val="21"/>
          <w:szCs w:val="21"/>
        </w:rPr>
        <w:t>One-Paragraph Pitch</w:t>
      </w:r>
    </w:p>
    <w:p>
      <w:pPr>
        <w:pStyle w:val="Normal"/>
      </w:pPr>
      <w:r>
        <w:rPr>
          <w:rFonts w:ascii="Calibri" w:hAnsi="Calibri" w:eastAsia="Microsoft YaHei" w:cs="Calibri"/>
          <w:color w:val="263238"/>
          <w:sz w:val="21"/>
          <w:szCs w:val="21"/>
        </w:rPr>
        <w:t>G7 / Advanced Economies</w:t>
      </w:r>
    </w:p>
    <w:p>
      <w:pPr>
        <w:pStyle w:val="Normal"/>
      </w:pPr>
      <w:r>
        <w:rPr>
          <w:rFonts w:ascii="Calibri" w:hAnsi="Calibri" w:eastAsia="Microsoft YaHei" w:cs="Calibri"/>
          <w:color w:val="263238"/>
          <w:sz w:val="21"/>
          <w:szCs w:val="21"/>
        </w:rPr>
        <w:t>IMESI is a rules-based mutual insurance mechanism that protects your supply chains and market access against economic coercion, without requiring geopolitical alignment, trade bloc formation, or sovereignty delegation. Initial commitment: a fraction of 1% of GDP. Immediate benefits: joint procurement savings, early warning intelligence, and SFI settlement access. It makes coercion strategically irrational by ensuring collective response.</w:t>
      </w:r>
    </w:p>
    <w:p>
      <w:pPr>
        <w:pStyle w:val="Normal"/>
      </w:pPr>
      <w:r>
        <w:rPr>
          <w:rFonts w:ascii="Calibri" w:hAnsi="Calibri" w:eastAsia="Microsoft YaHei" w:cs="Calibri"/>
          <w:color w:val="263238"/>
          <w:sz w:val="21"/>
          <w:szCs w:val="21"/>
        </w:rPr>
        <w:t>Major Economies</w:t>
      </w:r>
    </w:p>
    <w:p>
      <w:pPr>
        <w:pStyle w:val="Normal"/>
      </w:pPr>
      <w:r>
        <w:rPr>
          <w:rFonts w:ascii="Calibri" w:hAnsi="Calibri" w:eastAsia="Microsoft YaHei" w:cs="Calibri"/>
          <w:color w:val="263238"/>
          <w:sz w:val="21"/>
          <w:szCs w:val="21"/>
        </w:rPr>
        <w:t>Emerging</w:t>
      </w:r>
    </w:p>
    <w:p>
      <w:pPr>
        <w:pStyle w:val="Normal"/>
      </w:pPr>
      <w:r>
        <w:rPr>
          <w:rFonts w:ascii="Calibri" w:hAnsi="Calibri" w:eastAsia="Microsoft YaHei" w:cs="Calibri"/>
          <w:color w:val="263238"/>
          <w:sz w:val="21"/>
          <w:szCs w:val="21"/>
        </w:rPr>
        <w:t>IMESI gives you a seat at the table in designing the global economic security architecture, rather than having it designed around you. It protects your supply chains against arbitrary tariff shocks from any major economy, provides immediate liquidity support during trade disruptions, and preserves your policy independence. You set your participation level; no automatic obligations.</w:t>
      </w:r>
    </w:p>
    <w:p>
      <w:pPr>
        <w:pStyle w:val="Normal"/>
      </w:pPr>
      <w:r>
        <w:rPr>
          <w:rFonts w:ascii="Calibri" w:hAnsi="Calibri" w:eastAsia="Microsoft YaHei" w:cs="Calibri"/>
          <w:color w:val="263238"/>
          <w:sz w:val="21"/>
          <w:szCs w:val="21"/>
        </w:rPr>
        <w:t>LDCs / Small Island States</w:t>
      </w:r>
    </w:p>
    <w:p>
      <w:pPr>
        <w:pStyle w:val="Normal"/>
      </w:pPr>
      <w:r>
        <w:rPr>
          <w:rFonts w:ascii="Calibri" w:hAnsi="Calibri" w:eastAsia="Microsoft YaHei" w:cs="Calibri"/>
          <w:color w:val="263238"/>
          <w:sz w:val="21"/>
          <w:szCs w:val="21"/>
        </w:rPr>
        <w:t>IMESI provides the collective backing your economy cannot generate alone. Anonymous participation means you cannot be singled out for retaliation. Zero-obligation Observer entry means no upfront cost. When a major economy imposes tariffs that devastate your exports, IMESI provides immediate bridging loans, alternative market access, and supply chain support.</w:t>
      </w:r>
    </w:p>
    <w:p>
      <w:pPr>
        <w:pStyle w:val="Normal"/>
      </w:pPr>
      <w:r>
        <w:rPr>
          <w:rFonts w:ascii="Calibri" w:hAnsi="Calibri" w:eastAsia="Microsoft YaHei" w:cs="Calibri"/>
          <w:color w:val="263238"/>
          <w:sz w:val="21"/>
          <w:szCs w:val="21"/>
        </w:rPr>
        <w:t>Neutral Economies</w:t>
      </w:r>
    </w:p>
    <w:p>
      <w:pPr>
        <w:pStyle w:val="Normal"/>
      </w:pPr>
      <w:r>
        <w:rPr>
          <w:rFonts w:ascii="Calibri" w:hAnsi="Calibri" w:eastAsia="Microsoft YaHei" w:cs="Calibri"/>
          <w:color w:val="263238"/>
          <w:sz w:val="21"/>
          <w:szCs w:val="21"/>
        </w:rPr>
        <w:t>IMESI is not aimed at you. The Cooperation Track (Section 9.5) provides observer briefings, joint stress tests, and shared resilience studies, without membership or obligations. Your participation demonstrates commitment to a stable, predictable global trading system and reduces the risk of misperception.</w:t>
      </w:r>
    </w:p>
    <w:p>
      <w:pPr>
        <w:pStyle w:val="Normal"/>
      </w:pPr>
      <w:r>
        <w:rPr>
          <w:rFonts w:ascii="Calibri" w:hAnsi="Calibri" w:eastAsia="Microsoft YaHei" w:cs="Calibri"/>
          <w:color w:val="263238"/>
          <w:sz w:val="21"/>
          <w:szCs w:val="21"/>
        </w:rPr>
        <w:t>Systemic</w:t>
      </w:r>
    </w:p>
    <w:p>
      <w:pPr>
        <w:pStyle w:val="Normal"/>
      </w:pPr>
      <w:r>
        <w:rPr>
          <w:rFonts w:ascii="Calibri" w:hAnsi="Calibri" w:eastAsia="Microsoft YaHei" w:cs="Calibri"/>
          <w:color w:val="263238"/>
          <w:sz w:val="21"/>
          <w:szCs w:val="21"/>
        </w:rPr>
        <w:t>This annex is advisory. Member governments retain full control over domestic and international communications strategy.</w:t>
      </w:r>
    </w:p>
    <w:p>
      <w:pPr>
        <w:pStyle w:val="Heading1"/>
      </w:pPr>
      <w:bookmarkStart w:name="_Toc000062" w:id="62"/>
      <w:r>
        <w:rPr>
          <w:rFonts w:ascii="Calibri" w:hAnsi="Calibri" w:eastAsia="Microsoft YaHei" w:cs="Calibri"/>
          <w:b/>
          <w:color w:val="455A64"/>
          <w:sz w:val="30"/>
          <w:szCs w:val="30"/>
        </w:rPr>
        <w:t>ANNEX 21: TARIFF STABILITY COMPACT</w:t>
      </w:r>
      <w:bookmarkEnd w:id="62"/>
    </w:p>
    <w:p>
      <w:pPr>
        <w:pStyle w:val="Normal"/>
      </w:pPr>
      <w:r>
        <w:rPr>
          <w:rFonts w:ascii="Calibri" w:hAnsi="Calibri" w:eastAsia="Microsoft YaHei" w:cs="Calibri"/>
          <w:color w:val="263238"/>
          <w:sz w:val="21"/>
          <w:szCs w:val="21"/>
        </w:rPr>
        <w:t>Purpose: Voluntary intra-IMESI module creating an additional tariff predictability layer beyond core obligations. Consistent with IMESI's modular design, Compact members gain enhanced protection without creating a distinct trade bloc. Article 1, Advance Notice: Compact members commit to 90-day notice before tariff increases &gt;5 percentage points on intra-IMESI trade. Notice filed with Secretariat and affected members simultaneously. Article 2, Consultation Requirement: Before implementing broad-based tariff measures (&gt;10% ad valorem on &gt;15% of trade), Compact members complete a 30-day consultation with affected Compact partners. Article 3, Automatic Response: Compact violations trigger: automatic IEWC investigation; presumptive activation of intra-Compact joint procurement pools; and enhanced burden-sharing for the violating member (150% standard rate for 12 months). Article 4, Non-Exclusion: Non-Compact IMESI members retain full IMESI protection including all SND, GSD, and standard coercion response mechanisms. The Compact creates an additional predictability layer, not a prerequisite for core benefits. Cost Imposition (v9.3A): The Compact creates a predictability premium for intra-IMESI trade: businesses on rely 90-day notice periods, reducing tariff uncertainty pricing. This premium makes IMESI-internal trade structurally cheaper than trade with non-Compact states, creating commercial gravity that raises the cost of tariff unpredictability for aggressors. Accession: Open to all Tier 1+ members by notification. Withdrawal on 6-month notice. Review at each Grand Review Convention.</w:t>
      </w:r>
    </w:p>
    <w:p>
      <w:pPr>
        <w:pStyle w:val="Heading1"/>
        <w:pageBreakBefore/>
      </w:pPr>
      <w:bookmarkStart w:name="_Toc000069" w:id="69"/>
      <w:r>
        <w:rPr>
          <w:rFonts w:ascii="Calibri" w:hAnsi="Calibri" w:eastAsia="Microsoft YaHei" w:cs="Calibri"/>
          <w:b/>
          <w:color w:val="455A64"/>
          <w:sz w:val="30"/>
          <w:szCs w:val="30"/>
        </w:rPr>
        <w:t>PART C: FINANCIAL PROTOCOL</w:t>
      </w:r>
      <w:bookmarkEnd w:id="69"/>
    </w:p>
    <w:p>
      <w:pPr>
        <w:pStyle w:val="Normal"/>
      </w:pPr>
      <w:r>
        <w:rPr>
          <w:rFonts w:ascii="Calibri" w:hAnsi="Calibri" w:eastAsia="Microsoft YaHei" w:cs="Calibri"/>
          <w:color w:val="263238"/>
          <w:sz w:val="21"/>
          <w:szCs w:val="21"/>
        </w:rPr>
        <w:t>The Financial Protocol integrates phased capitalisation, contribution formula, eligible uses, burden-sharing equalisation, emergency liquidity, and specialised sub-funds as detailed in Article VIII of this framework.</w:t>
      </w:r>
    </w:p>
    <w:p>
      <w:pPr>
        <w:pStyle w:val="Normal"/>
      </w:pPr>
      <w:r>
        <w:rPr>
          <w:rFonts w:ascii="Calibri" w:hAnsi="Calibri" w:eastAsia="Microsoft YaHei" w:cs="Calibri"/>
          <w:color w:val="263238"/>
          <w:sz w:val="21"/>
          <w:szCs w:val="21"/>
        </w:rPr>
        <w:t>Political Sustainability Provisions:</w:t>
      </w:r>
    </w:p>
    <w:p>
      <w:pPr>
        <w:pStyle w:val="Normal"/>
      </w:pPr>
      <w:r>
        <w:rPr>
          <w:rFonts w:ascii="Calibri" w:hAnsi="Calibri" w:eastAsia="Microsoft YaHei" w:cs="Calibri"/>
          <w:color w:val="263238"/>
          <w:sz w:val="21"/>
          <w:szCs w:val="21"/>
        </w:rPr>
        <w:t>Domestic Consultation Requirements: Before stabilisation measures causing &gt;USD 1 billion domestic impact or &gt;5% consumer price increases: industry and labour consultations, published consumer price impact assessments, public explanations, and legislative briefings. Transparency on Domestic Costs: Standardised impact assessments, consumer price effects by category, regional and employment impacts, comparison to coercion harm, and available compensation. Legislative Oversight: Committee briefings, annual participation reports, major decision reviews, public hearings on high-impact cases. Claims and Disbursement: Under USD 100 million, Director-General approval. USD 100 million to USD 1 billion, Fund Board simple majority. Over USD 1 billion, Coordination Committee 60% approval.</w:t>
      </w:r>
    </w:p>
    <w:p>
      <w:pPr>
        <w:pStyle w:val="Heading1"/>
      </w:pPr>
      <w:bookmarkStart w:name="_Toc000070" w:id="70"/>
      <w:r>
        <w:rPr>
          <w:rFonts w:ascii="Calibri" w:hAnsi="Calibri" w:eastAsia="Microsoft YaHei" w:cs="Calibri"/>
          <w:b/>
          <w:color w:val="455A64"/>
          <w:sz w:val="30"/>
          <w:szCs w:val="30"/>
        </w:rPr>
        <w:t>WHAT IMESI MEANS FOR FIRMS AND FINANCIAL INSTITUTIONS</w:t>
      </w:r>
      <w:bookmarkEnd w:id="70"/>
    </w:p>
    <w:p>
      <w:pPr>
        <w:pStyle w:val="Normal"/>
      </w:pPr>
      <w:r>
        <w:rPr>
          <w:rFonts w:ascii="Calibri" w:hAnsi="Calibri" w:eastAsia="Microsoft YaHei" w:cs="Calibri"/>
          <w:color w:val="263238"/>
          <w:sz w:val="21"/>
          <w:szCs w:val="21"/>
        </w:rPr>
        <w:t>This section provides a plain-language guide for private-sector actors. Cross-references to detailed provisions are in parentheses.</w:t>
      </w:r>
    </w:p>
    <w:p>
      <w:pPr>
        <w:pStyle w:val="Normal"/>
      </w:pPr>
      <w:r>
        <w:rPr>
          <w:rFonts w:ascii="Calibri" w:hAnsi="Calibri" w:eastAsia="Microsoft YaHei" w:cs="Calibri"/>
          <w:color w:val="263238"/>
          <w:sz w:val="21"/>
          <w:szCs w:val="21"/>
        </w:rPr>
        <w:t>For Trading and Manufacturing Firms</w:t>
      </w:r>
    </w:p>
    <w:p>
      <w:pPr>
        <w:pStyle w:val="Normal"/>
      </w:pPr>
      <w:r>
        <w:rPr>
          <w:rFonts w:ascii="Calibri" w:hAnsi="Calibri" w:eastAsia="Microsoft YaHei" w:cs="Calibri"/>
          <w:color w:val="263238"/>
          <w:sz w:val="21"/>
          <w:szCs w:val="21"/>
        </w:rPr>
        <w:t>Phase 0 (automatic): No direct firm obligations. Supply-chain rerouting assistance available through Secretariat. Emergency procurement at pre-agreed terms through Joint Procurement Consortium (Section 3.13).</w:t>
      </w:r>
    </w:p>
    <w:p>
      <w:pPr>
        <w:pStyle w:val="Normal"/>
      </w:pPr>
      <w:r>
        <w:rPr>
          <w:rFonts w:ascii="Calibri" w:hAnsi="Calibri" w:eastAsia="Microsoft YaHei" w:cs="Calibri"/>
          <w:color w:val="263238"/>
          <w:sz w:val="21"/>
          <w:szCs w:val="21"/>
        </w:rPr>
        <w:t>Phase 1 (CC-authorised): Tariff adjustments on specified products from coercing state. Licence and customs processing changes affect certain import/export flows. Firms in affected sectors apply for Resilience Fund assistance for rerouting costs (Section 8.9). Certified Transparent Operators receive MFN treatment and tariff exemptions (Section 3.17).</w:t>
      </w:r>
    </w:p>
    <w:p>
      <w:pPr>
        <w:pStyle w:val="Normal"/>
      </w:pPr>
      <w:r>
        <w:rPr>
          <w:rFonts w:ascii="Calibri" w:hAnsi="Calibri" w:eastAsia="Microsoft YaHei" w:cs="Calibri"/>
          <w:color w:val="263238"/>
          <w:sz w:val="21"/>
          <w:szCs w:val="21"/>
        </w:rPr>
        <w:t>Phase 2+ (heightened): Broader trade restrictions. Procurement exclusions from coercer-linked suppliers. Supply-chain diversification requirements in critical sectors. All Phase 2+ measures undergo rolling review at each 120-day boundary under the Nofade Protocol (Section 5.4A).</w:t>
      </w:r>
    </w:p>
    <w:p>
      <w:pPr>
        <w:pStyle w:val="Normal"/>
      </w:pPr>
      <w:r>
        <w:rPr>
          <w:rFonts w:ascii="Calibri" w:hAnsi="Calibri" w:eastAsia="Microsoft YaHei" w:cs="Calibri"/>
          <w:color w:val="263238"/>
          <w:sz w:val="21"/>
          <w:szCs w:val="21"/>
        </w:rPr>
        <w:t>For Platforms and Systemic Infrastructure Providers</w:t>
      </w:r>
    </w:p>
    <w:p>
      <w:pPr>
        <w:pStyle w:val="Normal"/>
      </w:pPr>
      <w:r>
        <w:rPr>
          <w:rFonts w:ascii="Calibri" w:hAnsi="Calibri" w:eastAsia="Microsoft YaHei" w:cs="Calibri"/>
          <w:color w:val="263238"/>
          <w:sz w:val="21"/>
          <w:szCs w:val="21"/>
        </w:rPr>
        <w:t>Certified SIPs (Annex 11, Section 2.5D) is asked to: adjust service availability in specific coercion-linked transactions; implement transparency reporting on usage patterns. Due-process protections: 30-day advance notice before any service-adjustment request; independent review available through IAC; no content-moderation or political-speech restrictions (Section 2.9 Information Defence Boundary). Platform Certification (Annex 11A) provides safe-harbour status and procurement advantages.</w:t>
      </w:r>
    </w:p>
    <w:p>
      <w:pPr>
        <w:pStyle w:val="Normal"/>
      </w:pPr>
      <w:r>
        <w:rPr>
          <w:rFonts w:ascii="Calibri" w:hAnsi="Calibri" w:eastAsia="Microsoft YaHei" w:cs="Calibri"/>
          <w:color w:val="263238"/>
          <w:sz w:val="21"/>
          <w:szCs w:val="21"/>
        </w:rPr>
        <w:t>For Banks and Financial Institutions</w:t>
      </w:r>
    </w:p>
    <w:p>
      <w:pPr>
        <w:pStyle w:val="Normal"/>
      </w:pPr>
      <w:r>
        <w:rPr>
          <w:rFonts w:ascii="Calibri" w:hAnsi="Calibri" w:eastAsia="Microsoft YaHei" w:cs="Calibri"/>
          <w:color w:val="263238"/>
          <w:sz w:val="21"/>
          <w:szCs w:val="21"/>
        </w:rPr>
        <w:t>Phase 1: No financial instrument activation. Banks face zero new obligations. Phase 2+ only (requires separate 60% CC vote, Section 8.10I): SFI settlement fee adjustments (125% for coercer-linked, 85% for intra-IMESI, Section 8.10G). IMU clearing priority for affected trade flows. Swap-line coordination for liquidity (defensive only, Section 4.6H). Banks opt out of adjusted-fee arrangements (Section 8.10G Option B). All financial measures include a Financial Impact Assessment published before deployment. Settlement preference shifts expire automatically upon case closure (Section 8.10G Sunset).</w:t>
      </w:r>
    </w:p>
    <w:p>
      <w:pPr>
        <w:pStyle w:val="Normal"/>
      </w:pPr>
      <w:r>
        <w:rPr>
          <w:rFonts w:ascii="Calibri" w:hAnsi="Calibri" w:eastAsia="Microsoft YaHei" w:cs="Calibri"/>
          <w:color w:val="263238"/>
          <w:sz w:val="21"/>
          <w:szCs w:val="21"/>
        </w:rPr>
        <w:t>Banks and Financial Institutions: What Changes by Phase</w:t>
      </w:r>
    </w:p>
    <w:p>
      <w:pPr>
        <w:pStyle w:val="Normal"/>
      </w:pPr>
      <w:r>
        <w:rPr>
          <w:rFonts w:ascii="Calibri" w:hAnsi="Calibri" w:eastAsia="Microsoft YaHei" w:cs="Calibri"/>
          <w:color w:val="263238"/>
          <w:sz w:val="21"/>
          <w:szCs w:val="21"/>
        </w:rPr>
        <w:t>Phase 0 (Automatic Stabilisation)</w:t>
      </w:r>
    </w:p>
    <w:p>
      <w:pPr>
        <w:pStyle w:val="Normal"/>
      </w:pPr>
      <w:r>
        <w:rPr>
          <w:rFonts w:ascii="Calibri" w:hAnsi="Calibri" w:eastAsia="Microsoft YaHei" w:cs="Calibri"/>
          <w:color w:val="263238"/>
          <w:sz w:val="21"/>
          <w:szCs w:val="21"/>
        </w:rPr>
        <w:t>What changes: Swap-line coordination activated for affected members; SFI settlement continuity measures. What is mandatory: Nothing for banks. What is optional: Voluntary participation in settlement drills; early-warning reporting. Safeguards: No new reporting obligations beyond standard KYC/AML; no restrictions on existing correspondent banking relationships.</w:t>
      </w:r>
    </w:p>
    <w:p>
      <w:pPr>
        <w:pStyle w:val="Normal"/>
      </w:pPr>
      <w:r>
        <w:rPr>
          <w:rFonts w:ascii="Calibri" w:hAnsi="Calibri" w:eastAsia="Microsoft YaHei" w:cs="Calibri"/>
          <w:color w:val="263238"/>
          <w:sz w:val="21"/>
          <w:szCs w:val="21"/>
        </w:rPr>
        <w:t>Phase 1 (CC-Authorised Trade Measures)</w:t>
      </w:r>
    </w:p>
    <w:p>
      <w:pPr>
        <w:pStyle w:val="Normal"/>
      </w:pPr>
      <w:r>
        <w:rPr>
          <w:rFonts w:ascii="Calibri" w:hAnsi="Calibri" w:eastAsia="Microsoft YaHei" w:cs="Calibri"/>
          <w:color w:val="263238"/>
          <w:sz w:val="21"/>
          <w:szCs w:val="21"/>
        </w:rPr>
        <w:t>What changes: No changes to core banking operations. Access to swap-line coordination. What is mandatory: Nothing for banks (financial instruments excluded from Phase 1, Section 8.10I). What is optional: Participation in SFI adjusted-fee arrangements (opt-in or opt-out per Section 8.10G). Safeguards: No mandatory capital controls, transaction restrictions, or payment-system changes.</w:t>
      </w:r>
    </w:p>
    <w:p>
      <w:pPr>
        <w:pStyle w:val="Normal"/>
      </w:pPr>
      <w:r>
        <w:rPr>
          <w:rFonts w:ascii="Calibri" w:hAnsi="Calibri" w:eastAsia="Microsoft YaHei" w:cs="Calibri"/>
          <w:color w:val="263238"/>
          <w:sz w:val="21"/>
          <w:szCs w:val="21"/>
        </w:rPr>
        <w:t>Phase 2+ (Requires Separate 60% CC Vote)</w:t>
      </w:r>
    </w:p>
    <w:p>
      <w:pPr>
        <w:pStyle w:val="Normal"/>
      </w:pPr>
      <w:r>
        <w:rPr>
          <w:rFonts w:ascii="Calibri" w:hAnsi="Calibri" w:eastAsia="Microsoft YaHei" w:cs="Calibri"/>
          <w:color w:val="263238"/>
          <w:sz w:val="21"/>
          <w:szCs w:val="21"/>
        </w:rPr>
        <w:t>What changes: SFI settlement fee adjustments (125% for coercer-linked transactions, 85% for intra-IMESI). IMU clearing priority shifts. What is mandatory: Adjusted settlement fees for participating banks (opt-out available). What is optional: Full opt-out to non-IMESI settlement channels (Section 8.10G Option B). Safeguards: Financial Impact Assessment published before deployment; 24-month maximum duration; 12-month effectiveness review; automatic expiry on case closure.</w:t>
      </w:r>
    </w:p>
    <w:p>
      <w:pPr>
        <w:pStyle w:val="Normal"/>
      </w:pPr>
      <w:r>
        <w:rPr>
          <w:rFonts w:ascii="Calibri" w:hAnsi="Calibri" w:eastAsia="Microsoft YaHei" w:cs="Calibri"/>
          <w:color w:val="263238"/>
          <w:sz w:val="21"/>
          <w:szCs w:val="21"/>
        </w:rPr>
        <w:t>Exporters, Importers, and Platforms: What Changes by Phase</w:t>
      </w:r>
    </w:p>
    <w:p>
      <w:pPr>
        <w:pStyle w:val="Normal"/>
      </w:pPr>
      <w:r>
        <w:rPr>
          <w:rFonts w:ascii="Calibri" w:hAnsi="Calibri" w:eastAsia="Microsoft YaHei" w:cs="Calibri"/>
          <w:color w:val="263238"/>
          <w:sz w:val="21"/>
          <w:szCs w:val="21"/>
        </w:rPr>
        <w:t>Phase 0</w:t>
      </w:r>
    </w:p>
    <w:p>
      <w:pPr>
        <w:pStyle w:val="Normal"/>
      </w:pPr>
      <w:r>
        <w:rPr>
          <w:rFonts w:ascii="Calibri" w:hAnsi="Calibri" w:eastAsia="Microsoft YaHei" w:cs="Calibri"/>
          <w:color w:val="263238"/>
          <w:sz w:val="21"/>
          <w:szCs w:val="21"/>
        </w:rPr>
        <w:t>Tariffs/licences: No changes. Procurement: Emergency joint procurement opens (firms bid). Data/algorithms (platforms): No obligations. Available support: Supply-chain rerouting assistance; Resilience Fund grants for logistics costs.</w:t>
      </w:r>
    </w:p>
    <w:p>
      <w:pPr>
        <w:pStyle w:val="Normal"/>
      </w:pPr>
      <w:r>
        <w:rPr>
          <w:rFonts w:ascii="Calibri" w:hAnsi="Calibri" w:eastAsia="Microsoft YaHei" w:cs="Calibri"/>
          <w:color w:val="263238"/>
          <w:sz w:val="21"/>
          <w:szCs w:val="21"/>
        </w:rPr>
        <w:t>Phase 1</w:t>
      </w:r>
    </w:p>
    <w:p>
      <w:pPr>
        <w:pStyle w:val="Normal"/>
      </w:pPr>
      <w:r>
        <w:rPr>
          <w:rFonts w:ascii="Calibri" w:hAnsi="Calibri" w:eastAsia="Microsoft YaHei" w:cs="Calibri"/>
          <w:color w:val="263238"/>
          <w:sz w:val="21"/>
          <w:szCs w:val="21"/>
        </w:rPr>
        <w:t>Tariffs/licences: Coordinated tariff adjustments on specified products from coercer state (typically 10-20% range). Licence and customs processing changes for affected sectors. Procurement: Procurement shift away from coercer-linked suppliers in targeted sectors. Data/algorithms (platforms): No obligations. Available support: Certified Transparent Operator MFN treatment and tariff exemptions; Substitution Acceleration Sub-Fund for rerouting.</w:t>
      </w:r>
    </w:p>
    <w:p>
      <w:pPr>
        <w:pStyle w:val="Normal"/>
      </w:pPr>
      <w:r>
        <w:rPr>
          <w:rFonts w:ascii="Calibri" w:hAnsi="Calibri" w:eastAsia="Microsoft YaHei" w:cs="Calibri"/>
          <w:color w:val="263238"/>
          <w:sz w:val="21"/>
          <w:szCs w:val="21"/>
        </w:rPr>
        <w:t>Phase 2+</w:t>
      </w:r>
    </w:p>
    <w:p>
      <w:pPr>
        <w:pStyle w:val="Normal"/>
      </w:pPr>
      <w:r>
        <w:rPr>
          <w:rFonts w:ascii="Calibri" w:hAnsi="Calibri" w:eastAsia="Microsoft YaHei" w:cs="Calibri"/>
          <w:color w:val="263238"/>
          <w:sz w:val="21"/>
          <w:szCs w:val="21"/>
        </w:rPr>
        <w:t>Tariffs/licences: Broader trade restrictions; potential export controls on strategic goods. Procurement: Procurement exclusions from coercer-linked suppliers in critical sectors. Data/algorithms (platforms): Certified SIPs are asked to adjust service in coercion-linked transactions (30-day notice; IAC appeal available; no content moderation, Section 2.9). Available support: Full Resilience Fund access; diversification priority scoring; legal support unit.</w:t>
      </w:r>
    </w:p>
    <w:p>
      <w:pPr>
        <w:pStyle w:val="Heading1"/>
      </w:pPr>
      <w:bookmarkStart w:name="_Toc000071" w:id="71"/>
      <w:r>
        <w:rPr>
          <w:rFonts w:ascii="Calibri" w:hAnsi="Calibri" w:eastAsia="Microsoft YaHei" w:cs="Calibri"/>
          <w:b/>
          <w:color w:val="455A64"/>
          <w:sz w:val="30"/>
          <w:szCs w:val="30"/>
        </w:rPr>
        <w:t>MINIMUM VIABLE SCENARIO: TARIFF SHOCK ON A MID-SIZE MEMBER</w:t>
      </w:r>
      <w:bookmarkEnd w:id="71"/>
    </w:p>
    <w:p>
      <w:pPr>
        <w:pStyle w:val="Normal"/>
      </w:pPr>
      <w:r>
        <w:rPr>
          <w:rFonts w:ascii="Calibri" w:hAnsi="Calibri" w:eastAsia="Microsoft YaHei" w:cs="Calibri"/>
          <w:color w:val="263238"/>
          <w:sz w:val="21"/>
          <w:szCs w:val="21"/>
        </w:rPr>
        <w:t>Illustrative walk-through of IMESI activation. All figures are indicative orders of magnitude for a mid-size economy (GDP ~USD 500 billion) facing a sudden 25% tariff increase on its top 3 export sectors from a major trading partner.</w:t>
      </w:r>
    </w:p>
    <w:p>
      <w:pPr>
        <w:pStyle w:val="Normal"/>
      </w:pPr>
      <w:r>
        <w:rPr>
          <w:rFonts w:ascii="Calibri" w:hAnsi="Calibri" w:eastAsia="Microsoft YaHei" w:cs="Calibri"/>
          <w:color w:val="263238"/>
          <w:sz w:val="21"/>
          <w:szCs w:val="21"/>
        </w:rPr>
        <w:t>Days 0-3: Detection and Stabilisation</w:t>
      </w:r>
    </w:p>
    <w:p>
      <w:pPr>
        <w:pStyle w:val="Normal"/>
      </w:pPr>
      <w:r>
        <w:rPr>
          <w:rFonts w:ascii="Calibri" w:hAnsi="Calibri" w:eastAsia="Microsoft YaHei" w:cs="Calibri"/>
          <w:color w:val="263238"/>
          <w:sz w:val="21"/>
          <w:szCs w:val="21"/>
        </w:rPr>
        <w:t>Impact: approximately USD 8 billion in annual exports at risk (~1.6% of GDP). IEWC issues preliminary certification (factual nexus + economic impact above 0.1% GDP threshold). Track A activates automatically: Resilience Fund releases USD 400 million emergency liquidity (0.08% of affected Member's GDP); Joint Procurement begins sourcing alternative buyers for displaced exports; swap-line coordination activated to stabilise currency pressure.</w:t>
      </w:r>
    </w:p>
    <w:p>
      <w:pPr>
        <w:pStyle w:val="Normal"/>
      </w:pPr>
      <w:r>
        <w:rPr>
          <w:rFonts w:ascii="Calibri" w:hAnsi="Calibri" w:eastAsia="Microsoft YaHei" w:cs="Calibri"/>
          <w:color w:val="263238"/>
          <w:sz w:val="21"/>
          <w:szCs w:val="21"/>
        </w:rPr>
        <w:t>Days 3-7: Consultation and Phase 1</w:t>
      </w:r>
    </w:p>
    <w:p>
      <w:pPr>
        <w:pStyle w:val="Normal"/>
      </w:pPr>
      <w:r>
        <w:rPr>
          <w:rFonts w:ascii="Calibri" w:hAnsi="Calibri" w:eastAsia="Microsoft YaHei" w:cs="Calibri"/>
          <w:color w:val="263238"/>
          <w:sz w:val="21"/>
          <w:szCs w:val="21"/>
        </w:rPr>
        <w:t>Quiet consultation: Secretariat contacts coercing state through diplomatic channels. Coercer does not modify measures. CC votes Phase 1 activation (passes 62% weighted). Phase 1 package: coordinated 15% tariff increase on USD 12 billion of coalition imports from coercer state; procurement shift away from coercer suppliers in energy and critical minerals; regulatory review of coercer-linked investment applications. Estimated cost to coalition members: 0.02-0.05% of GDP each (within burden-sharing symmetry band, Section 2.4A).</w:t>
      </w:r>
    </w:p>
    <w:p>
      <w:pPr>
        <w:pStyle w:val="Normal"/>
      </w:pPr>
      <w:r>
        <w:rPr>
          <w:rFonts w:ascii="Calibri" w:hAnsi="Calibri" w:eastAsia="Microsoft YaHei" w:cs="Calibri"/>
          <w:color w:val="263238"/>
          <w:sz w:val="21"/>
          <w:szCs w:val="21"/>
        </w:rPr>
        <w:t>Days 7-45: Monitoring and Pressure</w:t>
      </w:r>
    </w:p>
    <w:p>
      <w:pPr>
        <w:pStyle w:val="Normal"/>
      </w:pPr>
      <w:r>
        <w:rPr>
          <w:rFonts w:ascii="Calibri" w:hAnsi="Calibri" w:eastAsia="Microsoft YaHei" w:cs="Calibri"/>
          <w:color w:val="263238"/>
          <w:sz w:val="21"/>
          <w:szCs w:val="21"/>
        </w:rPr>
        <w:t>Affected Member receives: ongoing Resilience Fund support; supply-chain diversification fast-track grants; legal support from Small-State Legal Unit (if applicable). Dashboard publishes real-time compliance metrics (aggregate only). Coercer experiences: USD 12 billion in affected exports; 15% tariff friction; procurement losses in coalition markets. Net pressure: coercer's cost of maintaining coercion exceeds the affected Member's cost of absorbing it.</w:t>
      </w:r>
    </w:p>
    <w:p>
      <w:pPr>
        <w:pStyle w:val="Normal"/>
      </w:pPr>
      <w:r>
        <w:rPr>
          <w:rFonts w:ascii="Calibri" w:hAnsi="Calibri" w:eastAsia="Microsoft YaHei" w:cs="Calibri"/>
          <w:color w:val="263238"/>
          <w:sz w:val="21"/>
          <w:szCs w:val="21"/>
        </w:rPr>
        <w:t>Day 45: Escalation Review</w:t>
      </w:r>
    </w:p>
    <w:p>
      <w:pPr>
        <w:pStyle w:val="Normal"/>
      </w:pPr>
      <w:r>
        <w:rPr>
          <w:rFonts w:ascii="Calibri" w:hAnsi="Calibri" w:eastAsia="Microsoft YaHei" w:cs="Calibri"/>
          <w:color w:val="263238"/>
          <w:sz w:val="21"/>
          <w:szCs w:val="21"/>
        </w:rPr>
        <w:t>Automatic review triggers (Section 5.2A). CC deliberates: coercion continuing but coercer signals willingness to negotiate. CC votes for Option C: 30-day diplomatic window. Phase 1 paused; Track A stabilisation continues.</w:t>
      </w:r>
    </w:p>
    <w:p>
      <w:pPr>
        <w:pStyle w:val="Normal"/>
      </w:pPr>
      <w:r>
        <w:rPr>
          <w:rFonts w:ascii="Calibri" w:hAnsi="Calibri" w:eastAsia="Microsoft YaHei" w:cs="Calibri"/>
          <w:color w:val="263238"/>
          <w:sz w:val="21"/>
          <w:szCs w:val="21"/>
        </w:rPr>
        <w:t>Day 75: Resolution</w:t>
      </w:r>
    </w:p>
    <w:p>
      <w:pPr>
        <w:pStyle w:val="Normal"/>
      </w:pPr>
      <w:r>
        <w:rPr>
          <w:rFonts w:ascii="Calibri" w:hAnsi="Calibri" w:eastAsia="Microsoft YaHei" w:cs="Calibri"/>
          <w:color w:val="263238"/>
          <w:sz w:val="21"/>
          <w:szCs w:val="21"/>
        </w:rPr>
        <w:t>Mediation succeeds: coercer reduces tariffs by 20 percentage points (from 25% to 5%); remaining 5% treated as routine trade policy (Non-Use Guarantee applies). IMESI response: Phase 1 measures stepped down over 14 days; Resilience Fund draws repaid from post-crisis export recovery; case archived as "Cooperative Resolution" on Dashboard (Section 4.2A Success Recognition). Total Fund expenditure: approximately USD 500 million. Total coalition cost: approximately 0.03% of aggregate GDP. Outcome: coercion reversed in 75 days; affected Member's economy stabilised within 6 months.</w:t>
      </w:r>
    </w:p>
    <w:p>
      <w:pPr>
        <w:pStyle w:val="Heading1"/>
      </w:pPr>
      <w:bookmarkStart w:name="_Toc000072" w:id="72"/>
      <w:r>
        <w:rPr>
          <w:rFonts w:ascii="Calibri" w:hAnsi="Calibri" w:eastAsia="Microsoft YaHei" w:cs="Calibri"/>
          <w:b/>
          <w:color w:val="455A64"/>
          <w:sz w:val="30"/>
          <w:szCs w:val="30"/>
        </w:rPr>
        <w:t>FULL WALKTHROUGH: DISCRIMINATORY TARIFFS AND SUPPLY-CHAIN PRESSURE</w:t>
      </w:r>
      <w:bookmarkEnd w:id="72"/>
    </w:p>
    <w:p>
      <w:pPr>
        <w:pStyle w:val="Normal"/>
      </w:pPr>
      <w:r>
        <w:rPr>
          <w:rFonts w:ascii="Calibri" w:hAnsi="Calibri" w:eastAsia="Microsoft YaHei" w:cs="Calibri"/>
          <w:color w:val="263238"/>
          <w:sz w:val="21"/>
          <w:szCs w:val="21"/>
        </w:rPr>
        <w:t>This scenario illustrates the complete IMESI response cycle from detection to resolution. No specific state is named; the pattern is drawn from documented real-world episodes.</w:t>
      </w:r>
    </w:p>
    <w:p>
      <w:pPr>
        <w:pStyle w:val="Normal"/>
      </w:pPr>
      <w:r>
        <w:rPr>
          <w:rFonts w:ascii="Calibri" w:hAnsi="Calibri" w:eastAsia="Microsoft YaHei" w:cs="Calibri"/>
          <w:color w:val="263238"/>
          <w:sz w:val="21"/>
          <w:szCs w:val="21"/>
        </w:rPr>
        <w:t>Background</w:t>
      </w:r>
    </w:p>
    <w:p>
      <w:pPr>
        <w:pStyle w:val="Normal"/>
      </w:pPr>
      <w:r>
        <w:rPr>
          <w:rFonts w:ascii="Calibri" w:hAnsi="Calibri" w:eastAsia="Microsoft YaHei" w:cs="Calibri"/>
          <w:color w:val="263238"/>
          <w:sz w:val="21"/>
          <w:szCs w:val="21"/>
        </w:rPr>
        <w:t>State A (GDP ~USD 400 billion, IMESI Full Member) has a critical manufacturing sector that depends on rare-earth imports from State B (GDP ~USD 12 trillion, non-member). Following State A's decision to join a regional trade agreement State B opposes, State B imposes: a 35% tariff on State A's top 5 export categories (affecting ~USD 14 billion in annual trade, or 3.5% of State A's GDP); informal customs delays adding 15-20 days to clearance of State A's agricultural exports; and signals through state media that further restrictions follow unless State A reverses its trade-agreement decision.</w:t>
      </w:r>
    </w:p>
    <w:p>
      <w:pPr>
        <w:pStyle w:val="Normal"/>
      </w:pPr>
      <w:r>
        <w:rPr>
          <w:rFonts w:ascii="Calibri" w:hAnsi="Calibri" w:eastAsia="Microsoft YaHei" w:cs="Calibri"/>
          <w:color w:val="263238"/>
          <w:sz w:val="21"/>
          <w:szCs w:val="21"/>
        </w:rPr>
        <w:t>Days 0-3: Detection and Track A Stabilisation</w:t>
      </w:r>
    </w:p>
    <w:p>
      <w:pPr>
        <w:pStyle w:val="Normal"/>
      </w:pPr>
      <w:r>
        <w:rPr>
          <w:rFonts w:ascii="Calibri" w:hAnsi="Calibri" w:eastAsia="Microsoft YaHei" w:cs="Calibri"/>
          <w:color w:val="263238"/>
          <w:sz w:val="21"/>
          <w:szCs w:val="21"/>
        </w:rPr>
        <w:t>Day 0: State A submits AESI report to IEWC with trade-flow data, customs records, and media transcripts. IEWC assigns Critical priority (Red-Line proximity: &gt;2% GDP impact, explicit policy demand). Day 1: IEWC issues preliminary certification: factual nexus (tariffs temporally linked to policy demand), economic impact (3.5% GDP), proportionality deficit (35% tariff vs. zero prior restriction). Track A activates automatically: Resilience Fund releases USD 350 million emergency liquidity (0.09% of State A's GDP); Joint Procurement Consortium begins sourcing alternative rare-earth supply from Australia, Canada, and Brazil; Swap-line coordination activated through 3 member central banks to stabilise State A's currency (which has dropped 4% on news of restrictions). Day 2: Rapid Legitimacy Signal Mechanism Panel notified; begins review. Day 3: RLSM Panel issues Legitimacy Note: "Consistent", activation meets evidentiary standards; Phase 0 measures appear proportionate; no systemic financial stability concerns identified. Note published to Dashboard and circulated to WTO, IMF.</w:t>
      </w:r>
    </w:p>
    <w:p>
      <w:pPr>
        <w:pStyle w:val="Normal"/>
      </w:pPr>
      <w:r>
        <w:rPr>
          <w:rFonts w:ascii="Calibri" w:hAnsi="Calibri" w:eastAsia="Microsoft YaHei" w:cs="Calibri"/>
          <w:color w:val="263238"/>
          <w:sz w:val="21"/>
          <w:szCs w:val="21"/>
        </w:rPr>
        <w:t>Days 3-7: Quiet Consultation and Phase 1</w:t>
      </w:r>
    </w:p>
    <w:p>
      <w:pPr>
        <w:pStyle w:val="Normal"/>
      </w:pPr>
      <w:r>
        <w:rPr>
          <w:rFonts w:ascii="Calibri" w:hAnsi="Calibri" w:eastAsia="Microsoft YaHei" w:cs="Calibri"/>
          <w:color w:val="263238"/>
          <w:sz w:val="21"/>
          <w:szCs w:val="21"/>
        </w:rPr>
        <w:t>Day 3: Secretariat opens confidential backchannel with State B through State B's IMESI liaison (or through WTO channels if State B has no IMESI contact). Message: IEWC has certified; Phase 1 is pending; modification of measures within 72 hours would allow deferral. Day 5: State B responds: no modification; maintains tariffs are "legitimate trade policy." Secretariat assesses this against the Non-Use Guarantee (Section 1.4C): the tariffs are discriminatory (applied only to State A), temporally linked to a political demand, and vastly disproportionate. Non-Use Guarantee does not apply. Day 6: CC votes on Phase 1 activation. Passes 63% weighted. Phase 1 package: coordinated 18% tariff adjustment on USD 20 billion of coalition imports from State B across energy, consumer electronics, and industrial machinery; procurement shift: coalition members redirect USD 3 billion in annual government procurement away from State B suppliers in rare-earth-dependent sectors; regulatory review: 4 member states launch expedited investment screening reviews of State B-linked acquisitions in critical infrastructure.</w:t>
      </w:r>
    </w:p>
    <w:p>
      <w:pPr>
        <w:pStyle w:val="Normal"/>
      </w:pPr>
      <w:r>
        <w:rPr>
          <w:rFonts w:ascii="Calibri" w:hAnsi="Calibri" w:eastAsia="Microsoft YaHei" w:cs="Calibri"/>
          <w:color w:val="263238"/>
          <w:sz w:val="21"/>
          <w:szCs w:val="21"/>
        </w:rPr>
        <w:t>Coalition-wide cost: approximately 0.03% of aggregate coalition GDP. State A's cost: near zero (net beneficiary of stabilisation). State B's exposure: USD 20 billion in tariff-affected exports + USD 3 billion in lost procurement.</w:t>
      </w:r>
    </w:p>
    <w:p>
      <w:pPr>
        <w:pStyle w:val="Normal"/>
      </w:pPr>
      <w:r>
        <w:rPr>
          <w:rFonts w:ascii="Calibri" w:hAnsi="Calibri" w:eastAsia="Microsoft YaHei" w:cs="Calibri"/>
          <w:color w:val="263238"/>
          <w:sz w:val="21"/>
          <w:szCs w:val="21"/>
        </w:rPr>
        <w:t>Days 7-45: Monitoring, Pressure, and Support</w:t>
      </w:r>
    </w:p>
    <w:p>
      <w:pPr>
        <w:pStyle w:val="Normal"/>
      </w:pPr>
      <w:r>
        <w:rPr>
          <w:rFonts w:ascii="Calibri" w:hAnsi="Calibri" w:eastAsia="Microsoft YaHei" w:cs="Calibri"/>
          <w:color w:val="263238"/>
          <w:sz w:val="21"/>
          <w:szCs w:val="21"/>
        </w:rPr>
        <w:t>State A receives ongoing support: Resilience Fund diversification grants (USD 150 million for alternative rare-earth sourcing); Legal Unit assistance for WTO parallel filing; supply-chain rerouting through Joint Procurement (first alternative rare-earth shipments arrive Day 21). Dashboard publishes real-time aggregate compliance (87% of coalition members meeting Phase 1 minimum floors). State B's situation: USD 20 billion in export friction; procurement losses in 8 member markets; reputational cost as RLSM Legitimacy Note is cited by trade media and credit agencies. Day 30: State B's trade ministry signals through back channels that it is willing to discuss "adjustments" if done quietly. Secretariat notes this but Phase 1 continues; Quiet Consultation is a pre-activation mechanism, not a mid-case pause.</w:t>
      </w:r>
    </w:p>
    <w:p>
      <w:pPr>
        <w:pStyle w:val="Normal"/>
      </w:pPr>
      <w:r>
        <w:rPr>
          <w:rFonts w:ascii="Calibri" w:hAnsi="Calibri" w:eastAsia="Microsoft YaHei" w:cs="Calibri"/>
          <w:color w:val="263238"/>
          <w:sz w:val="21"/>
          <w:szCs w:val="21"/>
        </w:rPr>
        <w:t>Day 45: Escalation Review</w:t>
      </w:r>
    </w:p>
    <w:p>
      <w:pPr>
        <w:pStyle w:val="Normal"/>
      </w:pPr>
      <w:r>
        <w:rPr>
          <w:rFonts w:ascii="Calibri" w:hAnsi="Calibri" w:eastAsia="Microsoft YaHei" w:cs="Calibri"/>
          <w:color w:val="263238"/>
          <w:sz w:val="21"/>
          <w:szCs w:val="21"/>
        </w:rPr>
        <w:t>Automatic Escalation Review triggers (Section 5.2A). CC deliberates: State B's 35% tariff remains in place but customs delays have been partially lifted; State B has signalled willingness to negotiate. CC votes: Option C, 30-day intensive diplomatic window. Phase 1 paused (not terminated). Third-Party Mediation triggered (Section 5.3G): mediator from Singapore appointed within 48 hours.</w:t>
      </w:r>
    </w:p>
    <w:p>
      <w:pPr>
        <w:pStyle w:val="Normal"/>
      </w:pPr>
      <w:r>
        <w:rPr>
          <w:rFonts w:ascii="Calibri" w:hAnsi="Calibri" w:eastAsia="Microsoft YaHei" w:cs="Calibri"/>
          <w:color w:val="263238"/>
          <w:sz w:val="21"/>
          <w:szCs w:val="21"/>
        </w:rPr>
        <w:t>Days 45-75: Mediation and Resolution</w:t>
      </w:r>
    </w:p>
    <w:p>
      <w:pPr>
        <w:pStyle w:val="Normal"/>
      </w:pPr>
      <w:r>
        <w:rPr>
          <w:rFonts w:ascii="Calibri" w:hAnsi="Calibri" w:eastAsia="Microsoft YaHei" w:cs="Calibri"/>
          <w:color w:val="263238"/>
          <w:sz w:val="21"/>
          <w:szCs w:val="21"/>
        </w:rPr>
        <w:t>Day 52: Mediation sessions begin. State B's position: willing to reduce tariffs if State A "delays" trade-agreement ratification. State A's position: trade agreement proceeds; willing to discuss bilateral economic cooperation separately. Day 60: Mediator proposes framework: State B reduces tariffs to 10% (from 35%) immediately, with full removal over 12 months conditional on a bilateral economic dialogue. State A proceeds with trade agreement. State B receives a face-saving "economic partnership dialogue" without policy concession. Day 65: Both parties accept. Secretariat verifies: State B publishes tariff reduction schedule. Day 70: CC votes to step down Phase 1 measures over 14 days. Track A stabilisation continues for supply-chain diversification (6-month tail). Day 75: Case archived as "Cooperative Resolution" on Dashboard (Section 4.2A Success Recognition).</w:t>
      </w:r>
    </w:p>
    <w:p>
      <w:pPr>
        <w:pStyle w:val="Normal"/>
      </w:pPr>
      <w:r>
        <w:rPr>
          <w:rFonts w:ascii="Calibri" w:hAnsi="Calibri" w:eastAsia="Microsoft YaHei" w:cs="Calibri"/>
          <w:color w:val="263238"/>
          <w:sz w:val="21"/>
          <w:szCs w:val="21"/>
        </w:rPr>
        <w:t>Final Accounting</w:t>
      </w:r>
    </w:p>
    <w:p>
      <w:pPr>
        <w:pStyle w:val="Normal"/>
      </w:pPr>
      <w:r>
        <w:rPr>
          <w:rFonts w:ascii="Calibri" w:hAnsi="Calibri" w:eastAsia="Microsoft YaHei" w:cs="Calibri"/>
          <w:color w:val="263238"/>
          <w:sz w:val="21"/>
          <w:szCs w:val="21"/>
        </w:rPr>
        <w:t>Total Fund expenditure: approximately USD 550 million (stabilisation + diversification + legal). Total coalition cost: approximately 0.03% of aggregate GDP over 75 days. State A outcome: economy stabilised within 3 months; tariffs removed over 12 months; trade agreement proceeds; permanent rare-earth supply diversification achieved. State B outcome: tariff leverage failed; faced USD 20+ billion in trade friction; accepted mediated solution; no permanent stigma. IMESI outcome: credibility established; mediation succeeded; deterrent value demonstrated; system returned to standby within 90 days.</w:t>
      </w:r>
    </w:p>
    <w:p>
      <w:pPr>
        <w:pStyle w:val="Heading1"/>
      </w:pPr>
      <w:bookmarkStart w:name="_Toc000073" w:id="73"/>
      <w:r>
        <w:rPr>
          <w:rFonts w:ascii="Calibri" w:hAnsi="Calibri" w:eastAsia="Microsoft YaHei" w:cs="Calibri"/>
          <w:b/>
          <w:color w:val="455A64"/>
          <w:sz w:val="30"/>
          <w:szCs w:val="30"/>
        </w:rPr>
        <w:t>SCENARIO F: NON-MILITARY ECONOMIC PRESSURE ON A FRONTLINE STATE</w:t>
      </w:r>
      <w:bookmarkEnd w:id="73"/>
    </w:p>
    <w:p>
      <w:pPr>
        <w:pStyle w:val="Normal"/>
      </w:pPr>
      <w:r>
        <w:rPr>
          <w:rFonts w:ascii="Calibri" w:hAnsi="Calibri" w:eastAsia="Microsoft YaHei" w:cs="Calibri"/>
          <w:color w:val="263238"/>
          <w:sz w:val="21"/>
          <w:szCs w:val="21"/>
        </w:rPr>
        <w:t>Illustrative case study. No specific country is named; this scenario represents a common pattern of economic coercion against states in geopolitically contested regions.</w:t>
      </w:r>
    </w:p>
    <w:p>
      <w:pPr>
        <w:pStyle w:val="Normal"/>
      </w:pPr>
      <w:r>
        <w:rPr>
          <w:rFonts w:ascii="Calibri" w:hAnsi="Calibri" w:eastAsia="Microsoft YaHei" w:cs="Calibri"/>
          <w:color w:val="263238"/>
          <w:sz w:val="21"/>
          <w:szCs w:val="21"/>
        </w:rPr>
        <w:t>Situation</w:t>
      </w:r>
    </w:p>
    <w:p>
      <w:pPr>
        <w:pStyle w:val="Normal"/>
      </w:pPr>
      <w:r>
        <w:rPr>
          <w:rFonts w:ascii="Calibri" w:hAnsi="Calibri" w:eastAsia="Microsoft YaHei" w:cs="Calibri"/>
          <w:color w:val="263238"/>
          <w:sz w:val="21"/>
          <w:szCs w:val="21"/>
        </w:rPr>
        <w:t>State A, a mid-size economy (GDP ~USD 300 billion) situated between two major powers, faces escalating economic pressure from a larger neighbour (State B, GDP ~USD 8 trillion). State B restricts rare-earth exports critical to State A's manufacturing sector (40% of State A's industrial inputs), imposes informal customs delays on State A's agricultural exports (12% of GDP), and pressures State B's banks to reduce credit lines to State A's financial institutions. State B's stated objective: State A abandons a bilateral trade agreement with a third country.</w:t>
      </w:r>
    </w:p>
    <w:p>
      <w:pPr>
        <w:pStyle w:val="Normal"/>
      </w:pPr>
      <w:r>
        <w:rPr>
          <w:rFonts w:ascii="Calibri" w:hAnsi="Calibri" w:eastAsia="Microsoft YaHei" w:cs="Calibri"/>
          <w:color w:val="263238"/>
          <w:sz w:val="21"/>
          <w:szCs w:val="21"/>
        </w:rPr>
        <w:t>IMESI Response (Days 0-14)</w:t>
      </w:r>
    </w:p>
    <w:p>
      <w:pPr>
        <w:pStyle w:val="Normal"/>
      </w:pPr>
      <w:r>
        <w:rPr>
          <w:rFonts w:ascii="Calibri" w:hAnsi="Calibri" w:eastAsia="Microsoft YaHei" w:cs="Calibri"/>
          <w:color w:val="263238"/>
          <w:sz w:val="21"/>
          <w:szCs w:val="21"/>
        </w:rPr>
        <w:t>Day 0: State A reports AESI to IEWC. Preliminary certification within 48 hours (factual nexus clear; economic impact &gt;1% GDP). Track A activates: Resilience Fund releases USD 250 million emergency liquidity; Joint Procurement sources alternative rare-earth supply from 3 coalition members; swap-line coordination stabilises State A's currency. Day 3: Quiet consultation, Secretariat contacts State B; no modification offered. Day 5: CC votes Phase 1 (passes 64%). Coalition imposes coordinated 12% tariff adjustment on USD 15 billion of imports from State B in affected sectors. Symmetric Restraint Protocol applies (State B qualifies as systemic economy, Section 7.5): Enhanced Impact Assessment published within 7 days; 60-day mandatory review.</w:t>
      </w:r>
    </w:p>
    <w:p>
      <w:pPr>
        <w:pStyle w:val="Normal"/>
      </w:pPr>
      <w:r>
        <w:rPr>
          <w:rFonts w:ascii="Calibri" w:hAnsi="Calibri" w:eastAsia="Microsoft YaHei" w:cs="Calibri"/>
          <w:color w:val="263238"/>
          <w:sz w:val="21"/>
          <w:szCs w:val="21"/>
        </w:rPr>
        <w:t>Resolution (Days 14-60)</w:t>
      </w:r>
    </w:p>
    <w:p>
      <w:pPr>
        <w:pStyle w:val="Normal"/>
      </w:pPr>
      <w:r>
        <w:rPr>
          <w:rFonts w:ascii="Calibri" w:hAnsi="Calibri" w:eastAsia="Microsoft YaHei" w:cs="Calibri"/>
          <w:color w:val="263238"/>
          <w:sz w:val="21"/>
          <w:szCs w:val="21"/>
        </w:rPr>
        <w:t>Day 21: Third-Party Mediation triggered (Section 5.3G). State B agrees to mediation. Day 35: Mediation produces framework: State B lifts customs delays; rare-earth restrictions phased out over 90 days; State A's trade agreement proceeds. Day 42: CC votes to step down Phase 1 measures. Track A stabilisation continues for supply-chain diversification. Day 60: Case archived as Cooperative Resolution. Total Fund expenditure: ~USD 300 million. State A's economy stabilised; bilateral trade agreement proceeds. IMESI's credibility enhanced; State B faces no permanent stigma.</w:t>
      </w:r>
    </w:p>
    <w:p>
      <w:pPr>
        <w:pStyle w:val="Heading1"/>
      </w:pPr>
      <w:bookmarkStart w:name="_Toc000074" w:id="74"/>
      <w:r>
        <w:rPr>
          <w:rFonts w:ascii="Calibri" w:hAnsi="Calibri" w:eastAsia="Microsoft YaHei" w:cs="Calibri"/>
          <w:b/>
          <w:color w:val="455A64"/>
          <w:sz w:val="30"/>
          <w:szCs w:val="30"/>
        </w:rPr>
        <w:t>FAQ: What If Two IMESI Members Disagree on Whether a Third State Is Coercing?</w:t>
      </w:r>
      <w:bookmarkEnd w:id="74"/>
    </w:p>
    <w:p>
      <w:pPr>
        <w:pStyle w:val="Normal"/>
      </w:pPr>
      <w:r>
        <w:rPr>
          <w:rFonts w:ascii="Calibri" w:hAnsi="Calibri" w:eastAsia="Microsoft YaHei" w:cs="Calibri"/>
          <w:color w:val="263238"/>
          <w:sz w:val="21"/>
          <w:szCs w:val="21"/>
        </w:rPr>
        <w:t>Intra-coalition disagreements on certification go to the expedited dispute-resolution mechanism (Section 6.9A). Both sides present their views to the IEWC and, if needed, the IAC. The IEWC and IAC maintain full independence, neither disputing member overrides their assessment. Disagreement does not freeze stabilisation for the affected member: Track A measures proceed unless a 70% CC supermajority votes to suspend. If the IEWC certifies coercion over one member's objection, the objecting member invokes Selective Participation (Section 3.3B) to abstain from specific stabilisation measures while maintaining membership.</w:t>
      </w:r>
    </w:p>
    <w:p>
      <w:pPr>
        <w:pStyle w:val="Heading1"/>
      </w:pPr>
      <w:bookmarkStart w:name="_Toc000075" w:id="75"/>
      <w:r>
        <w:rPr>
          <w:rFonts w:ascii="Calibri" w:hAnsi="Calibri" w:eastAsia="Microsoft YaHei" w:cs="Calibri"/>
          <w:b/>
          <w:color w:val="455A64"/>
          <w:sz w:val="30"/>
          <w:szCs w:val="30"/>
        </w:rPr>
        <w:t>FAQ: What If the Coercing State Is Also an IMESI Member?</w:t>
      </w:r>
      <w:bookmarkEnd w:id="75"/>
    </w:p>
    <w:p>
      <w:pPr>
        <w:pStyle w:val="Normal"/>
      </w:pPr>
      <w:r>
        <w:rPr>
          <w:rFonts w:ascii="Calibri" w:hAnsi="Calibri" w:eastAsia="Microsoft YaHei" w:cs="Calibri"/>
          <w:color w:val="263238"/>
          <w:sz w:val="21"/>
          <w:szCs w:val="21"/>
        </w:rPr>
        <w:t>Universal Applicability (Section 2.0A): IMESI applies to coercion by any state, including members. When a member is the alleged coercer: automatic IEWC recusal (Section 1.6B); the case is assessed under identical evidentiary standards as non-member coercion; if certified, the coercing member faces the same proportional stabilisation measures. Additional safeguards for intra-member cases: Symmetric Restraint applies if the coercer is a systemic economy (Section 7.5: 75% supermajority + independent panel); higher bar for financial instruments (separate 60% CC vote, Section 8.10I). Protection of other members is not conditional on the coercer being a non-member. This is how IMESI maintains credibility as a rules-based system, not a club that never disciplines its own.</w:t>
      </w:r>
    </w:p>
    <w:p>
      <w:pPr>
        <w:pStyle w:val="Heading1"/>
      </w:pPr>
      <w:bookmarkStart w:name="_Toc000076" w:id="76"/>
      <w:r>
        <w:rPr>
          <w:rFonts w:ascii="Calibri" w:hAnsi="Calibri" w:eastAsia="Microsoft YaHei" w:cs="Calibri"/>
          <w:b/>
          <w:color w:val="455A64"/>
          <w:sz w:val="30"/>
          <w:szCs w:val="30"/>
        </w:rPr>
        <w:t>FAQ: How Does IMESI Interact with Existing Sanctions Regimes?</w:t>
      </w:r>
      <w:bookmarkEnd w:id="76"/>
    </w:p>
    <w:p>
      <w:pPr>
        <w:pStyle w:val="Normal"/>
      </w:pPr>
      <w:r>
        <w:rPr>
          <w:rFonts w:ascii="Calibri" w:hAnsi="Calibri" w:eastAsia="Microsoft YaHei" w:cs="Calibri"/>
          <w:color w:val="263238"/>
          <w:sz w:val="21"/>
          <w:szCs w:val="21"/>
        </w:rPr>
        <w:t>IMESI does not require any member to lift, align, or modify existing national or alliance sanctions. It operates alongside existing regimes as a complementary tool: IMESI intelligence and case analysis informs members' national sanctions decisions, but cannot override them; members implement IMESI stabilisation measures and maintain independent sanctions simultaneously; IMESI measures are designed to be legally compatible with existing sanctions frameworks (Compatibility Assurance Protocol, Annex 1); members with sanctions obligations that conflict with specific IMESI stabilisation measures invoke Selective Participation (Section 3.3B) or the Domestic Industry Safeguard (Section 7.4A) without penalty. IMESI is economic insurance, not a sanctions-coordination body.</w:t>
      </w:r>
    </w:p>
    <w:p>
      <w:pPr>
        <w:pStyle w:val="Heading1"/>
      </w:pPr>
      <w:bookmarkStart w:name="_Toc000079" w:id="79"/>
      <w:r>
        <w:rPr>
          <w:rFonts w:ascii="Calibri" w:hAnsi="Calibri" w:eastAsia="Microsoft YaHei" w:cs="Calibri"/>
          <w:b/>
          <w:color w:val="455A64"/>
          <w:sz w:val="30"/>
          <w:szCs w:val="30"/>
        </w:rPr>
        <w:t>PILOT SCENARIO PROPOSAL: TARIFF COERCION AGAINST SMALL AGRICULTURAL EXPORTERS</w:t>
      </w:r>
      <w:bookmarkEnd w:id="79"/>
    </w:p>
    <w:p>
      <w:pPr>
        <w:pStyle w:val="Normal"/>
      </w:pPr>
      <w:r>
        <w:rPr>
          <w:rFonts w:ascii="Calibri" w:hAnsi="Calibri" w:eastAsia="Microsoft YaHei" w:cs="Calibri"/>
          <w:color w:val="263238"/>
          <w:sz w:val="21"/>
          <w:szCs w:val="21"/>
        </w:rPr>
        <w:t>A concrete, realistic pilot that a small group could run without full treaty entry into force. Designed for think-tank proposals, G7 sherpa agendas, or regional body working groups.</w:t>
      </w:r>
    </w:p>
    <w:p>
      <w:pPr>
        <w:pStyle w:val="Normal"/>
      </w:pPr>
      <w:r>
        <w:rPr>
          <w:rFonts w:ascii="Calibri" w:hAnsi="Calibri" w:eastAsia="Microsoft YaHei" w:cs="Calibri"/>
          <w:color w:val="263238"/>
          <w:sz w:val="21"/>
          <w:szCs w:val="21"/>
        </w:rPr>
        <w:t>Participating States</w:t>
      </w:r>
    </w:p>
    <w:p>
      <w:pPr>
        <w:pStyle w:val="Normal"/>
      </w:pPr>
      <w:r>
        <w:rPr>
          <w:rFonts w:ascii="Calibri" w:hAnsi="Calibri" w:eastAsia="Microsoft YaHei" w:cs="Calibri"/>
          <w:color w:val="263238"/>
          <w:sz w:val="21"/>
          <w:szCs w:val="21"/>
        </w:rPr>
        <w:t>3-5 volunteer governments (suggested mix: 1 major economy, 2 mid-size, 1-2 small states). Observers welcome. No formal ratification required, this is a simulation/exercise under a joint MoU.</w:t>
      </w:r>
    </w:p>
    <w:p>
      <w:pPr>
        <w:pStyle w:val="Normal"/>
      </w:pPr>
      <w:r>
        <w:rPr>
          <w:rFonts w:ascii="Calibri" w:hAnsi="Calibri" w:eastAsia="Microsoft YaHei" w:cs="Calibri"/>
          <w:color w:val="263238"/>
          <w:sz w:val="21"/>
          <w:szCs w:val="21"/>
        </w:rPr>
        <w:t>Scope</w:t>
      </w:r>
    </w:p>
    <w:p>
      <w:pPr>
        <w:pStyle w:val="Normal"/>
      </w:pPr>
      <w:r>
        <w:rPr>
          <w:rFonts w:ascii="Calibri" w:hAnsi="Calibri" w:eastAsia="Microsoft YaHei" w:cs="Calibri"/>
          <w:color w:val="263238"/>
          <w:sz w:val="21"/>
          <w:szCs w:val="21"/>
        </w:rPr>
        <w:t>Limited to tariff coercion in agricultural products. Simulated IEWC certification process (using real trade data and hypothetical scenario). Track A stabilisation measures: simulated joint procurement, supply-chain rerouting, and liquidity deployment. Track B: simulated coordinated tariff response (no actual tariff changes; paper exercise only).</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Month 1: MoU signed; scenario briefing distributed. Month 2: Simulated IEWC certification exercise. Month 3: Track A tabletop exercise (supply-chain rerouting, Fund deployment). Month 4: Track B tabletop exercise (coordinated tariff response, de-escalation). Month 5: After-action review; lessons-learned report. Month 6: Public report; recommendations for next steps.</w:t>
      </w:r>
    </w:p>
    <w:p>
      <w:pPr>
        <w:pStyle w:val="Normal"/>
      </w:pPr>
      <w:r>
        <w:rPr>
          <w:rFonts w:ascii="Calibri" w:hAnsi="Calibri" w:eastAsia="Microsoft YaHei" w:cs="Calibri"/>
          <w:color w:val="263238"/>
          <w:sz w:val="21"/>
          <w:szCs w:val="21"/>
        </w:rPr>
        <w:t>Conversion to Formal Entry</w:t>
      </w:r>
    </w:p>
    <w:p>
      <w:pPr>
        <w:pStyle w:val="Normal"/>
      </w:pPr>
      <w:r>
        <w:rPr>
          <w:rFonts w:ascii="Calibri" w:hAnsi="Calibri" w:eastAsia="Microsoft YaHei" w:cs="Calibri"/>
          <w:color w:val="263238"/>
          <w:sz w:val="21"/>
          <w:szCs w:val="21"/>
        </w:rPr>
        <w:t>If the pilot demonstrates operational viability: participants convert their MoU into a provisional accession instrument; pilot infrastructure (data sharing, legal templates, procurement networks) carries forward into formal operations; pilot participants qualify for Founding Member status and First-Mover Protection Package (Section 3.1F).</w:t>
      </w:r>
    </w:p>
    <w:p>
      <w:pPr>
        <w:pStyle w:val="Heading1"/>
        <w:pageBreakBefore/>
      </w:pPr>
      <w:bookmarkStart w:name="_Toc000080" w:id="80"/>
      <w:r>
        <w:rPr>
          <w:rFonts w:ascii="Calibri" w:hAnsi="Calibri" w:eastAsia="Microsoft YaHei" w:cs="Calibri"/>
          <w:b/>
          <w:color w:val="455A64"/>
          <w:sz w:val="30"/>
          <w:szCs w:val="30"/>
        </w:rPr>
        <w:t>PART D: STRATEGIC GUIDANCE, CASE STUDIES</w:t>
      </w:r>
      <w:bookmarkEnd w:id="80"/>
    </w:p>
    <w:p>
      <w:pPr>
        <w:pStyle w:val="Heading1"/>
      </w:pPr>
      <w:bookmarkStart w:name="_Toc000081" w:id="81"/>
      <w:r>
        <w:rPr>
          <w:rFonts w:ascii="Calibri" w:hAnsi="Calibri" w:eastAsia="Microsoft YaHei" w:cs="Calibri"/>
          <w:b/>
          <w:color w:val="455A64"/>
          <w:sz w:val="30"/>
          <w:szCs w:val="30"/>
        </w:rPr>
        <w:t>Scenario A: Broad-Based Trade Restriction Event</w:t>
      </w:r>
      <w:bookmarkEnd w:id="81"/>
    </w:p>
    <w:p>
      <w:pPr>
        <w:pStyle w:val="Normal"/>
      </w:pPr>
      <w:r>
        <w:rPr>
          <w:rFonts w:ascii="Calibri" w:hAnsi="Calibri" w:eastAsia="Microsoft YaHei" w:cs="Calibri"/>
          <w:color w:val="263238"/>
          <w:sz w:val="21"/>
          <w:szCs w:val="21"/>
        </w:rPr>
        <w:t>Scenario: A large economy imposes 20% tariff on all IMESI imports with explicit demands for policy alignment on regulatory standards, climate, and foreign policy. Affects multiple members, USD 250 billion trade, 0.3–0.4% GDP impact, classified Moderate.</w:t>
      </w:r>
    </w:p>
    <w:p>
      <w:pPr>
        <w:pStyle w:val="Normal"/>
      </w:pPr>
      <w:r>
        <w:rPr>
          <w:rFonts w:ascii="Calibri" w:hAnsi="Calibri" w:eastAsia="Microsoft YaHei" w:cs="Calibri"/>
          <w:color w:val="263238"/>
          <w:sz w:val="21"/>
          <w:szCs w:val="21"/>
        </w:rPr>
        <w:t>Timeline:</w:t>
      </w:r>
    </w:p>
    <w:p>
      <w:pPr>
        <w:pStyle w:val="Normal"/>
        <w:numPr>
          <w:ilvl w:val="0"/>
          <w:numId w:val="1"/>
        </w:numPr>
      </w:pPr>
      <w:r>
        <w:rPr>
          <w:rFonts w:ascii="Calibri" w:hAnsi="Calibri" w:eastAsia="Microsoft YaHei" w:cs="Calibri"/>
          <w:color w:val="263238"/>
          <w:sz w:val="21"/>
          <w:szCs w:val="21"/>
        </w:rPr>
        <w:t>Day 1: Emergency coordination call; fast-track invoked</w:t>
      </w:r>
    </w:p>
    <w:p>
      <w:pPr>
        <w:pStyle w:val="Normal"/>
        <w:numPr>
          <w:ilvl w:val="0"/>
          <w:numId w:val="1"/>
        </w:numPr>
      </w:pPr>
      <w:r>
        <w:rPr>
          <w:rFonts w:ascii="Calibri" w:hAnsi="Calibri" w:eastAsia="Microsoft YaHei" w:cs="Calibri"/>
          <w:color w:val="263238"/>
          <w:sz w:val="21"/>
          <w:szCs w:val="21"/>
        </w:rPr>
        <w:t>Day 2: 72.4% approval for emergency activation</w:t>
      </w:r>
    </w:p>
    <w:p>
      <w:pPr>
        <w:pStyle w:val="Normal"/>
        <w:numPr>
          <w:ilvl w:val="0"/>
          <w:numId w:val="1"/>
        </w:numPr>
      </w:pPr>
      <w:r>
        <w:rPr>
          <w:rFonts w:ascii="Calibri" w:hAnsi="Calibri" w:eastAsia="Microsoft YaHei" w:cs="Calibri"/>
          <w:color w:val="263238"/>
          <w:sz w:val="21"/>
          <w:szCs w:val="21"/>
        </w:rPr>
        <w:t>Days 3–14: Expedited investigation, information requests, economic modelling, legal analysis</w:t>
      </w:r>
    </w:p>
    <w:p>
      <w:pPr>
        <w:pStyle w:val="Normal"/>
        <w:numPr>
          <w:ilvl w:val="0"/>
          <w:numId w:val="1"/>
        </w:numPr>
      </w:pPr>
      <w:r>
        <w:rPr>
          <w:rFonts w:ascii="Calibri" w:hAnsi="Calibri" w:eastAsia="Microsoft YaHei" w:cs="Calibri"/>
          <w:color w:val="263238"/>
          <w:sz w:val="21"/>
          <w:szCs w:val="21"/>
        </w:rPr>
        <w:t>Day 15: Preliminary report, coercion finding confirmed, Moderate severity</w:t>
      </w:r>
    </w:p>
    <w:p>
      <w:pPr>
        <w:pStyle w:val="Normal"/>
        <w:numPr>
          <w:ilvl w:val="0"/>
          <w:numId w:val="1"/>
        </w:numPr>
      </w:pPr>
      <w:r>
        <w:rPr>
          <w:rFonts w:ascii="Calibri" w:hAnsi="Calibri" w:eastAsia="Microsoft YaHei" w:cs="Calibri"/>
          <w:color w:val="263238"/>
          <w:sz w:val="21"/>
          <w:szCs w:val="21"/>
        </w:rPr>
        <w:t>Day 21: Final report (92 pages), reaffirms findings</w:t>
      </w:r>
    </w:p>
    <w:p>
      <w:pPr>
        <w:pStyle w:val="Normal"/>
        <w:numPr>
          <w:ilvl w:val="0"/>
          <w:numId w:val="1"/>
        </w:numPr>
      </w:pPr>
      <w:r>
        <w:rPr>
          <w:rFonts w:ascii="Calibri" w:hAnsi="Calibri" w:eastAsia="Microsoft YaHei" w:cs="Calibri"/>
          <w:color w:val="263238"/>
          <w:sz w:val="21"/>
          <w:szCs w:val="21"/>
        </w:rPr>
        <w:t>Day 22: Coordination Committee votes, 76.8% coercion finding, 73.5% stabilisation measure authorisation</w:t>
      </w:r>
    </w:p>
    <w:p>
      <w:pPr>
        <w:pStyle w:val="Normal"/>
      </w:pPr>
      <w:r>
        <w:rPr>
          <w:rFonts w:ascii="Calibri" w:hAnsi="Calibri" w:eastAsia="Microsoft YaHei" w:cs="Calibri"/>
          <w:color w:val="263238"/>
          <w:sz w:val="21"/>
          <w:szCs w:val="21"/>
        </w:rPr>
        <w:t>Authorised Stabilisation Response:</w:t>
      </w:r>
    </w:p>
    <w:p>
      <w:pPr>
        <w:pStyle w:val="Normal"/>
      </w:pPr>
      <w:r>
        <w:rPr>
          <w:rFonts w:ascii="Calibri" w:hAnsi="Calibri" w:eastAsia="Microsoft YaHei" w:cs="Calibri"/>
          <w:color w:val="263238"/>
          <w:sz w:val="21"/>
          <w:szCs w:val="21"/>
        </w:rPr>
        <w:t>Phase 1, 15% corrective tariffs on USD 40 billion politically sensitive exports (agriculture, beverages, vehicles, metals, aerospace). Phase 2 (Day 60), 25% tariffs, USD 80 billion coverage. Phase 3 (Day 90), 35–40% tariffs, USD 120+ billion, comprehensive measures.</w:t>
      </w:r>
    </w:p>
    <w:p>
      <w:pPr>
        <w:pStyle w:val="Normal"/>
      </w:pPr>
      <w:r>
        <w:rPr>
          <w:rFonts w:ascii="Calibri" w:hAnsi="Calibri" w:eastAsia="Microsoft YaHei" w:cs="Calibri"/>
          <w:color w:val="263238"/>
          <w:sz w:val="21"/>
          <w:szCs w:val="21"/>
        </w:rPr>
        <w:t>Resolution: 30-day engagement yields agreement on 90-day phased withdrawal with reinstatement. Verified withdrawal over four months. Case closed with 12-month monitoring. Burden-Sharing in Practice: Highly trade-dependent members bore 1.8–2.1% GDP cost; diversified members bore 0.6–0.9%. Fund transfers equalised effective burden to approximately 1.1% GDP across all members. Coalition cohesion maintained. Key Lessons: Speed matters. Targeted measures maximise political pressure on coercing state. Collective USD 120 billion stabilisation capacity exceeds any individual state's capacity. Off-ramps enable face-saving resolution. Burden-sharing was decisive for cohesion.</w:t>
      </w:r>
    </w:p>
    <w:p>
      <w:pPr>
        <w:pStyle w:val="Heading1"/>
      </w:pPr>
      <w:bookmarkStart w:name="_Toc000082" w:id="82"/>
      <w:r>
        <w:rPr>
          <w:rFonts w:ascii="Calibri" w:hAnsi="Calibri" w:eastAsia="Microsoft YaHei" w:cs="Calibri"/>
          <w:b/>
          <w:color w:val="455A64"/>
          <w:sz w:val="30"/>
          <w:szCs w:val="30"/>
        </w:rPr>
        <w:t>Scenario B: Strategic Supply Disruption Event</w:t>
      </w:r>
      <w:bookmarkEnd w:id="82"/>
    </w:p>
    <w:p>
      <w:pPr>
        <w:pStyle w:val="Normal"/>
      </w:pPr>
      <w:r>
        <w:rPr>
          <w:rFonts w:ascii="Calibri" w:hAnsi="Calibri" w:eastAsia="Microsoft YaHei" w:cs="Calibri"/>
          <w:color w:val="263238"/>
          <w:sz w:val="21"/>
          <w:szCs w:val="21"/>
        </w:rPr>
        <w:t>Scenario: A dominant supplier of strategic inputs bans rare earth exports to multiple IMESI members, including gallium and germanium (semiconductor inputs). Explicit linkage to members' technology governance policies. 0.6–0.8% GDP impact but strategic significance far exceeds economic percentage, classified Critical via strategic multiplier.</w:t>
      </w:r>
    </w:p>
    <w:p>
      <w:pPr>
        <w:pStyle w:val="Normal"/>
      </w:pPr>
      <w:r>
        <w:rPr>
          <w:rFonts w:ascii="Calibri" w:hAnsi="Calibri" w:eastAsia="Microsoft YaHei" w:cs="Calibri"/>
          <w:color w:val="263238"/>
          <w:sz w:val="21"/>
          <w:szCs w:val="21"/>
        </w:rPr>
        <w:t>Pre-Authorised Scenario Activation (Fastest Response):</w:t>
      </w:r>
    </w:p>
    <w:p>
      <w:pPr>
        <w:pStyle w:val="Normal"/>
        <w:numPr>
          <w:ilvl w:val="0"/>
          <w:numId w:val="1"/>
        </w:numPr>
      </w:pPr>
      <w:r>
        <w:rPr>
          <w:rFonts w:ascii="Calibri" w:hAnsi="Calibri" w:eastAsia="Microsoft YaHei" w:cs="Calibri"/>
          <w:color w:val="263238"/>
          <w:sz w:val="21"/>
          <w:szCs w:val="21"/>
        </w:rPr>
        <w:t>Day 1: Bans announced. Scenario Beta invoked within hours. 89.3% trigger vote</w:t>
      </w:r>
    </w:p>
    <w:p>
      <w:pPr>
        <w:pStyle w:val="Normal"/>
        <w:numPr>
          <w:ilvl w:val="0"/>
          <w:numId w:val="1"/>
        </w:numPr>
      </w:pPr>
      <w:r>
        <w:rPr>
          <w:rFonts w:ascii="Calibri" w:hAnsi="Calibri" w:eastAsia="Microsoft YaHei" w:cs="Calibri"/>
          <w:color w:val="263238"/>
          <w:sz w:val="21"/>
          <w:szCs w:val="21"/>
        </w:rPr>
        <w:t>Day 1–7: Automatic activation, all committed members implement within 7 days</w:t>
      </w:r>
    </w:p>
    <w:p>
      <w:pPr>
        <w:pStyle w:val="Normal"/>
      </w:pPr>
      <w:r>
        <w:rPr>
          <w:rFonts w:ascii="Calibri" w:hAnsi="Calibri" w:eastAsia="Microsoft YaHei" w:cs="Calibri"/>
          <w:color w:val="263238"/>
          <w:sz w:val="21"/>
          <w:szCs w:val="21"/>
        </w:rPr>
        <w:t>Coordinated export controls on complementary technology inputs. Target: USD 40 billion in critical technology the coercing state depends upon</w:t>
      </w:r>
    </w:p>
    <w:p>
      <w:pPr>
        <w:pStyle w:val="Normal"/>
        <w:numPr>
          <w:ilvl w:val="0"/>
          <w:numId w:val="1"/>
        </w:numPr>
      </w:pPr>
      <w:r>
        <w:rPr>
          <w:rFonts w:ascii="Calibri" w:hAnsi="Calibri" w:eastAsia="Microsoft YaHei" w:cs="Calibri"/>
          <w:color w:val="263238"/>
          <w:sz w:val="21"/>
          <w:szCs w:val="21"/>
        </w:rPr>
        <w:t>Strategic stockpile deployment: 6-month supply of critical rare earths. Resilience Fund: USD 15 billion for alternatives, USD 8 billion for substitution R&amp;D; Resolution: Day 7 stabilisation measures implemented, USD 25–35 billion immediate impact on coercing state's technology sector. Day 8–14 high-level negotiations. Agreement: coercing state withdraws bans completely; IMESI maintains strategic controls on most advanced technology while allowing less critical equipment. Verified compliance. 12-month monitoring. Key Lessons: Pre-authorised scenarios enabled 7-day response. Horizontal escalation to the coercing state's own strategic vulnerabilities exceeded what reciprocal restrictions could achieve. Stockpiles bought time; alternatives reduced leverage.</w:t>
      </w:r>
    </w:p>
    <w:p>
      <w:pPr>
        <w:pStyle w:val="Heading1"/>
      </w:pPr>
      <w:bookmarkStart w:name="_Toc000083" w:id="83"/>
      <w:r>
        <w:rPr>
          <w:rFonts w:ascii="Calibri" w:hAnsi="Calibri" w:eastAsia="Microsoft YaHei" w:cs="Calibri"/>
          <w:b/>
          <w:color w:val="455A64"/>
          <w:sz w:val="30"/>
          <w:szCs w:val="30"/>
        </w:rPr>
        <w:t>Scenario C: Financial System Stress Event</w:t>
      </w:r>
      <w:bookmarkEnd w:id="83"/>
    </w:p>
    <w:p>
      <w:pPr>
        <w:pStyle w:val="Normal"/>
      </w:pPr>
      <w:r>
        <w:rPr>
          <w:rFonts w:ascii="Calibri" w:hAnsi="Calibri" w:eastAsia="Microsoft YaHei" w:cs="Calibri"/>
          <w:color w:val="263238"/>
          <w:sz w:val="21"/>
          <w:szCs w:val="21"/>
        </w:rPr>
        <w:t>Scenario: A reserve-currency issuer imposes secondary sanctions on major IMESI member banks, threatening clearing system exclusion for policy-related transactions. Demands abandonment of multilateral commitments and alignment with unilateral sanctions. Assets affected valued in the trillions, classified Critical (systemic financial threat). Demonstrates emergency activation for Critical severity, alternative payment system deployment, financial stabilisation response, and negotiated outcome maintaining members' policy independence with establishment of permanent alternative clearing infrastructure.</w:t>
      </w:r>
    </w:p>
    <w:p>
      <w:pPr>
        <w:pStyle w:val="Heading1"/>
      </w:pPr>
      <w:bookmarkStart w:name="_Toc000084" w:id="84"/>
      <w:r>
        <w:rPr>
          <w:rFonts w:ascii="Calibri" w:hAnsi="Calibri" w:eastAsia="Microsoft YaHei" w:cs="Calibri"/>
          <w:b/>
          <w:color w:val="455A64"/>
          <w:sz w:val="30"/>
          <w:szCs w:val="30"/>
        </w:rPr>
        <w:t>Scenario D: Coalition Fragmentation Attempt</w:t>
      </w:r>
      <w:bookmarkEnd w:id="84"/>
    </w:p>
    <w:p>
      <w:pPr>
        <w:pStyle w:val="Normal"/>
      </w:pPr>
      <w:r>
        <w:rPr>
          <w:rFonts w:ascii="Calibri" w:hAnsi="Calibri" w:eastAsia="Microsoft YaHei" w:cs="Calibri"/>
          <w:color w:val="263238"/>
          <w:sz w:val="21"/>
          <w:szCs w:val="21"/>
        </w:rPr>
        <w:t>Scenario: A major economy imposes 25% tariffs on all IMESI members except two, which receive exemptions contingent on not participating in collective response, blocking regional coordination, and providing diplomatic support.</w:t>
      </w:r>
    </w:p>
    <w:p>
      <w:pPr>
        <w:pStyle w:val="Normal"/>
      </w:pPr>
      <w:r>
        <w:rPr>
          <w:rFonts w:ascii="Calibri" w:hAnsi="Calibri" w:eastAsia="Microsoft YaHei" w:cs="Calibri"/>
          <w:color w:val="263238"/>
          <w:sz w:val="21"/>
          <w:szCs w:val="21"/>
        </w:rPr>
        <w:t>Anti-Fragmentation Response:</w:t>
      </w:r>
    </w:p>
    <w:p>
      <w:pPr>
        <w:pStyle w:val="Normal"/>
        <w:numPr>
          <w:ilvl w:val="0"/>
          <w:numId w:val="1"/>
        </w:numPr>
      </w:pPr>
      <w:r>
        <w:rPr>
          <w:rFonts w:ascii="Calibri" w:hAnsi="Calibri" w:eastAsia="Microsoft YaHei" w:cs="Calibri"/>
          <w:color w:val="263238"/>
          <w:sz w:val="21"/>
          <w:szCs w:val="21"/>
        </w:rPr>
        <w:t>Day 2: Targeted members notify IMESI of offers (compliance with notification requirement)</w:t>
      </w:r>
    </w:p>
    <w:p>
      <w:pPr>
        <w:pStyle w:val="Normal"/>
        <w:numPr>
          <w:ilvl w:val="0"/>
          <w:numId w:val="1"/>
        </w:numPr>
      </w:pPr>
      <w:r>
        <w:rPr>
          <w:rFonts w:ascii="Calibri" w:hAnsi="Calibri" w:eastAsia="Microsoft YaHei" w:cs="Calibri"/>
          <w:color w:val="263238"/>
          <w:sz w:val="21"/>
          <w:szCs w:val="21"/>
        </w:rPr>
        <w:t>Day 3: Emergency session, classifies tactics as divide-and-conquer, activates expanded coordination</w:t>
      </w:r>
    </w:p>
    <w:p>
      <w:pPr>
        <w:pStyle w:val="Normal"/>
        <w:numPr>
          <w:ilvl w:val="0"/>
          <w:numId w:val="1"/>
        </w:numPr>
      </w:pPr>
      <w:r>
        <w:rPr>
          <w:rFonts w:ascii="Calibri" w:hAnsi="Calibri" w:eastAsia="Microsoft YaHei" w:cs="Calibri"/>
          <w:color w:val="263238"/>
          <w:sz w:val="21"/>
          <w:szCs w:val="21"/>
        </w:rPr>
        <w:t>Days 4–7: Resilience Fund emergency allocation to targeted members; alternative market guarantees</w:t>
      </w:r>
    </w:p>
    <w:p>
      <w:pPr>
        <w:pStyle w:val="Normal"/>
        <w:numPr>
          <w:ilvl w:val="0"/>
          <w:numId w:val="1"/>
        </w:numPr>
      </w:pPr>
      <w:r>
        <w:rPr>
          <w:rFonts w:ascii="Calibri" w:hAnsi="Calibri" w:eastAsia="Microsoft YaHei" w:cs="Calibri"/>
          <w:color w:val="263238"/>
          <w:sz w:val="21"/>
          <w:szCs w:val="21"/>
        </w:rPr>
        <w:t>Day 8: Targeted members reject offers, join stabilisation measures</w:t>
      </w:r>
    </w:p>
    <w:p>
      <w:pPr>
        <w:pStyle w:val="Normal"/>
        <w:numPr>
          <w:ilvl w:val="0"/>
          <w:numId w:val="1"/>
        </w:numPr>
      </w:pPr>
      <w:r>
        <w:rPr>
          <w:rFonts w:ascii="Calibri" w:hAnsi="Calibri" w:eastAsia="Microsoft YaHei" w:cs="Calibri"/>
          <w:color w:val="263238"/>
          <w:sz w:val="21"/>
          <w:szCs w:val="21"/>
        </w:rPr>
        <w:t>Day 10: Phase 1 stabilisation measures with additional targeted measures</w:t>
      </w:r>
    </w:p>
    <w:p>
      <w:pPr>
        <w:pStyle w:val="Normal"/>
        <w:numPr>
          <w:ilvl w:val="0"/>
          <w:numId w:val="1"/>
        </w:numPr>
      </w:pPr>
      <w:r>
        <w:rPr>
          <w:rFonts w:ascii="Calibri" w:hAnsi="Calibri" w:eastAsia="Microsoft YaHei" w:cs="Calibri"/>
          <w:color w:val="263238"/>
          <w:sz w:val="21"/>
          <w:szCs w:val="21"/>
        </w:rPr>
        <w:t>Day 35: Coercing state offers comprehensive settlement after divide-and-conquer backfired Key Lessons: Notification requirement enabled rapid response. Enhanced burden-sharing prevented defections. Public exposure raised the cost of tactics. Expanded coordination demonstrated that division attempts backfire. Precedent established for future cases.</w:t>
      </w:r>
    </w:p>
    <w:p>
      <w:pPr>
        <w:pStyle w:val="Heading1"/>
      </w:pPr>
      <w:bookmarkStart w:name="_Toc000085" w:id="85"/>
      <w:r>
        <w:rPr>
          <w:rFonts w:ascii="Calibri" w:hAnsi="Calibri" w:eastAsia="Microsoft YaHei" w:cs="Calibri"/>
          <w:b/>
          <w:color w:val="455A64"/>
          <w:sz w:val="30"/>
          <w:szCs w:val="30"/>
        </w:rPr>
        <w:t>Scenario E: Systemic Tariff Shock by a Major Economy</w:t>
      </w:r>
      <w:bookmarkEnd w:id="85"/>
    </w:p>
    <w:p>
      <w:pPr>
        <w:pStyle w:val="Normal"/>
      </w:pPr>
      <w:r>
        <w:rPr>
          <w:rFonts w:ascii="Calibri" w:hAnsi="Calibri" w:eastAsia="Microsoft YaHei" w:cs="Calibri"/>
          <w:color w:val="263238"/>
          <w:sz w:val="21"/>
          <w:szCs w:val="21"/>
        </w:rPr>
        <w:t>Scenario: A systemic economy (as classified under objective exposure and systemic-impact metrics endorsed by the Coordination Committee) imposes 15% non-discriminatory tariffs on all imports effective in 30 days. No explicit policy demand is articulated, tariffs framed as 'national economic security.' Multiple IMESI members face 8–15% export disruption.</w:t>
      </w:r>
    </w:p>
    <w:p>
      <w:pPr>
        <w:pStyle w:val="Normal"/>
      </w:pPr>
      <w:r>
        <w:rPr>
          <w:rFonts w:ascii="Calibri" w:hAnsi="Calibri" w:eastAsia="Microsoft YaHei" w:cs="Calibri"/>
          <w:color w:val="263238"/>
          <w:sz w:val="21"/>
          <w:szCs w:val="21"/>
        </w:rPr>
        <w:t>Trigger Analysis:</w:t>
      </w:r>
    </w:p>
    <w:p>
      <w:pPr>
        <w:pStyle w:val="Normal"/>
      </w:pPr>
      <w:r>
        <w:rPr>
          <w:rFonts w:ascii="Calibri" w:hAnsi="Calibri" w:eastAsia="Microsoft YaHei" w:cs="Calibri"/>
          <w:color w:val="263238"/>
          <w:sz w:val="21"/>
          <w:szCs w:val="21"/>
        </w:rPr>
        <w:t>SND (Section 1.4B): 15% tariffs on &gt;30% of IMESI member trade volume → automatic SND presumption. Burden of rebuttal on imposing state (requires 12-month WTO-bound advance notification, not met given 30-day notice). IEWC certifies SND within 48 hours. GSD (Section 1.4): If aggregate GDP impact exceeds 2% across &gt;30% of members, GSD also fires, triggering broader response including SFI deployment and swap-line activation within 72 hours. Scenario Theta-Tariff (Section 5.4): 15% tariffs affecting &gt;20% IMESI trade → Theta-Tariff activates simultaneously, providing pre-authorised Phase 1 response package.</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Day</w:t>
      </w:r>
    </w:p>
    <w:p>
      <w:pPr>
        <w:pStyle w:val="Normal"/>
      </w:pPr>
      <w:r>
        <w:rPr>
          <w:rFonts w:ascii="Calibri" w:hAnsi="Calibri" w:eastAsia="Microsoft YaHei" w:cs="Calibri"/>
          <w:color w:val="263238"/>
          <w:sz w:val="21"/>
          <w:szCs w:val="21"/>
        </w:rPr>
        <w:t>Action</w:t>
      </w:r>
    </w:p>
    <w:p>
      <w:pPr>
        <w:pStyle w:val="Normal"/>
      </w:pPr>
      <w:r>
        <w:rPr>
          <w:rFonts w:ascii="Calibri" w:hAnsi="Calibri" w:eastAsia="Microsoft YaHei" w:cs="Calibri"/>
          <w:color w:val="263238"/>
          <w:sz w:val="21"/>
          <w:szCs w:val="21"/>
        </w:rPr>
        <w:t>Authority</w:t>
      </w:r>
    </w:p>
    <w:p>
      <w:pPr>
        <w:pStyle w:val="Normal"/>
      </w:pPr>
      <w:r>
        <w:rPr>
          <w:rFonts w:ascii="Calibri" w:hAnsi="Calibri" w:eastAsia="Microsoft YaHei" w:cs="Calibri"/>
          <w:color w:val="263238"/>
          <w:sz w:val="21"/>
          <w:szCs w:val="21"/>
        </w:rPr>
        <w:t>Day 0</w:t>
      </w:r>
    </w:p>
    <w:p>
      <w:pPr>
        <w:pStyle w:val="Normal"/>
      </w:pPr>
      <w:r>
        <w:rPr>
          <w:rFonts w:ascii="Calibri" w:hAnsi="Calibri" w:eastAsia="Microsoft YaHei" w:cs="Calibri"/>
          <w:color w:val="263238"/>
          <w:sz w:val="21"/>
          <w:szCs w:val="21"/>
        </w:rPr>
        <w:t>Tariff announcement. IEWC Tariff Intelligence Unit begins impact assessment</w:t>
      </w:r>
    </w:p>
    <w:p>
      <w:pPr>
        <w:pStyle w:val="Normal"/>
      </w:pPr>
      <w:r>
        <w:rPr>
          <w:rFonts w:ascii="Calibri" w:hAnsi="Calibri" w:eastAsia="Microsoft YaHei" w:cs="Calibri"/>
          <w:color w:val="263238"/>
          <w:sz w:val="21"/>
          <w:szCs w:val="21"/>
        </w:rPr>
        <w:t>Automatic</w:t>
      </w:r>
    </w:p>
    <w:p>
      <w:pPr>
        <w:pStyle w:val="Normal"/>
      </w:pPr>
      <w:r>
        <w:rPr>
          <w:rFonts w:ascii="Calibri" w:hAnsi="Calibri" w:eastAsia="Microsoft YaHei" w:cs="Calibri"/>
          <w:color w:val="263238"/>
          <w:sz w:val="21"/>
          <w:szCs w:val="21"/>
        </w:rPr>
        <w:t>Day 1</w:t>
      </w:r>
    </w:p>
    <w:p>
      <w:pPr>
        <w:pStyle w:val="Normal"/>
      </w:pPr>
      <w:r>
        <w:rPr>
          <w:rFonts w:ascii="Calibri" w:hAnsi="Calibri" w:eastAsia="Microsoft YaHei" w:cs="Calibri"/>
          <w:color w:val="263238"/>
          <w:sz w:val="21"/>
          <w:szCs w:val="21"/>
        </w:rPr>
        <w:t>IEWC certifies SND; Secretariat notifies all members; Tariff Shock Accession Window opens for affected non-members</w:t>
      </w:r>
    </w:p>
    <w:p>
      <w:pPr>
        <w:pStyle w:val="Normal"/>
      </w:pPr>
      <w:r>
        <w:rPr>
          <w:rFonts w:ascii="Calibri" w:hAnsi="Calibri" w:eastAsia="Microsoft YaHei" w:cs="Calibri"/>
          <w:color w:val="263238"/>
          <w:sz w:val="21"/>
          <w:szCs w:val="21"/>
        </w:rPr>
        <w:t>55% CC telephonic vote</w:t>
      </w:r>
    </w:p>
    <w:p>
      <w:pPr>
        <w:pStyle w:val="Normal"/>
      </w:pPr>
      <w:r>
        <w:rPr>
          <w:rFonts w:ascii="Calibri" w:hAnsi="Calibri" w:eastAsia="Microsoft YaHei" w:cs="Calibri"/>
          <w:color w:val="263238"/>
          <w:sz w:val="21"/>
          <w:szCs w:val="21"/>
        </w:rPr>
        <w:t>Day 2</w:t>
      </w:r>
    </w:p>
    <w:p>
      <w:pPr>
        <w:pStyle w:val="Normal"/>
      </w:pPr>
      <w:r>
        <w:rPr>
          <w:rFonts w:ascii="Calibri" w:hAnsi="Calibri" w:eastAsia="Microsoft YaHei" w:cs="Calibri"/>
          <w:color w:val="263238"/>
          <w:sz w:val="21"/>
          <w:szCs w:val="21"/>
        </w:rPr>
        <w:t>Phase 1 activates: Joint Procurement Consortium emergency activation; SFI settlement preference; supply chain mapping; Market Communication Protocol (finance ministers' coordinated statement within 6 hours)</w:t>
      </w:r>
    </w:p>
    <w:p>
      <w:pPr>
        <w:pStyle w:val="Normal"/>
      </w:pPr>
      <w:r>
        <w:rPr>
          <w:rFonts w:ascii="Calibri" w:hAnsi="Calibri" w:eastAsia="Microsoft YaHei" w:cs="Calibri"/>
          <w:color w:val="263238"/>
          <w:sz w:val="21"/>
          <w:szCs w:val="21"/>
        </w:rPr>
        <w:t>Scenario Theta-Tariff pre-authorisation</w:t>
      </w:r>
    </w:p>
    <w:p>
      <w:pPr>
        <w:pStyle w:val="Normal"/>
      </w:pPr>
      <w:r>
        <w:rPr>
          <w:rFonts w:ascii="Calibri" w:hAnsi="Calibri" w:eastAsia="Microsoft YaHei" w:cs="Calibri"/>
          <w:color w:val="263238"/>
          <w:sz w:val="21"/>
          <w:szCs w:val="21"/>
        </w:rPr>
        <w:t>Day 3–7</w:t>
      </w:r>
    </w:p>
    <w:p>
      <w:pPr>
        <w:pStyle w:val="Normal"/>
      </w:pPr>
      <w:r>
        <w:rPr>
          <w:rFonts w:ascii="Calibri" w:hAnsi="Calibri" w:eastAsia="Microsoft YaHei" w:cs="Calibri"/>
          <w:color w:val="263238"/>
          <w:sz w:val="21"/>
          <w:szCs w:val="21"/>
        </w:rPr>
        <w:t>ADF deploys 0.5% GDP liquidity injection to most-affected members (Event Market &gt;70%); Tariff Stabilisation Sub-Fund releases bridging loans; Regulatory Friction Parallel Track commences (5–15 day inspection delays)</w:t>
      </w:r>
    </w:p>
    <w:p>
      <w:pPr>
        <w:pStyle w:val="Normal"/>
      </w:pPr>
      <w:r>
        <w:rPr>
          <w:rFonts w:ascii="Calibri" w:hAnsi="Calibri" w:eastAsia="Microsoft YaHei" w:cs="Calibri"/>
          <w:color w:val="263238"/>
          <w:sz w:val="21"/>
          <w:szCs w:val="21"/>
        </w:rPr>
        <w:t>DG + IEWC Chief joint authorisation</w:t>
      </w:r>
    </w:p>
    <w:p>
      <w:pPr>
        <w:pStyle w:val="Normal"/>
      </w:pPr>
      <w:r>
        <w:rPr>
          <w:rFonts w:ascii="Calibri" w:hAnsi="Calibri" w:eastAsia="Microsoft YaHei" w:cs="Calibri"/>
          <w:color w:val="263238"/>
          <w:sz w:val="21"/>
          <w:szCs w:val="21"/>
        </w:rPr>
        <w:t>Day 8–14</w:t>
      </w:r>
    </w:p>
    <w:p>
      <w:r>
        <w:t>Sub-National Political-Economy Targeting database activated; Legislative Consultation Protocol distributes impact assessments to coercing state legislators; Commercial Stakeholder Mitigation Credits published</w:t>
      </w:r>
    </w:p>
    <w:p>
      <w:r>
        <w:t>Secretariat automatic</w:t>
      </w:r>
    </w:p>
    <w:p>
      <w:r>
        <w:t>Day 15–30</w:t>
      </w:r>
    </w:p>
    <w:p>
      <w:r>
        <w:t>Reciprocal-but-Delayed implementation begins:</w:t>
      </w:r>
    </w:p>
    <w:p>
      <w:r>
        <w:t>0% Day 0 → 25% Day 30. Public statement: 'Full suspension available upon good-faith negotiations.' HS Code reclassification and transshipment corridor facilitation operational</w:t>
      </w:r>
    </w:p>
    <w:p>
      <w:r>
        <w:t>CC standard vote</w:t>
      </w:r>
    </w:p>
    <w:p>
      <w:r>
        <w:t>Day 30–60</w:t>
      </w:r>
    </w:p>
    <w:p>
      <w:r>
        <w:t>Substitution Acceleration Sub-Fund deploys for permanent supply chain shifts; DAR activates 5-year procurement contracts with alternative suppliers; Phase 2 consideration with enhanced parliamentary review (founding period)</w:t>
      </w:r>
    </w:p>
    <w:p>
      <w:r>
        <w:t>60% CC weighted vote + parliamentary review</w:t>
      </w:r>
    </w:p>
    <w:p>
      <w:r>
        <w:t>Day 60–90</w:t>
      </w:r>
    </w:p>
    <w:p>
      <w:r>
        <w:t>If no de-escalation: full Phase 1 operational at 100%; Yield Stabilisation Window activated for members with &gt;150bps yield spike; WTO Article XXIII coalition case filed; Founding Period Confidential Review convened (first systemic-economy activation)</w:t>
      </w:r>
    </w:p>
    <w:p>
      <w:r>
        <w:t>Automatic per RRM trigger</w:t>
      </w:r>
    </w:p>
    <w:p>
      <w:r>
        <w:t>Cost Caps and Review:</w:t>
      </w:r>
    </w:p>
    <w:p>
      <w:pPr>
        <w:pStyle w:val="Normal"/>
        <w:numPr>
          <w:ilvl w:val="0"/>
          <w:numId w:val="1"/>
        </w:numPr>
      </w:pPr>
      <w:r>
        <w:t>Member Cost Band: No member's stabilisation measure burden exceeds 5% GDP (hard cap) without explicit parliamentary consent</w:t>
      </w:r>
    </w:p>
    <w:p>
      <w:pPr>
        <w:pStyle w:val="Normal"/>
        <w:numPr>
          <w:ilvl w:val="0"/>
          <w:numId w:val="1"/>
        </w:numPr>
      </w:pPr>
      <w:r>
        <w:t>Founding Period Calibration: Initial deployment capped at Phase 1 for first 60 days; Phase 2 requires enhanced parliamentary review</w:t>
      </w:r>
    </w:p>
    <w:p>
      <w:pPr>
        <w:pStyle w:val="Normal"/>
        <w:numPr>
          <w:ilvl w:val="0"/>
          <w:numId w:val="1"/>
        </w:numPr>
      </w:pPr>
      <w:r>
        <w:t>Automatic review: Day 45, 90, 180 review points with mandatory off-ramp assessment</w:t>
      </w:r>
    </w:p>
    <w:p>
      <w:pPr>
        <w:pStyle w:val="Normal"/>
        <w:numPr>
          <w:ilvl w:val="0"/>
          <w:numId w:val="1"/>
        </w:numPr>
      </w:pPr>
      <w:r>
        <w:t>De-escalation default: &gt;5pp tariff reduction triggers proportional IMESI response reduction within 30 days; WTO-compatible undertaking triggers automatic Phase 1 reduction Key Distinction from Scenarios A–D: No explicit policy demand exists, the response is stabilisation, not retaliation. SND doctrine means IMESI treats the economic harm as independently compensable regardless of intent. Stabilisation Measures sequence trade and regulatory measures before financial instruments (Financial Measures Sequencing Rule). The Regulatory Integrity Safeguard (Section 1.1) ensures all regulatory friction tools meet independent standards of legitimacy.</w:t>
      </w:r>
    </w:p>
    <w:p>
      <w:r>
        <w:t>STRATEGIC GUIDANCE: SECTOR PLAYBOOKS AND LONG-TERM EVOLUTION Sector-Specific Playbooks Sector</w:t>
      </w:r>
    </w:p>
    <w:p>
      <w:r>
        <w:t>Threat Profile</w:t>
      </w:r>
    </w:p>
    <w:p>
      <w:r>
        <w:t>Key Stabilisation Measures</w:t>
      </w:r>
    </w:p>
    <w:p>
      <w:pPr>
        <w:pStyle w:val="Normal"/>
      </w:pPr>
      <w:r>
        <w:rPr>
          <w:rFonts w:ascii="Calibri" w:hAnsi="Calibri" w:eastAsia="Microsoft YaHei" w:cs="Calibri"/>
          <w:color w:val="263238"/>
          <w:sz w:val="21"/>
          <w:szCs w:val="21"/>
        </w:rPr>
        <w:t>Agriculture</w:t>
      </w:r>
    </w:p>
    <w:p>
      <w:pPr>
        <w:pStyle w:val="Normal"/>
      </w:pPr>
      <w:r>
        <w:rPr>
          <w:rFonts w:ascii="Calibri" w:hAnsi="Calibri" w:eastAsia="Microsoft YaHei" w:cs="Calibri"/>
          <w:color w:val="263238"/>
          <w:sz w:val="21"/>
          <w:szCs w:val="21"/>
        </w:rPr>
        <w:t>Import bans demands</w:t>
      </w:r>
    </w:p>
    <w:p>
      <w:pPr>
        <w:pStyle w:val="Normal"/>
      </w:pPr>
      <w:r>
        <w:rPr>
          <w:rFonts w:ascii="Calibri" w:hAnsi="Calibri" w:eastAsia="Microsoft YaHei" w:cs="Calibri"/>
          <w:color w:val="263238"/>
          <w:sz w:val="21"/>
          <w:szCs w:val="21"/>
        </w:rPr>
        <w:t>Energy</w:t>
      </w:r>
    </w:p>
    <w:p>
      <w:pPr>
        <w:pStyle w:val="Normal"/>
      </w:pPr>
      <w:r>
        <w:rPr>
          <w:rFonts w:ascii="Calibri" w:hAnsi="Calibri" w:eastAsia="Microsoft YaHei" w:cs="Calibri"/>
          <w:color w:val="263238"/>
          <w:sz w:val="21"/>
          <w:szCs w:val="21"/>
        </w:rPr>
        <w:t>Supply cut-offs (gas, oil, coal)</w:t>
      </w:r>
    </w:p>
    <w:p>
      <w:pPr>
        <w:pStyle w:val="Normal"/>
      </w:pPr>
      <w:r>
        <w:rPr>
          <w:rFonts w:ascii="Calibri" w:hAnsi="Calibri" w:eastAsia="Microsoft YaHei" w:cs="Calibri"/>
          <w:color w:val="263238"/>
          <w:sz w:val="21"/>
          <w:szCs w:val="21"/>
        </w:rPr>
        <w:t>Alternative suppliers; strategic reserves</w:t>
      </w:r>
    </w:p>
    <w:p>
      <w:pPr>
        <w:pStyle w:val="Normal"/>
      </w:pPr>
      <w:r>
        <w:rPr>
          <w:rFonts w:ascii="Calibri" w:hAnsi="Calibri" w:eastAsia="Microsoft YaHei" w:cs="Calibri"/>
          <w:color w:val="263238"/>
          <w:sz w:val="21"/>
          <w:szCs w:val="21"/>
        </w:rPr>
        <w:t>Critical Minerals</w:t>
      </w:r>
    </w:p>
    <w:p>
      <w:pPr>
        <w:pStyle w:val="Normal"/>
      </w:pPr>
      <w:r>
        <w:rPr>
          <w:rFonts w:ascii="Calibri" w:hAnsi="Calibri" w:eastAsia="Microsoft YaHei" w:cs="Calibri"/>
          <w:color w:val="263238"/>
          <w:sz w:val="21"/>
          <w:szCs w:val="21"/>
        </w:rPr>
        <w:t>Export controls on rare earths, lithium, cobalt</w:t>
      </w:r>
    </w:p>
    <w:p>
      <w:pPr>
        <w:pStyle w:val="Normal"/>
      </w:pPr>
      <w:r>
        <w:rPr>
          <w:rFonts w:ascii="Calibri" w:hAnsi="Calibri" w:eastAsia="Microsoft YaHei" w:cs="Calibri"/>
          <w:color w:val="263238"/>
          <w:sz w:val="21"/>
          <w:szCs w:val="21"/>
        </w:rPr>
        <w:t>Stockpiles; alternative sourcing; recycling; substitution R&amp;D;</w:t>
      </w:r>
    </w:p>
    <w:p>
      <w:pPr>
        <w:pStyle w:val="Normal"/>
      </w:pPr>
      <w:r>
        <w:rPr>
          <w:rFonts w:ascii="Calibri" w:hAnsi="Calibri" w:eastAsia="Microsoft YaHei" w:cs="Calibri"/>
          <w:color w:val="263238"/>
          <w:sz w:val="21"/>
          <w:szCs w:val="21"/>
        </w:rPr>
        <w:t>Pharmaceuticals</w:t>
      </w:r>
    </w:p>
    <w:p>
      <w:pPr>
        <w:pStyle w:val="Normal"/>
      </w:pPr>
      <w:r>
        <w:rPr>
          <w:rFonts w:ascii="Calibri" w:hAnsi="Calibri" w:eastAsia="Microsoft YaHei" w:cs="Calibri"/>
          <w:color w:val="263238"/>
          <w:sz w:val="21"/>
          <w:szCs w:val="21"/>
        </w:rPr>
        <w:t>API export restrictions; vaccine diplomacy</w:t>
      </w:r>
    </w:p>
    <w:p>
      <w:pPr>
        <w:pStyle w:val="Normal"/>
      </w:pPr>
      <w:r>
        <w:rPr>
          <w:rFonts w:ascii="Calibri" w:hAnsi="Calibri" w:eastAsia="Microsoft YaHei" w:cs="Calibri"/>
          <w:color w:val="263238"/>
          <w:sz w:val="21"/>
          <w:szCs w:val="21"/>
        </w:rPr>
        <w:t>Diversified pharma supply; strategic stockpiles</w:t>
      </w:r>
    </w:p>
    <w:p>
      <w:pPr>
        <w:pStyle w:val="Normal"/>
      </w:pPr>
      <w:r>
        <w:rPr>
          <w:rFonts w:ascii="Calibri" w:hAnsi="Calibri" w:eastAsia="Microsoft YaHei" w:cs="Calibri"/>
          <w:color w:val="263238"/>
          <w:sz w:val="21"/>
          <w:szCs w:val="21"/>
        </w:rPr>
        <w:t>Semiconductors</w:t>
      </w:r>
    </w:p>
    <w:p>
      <w:pPr>
        <w:pStyle w:val="Normal"/>
      </w:pPr>
      <w:r>
        <w:rPr>
          <w:rFonts w:ascii="Calibri" w:hAnsi="Calibri" w:eastAsia="Microsoft YaHei" w:cs="Calibri"/>
          <w:color w:val="263238"/>
          <w:sz w:val="21"/>
          <w:szCs w:val="21"/>
        </w:rPr>
        <w:t>Equipment and input controls</w:t>
      </w:r>
    </w:p>
    <w:p>
      <w:pPr>
        <w:pStyle w:val="Normal"/>
      </w:pPr>
      <w:r>
        <w:rPr>
          <w:rFonts w:ascii="Calibri" w:hAnsi="Calibri" w:eastAsia="Microsoft YaHei" w:cs="Calibri"/>
          <w:color w:val="263238"/>
          <w:sz w:val="21"/>
          <w:szCs w:val="21"/>
        </w:rPr>
        <w:t>Coordinated export controls; joint capacity building</w:t>
      </w:r>
    </w:p>
    <w:p>
      <w:pPr>
        <w:pStyle w:val="Normal"/>
      </w:pPr>
      <w:r>
        <w:rPr>
          <w:rFonts w:ascii="Calibri" w:hAnsi="Calibri" w:eastAsia="Microsoft YaHei" w:cs="Calibri"/>
          <w:color w:val="263238"/>
          <w:sz w:val="21"/>
          <w:szCs w:val="21"/>
        </w:rPr>
        <w:t>Digital Platforms</w:t>
      </w:r>
    </w:p>
    <w:p>
      <w:pPr>
        <w:pStyle w:val="Normal"/>
      </w:pPr>
      <w:r>
        <w:rPr>
          <w:rFonts w:ascii="Calibri" w:hAnsi="Calibri" w:eastAsia="Microsoft YaHei" w:cs="Calibri"/>
          <w:color w:val="263238"/>
          <w:sz w:val="21"/>
          <w:szCs w:val="21"/>
        </w:rPr>
        <w:t>Cloud/AI service data restrictions</w:t>
      </w:r>
    </w:p>
    <w:p>
      <w:pPr>
        <w:pStyle w:val="Normal"/>
      </w:pPr>
      <w:r>
        <w:rPr>
          <w:rFonts w:ascii="Calibri" w:hAnsi="Calibri" w:eastAsia="Microsoft YaHei" w:cs="Calibri"/>
          <w:color w:val="263238"/>
          <w:sz w:val="21"/>
          <w:szCs w:val="21"/>
        </w:rPr>
        <w:t>Alternative digital infrastructure; data localisation</w:t>
      </w:r>
    </w:p>
    <w:p>
      <w:pPr>
        <w:pStyle w:val="Normal"/>
      </w:pPr>
      <w:r>
        <w:rPr>
          <w:rFonts w:ascii="Calibri" w:hAnsi="Calibri" w:eastAsia="Microsoft YaHei" w:cs="Calibri"/>
          <w:color w:val="263238"/>
          <w:sz w:val="21"/>
          <w:szCs w:val="21"/>
        </w:rPr>
        <w:t>tied</w:t>
      </w:r>
    </w:p>
    <w:p>
      <w:pPr>
        <w:pStyle w:val="Normal"/>
      </w:pPr>
      <w:r>
        <w:rPr>
          <w:rFonts w:ascii="Calibri" w:hAnsi="Calibri" w:eastAsia="Microsoft YaHei" w:cs="Calibri"/>
          <w:color w:val="263238"/>
          <w:sz w:val="21"/>
          <w:szCs w:val="21"/>
        </w:rPr>
        <w:t>to</w:t>
      </w:r>
    </w:p>
    <w:p>
      <w:pPr>
        <w:pStyle w:val="Normal"/>
      </w:pPr>
      <w:r>
        <w:rPr>
          <w:rFonts w:ascii="Calibri" w:hAnsi="Calibri" w:eastAsia="Microsoft YaHei" w:cs="Calibri"/>
          <w:color w:val="263238"/>
          <w:sz w:val="21"/>
          <w:szCs w:val="21"/>
        </w:rPr>
        <w:t>policy</w:t>
      </w:r>
    </w:p>
    <w:p>
      <w:pPr>
        <w:pStyle w:val="Normal"/>
      </w:pPr>
      <w:r>
        <w:rPr>
          <w:rFonts w:ascii="Calibri" w:hAnsi="Calibri" w:eastAsia="Microsoft YaHei" w:cs="Calibri"/>
          <w:color w:val="263238"/>
          <w:sz w:val="21"/>
          <w:szCs w:val="21"/>
        </w:rPr>
        <w:t>prohibitions;</w:t>
      </w:r>
    </w:p>
    <w:p>
      <w:pPr>
        <w:pStyle w:val="Normal"/>
      </w:pPr>
      <w:r>
        <w:rPr>
          <w:rFonts w:ascii="Calibri" w:hAnsi="Calibri" w:eastAsia="Microsoft YaHei" w:cs="Calibri"/>
          <w:color w:val="263238"/>
          <w:sz w:val="21"/>
          <w:szCs w:val="21"/>
        </w:rPr>
        <w:t>Reciprocal bans; alternative markets; stockpiling; subsidies</w:t>
      </w:r>
    </w:p>
    <w:p>
      <w:pPr>
        <w:pStyle w:val="Normal"/>
      </w:pPr>
      <w:r>
        <w:rPr>
          <w:rFonts w:ascii="Calibri" w:hAnsi="Calibri" w:eastAsia="Microsoft YaHei" w:cs="Calibri"/>
          <w:color w:val="263238"/>
          <w:sz w:val="21"/>
          <w:szCs w:val="21"/>
        </w:rPr>
        <w:t>LNG;</w:t>
      </w:r>
    </w:p>
    <w:p>
      <w:pPr>
        <w:pStyle w:val="Normal"/>
      </w:pPr>
      <w:r>
        <w:rPr>
          <w:rFonts w:ascii="Calibri" w:hAnsi="Calibri" w:eastAsia="Microsoft YaHei" w:cs="Calibri"/>
          <w:color w:val="263238"/>
          <w:sz w:val="21"/>
          <w:szCs w:val="21"/>
        </w:rPr>
        <w:t>renewables</w:t>
      </w:r>
    </w:p>
    <w:p>
      <w:pPr>
        <w:pStyle w:val="Normal"/>
      </w:pPr>
      <w:r>
        <w:rPr>
          <w:rFonts w:ascii="Calibri" w:hAnsi="Calibri" w:eastAsia="Microsoft YaHei" w:cs="Calibri"/>
          <w:color w:val="263238"/>
          <w:sz w:val="21"/>
          <w:szCs w:val="21"/>
        </w:rPr>
        <w:t>acceleration;</w:t>
      </w:r>
    </w:p>
    <w:p>
      <w:pPr>
        <w:pStyle w:val="Normal"/>
      </w:pPr>
      <w:r>
        <w:rPr>
          <w:rFonts w:ascii="Calibri" w:hAnsi="Calibri" w:eastAsia="Microsoft YaHei" w:cs="Calibri"/>
          <w:color w:val="263238"/>
          <w:sz w:val="21"/>
          <w:szCs w:val="21"/>
        </w:rPr>
        <w:t>10-Year Strategic Vision Period Years (Establishment)</w:t>
      </w:r>
    </w:p>
    <w:p>
      <w:pPr>
        <w:pStyle w:val="Normal"/>
      </w:pPr>
      <w:r>
        <w:rPr>
          <w:rFonts w:ascii="Calibri" w:hAnsi="Calibri" w:eastAsia="Microsoft YaHei" w:cs="Calibri"/>
          <w:color w:val="263238"/>
          <w:sz w:val="21"/>
          <w:szCs w:val="21"/>
        </w:rPr>
        <w:t>Milestones 1–2</w:t>
      </w:r>
    </w:p>
    <w:p>
      <w:pPr>
        <w:pStyle w:val="Normal"/>
      </w:pPr>
      <w:r>
        <w:rPr>
          <w:rFonts w:ascii="Calibri" w:hAnsi="Calibri" w:eastAsia="Microsoft YaHei" w:cs="Calibri"/>
          <w:color w:val="263238"/>
          <w:sz w:val="21"/>
          <w:szCs w:val="21"/>
        </w:rPr>
        <w:t>Core infrastructure; 15–20 founding states at 35% global GDP; early case successes; Fund operational; pre-authorised scenarios ready</w:t>
      </w:r>
    </w:p>
    <w:p>
      <w:pPr>
        <w:pStyle w:val="Normal"/>
      </w:pPr>
      <w:r>
        <w:rPr>
          <w:rFonts w:ascii="Calibri" w:hAnsi="Calibri" w:eastAsia="Microsoft YaHei" w:cs="Calibri"/>
          <w:color w:val="263238"/>
          <w:sz w:val="21"/>
          <w:szCs w:val="21"/>
        </w:rPr>
        <w:t>Years 3–5 (Expansion)</w:t>
      </w:r>
    </w:p>
    <w:p>
      <w:pPr>
        <w:pStyle w:val="Normal"/>
      </w:pPr>
      <w:r>
        <w:rPr>
          <w:rFonts w:ascii="Calibri" w:hAnsi="Calibri" w:eastAsia="Microsoft YaHei" w:cs="Calibri"/>
          <w:color w:val="263238"/>
          <w:sz w:val="21"/>
          <w:szCs w:val="21"/>
        </w:rPr>
        <w:t>40–50 members at 45%+ GDP; full stabilisation menu operational; successful crisis prevention; alternative infrastructure (payments, supply chains); recognised economic security pillar</w:t>
      </w:r>
    </w:p>
    <w:p>
      <w:pPr>
        <w:pStyle w:val="Normal"/>
      </w:pPr>
      <w:r>
        <w:rPr>
          <w:rFonts w:ascii="Calibri" w:hAnsi="Calibri" w:eastAsia="Microsoft YaHei" w:cs="Calibri"/>
          <w:color w:val="263238"/>
          <w:sz w:val="21"/>
          <w:szCs w:val="21"/>
        </w:rPr>
        <w:t>Years (Maturation)</w:t>
      </w:r>
    </w:p>
    <w:p>
      <w:pPr>
        <w:pStyle w:val="Normal"/>
      </w:pPr>
      <w:r>
        <w:rPr>
          <w:rFonts w:ascii="Calibri" w:hAnsi="Calibri" w:eastAsia="Microsoft YaHei" w:cs="Calibri"/>
          <w:color w:val="263238"/>
          <w:sz w:val="21"/>
          <w:szCs w:val="21"/>
        </w:rPr>
        <w:t>Permanent governance fixture; customary international law evolution on coercion; integration with reformed WTO; stabilisation equilibrium; model for collective economic security</w:t>
      </w:r>
    </w:p>
    <w:p>
      <w:pPr>
        <w:pStyle w:val="Normal"/>
      </w:pPr>
      <w:r>
        <w:rPr>
          <w:rFonts w:ascii="Calibri" w:hAnsi="Calibri" w:eastAsia="Microsoft YaHei" w:cs="Calibri"/>
          <w:color w:val="263238"/>
          <w:sz w:val="21"/>
          <w:szCs w:val="21"/>
        </w:rPr>
        <w:t>5–10</w:t>
      </w:r>
    </w:p>
    <w:p>
      <w:pPr>
        <w:pStyle w:val="Normal"/>
      </w:pPr>
      <w:r>
        <w:rPr>
          <w:rFonts w:ascii="Calibri" w:hAnsi="Calibri" w:eastAsia="Microsoft YaHei" w:cs="Calibri"/>
          <w:color w:val="263238"/>
          <w:sz w:val="21"/>
          <w:szCs w:val="21"/>
        </w:rPr>
        <w:t>Emerging Coercion Types:</w:t>
      </w:r>
    </w:p>
    <w:p>
      <w:pPr>
        <w:pStyle w:val="Normal"/>
      </w:pPr>
      <w:r>
        <w:rPr>
          <w:rFonts w:ascii="Calibri" w:hAnsi="Calibri" w:eastAsia="Microsoft YaHei" w:cs="Calibri"/>
          <w:color w:val="263238"/>
          <w:sz w:val="21"/>
          <w:szCs w:val="21"/>
        </w:rPr>
        <w:t>Digital/Data Coercion: Cloud computing access denial; cross-border data flow restrictions; AI service prohibitions; cyber-attacks as disguised coercion Climate/Environmental Coercion: Carbon border adjustments as protectionism; green technology access weaponisation; critical mineral export controls Currency/Monetary Coercion: Reserve currency weaponisation; payment system exclusions; sovereign debt market manipulation Health/Pandemic Coercion: Medical supply export restrictions; vaccine diplomacy as leverage; pharmaceutical ingredient controls</w:t>
      </w:r>
    </w:p>
    <w:sectPr>
      <w:headerReference w:type="default" r:id="R9354f791c10c4880"/>
      <w:footerReference w:type="default" r:id="R283c0bfd9a984a08"/>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color w:val="78909C"/>
        <w:sz w:val="18"/>
      </w:rPr>
      <w:t xml:space="preserve"> /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http://schemas.openxmlformats.org/wordprocessingml/2006/main">
  <w:p>
    <w:pPr>
      <w:pStyle w:val="Normal"/>
      <w:jc w:val="right"/>
    </w:pPr>
    <w:r>
      <w:rPr>
        <w:rFonts w:ascii="Calibri" w:hAnsi="Calibri" w:eastAsia="Microsoft YaHei" w:cs="Calibri"/>
        <w:color w:val="78909C"/>
        <w:sz w:val="16"/>
        <w:szCs w:val="16"/>
      </w:rPr>
      <w:t>INTERNATIONAL MUTUAL ECONOMIC SECURITY INSTRUMENT  |  Version 15.0  |  August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rPr>
    </w:lvl>
  </w:abstractNum>
  <w:num w:numId="1">
    <w:abstractNumId w:val="1"/>
  </w:num>
</w:numbering>
</file>

<file path=word/settings.xml><?xml version="1.0" encoding="utf-8"?>
<w:settings xmlns:w="http://schemas.openxmlformats.org/wordprocessingml/2006/main">
  <w:updateFields w:val="true"/>
  <w:evenAndOddHeaders/>
</w:settings>
</file>

<file path=word/styles.xml><?xml version="1.0" encoding="utf-8"?>
<w:styles xmlns:w="http://schemas.openxmlformats.org/wordprocessingml/2006/main">
  <w:style w:type="paragraph" w:styleId="Normal" w:default="true">
    <w:name w:val="Normal"/>
    <w:pPr>
      <w:spacing w:after="160" w:line="300" w:lineRule="auto"/>
      <w:jc w:val="both"/>
    </w:pPr>
    <w:rPr>
      <w:rFonts w:ascii="Calibri" w:hAnsi="Calibri" w:eastAsia="Microsoft YaHei"/>
      <w:color w:val="263238"/>
      <w:sz w:val="21"/>
    </w:rPr>
  </w:style>
  <w:style w:type="paragraph" w:styleId="Heading1">
    <w:name w:val="heading 1"/>
    <w:basedOn w:val="Normal"/>
    <w:pPr>
      <w:keepNext/>
      <w:keepLines/>
      <w:spacing w:before="480" w:after="200"/>
      <w:jc w:val="left"/>
      <w:outlineLvl w:val="0"/>
    </w:pPr>
    <w:rPr>
      <w:rFonts w:ascii="Calibri" w:hAnsi="Calibri" w:eastAsia="Microsoft YaHei"/>
      <w:b/>
      <w:color w:val="455A64"/>
      <w:sz w:val="30"/>
    </w:rPr>
  </w:style>
  <w:style w:type="paragraph" w:styleId="Heading2">
    <w:name w:val="heading 2"/>
    <w:basedOn w:val="Normal"/>
    <w:pPr>
      <w:keepNext/>
      <w:keepLines/>
      <w:spacing w:before="360" w:after="140"/>
      <w:jc w:val="left"/>
      <w:outlineLvl w:val="1"/>
    </w:pPr>
    <w:rPr>
      <w:rFonts w:ascii="Calibri" w:hAnsi="Calibri" w:eastAsia="Microsoft YaHei"/>
      <w:b/>
      <w:color w:val="263238"/>
      <w:sz w:val="25"/>
    </w:rPr>
  </w:style>
  <w:style w:type="paragraph" w:styleId="Heading3">
    <w:name w:val="heading 3"/>
    <w:basedOn w:val="Normal"/>
    <w:pPr>
      <w:keepNext/>
      <w:keepLines/>
      <w:spacing w:before="260" w:after="100"/>
      <w:jc w:val="left"/>
      <w:outlineLvl w:val="2"/>
    </w:pPr>
    <w:rPr>
      <w:rFonts w:ascii="Calibri" w:hAnsi="Calibri" w:eastAsia="Microsoft YaHei"/>
      <w:b/>
      <w:color w:val="546E7A"/>
      <w:sz w:val="22"/>
    </w:rPr>
  </w:style>
  <w:style w:type="paragraph" w:styleId="Caption">
    <w:name w:val="Caption"/>
    <w:basedOn w:val="Normal"/>
    <w:pPr>
      <w:spacing w:before="60" w:after="320"/>
      <w:jc w:val="center"/>
    </w:pPr>
    <w:rPr>
      <w:color w:val="78909C"/>
      <w:sz w:val="20"/>
    </w:rPr>
  </w:style>
  <w:style w:type="paragraph" w:styleId="TOC1">
    <w:name w:val="toc 1"/>
    <w:basedOn w:val="Normal"/>
    <w:pPr>
      <w:tabs>
        <w:tab w:val="right" w:leader="dot" w:pos="9026"/>
      </w:tabs>
      <w:spacing w:before="120" w:after="40"/>
      <w:ind w:left="0"/>
      <w:jc w:val="left"/>
    </w:pPr>
    <w:rPr>
      <w:rFonts w:ascii="Calibri" w:hAnsi="Calibri"/>
      <w:b/>
      <w:color w:val="37474F"/>
      <w:sz w:val="21"/>
    </w:rPr>
  </w:style>
  <w:style w:type="paragraph" w:styleId="TOC2">
    <w:name w:val="toc 2"/>
    <w:basedOn w:val="Normal"/>
    <w:pPr>
      <w:tabs>
        <w:tab w:val="right" w:leader="dot" w:pos="9026"/>
      </w:tabs>
      <w:spacing w:after="20"/>
      <w:ind w:left="360"/>
      <w:jc w:val="left"/>
    </w:pPr>
    <w:rPr>
      <w:rFonts w:ascii="Calibri" w:hAnsi="Calibri"/>
      <w:color w:val="212121"/>
      <w:sz w:val="20"/>
    </w:rPr>
  </w:style>
</w:styles>
</file>

<file path=word/_rels/document.xml.rels><?xml version='1.0' encoding='UTF-8'?>
<Relationships xmlns="http://schemas.openxmlformats.org/package/2006/relationships"><Relationship Id="rId1" Type="http://schemas.openxmlformats.org/officeDocument/2006/relationships/header" Target="header2.xml" /><Relationship Id="rId2" Type="http://schemas.openxmlformats.org/officeDocument/2006/relationships/footer" Target="footer2.xml" /><Relationship Id="rId3" Type="http://schemas.openxmlformats.org/officeDocument/2006/relationships/header" Target="header3.xml" /><Relationship Id="rId4" Type="http://schemas.openxmlformats.org/officeDocument/2006/relationships/footer" Target="footer3.xml" /><Relationship Id="rId5" Type="http://schemas.openxmlformats.org/officeDocument/2006/relationships/header" Target="header4.xml" /><Relationship Id="rId6" Type="http://schemas.openxmlformats.org/officeDocument/2006/relationships/footer" Target="footer4.xml" /><Relationship Id="R283c0bfd9a984a08" Type="http://schemas.openxmlformats.org/officeDocument/2006/relationships/footer" Target="footer1.xml" /><Relationship Id="R4bf79d4c029d467b" Type="http://schemas.openxmlformats.org/officeDocument/2006/relationships/numbering" Target="numbering.xml" /><Relationship Id="R9354f791c10c4880" Type="http://schemas.openxmlformats.org/officeDocument/2006/relationships/header" Target="header1.xml" /><Relationship Id="Ra22845a32fd84d72" Type="http://schemas.openxmlformats.org/officeDocument/2006/relationships/settings" Target="settings.xml" /><Relationship Id="Rc5a793b8d602430f" Type="http://schemas.openxmlformats.org/officeDocument/2006/relationships/styles" Target="styles.xml" /></Relationships>
</file>