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3D8F9" w14:textId="77777777" w:rsidR="00A306EF" w:rsidRDefault="00A306EF">
      <w:pPr>
        <w:spacing w:before="150"/>
      </w:pPr>
    </w:p>
    <w:p w14:paraId="22B7B45B" w14:textId="77777777" w:rsidR="00A306EF" w:rsidRDefault="00000000">
      <w:pPr>
        <w:spacing w:after="80"/>
        <w:jc w:val="center"/>
      </w:pPr>
      <w:r>
        <w:rPr>
          <w:rFonts w:cs="Calibri"/>
          <w:b/>
          <w:color w:val="455A64"/>
          <w:spacing w:val="30"/>
          <w:sz w:val="80"/>
          <w:szCs w:val="120"/>
        </w:rPr>
        <w:t>IMESI Technical Annexes &amp; Enforcement Mechanisms</w:t>
      </w:r>
    </w:p>
    <w:p w14:paraId="7C8ED01C" w14:textId="77777777" w:rsidR="00A306EF" w:rsidRDefault="00000000">
      <w:pPr>
        <w:spacing w:after="80"/>
        <w:jc w:val="center"/>
      </w:pPr>
      <w:r>
        <w:rPr>
          <w:rFonts w:cs="Calibri"/>
          <w:spacing w:val="20"/>
          <w:sz w:val="30"/>
          <w:szCs w:val="30"/>
        </w:rPr>
        <w:t>International Mutual Economic Security Instrument</w:t>
      </w:r>
    </w:p>
    <w:p w14:paraId="0DD2C633" w14:textId="77777777" w:rsidR="00A306EF" w:rsidRDefault="00000000">
      <w:pPr>
        <w:spacing w:after="80"/>
        <w:jc w:val="center"/>
      </w:pPr>
      <w:r>
        <w:rPr>
          <w:rFonts w:cs="Calibri"/>
          <w:color w:val="546E7A"/>
          <w:sz w:val="24"/>
        </w:rPr>
        <w:t>Engineering Layer | Technocrats, Lawyers, Systems Engineers</w:t>
      </w:r>
    </w:p>
    <w:p w14:paraId="6A0A4819" w14:textId="77777777" w:rsidR="00A306EF" w:rsidRDefault="00000000">
      <w:pPr>
        <w:spacing w:after="140"/>
        <w:jc w:val="center"/>
      </w:pPr>
      <w:r>
        <w:rPr>
          <w:rFonts w:cs="Calibri"/>
          <w:color w:val="546E7A"/>
          <w:sz w:val="22"/>
          <w:szCs w:val="22"/>
        </w:rPr>
        <w:t>With 135 WTO-Aligned Amendments, 62 v12.1 Hardening Provisions, 32 v13.0 Hybrid Architecture and Hardening Provisions, 10 v14.0 Private-Sector Incentive Provisions, 94 v15.0 Red Team, Defector, Integrity, Military, Anti-Fragility, WTO-Defense, and Gap-Closing Provisions, the Nofade Protocol,</w:t>
      </w:r>
    </w:p>
    <w:p w14:paraId="277CE26A" w14:textId="77777777" w:rsidR="00A306EF" w:rsidRDefault="00000000">
      <w:pPr>
        <w:spacing w:after="80"/>
        <w:jc w:val="center"/>
      </w:pPr>
      <w:r>
        <w:rPr>
          <w:rFonts w:cs="Calibri"/>
          <w:color w:val="546E7A"/>
          <w:sz w:val="22"/>
          <w:szCs w:val="22"/>
        </w:rPr>
        <w:t>and Full Immutable Present-Tense Matrix Redraft</w:t>
      </w:r>
    </w:p>
    <w:p w14:paraId="7D06D598" w14:textId="77777777" w:rsidR="00A306EF" w:rsidRDefault="00A306EF">
      <w:pPr>
        <w:pBdr>
          <w:bottom w:val="single" w:sz="12" w:space="1" w:color="B8860B"/>
        </w:pBdr>
        <w:spacing w:after="500"/>
        <w:ind w:left="2400" w:right="2400"/>
      </w:pPr>
    </w:p>
    <w:p w14:paraId="0A3D274D" w14:textId="77777777" w:rsidR="00A306EF" w:rsidRDefault="00000000">
      <w:pPr>
        <w:spacing w:after="80"/>
        <w:jc w:val="center"/>
      </w:pPr>
      <w:r>
        <w:rPr>
          <w:rFonts w:cs="Calibri"/>
          <w:b/>
          <w:color w:val="B8860B"/>
          <w:spacing w:val="40"/>
          <w:sz w:val="44"/>
          <w:szCs w:val="44"/>
        </w:rPr>
        <w:t>Version 15.0 (Hardened)</w:t>
      </w:r>
    </w:p>
    <w:p w14:paraId="67196AD8" w14:textId="77777777" w:rsidR="00A306EF" w:rsidRDefault="00000000">
      <w:pPr>
        <w:spacing w:after="80"/>
        <w:jc w:val="center"/>
      </w:pPr>
      <w:r>
        <w:rPr>
          <w:rFonts w:cs="Calibri"/>
          <w:sz w:val="26"/>
          <w:szCs w:val="26"/>
        </w:rPr>
        <w:t>August 2026</w:t>
      </w:r>
    </w:p>
    <w:p w14:paraId="5524D14F" w14:textId="77777777" w:rsidR="00A306EF" w:rsidRDefault="00000000">
      <w:pPr>
        <w:spacing w:after="100"/>
        <w:jc w:val="center"/>
        <w:sectPr w:rsidR="00A306E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pgBorders>
            <w:top w:val="single" w:sz="18" w:space="24" w:color="B8860B"/>
            <w:left w:val="single" w:sz="18" w:space="24" w:color="B8860B"/>
            <w:bottom w:val="single" w:sz="18" w:space="24" w:color="B8860B"/>
            <w:right w:val="single" w:sz="18" w:space="24" w:color="B8860B"/>
          </w:pgBorders>
          <w:cols w:space="720"/>
          <w:titlePg/>
        </w:sectPr>
      </w:pPr>
      <w:r>
        <w:rPr>
          <w:rFonts w:cs="Calibri"/>
          <w:color w:val="78909C"/>
          <w:spacing w:val="30"/>
          <w:sz w:val="20"/>
          <w:szCs w:val="20"/>
        </w:rPr>
        <w:t>REFERENCE ARCHITECTURE | FOR OPEN CIRCULATION</w:t>
      </w:r>
    </w:p>
    <w:p w14:paraId="007EB2AC" w14:textId="77777777" w:rsidR="00A306EF" w:rsidRDefault="00000000">
      <w:pPr>
        <w:keepNext/>
        <w:spacing w:after="80"/>
      </w:pPr>
      <w:r>
        <w:rPr>
          <w:rFonts w:eastAsia="Calibri" w:cs="Calibri"/>
          <w:b/>
          <w:caps/>
          <w:color w:val="37474F"/>
          <w:sz w:val="32"/>
          <w:szCs w:val="32"/>
        </w:rPr>
        <w:lastRenderedPageBreak/>
        <w:t>Table of Contents</w:t>
      </w:r>
    </w:p>
    <w:p w14:paraId="61EF6780" w14:textId="0272D35B" w:rsidR="009E0ED2" w:rsidRDefault="00000000">
      <w:pPr>
        <w:pStyle w:val="TOC1"/>
        <w:rPr>
          <w:rFonts w:asciiTheme="minorHAnsi" w:eastAsiaTheme="minorEastAsia" w:hAnsiTheme="minorHAnsi"/>
          <w:b w:val="0"/>
          <w:noProof/>
          <w:color w:val="auto"/>
          <w:sz w:val="24"/>
        </w:rPr>
      </w:pPr>
      <w:r>
        <w:fldChar w:fldCharType="begin"/>
      </w:r>
      <w:r>
        <w:instrText xml:space="preserve"> TOC \o "1-2" \h \z \u </w:instrText>
      </w:r>
      <w:r>
        <w:fldChar w:fldCharType="separate"/>
      </w:r>
      <w:hyperlink w:anchor="_Toc237918123" w:history="1">
        <w:r w:rsidR="009E0ED2" w:rsidRPr="009F6E97">
          <w:rPr>
            <w:rStyle w:val="Hyperlink"/>
            <w:rFonts w:cs="Calibri"/>
            <w:noProof/>
          </w:rPr>
          <w:t>VERSION HISTORY AND DOCUMENT CONTROL SUMMARIES</w:t>
        </w:r>
        <w:r w:rsidR="009E0ED2">
          <w:rPr>
            <w:noProof/>
            <w:webHidden/>
          </w:rPr>
          <w:tab/>
        </w:r>
        <w:r w:rsidR="009E0ED2">
          <w:rPr>
            <w:noProof/>
            <w:webHidden/>
          </w:rPr>
          <w:fldChar w:fldCharType="begin"/>
        </w:r>
        <w:r w:rsidR="009E0ED2">
          <w:rPr>
            <w:noProof/>
            <w:webHidden/>
          </w:rPr>
          <w:instrText xml:space="preserve"> PAGEREF _Toc237918123 \h </w:instrText>
        </w:r>
        <w:r w:rsidR="009E0ED2">
          <w:rPr>
            <w:noProof/>
            <w:webHidden/>
          </w:rPr>
        </w:r>
        <w:r w:rsidR="009E0ED2">
          <w:rPr>
            <w:noProof/>
            <w:webHidden/>
          </w:rPr>
          <w:fldChar w:fldCharType="separate"/>
        </w:r>
        <w:r w:rsidR="009E0ED2">
          <w:rPr>
            <w:noProof/>
            <w:webHidden/>
          </w:rPr>
          <w:t>4</w:t>
        </w:r>
        <w:r w:rsidR="009E0ED2">
          <w:rPr>
            <w:noProof/>
            <w:webHidden/>
          </w:rPr>
          <w:fldChar w:fldCharType="end"/>
        </w:r>
      </w:hyperlink>
    </w:p>
    <w:p w14:paraId="38627DFB" w14:textId="7C62370F" w:rsidR="009E0ED2" w:rsidRDefault="009E0ED2">
      <w:pPr>
        <w:pStyle w:val="TOC1"/>
        <w:rPr>
          <w:rFonts w:asciiTheme="minorHAnsi" w:eastAsiaTheme="minorEastAsia" w:hAnsiTheme="minorHAnsi"/>
          <w:b w:val="0"/>
          <w:noProof/>
          <w:color w:val="auto"/>
          <w:sz w:val="24"/>
        </w:rPr>
      </w:pPr>
      <w:hyperlink w:anchor="_Toc237918124" w:history="1">
        <w:r w:rsidRPr="009F6E97">
          <w:rPr>
            <w:rStyle w:val="Hyperlink"/>
            <w:rFonts w:cs="Calibri"/>
            <w:noProof/>
          </w:rPr>
          <w:t>v15.0 RED TEAM, DEFECTOR, INTEGRITY, MILITARY, ANTI-FRAGILITY, AND WTO-DEFENCE SUMMARY</w:t>
        </w:r>
        <w:r>
          <w:rPr>
            <w:noProof/>
            <w:webHidden/>
          </w:rPr>
          <w:tab/>
        </w:r>
        <w:r>
          <w:rPr>
            <w:noProof/>
            <w:webHidden/>
          </w:rPr>
          <w:fldChar w:fldCharType="begin"/>
        </w:r>
        <w:r>
          <w:rPr>
            <w:noProof/>
            <w:webHidden/>
          </w:rPr>
          <w:instrText xml:space="preserve"> PAGEREF _Toc237918124 \h </w:instrText>
        </w:r>
        <w:r>
          <w:rPr>
            <w:noProof/>
            <w:webHidden/>
          </w:rPr>
        </w:r>
        <w:r>
          <w:rPr>
            <w:noProof/>
            <w:webHidden/>
          </w:rPr>
          <w:fldChar w:fldCharType="separate"/>
        </w:r>
        <w:r>
          <w:rPr>
            <w:noProof/>
            <w:webHidden/>
          </w:rPr>
          <w:t>4</w:t>
        </w:r>
        <w:r>
          <w:rPr>
            <w:noProof/>
            <w:webHidden/>
          </w:rPr>
          <w:fldChar w:fldCharType="end"/>
        </w:r>
      </w:hyperlink>
    </w:p>
    <w:p w14:paraId="3587CFEA" w14:textId="6887E58D" w:rsidR="009E0ED2" w:rsidRDefault="009E0ED2">
      <w:pPr>
        <w:pStyle w:val="TOC1"/>
        <w:rPr>
          <w:rFonts w:asciiTheme="minorHAnsi" w:eastAsiaTheme="minorEastAsia" w:hAnsiTheme="minorHAnsi"/>
          <w:b w:val="0"/>
          <w:noProof/>
          <w:color w:val="auto"/>
          <w:sz w:val="24"/>
        </w:rPr>
      </w:pPr>
      <w:hyperlink w:anchor="_Toc237918125" w:history="1">
        <w:r w:rsidRPr="009F6E97">
          <w:rPr>
            <w:rStyle w:val="Hyperlink"/>
            <w:rFonts w:cs="Calibri"/>
            <w:noProof/>
          </w:rPr>
          <w:t>v14.0 PRIVATE-SECTOR PARTNERSHIP AND DOCUMENT RESTORATION SUMMARY</w:t>
        </w:r>
        <w:r>
          <w:rPr>
            <w:noProof/>
            <w:webHidden/>
          </w:rPr>
          <w:tab/>
        </w:r>
        <w:r>
          <w:rPr>
            <w:noProof/>
            <w:webHidden/>
          </w:rPr>
          <w:fldChar w:fldCharType="begin"/>
        </w:r>
        <w:r>
          <w:rPr>
            <w:noProof/>
            <w:webHidden/>
          </w:rPr>
          <w:instrText xml:space="preserve"> PAGEREF _Toc237918125 \h </w:instrText>
        </w:r>
        <w:r>
          <w:rPr>
            <w:noProof/>
            <w:webHidden/>
          </w:rPr>
        </w:r>
        <w:r>
          <w:rPr>
            <w:noProof/>
            <w:webHidden/>
          </w:rPr>
          <w:fldChar w:fldCharType="separate"/>
        </w:r>
        <w:r>
          <w:rPr>
            <w:noProof/>
            <w:webHidden/>
          </w:rPr>
          <w:t>10</w:t>
        </w:r>
        <w:r>
          <w:rPr>
            <w:noProof/>
            <w:webHidden/>
          </w:rPr>
          <w:fldChar w:fldCharType="end"/>
        </w:r>
      </w:hyperlink>
    </w:p>
    <w:p w14:paraId="364013A8" w14:textId="488358E6" w:rsidR="009E0ED2" w:rsidRDefault="009E0ED2">
      <w:pPr>
        <w:pStyle w:val="TOC1"/>
        <w:rPr>
          <w:rFonts w:asciiTheme="minorHAnsi" w:eastAsiaTheme="minorEastAsia" w:hAnsiTheme="minorHAnsi"/>
          <w:b w:val="0"/>
          <w:noProof/>
          <w:color w:val="auto"/>
          <w:sz w:val="24"/>
        </w:rPr>
      </w:pPr>
      <w:hyperlink w:anchor="_Toc237918126" w:history="1">
        <w:r w:rsidRPr="009F6E97">
          <w:rPr>
            <w:rStyle w:val="Hyperlink"/>
            <w:rFonts w:cs="Calibri"/>
            <w:noProof/>
          </w:rPr>
          <w:t>v13.0 HYBRID ARCHITECTURE AND HARDENING SUMMARY</w:t>
        </w:r>
        <w:r>
          <w:rPr>
            <w:noProof/>
            <w:webHidden/>
          </w:rPr>
          <w:tab/>
        </w:r>
        <w:r>
          <w:rPr>
            <w:noProof/>
            <w:webHidden/>
          </w:rPr>
          <w:fldChar w:fldCharType="begin"/>
        </w:r>
        <w:r>
          <w:rPr>
            <w:noProof/>
            <w:webHidden/>
          </w:rPr>
          <w:instrText xml:space="preserve"> PAGEREF _Toc237918126 \h </w:instrText>
        </w:r>
        <w:r>
          <w:rPr>
            <w:noProof/>
            <w:webHidden/>
          </w:rPr>
        </w:r>
        <w:r>
          <w:rPr>
            <w:noProof/>
            <w:webHidden/>
          </w:rPr>
          <w:fldChar w:fldCharType="separate"/>
        </w:r>
        <w:r>
          <w:rPr>
            <w:noProof/>
            <w:webHidden/>
          </w:rPr>
          <w:t>12</w:t>
        </w:r>
        <w:r>
          <w:rPr>
            <w:noProof/>
            <w:webHidden/>
          </w:rPr>
          <w:fldChar w:fldCharType="end"/>
        </w:r>
      </w:hyperlink>
    </w:p>
    <w:p w14:paraId="533EF117" w14:textId="124A83C5" w:rsidR="009E0ED2" w:rsidRDefault="009E0ED2">
      <w:pPr>
        <w:pStyle w:val="TOC1"/>
        <w:rPr>
          <w:rFonts w:asciiTheme="minorHAnsi" w:eastAsiaTheme="minorEastAsia" w:hAnsiTheme="minorHAnsi"/>
          <w:b w:val="0"/>
          <w:noProof/>
          <w:color w:val="auto"/>
          <w:sz w:val="24"/>
        </w:rPr>
      </w:pPr>
      <w:hyperlink w:anchor="_Toc237918127" w:history="1">
        <w:r w:rsidRPr="009F6E97">
          <w:rPr>
            <w:rStyle w:val="Hyperlink"/>
            <w:rFonts w:cs="Calibri"/>
            <w:noProof/>
          </w:rPr>
          <w:t>v12.1 HARDENING ADDITIONS SUMMARY</w:t>
        </w:r>
        <w:r>
          <w:rPr>
            <w:noProof/>
            <w:webHidden/>
          </w:rPr>
          <w:tab/>
        </w:r>
        <w:r>
          <w:rPr>
            <w:noProof/>
            <w:webHidden/>
          </w:rPr>
          <w:fldChar w:fldCharType="begin"/>
        </w:r>
        <w:r>
          <w:rPr>
            <w:noProof/>
            <w:webHidden/>
          </w:rPr>
          <w:instrText xml:space="preserve"> PAGEREF _Toc237918127 \h </w:instrText>
        </w:r>
        <w:r>
          <w:rPr>
            <w:noProof/>
            <w:webHidden/>
          </w:rPr>
        </w:r>
        <w:r>
          <w:rPr>
            <w:noProof/>
            <w:webHidden/>
          </w:rPr>
          <w:fldChar w:fldCharType="separate"/>
        </w:r>
        <w:r>
          <w:rPr>
            <w:noProof/>
            <w:webHidden/>
          </w:rPr>
          <w:t>15</w:t>
        </w:r>
        <w:r>
          <w:rPr>
            <w:noProof/>
            <w:webHidden/>
          </w:rPr>
          <w:fldChar w:fldCharType="end"/>
        </w:r>
      </w:hyperlink>
    </w:p>
    <w:p w14:paraId="30B3F020" w14:textId="5A5DC44E" w:rsidR="009E0ED2" w:rsidRDefault="009E0ED2">
      <w:pPr>
        <w:pStyle w:val="TOC1"/>
        <w:rPr>
          <w:rFonts w:asciiTheme="minorHAnsi" w:eastAsiaTheme="minorEastAsia" w:hAnsiTheme="minorHAnsi"/>
          <w:b w:val="0"/>
          <w:noProof/>
          <w:color w:val="auto"/>
          <w:sz w:val="24"/>
        </w:rPr>
      </w:pPr>
      <w:hyperlink w:anchor="_Toc237918128" w:history="1">
        <w:r w:rsidRPr="009F6E97">
          <w:rPr>
            <w:rStyle w:val="Hyperlink"/>
            <w:rFonts w:cs="Calibri"/>
            <w:noProof/>
          </w:rPr>
          <w:t>v12.0 ADDITIONS SUMMARY</w:t>
        </w:r>
        <w:r>
          <w:rPr>
            <w:noProof/>
            <w:webHidden/>
          </w:rPr>
          <w:tab/>
        </w:r>
        <w:r>
          <w:rPr>
            <w:noProof/>
            <w:webHidden/>
          </w:rPr>
          <w:fldChar w:fldCharType="begin"/>
        </w:r>
        <w:r>
          <w:rPr>
            <w:noProof/>
            <w:webHidden/>
          </w:rPr>
          <w:instrText xml:space="preserve"> PAGEREF _Toc237918128 \h </w:instrText>
        </w:r>
        <w:r>
          <w:rPr>
            <w:noProof/>
            <w:webHidden/>
          </w:rPr>
        </w:r>
        <w:r>
          <w:rPr>
            <w:noProof/>
            <w:webHidden/>
          </w:rPr>
          <w:fldChar w:fldCharType="separate"/>
        </w:r>
        <w:r>
          <w:rPr>
            <w:noProof/>
            <w:webHidden/>
          </w:rPr>
          <w:t>19</w:t>
        </w:r>
        <w:r>
          <w:rPr>
            <w:noProof/>
            <w:webHidden/>
          </w:rPr>
          <w:fldChar w:fldCharType="end"/>
        </w:r>
      </w:hyperlink>
    </w:p>
    <w:p w14:paraId="020FBD44" w14:textId="01EC0917" w:rsidR="009E0ED2" w:rsidRDefault="009E0ED2">
      <w:pPr>
        <w:pStyle w:val="TOC1"/>
        <w:rPr>
          <w:rFonts w:asciiTheme="minorHAnsi" w:eastAsiaTheme="minorEastAsia" w:hAnsiTheme="minorHAnsi"/>
          <w:b w:val="0"/>
          <w:noProof/>
          <w:color w:val="auto"/>
          <w:sz w:val="24"/>
        </w:rPr>
      </w:pPr>
      <w:hyperlink w:anchor="_Toc237918129" w:history="1">
        <w:r w:rsidRPr="009F6E97">
          <w:rPr>
            <w:rStyle w:val="Hyperlink"/>
            <w:noProof/>
          </w:rPr>
          <w:t>v11.0 ADDITIONS SUMMARY</w:t>
        </w:r>
        <w:r>
          <w:rPr>
            <w:noProof/>
            <w:webHidden/>
          </w:rPr>
          <w:tab/>
        </w:r>
        <w:r>
          <w:rPr>
            <w:noProof/>
            <w:webHidden/>
          </w:rPr>
          <w:fldChar w:fldCharType="begin"/>
        </w:r>
        <w:r>
          <w:rPr>
            <w:noProof/>
            <w:webHidden/>
          </w:rPr>
          <w:instrText xml:space="preserve"> PAGEREF _Toc237918129 \h </w:instrText>
        </w:r>
        <w:r>
          <w:rPr>
            <w:noProof/>
            <w:webHidden/>
          </w:rPr>
        </w:r>
        <w:r>
          <w:rPr>
            <w:noProof/>
            <w:webHidden/>
          </w:rPr>
          <w:fldChar w:fldCharType="separate"/>
        </w:r>
        <w:r>
          <w:rPr>
            <w:noProof/>
            <w:webHidden/>
          </w:rPr>
          <w:t>25</w:t>
        </w:r>
        <w:r>
          <w:rPr>
            <w:noProof/>
            <w:webHidden/>
          </w:rPr>
          <w:fldChar w:fldCharType="end"/>
        </w:r>
      </w:hyperlink>
    </w:p>
    <w:p w14:paraId="30DC91AD" w14:textId="52EA6EC2" w:rsidR="009E0ED2" w:rsidRDefault="009E0ED2">
      <w:pPr>
        <w:pStyle w:val="TOC1"/>
        <w:rPr>
          <w:rFonts w:asciiTheme="minorHAnsi" w:eastAsiaTheme="minorEastAsia" w:hAnsiTheme="minorHAnsi"/>
          <w:b w:val="0"/>
          <w:noProof/>
          <w:color w:val="auto"/>
          <w:sz w:val="24"/>
        </w:rPr>
      </w:pPr>
      <w:hyperlink w:anchor="_Toc237918130" w:history="1">
        <w:r w:rsidRPr="009F6E97">
          <w:rPr>
            <w:rStyle w:val="Hyperlink"/>
            <w:rFonts w:cs="Calibri"/>
            <w:noProof/>
          </w:rPr>
          <w:t>v10.0 ADDITIONS SUMMARY</w:t>
        </w:r>
        <w:r>
          <w:rPr>
            <w:noProof/>
            <w:webHidden/>
          </w:rPr>
          <w:tab/>
        </w:r>
        <w:r>
          <w:rPr>
            <w:noProof/>
            <w:webHidden/>
          </w:rPr>
          <w:fldChar w:fldCharType="begin"/>
        </w:r>
        <w:r>
          <w:rPr>
            <w:noProof/>
            <w:webHidden/>
          </w:rPr>
          <w:instrText xml:space="preserve"> PAGEREF _Toc237918130 \h </w:instrText>
        </w:r>
        <w:r>
          <w:rPr>
            <w:noProof/>
            <w:webHidden/>
          </w:rPr>
        </w:r>
        <w:r>
          <w:rPr>
            <w:noProof/>
            <w:webHidden/>
          </w:rPr>
          <w:fldChar w:fldCharType="separate"/>
        </w:r>
        <w:r>
          <w:rPr>
            <w:noProof/>
            <w:webHidden/>
          </w:rPr>
          <w:t>27</w:t>
        </w:r>
        <w:r>
          <w:rPr>
            <w:noProof/>
            <w:webHidden/>
          </w:rPr>
          <w:fldChar w:fldCharType="end"/>
        </w:r>
      </w:hyperlink>
    </w:p>
    <w:p w14:paraId="18CD67A1" w14:textId="71EFAB9A" w:rsidR="009E0ED2" w:rsidRDefault="009E0ED2">
      <w:pPr>
        <w:pStyle w:val="TOC1"/>
        <w:rPr>
          <w:rFonts w:asciiTheme="minorHAnsi" w:eastAsiaTheme="minorEastAsia" w:hAnsiTheme="minorHAnsi"/>
          <w:b w:val="0"/>
          <w:noProof/>
          <w:color w:val="auto"/>
          <w:sz w:val="24"/>
        </w:rPr>
      </w:pPr>
      <w:hyperlink w:anchor="_Toc237918131" w:history="1">
        <w:r w:rsidRPr="009F6E97">
          <w:rPr>
            <w:rStyle w:val="Hyperlink"/>
            <w:rFonts w:cs="Calibri"/>
            <w:noProof/>
          </w:rPr>
          <w:t>Part I: Safe-to-Add (No Revision Required)</w:t>
        </w:r>
        <w:r>
          <w:rPr>
            <w:noProof/>
            <w:webHidden/>
          </w:rPr>
          <w:tab/>
        </w:r>
        <w:r>
          <w:rPr>
            <w:noProof/>
            <w:webHidden/>
          </w:rPr>
          <w:fldChar w:fldCharType="begin"/>
        </w:r>
        <w:r>
          <w:rPr>
            <w:noProof/>
            <w:webHidden/>
          </w:rPr>
          <w:instrText xml:space="preserve"> PAGEREF _Toc237918131 \h </w:instrText>
        </w:r>
        <w:r>
          <w:rPr>
            <w:noProof/>
            <w:webHidden/>
          </w:rPr>
        </w:r>
        <w:r>
          <w:rPr>
            <w:noProof/>
            <w:webHidden/>
          </w:rPr>
          <w:fldChar w:fldCharType="separate"/>
        </w:r>
        <w:r>
          <w:rPr>
            <w:noProof/>
            <w:webHidden/>
          </w:rPr>
          <w:t>28</w:t>
        </w:r>
        <w:r>
          <w:rPr>
            <w:noProof/>
            <w:webHidden/>
          </w:rPr>
          <w:fldChar w:fldCharType="end"/>
        </w:r>
      </w:hyperlink>
    </w:p>
    <w:p w14:paraId="1B0D4470" w14:textId="4E1364A8" w:rsidR="009E0ED2" w:rsidRDefault="009E0ED2">
      <w:pPr>
        <w:pStyle w:val="TOC1"/>
        <w:rPr>
          <w:rFonts w:asciiTheme="minorHAnsi" w:eastAsiaTheme="minorEastAsia" w:hAnsiTheme="minorHAnsi"/>
          <w:b w:val="0"/>
          <w:noProof/>
          <w:color w:val="auto"/>
          <w:sz w:val="24"/>
        </w:rPr>
      </w:pPr>
      <w:hyperlink w:anchor="_Toc237918132" w:history="1">
        <w:r w:rsidRPr="009F6E97">
          <w:rPr>
            <w:rStyle w:val="Hyperlink"/>
            <w:noProof/>
          </w:rPr>
          <w:t>PART B: OPERATIONAL ANNEXES</w:t>
        </w:r>
        <w:r>
          <w:rPr>
            <w:noProof/>
            <w:webHidden/>
          </w:rPr>
          <w:tab/>
        </w:r>
        <w:r>
          <w:rPr>
            <w:noProof/>
            <w:webHidden/>
          </w:rPr>
          <w:fldChar w:fldCharType="begin"/>
        </w:r>
        <w:r>
          <w:rPr>
            <w:noProof/>
            <w:webHidden/>
          </w:rPr>
          <w:instrText xml:space="preserve"> PAGEREF _Toc237918132 \h </w:instrText>
        </w:r>
        <w:r>
          <w:rPr>
            <w:noProof/>
            <w:webHidden/>
          </w:rPr>
        </w:r>
        <w:r>
          <w:rPr>
            <w:noProof/>
            <w:webHidden/>
          </w:rPr>
          <w:fldChar w:fldCharType="separate"/>
        </w:r>
        <w:r>
          <w:rPr>
            <w:noProof/>
            <w:webHidden/>
          </w:rPr>
          <w:t>35</w:t>
        </w:r>
        <w:r>
          <w:rPr>
            <w:noProof/>
            <w:webHidden/>
          </w:rPr>
          <w:fldChar w:fldCharType="end"/>
        </w:r>
      </w:hyperlink>
    </w:p>
    <w:p w14:paraId="670731F6" w14:textId="57D30477" w:rsidR="009E0ED2" w:rsidRDefault="009E0ED2">
      <w:pPr>
        <w:pStyle w:val="TOC1"/>
        <w:rPr>
          <w:rFonts w:asciiTheme="minorHAnsi" w:eastAsiaTheme="minorEastAsia" w:hAnsiTheme="minorHAnsi"/>
          <w:b w:val="0"/>
          <w:noProof/>
          <w:color w:val="auto"/>
          <w:sz w:val="24"/>
        </w:rPr>
      </w:pPr>
      <w:hyperlink w:anchor="_Toc237918133" w:history="1">
        <w:r w:rsidRPr="009F6E97">
          <w:rPr>
            <w:rStyle w:val="Hyperlink"/>
            <w:rFonts w:cs="Calibri"/>
            <w:noProof/>
          </w:rPr>
          <w:t>ANNEX 1A.1: WTO DEFENCE-IN-DEPTH PROTOCOL</w:t>
        </w:r>
        <w:r>
          <w:rPr>
            <w:noProof/>
            <w:webHidden/>
          </w:rPr>
          <w:tab/>
        </w:r>
        <w:r>
          <w:rPr>
            <w:noProof/>
            <w:webHidden/>
          </w:rPr>
          <w:fldChar w:fldCharType="begin"/>
        </w:r>
        <w:r>
          <w:rPr>
            <w:noProof/>
            <w:webHidden/>
          </w:rPr>
          <w:instrText xml:space="preserve"> PAGEREF _Toc237918133 \h </w:instrText>
        </w:r>
        <w:r>
          <w:rPr>
            <w:noProof/>
            <w:webHidden/>
          </w:rPr>
        </w:r>
        <w:r>
          <w:rPr>
            <w:noProof/>
            <w:webHidden/>
          </w:rPr>
          <w:fldChar w:fldCharType="separate"/>
        </w:r>
        <w:r>
          <w:rPr>
            <w:noProof/>
            <w:webHidden/>
          </w:rPr>
          <w:t>35</w:t>
        </w:r>
        <w:r>
          <w:rPr>
            <w:noProof/>
            <w:webHidden/>
          </w:rPr>
          <w:fldChar w:fldCharType="end"/>
        </w:r>
      </w:hyperlink>
    </w:p>
    <w:p w14:paraId="1A1489D4" w14:textId="40B3F9F9" w:rsidR="009E0ED2" w:rsidRDefault="009E0ED2">
      <w:pPr>
        <w:pStyle w:val="TOC1"/>
        <w:rPr>
          <w:rFonts w:asciiTheme="minorHAnsi" w:eastAsiaTheme="minorEastAsia" w:hAnsiTheme="minorHAnsi"/>
          <w:b w:val="0"/>
          <w:noProof/>
          <w:color w:val="auto"/>
          <w:sz w:val="24"/>
        </w:rPr>
      </w:pPr>
      <w:hyperlink w:anchor="_Toc237918134" w:history="1">
        <w:r w:rsidRPr="009F6E97">
          <w:rPr>
            <w:rStyle w:val="Hyperlink"/>
            <w:noProof/>
          </w:rPr>
          <w:t>ANNEX 1A.1A: PRE-AUTHORISED SECURITY EXCEPTION BRIEFS</w:t>
        </w:r>
        <w:r>
          <w:rPr>
            <w:noProof/>
            <w:webHidden/>
          </w:rPr>
          <w:tab/>
        </w:r>
        <w:r>
          <w:rPr>
            <w:noProof/>
            <w:webHidden/>
          </w:rPr>
          <w:fldChar w:fldCharType="begin"/>
        </w:r>
        <w:r>
          <w:rPr>
            <w:noProof/>
            <w:webHidden/>
          </w:rPr>
          <w:instrText xml:space="preserve"> PAGEREF _Toc237918134 \h </w:instrText>
        </w:r>
        <w:r>
          <w:rPr>
            <w:noProof/>
            <w:webHidden/>
          </w:rPr>
        </w:r>
        <w:r>
          <w:rPr>
            <w:noProof/>
            <w:webHidden/>
          </w:rPr>
          <w:fldChar w:fldCharType="separate"/>
        </w:r>
        <w:r>
          <w:rPr>
            <w:noProof/>
            <w:webHidden/>
          </w:rPr>
          <w:t>36</w:t>
        </w:r>
        <w:r>
          <w:rPr>
            <w:noProof/>
            <w:webHidden/>
          </w:rPr>
          <w:fldChar w:fldCharType="end"/>
        </w:r>
      </w:hyperlink>
    </w:p>
    <w:p w14:paraId="20F84D3B" w14:textId="63E17F10" w:rsidR="009E0ED2" w:rsidRDefault="009E0ED2">
      <w:pPr>
        <w:pStyle w:val="TOC1"/>
        <w:rPr>
          <w:rFonts w:asciiTheme="minorHAnsi" w:eastAsiaTheme="minorEastAsia" w:hAnsiTheme="minorHAnsi"/>
          <w:b w:val="0"/>
          <w:noProof/>
          <w:color w:val="auto"/>
          <w:sz w:val="24"/>
        </w:rPr>
      </w:pPr>
      <w:hyperlink w:anchor="_Toc237918135" w:history="1">
        <w:r w:rsidRPr="009F6E97">
          <w:rPr>
            <w:rStyle w:val="Hyperlink"/>
            <w:rFonts w:cs="Calibri"/>
            <w:noProof/>
          </w:rPr>
          <w:t>ANNEX 1B: INVESTMENT TREATY COORDINATION</w:t>
        </w:r>
        <w:r>
          <w:rPr>
            <w:noProof/>
            <w:webHidden/>
          </w:rPr>
          <w:tab/>
        </w:r>
        <w:r>
          <w:rPr>
            <w:noProof/>
            <w:webHidden/>
          </w:rPr>
          <w:fldChar w:fldCharType="begin"/>
        </w:r>
        <w:r>
          <w:rPr>
            <w:noProof/>
            <w:webHidden/>
          </w:rPr>
          <w:instrText xml:space="preserve"> PAGEREF _Toc237918135 \h </w:instrText>
        </w:r>
        <w:r>
          <w:rPr>
            <w:noProof/>
            <w:webHidden/>
          </w:rPr>
        </w:r>
        <w:r>
          <w:rPr>
            <w:noProof/>
            <w:webHidden/>
          </w:rPr>
          <w:fldChar w:fldCharType="separate"/>
        </w:r>
        <w:r>
          <w:rPr>
            <w:noProof/>
            <w:webHidden/>
          </w:rPr>
          <w:t>37</w:t>
        </w:r>
        <w:r>
          <w:rPr>
            <w:noProof/>
            <w:webHidden/>
          </w:rPr>
          <w:fldChar w:fldCharType="end"/>
        </w:r>
      </w:hyperlink>
    </w:p>
    <w:p w14:paraId="70B78149" w14:textId="5B15CF9F" w:rsidR="009E0ED2" w:rsidRDefault="009E0ED2">
      <w:pPr>
        <w:pStyle w:val="TOC1"/>
        <w:rPr>
          <w:rFonts w:asciiTheme="minorHAnsi" w:eastAsiaTheme="minorEastAsia" w:hAnsiTheme="minorHAnsi"/>
          <w:b w:val="0"/>
          <w:noProof/>
          <w:color w:val="auto"/>
          <w:sz w:val="24"/>
        </w:rPr>
      </w:pPr>
      <w:hyperlink w:anchor="_Toc237918136" w:history="1">
        <w:r w:rsidRPr="009F6E97">
          <w:rPr>
            <w:rStyle w:val="Hyperlink"/>
            <w:rFonts w:cs="Calibri"/>
            <w:noProof/>
          </w:rPr>
          <w:t>ANNEX 1C: SOVEREIGN DEBT COERCION PROTOCOL</w:t>
        </w:r>
        <w:r>
          <w:rPr>
            <w:noProof/>
            <w:webHidden/>
          </w:rPr>
          <w:tab/>
        </w:r>
        <w:r>
          <w:rPr>
            <w:noProof/>
            <w:webHidden/>
          </w:rPr>
          <w:fldChar w:fldCharType="begin"/>
        </w:r>
        <w:r>
          <w:rPr>
            <w:noProof/>
            <w:webHidden/>
          </w:rPr>
          <w:instrText xml:space="preserve"> PAGEREF _Toc237918136 \h </w:instrText>
        </w:r>
        <w:r>
          <w:rPr>
            <w:noProof/>
            <w:webHidden/>
          </w:rPr>
        </w:r>
        <w:r>
          <w:rPr>
            <w:noProof/>
            <w:webHidden/>
          </w:rPr>
          <w:fldChar w:fldCharType="separate"/>
        </w:r>
        <w:r>
          <w:rPr>
            <w:noProof/>
            <w:webHidden/>
          </w:rPr>
          <w:t>37</w:t>
        </w:r>
        <w:r>
          <w:rPr>
            <w:noProof/>
            <w:webHidden/>
          </w:rPr>
          <w:fldChar w:fldCharType="end"/>
        </w:r>
      </w:hyperlink>
    </w:p>
    <w:p w14:paraId="4AE7B7D8" w14:textId="7C4D351E" w:rsidR="009E0ED2" w:rsidRDefault="009E0ED2">
      <w:pPr>
        <w:pStyle w:val="TOC1"/>
        <w:rPr>
          <w:rFonts w:asciiTheme="minorHAnsi" w:eastAsiaTheme="minorEastAsia" w:hAnsiTheme="minorHAnsi"/>
          <w:b w:val="0"/>
          <w:noProof/>
          <w:color w:val="auto"/>
          <w:sz w:val="24"/>
        </w:rPr>
      </w:pPr>
      <w:hyperlink w:anchor="_Toc237918137" w:history="1">
        <w:r w:rsidRPr="009F6E97">
          <w:rPr>
            <w:rStyle w:val="Hyperlink"/>
            <w:noProof/>
          </w:rPr>
          <w:t>ANNEX 2A: FUNCTIONAL STATE-ADJOINING SECTOR LIST</w:t>
        </w:r>
        <w:r>
          <w:rPr>
            <w:noProof/>
            <w:webHidden/>
          </w:rPr>
          <w:tab/>
        </w:r>
        <w:r>
          <w:rPr>
            <w:noProof/>
            <w:webHidden/>
          </w:rPr>
          <w:fldChar w:fldCharType="begin"/>
        </w:r>
        <w:r>
          <w:rPr>
            <w:noProof/>
            <w:webHidden/>
          </w:rPr>
          <w:instrText xml:space="preserve"> PAGEREF _Toc237918137 \h </w:instrText>
        </w:r>
        <w:r>
          <w:rPr>
            <w:noProof/>
            <w:webHidden/>
          </w:rPr>
        </w:r>
        <w:r>
          <w:rPr>
            <w:noProof/>
            <w:webHidden/>
          </w:rPr>
          <w:fldChar w:fldCharType="separate"/>
        </w:r>
        <w:r>
          <w:rPr>
            <w:noProof/>
            <w:webHidden/>
          </w:rPr>
          <w:t>38</w:t>
        </w:r>
        <w:r>
          <w:rPr>
            <w:noProof/>
            <w:webHidden/>
          </w:rPr>
          <w:fldChar w:fldCharType="end"/>
        </w:r>
      </w:hyperlink>
    </w:p>
    <w:p w14:paraId="3684A9B8" w14:textId="2B564A98" w:rsidR="009E0ED2" w:rsidRDefault="009E0ED2">
      <w:pPr>
        <w:pStyle w:val="TOC1"/>
        <w:rPr>
          <w:rFonts w:asciiTheme="minorHAnsi" w:eastAsiaTheme="minorEastAsia" w:hAnsiTheme="minorHAnsi"/>
          <w:b w:val="0"/>
          <w:noProof/>
          <w:color w:val="auto"/>
          <w:sz w:val="24"/>
        </w:rPr>
      </w:pPr>
      <w:hyperlink w:anchor="_Toc237918138" w:history="1">
        <w:r w:rsidRPr="009F6E97">
          <w:rPr>
            <w:rStyle w:val="Hyperlink"/>
            <w:noProof/>
          </w:rPr>
          <w:t>ANNEX 2B: BIOLOGICAL SECURITY INFORMATION COERCION PROTOCOL [PILOT]</w:t>
        </w:r>
        <w:r>
          <w:rPr>
            <w:noProof/>
            <w:webHidden/>
          </w:rPr>
          <w:tab/>
        </w:r>
        <w:r>
          <w:rPr>
            <w:noProof/>
            <w:webHidden/>
          </w:rPr>
          <w:fldChar w:fldCharType="begin"/>
        </w:r>
        <w:r>
          <w:rPr>
            <w:noProof/>
            <w:webHidden/>
          </w:rPr>
          <w:instrText xml:space="preserve"> PAGEREF _Toc237918138 \h </w:instrText>
        </w:r>
        <w:r>
          <w:rPr>
            <w:noProof/>
            <w:webHidden/>
          </w:rPr>
        </w:r>
        <w:r>
          <w:rPr>
            <w:noProof/>
            <w:webHidden/>
          </w:rPr>
          <w:fldChar w:fldCharType="separate"/>
        </w:r>
        <w:r>
          <w:rPr>
            <w:noProof/>
            <w:webHidden/>
          </w:rPr>
          <w:t>38</w:t>
        </w:r>
        <w:r>
          <w:rPr>
            <w:noProof/>
            <w:webHidden/>
          </w:rPr>
          <w:fldChar w:fldCharType="end"/>
        </w:r>
      </w:hyperlink>
    </w:p>
    <w:p w14:paraId="1A6FBFED" w14:textId="2E29B796" w:rsidR="009E0ED2" w:rsidRDefault="009E0ED2">
      <w:pPr>
        <w:pStyle w:val="TOC1"/>
        <w:rPr>
          <w:rFonts w:asciiTheme="minorHAnsi" w:eastAsiaTheme="minorEastAsia" w:hAnsiTheme="minorHAnsi"/>
          <w:b w:val="0"/>
          <w:noProof/>
          <w:color w:val="auto"/>
          <w:sz w:val="24"/>
        </w:rPr>
      </w:pPr>
      <w:hyperlink w:anchor="_Toc237918139" w:history="1">
        <w:r w:rsidRPr="009F6E97">
          <w:rPr>
            <w:rStyle w:val="Hyperlink"/>
            <w:noProof/>
          </w:rPr>
          <w:t>Annex 6: Burden-Sharing Calculation Methodologies, Comprehensive formulas, data sources, adjustment</w:t>
        </w:r>
        <w:r>
          <w:rPr>
            <w:noProof/>
            <w:webHidden/>
          </w:rPr>
          <w:tab/>
        </w:r>
        <w:r>
          <w:rPr>
            <w:noProof/>
            <w:webHidden/>
          </w:rPr>
          <w:fldChar w:fldCharType="begin"/>
        </w:r>
        <w:r>
          <w:rPr>
            <w:noProof/>
            <w:webHidden/>
          </w:rPr>
          <w:instrText xml:space="preserve"> PAGEREF _Toc237918139 \h </w:instrText>
        </w:r>
        <w:r>
          <w:rPr>
            <w:noProof/>
            <w:webHidden/>
          </w:rPr>
        </w:r>
        <w:r>
          <w:rPr>
            <w:noProof/>
            <w:webHidden/>
          </w:rPr>
          <w:fldChar w:fldCharType="separate"/>
        </w:r>
        <w:r>
          <w:rPr>
            <w:noProof/>
            <w:webHidden/>
          </w:rPr>
          <w:t>39</w:t>
        </w:r>
        <w:r>
          <w:rPr>
            <w:noProof/>
            <w:webHidden/>
          </w:rPr>
          <w:fldChar w:fldCharType="end"/>
        </w:r>
      </w:hyperlink>
    </w:p>
    <w:p w14:paraId="4C22B6E5" w14:textId="45E1887A" w:rsidR="009E0ED2" w:rsidRDefault="009E0ED2">
      <w:pPr>
        <w:pStyle w:val="TOC1"/>
        <w:rPr>
          <w:rFonts w:asciiTheme="minorHAnsi" w:eastAsiaTheme="minorEastAsia" w:hAnsiTheme="minorHAnsi"/>
          <w:b w:val="0"/>
          <w:noProof/>
          <w:color w:val="auto"/>
          <w:sz w:val="24"/>
        </w:rPr>
      </w:pPr>
      <w:hyperlink w:anchor="_Toc237918140" w:history="1">
        <w:r w:rsidRPr="009F6E97">
          <w:rPr>
            <w:rStyle w:val="Hyperlink"/>
            <w:noProof/>
          </w:rPr>
          <w:t>Annex 7: Anti-Fragmentation Enforcement Mechanisms</w:t>
        </w:r>
        <w:r>
          <w:rPr>
            <w:noProof/>
            <w:webHidden/>
          </w:rPr>
          <w:tab/>
        </w:r>
        <w:r>
          <w:rPr>
            <w:noProof/>
            <w:webHidden/>
          </w:rPr>
          <w:fldChar w:fldCharType="begin"/>
        </w:r>
        <w:r>
          <w:rPr>
            <w:noProof/>
            <w:webHidden/>
          </w:rPr>
          <w:instrText xml:space="preserve"> PAGEREF _Toc237918140 \h </w:instrText>
        </w:r>
        <w:r>
          <w:rPr>
            <w:noProof/>
            <w:webHidden/>
          </w:rPr>
        </w:r>
        <w:r>
          <w:rPr>
            <w:noProof/>
            <w:webHidden/>
          </w:rPr>
          <w:fldChar w:fldCharType="separate"/>
        </w:r>
        <w:r>
          <w:rPr>
            <w:noProof/>
            <w:webHidden/>
          </w:rPr>
          <w:t>39</w:t>
        </w:r>
        <w:r>
          <w:rPr>
            <w:noProof/>
            <w:webHidden/>
          </w:rPr>
          <w:fldChar w:fldCharType="end"/>
        </w:r>
      </w:hyperlink>
    </w:p>
    <w:p w14:paraId="6ACF5A30" w14:textId="6DC4633A" w:rsidR="009E0ED2" w:rsidRDefault="009E0ED2">
      <w:pPr>
        <w:pStyle w:val="TOC1"/>
        <w:rPr>
          <w:rFonts w:asciiTheme="minorHAnsi" w:eastAsiaTheme="minorEastAsia" w:hAnsiTheme="minorHAnsi"/>
          <w:b w:val="0"/>
          <w:noProof/>
          <w:color w:val="auto"/>
          <w:sz w:val="24"/>
        </w:rPr>
      </w:pPr>
      <w:hyperlink w:anchor="_Toc237918141" w:history="1">
        <w:r w:rsidRPr="009F6E97">
          <w:rPr>
            <w:rStyle w:val="Hyperlink"/>
            <w:noProof/>
          </w:rPr>
          <w:t>ANNEX 5A: CONSTITUTIONAL CONFLICT PROCEDURES</w:t>
        </w:r>
        <w:r>
          <w:rPr>
            <w:noProof/>
            <w:webHidden/>
          </w:rPr>
          <w:tab/>
        </w:r>
        <w:r>
          <w:rPr>
            <w:noProof/>
            <w:webHidden/>
          </w:rPr>
          <w:fldChar w:fldCharType="begin"/>
        </w:r>
        <w:r>
          <w:rPr>
            <w:noProof/>
            <w:webHidden/>
          </w:rPr>
          <w:instrText xml:space="preserve"> PAGEREF _Toc237918141 \h </w:instrText>
        </w:r>
        <w:r>
          <w:rPr>
            <w:noProof/>
            <w:webHidden/>
          </w:rPr>
        </w:r>
        <w:r>
          <w:rPr>
            <w:noProof/>
            <w:webHidden/>
          </w:rPr>
          <w:fldChar w:fldCharType="separate"/>
        </w:r>
        <w:r>
          <w:rPr>
            <w:noProof/>
            <w:webHidden/>
          </w:rPr>
          <w:t>39</w:t>
        </w:r>
        <w:r>
          <w:rPr>
            <w:noProof/>
            <w:webHidden/>
          </w:rPr>
          <w:fldChar w:fldCharType="end"/>
        </w:r>
      </w:hyperlink>
    </w:p>
    <w:p w14:paraId="2FC3CBF7" w14:textId="2F4E87CE" w:rsidR="009E0ED2" w:rsidRDefault="009E0ED2">
      <w:pPr>
        <w:pStyle w:val="TOC1"/>
        <w:rPr>
          <w:rFonts w:asciiTheme="minorHAnsi" w:eastAsiaTheme="minorEastAsia" w:hAnsiTheme="minorHAnsi"/>
          <w:b w:val="0"/>
          <w:noProof/>
          <w:color w:val="auto"/>
          <w:sz w:val="24"/>
        </w:rPr>
      </w:pPr>
      <w:hyperlink w:anchor="_Toc237918142" w:history="1">
        <w:r w:rsidRPr="009F6E97">
          <w:rPr>
            <w:rStyle w:val="Hyperlink"/>
            <w:noProof/>
          </w:rPr>
          <w:t>ANNEX 6B: INTERNAL ADJUDICATION CHARTER</w:t>
        </w:r>
        <w:r>
          <w:rPr>
            <w:noProof/>
            <w:webHidden/>
          </w:rPr>
          <w:tab/>
        </w:r>
        <w:r>
          <w:rPr>
            <w:noProof/>
            <w:webHidden/>
          </w:rPr>
          <w:fldChar w:fldCharType="begin"/>
        </w:r>
        <w:r>
          <w:rPr>
            <w:noProof/>
            <w:webHidden/>
          </w:rPr>
          <w:instrText xml:space="preserve"> PAGEREF _Toc237918142 \h </w:instrText>
        </w:r>
        <w:r>
          <w:rPr>
            <w:noProof/>
            <w:webHidden/>
          </w:rPr>
        </w:r>
        <w:r>
          <w:rPr>
            <w:noProof/>
            <w:webHidden/>
          </w:rPr>
          <w:fldChar w:fldCharType="separate"/>
        </w:r>
        <w:r>
          <w:rPr>
            <w:noProof/>
            <w:webHidden/>
          </w:rPr>
          <w:t>40</w:t>
        </w:r>
        <w:r>
          <w:rPr>
            <w:noProof/>
            <w:webHidden/>
          </w:rPr>
          <w:fldChar w:fldCharType="end"/>
        </w:r>
      </w:hyperlink>
    </w:p>
    <w:p w14:paraId="05748532" w14:textId="4C24D29E" w:rsidR="009E0ED2" w:rsidRDefault="009E0ED2">
      <w:pPr>
        <w:pStyle w:val="TOC1"/>
        <w:rPr>
          <w:rFonts w:asciiTheme="minorHAnsi" w:eastAsiaTheme="minorEastAsia" w:hAnsiTheme="minorHAnsi"/>
          <w:b w:val="0"/>
          <w:noProof/>
          <w:color w:val="auto"/>
          <w:sz w:val="24"/>
        </w:rPr>
      </w:pPr>
      <w:hyperlink w:anchor="_Toc237918143" w:history="1">
        <w:r w:rsidRPr="009F6E97">
          <w:rPr>
            <w:rStyle w:val="Hyperlink"/>
            <w:noProof/>
          </w:rPr>
          <w:t>ANNEX 11B: OPEN STANDARDS PROTOCOL</w:t>
        </w:r>
        <w:r>
          <w:rPr>
            <w:noProof/>
            <w:webHidden/>
          </w:rPr>
          <w:tab/>
        </w:r>
        <w:r>
          <w:rPr>
            <w:noProof/>
            <w:webHidden/>
          </w:rPr>
          <w:fldChar w:fldCharType="begin"/>
        </w:r>
        <w:r>
          <w:rPr>
            <w:noProof/>
            <w:webHidden/>
          </w:rPr>
          <w:instrText xml:space="preserve"> PAGEREF _Toc237918143 \h </w:instrText>
        </w:r>
        <w:r>
          <w:rPr>
            <w:noProof/>
            <w:webHidden/>
          </w:rPr>
        </w:r>
        <w:r>
          <w:rPr>
            <w:noProof/>
            <w:webHidden/>
          </w:rPr>
          <w:fldChar w:fldCharType="separate"/>
        </w:r>
        <w:r>
          <w:rPr>
            <w:noProof/>
            <w:webHidden/>
          </w:rPr>
          <w:t>41</w:t>
        </w:r>
        <w:r>
          <w:rPr>
            <w:noProof/>
            <w:webHidden/>
          </w:rPr>
          <w:fldChar w:fldCharType="end"/>
        </w:r>
      </w:hyperlink>
    </w:p>
    <w:p w14:paraId="6226870F" w14:textId="0A43983B" w:rsidR="009E0ED2" w:rsidRDefault="009E0ED2">
      <w:pPr>
        <w:pStyle w:val="TOC2"/>
        <w:rPr>
          <w:rFonts w:asciiTheme="minorHAnsi" w:eastAsiaTheme="minorEastAsia" w:hAnsiTheme="minorHAnsi"/>
          <w:noProof/>
          <w:color w:val="auto"/>
          <w:sz w:val="24"/>
        </w:rPr>
      </w:pPr>
      <w:hyperlink w:anchor="_Toc237918144" w:history="1">
        <w:r w:rsidRPr="009F6E97">
          <w:rPr>
            <w:rStyle w:val="Hyperlink"/>
            <w:noProof/>
          </w:rPr>
          <w:t>Section 11B.1: Trigger Conditions</w:t>
        </w:r>
        <w:r>
          <w:rPr>
            <w:noProof/>
            <w:webHidden/>
          </w:rPr>
          <w:tab/>
        </w:r>
        <w:r>
          <w:rPr>
            <w:noProof/>
            <w:webHidden/>
          </w:rPr>
          <w:fldChar w:fldCharType="begin"/>
        </w:r>
        <w:r>
          <w:rPr>
            <w:noProof/>
            <w:webHidden/>
          </w:rPr>
          <w:instrText xml:space="preserve"> PAGEREF _Toc237918144 \h </w:instrText>
        </w:r>
        <w:r>
          <w:rPr>
            <w:noProof/>
            <w:webHidden/>
          </w:rPr>
        </w:r>
        <w:r>
          <w:rPr>
            <w:noProof/>
            <w:webHidden/>
          </w:rPr>
          <w:fldChar w:fldCharType="separate"/>
        </w:r>
        <w:r>
          <w:rPr>
            <w:noProof/>
            <w:webHidden/>
          </w:rPr>
          <w:t>42</w:t>
        </w:r>
        <w:r>
          <w:rPr>
            <w:noProof/>
            <w:webHidden/>
          </w:rPr>
          <w:fldChar w:fldCharType="end"/>
        </w:r>
      </w:hyperlink>
    </w:p>
    <w:p w14:paraId="7B18379E" w14:textId="03D1AA6C" w:rsidR="009E0ED2" w:rsidRDefault="009E0ED2">
      <w:pPr>
        <w:pStyle w:val="TOC2"/>
        <w:rPr>
          <w:rFonts w:asciiTheme="minorHAnsi" w:eastAsiaTheme="minorEastAsia" w:hAnsiTheme="minorHAnsi"/>
          <w:noProof/>
          <w:color w:val="auto"/>
          <w:sz w:val="24"/>
        </w:rPr>
      </w:pPr>
      <w:hyperlink w:anchor="_Toc237918145" w:history="1">
        <w:r w:rsidRPr="009F6E97">
          <w:rPr>
            <w:rStyle w:val="Hyperlink"/>
            <w:rFonts w:cs="Calibri"/>
            <w:noProof/>
          </w:rPr>
          <w:t>Section 11B.2: Mandatory Response</w:t>
        </w:r>
        <w:r>
          <w:rPr>
            <w:noProof/>
            <w:webHidden/>
          </w:rPr>
          <w:tab/>
        </w:r>
        <w:r>
          <w:rPr>
            <w:noProof/>
            <w:webHidden/>
          </w:rPr>
          <w:fldChar w:fldCharType="begin"/>
        </w:r>
        <w:r>
          <w:rPr>
            <w:noProof/>
            <w:webHidden/>
          </w:rPr>
          <w:instrText xml:space="preserve"> PAGEREF _Toc237918145 \h </w:instrText>
        </w:r>
        <w:r>
          <w:rPr>
            <w:noProof/>
            <w:webHidden/>
          </w:rPr>
        </w:r>
        <w:r>
          <w:rPr>
            <w:noProof/>
            <w:webHidden/>
          </w:rPr>
          <w:fldChar w:fldCharType="separate"/>
        </w:r>
        <w:r>
          <w:rPr>
            <w:noProof/>
            <w:webHidden/>
          </w:rPr>
          <w:t>42</w:t>
        </w:r>
        <w:r>
          <w:rPr>
            <w:noProof/>
            <w:webHidden/>
          </w:rPr>
          <w:fldChar w:fldCharType="end"/>
        </w:r>
      </w:hyperlink>
    </w:p>
    <w:p w14:paraId="6B1A9B30" w14:textId="5EEDE4CE" w:rsidR="009E0ED2" w:rsidRDefault="009E0ED2">
      <w:pPr>
        <w:pStyle w:val="TOC2"/>
        <w:rPr>
          <w:rFonts w:asciiTheme="minorHAnsi" w:eastAsiaTheme="minorEastAsia" w:hAnsiTheme="minorHAnsi"/>
          <w:noProof/>
          <w:color w:val="auto"/>
          <w:sz w:val="24"/>
        </w:rPr>
      </w:pPr>
      <w:hyperlink w:anchor="_Toc237918146" w:history="1">
        <w:r w:rsidRPr="009F6E97">
          <w:rPr>
            <w:rStyle w:val="Hyperlink"/>
            <w:rFonts w:cs="Calibri"/>
            <w:noProof/>
          </w:rPr>
          <w:t>Section 11B.3: Non-Aggressor Framing</w:t>
        </w:r>
        <w:r>
          <w:rPr>
            <w:noProof/>
            <w:webHidden/>
          </w:rPr>
          <w:tab/>
        </w:r>
        <w:r>
          <w:rPr>
            <w:noProof/>
            <w:webHidden/>
          </w:rPr>
          <w:fldChar w:fldCharType="begin"/>
        </w:r>
        <w:r>
          <w:rPr>
            <w:noProof/>
            <w:webHidden/>
          </w:rPr>
          <w:instrText xml:space="preserve"> PAGEREF _Toc237918146 \h </w:instrText>
        </w:r>
        <w:r>
          <w:rPr>
            <w:noProof/>
            <w:webHidden/>
          </w:rPr>
        </w:r>
        <w:r>
          <w:rPr>
            <w:noProof/>
            <w:webHidden/>
          </w:rPr>
          <w:fldChar w:fldCharType="separate"/>
        </w:r>
        <w:r>
          <w:rPr>
            <w:noProof/>
            <w:webHidden/>
          </w:rPr>
          <w:t>42</w:t>
        </w:r>
        <w:r>
          <w:rPr>
            <w:noProof/>
            <w:webHidden/>
          </w:rPr>
          <w:fldChar w:fldCharType="end"/>
        </w:r>
      </w:hyperlink>
    </w:p>
    <w:p w14:paraId="76C064C3" w14:textId="3E888E1B" w:rsidR="009E0ED2" w:rsidRDefault="009E0ED2">
      <w:pPr>
        <w:pStyle w:val="TOC2"/>
        <w:rPr>
          <w:rFonts w:asciiTheme="minorHAnsi" w:eastAsiaTheme="minorEastAsia" w:hAnsiTheme="minorHAnsi"/>
          <w:noProof/>
          <w:color w:val="auto"/>
          <w:sz w:val="24"/>
        </w:rPr>
      </w:pPr>
      <w:hyperlink w:anchor="_Toc237918147" w:history="1">
        <w:r w:rsidRPr="009F6E97">
          <w:rPr>
            <w:rStyle w:val="Hyperlink"/>
            <w:rFonts w:cs="Calibri"/>
            <w:noProof/>
          </w:rPr>
          <w:t>Section 11B.4: Standards Neutrality Commitment</w:t>
        </w:r>
        <w:r>
          <w:rPr>
            <w:noProof/>
            <w:webHidden/>
          </w:rPr>
          <w:tab/>
        </w:r>
        <w:r>
          <w:rPr>
            <w:noProof/>
            <w:webHidden/>
          </w:rPr>
          <w:fldChar w:fldCharType="begin"/>
        </w:r>
        <w:r>
          <w:rPr>
            <w:noProof/>
            <w:webHidden/>
          </w:rPr>
          <w:instrText xml:space="preserve"> PAGEREF _Toc237918147 \h </w:instrText>
        </w:r>
        <w:r>
          <w:rPr>
            <w:noProof/>
            <w:webHidden/>
          </w:rPr>
        </w:r>
        <w:r>
          <w:rPr>
            <w:noProof/>
            <w:webHidden/>
          </w:rPr>
          <w:fldChar w:fldCharType="separate"/>
        </w:r>
        <w:r>
          <w:rPr>
            <w:noProof/>
            <w:webHidden/>
          </w:rPr>
          <w:t>42</w:t>
        </w:r>
        <w:r>
          <w:rPr>
            <w:noProof/>
            <w:webHidden/>
          </w:rPr>
          <w:fldChar w:fldCharType="end"/>
        </w:r>
      </w:hyperlink>
    </w:p>
    <w:p w14:paraId="4DE6956F" w14:textId="4C773672" w:rsidR="009E0ED2" w:rsidRDefault="009E0ED2">
      <w:pPr>
        <w:pStyle w:val="TOC2"/>
        <w:rPr>
          <w:rFonts w:asciiTheme="minorHAnsi" w:eastAsiaTheme="minorEastAsia" w:hAnsiTheme="minorHAnsi"/>
          <w:noProof/>
          <w:color w:val="auto"/>
          <w:sz w:val="24"/>
        </w:rPr>
      </w:pPr>
      <w:hyperlink w:anchor="_Toc237918148" w:history="1">
        <w:r w:rsidRPr="009F6E97">
          <w:rPr>
            <w:rStyle w:val="Hyperlink"/>
            <w:rFonts w:cs="Calibri"/>
            <w:noProof/>
          </w:rPr>
          <w:t>Section 11B.5: Certification and Dispute Resolution [Clarifying Rule]</w:t>
        </w:r>
        <w:r>
          <w:rPr>
            <w:noProof/>
            <w:webHidden/>
          </w:rPr>
          <w:tab/>
        </w:r>
        <w:r>
          <w:rPr>
            <w:noProof/>
            <w:webHidden/>
          </w:rPr>
          <w:fldChar w:fldCharType="begin"/>
        </w:r>
        <w:r>
          <w:rPr>
            <w:noProof/>
            <w:webHidden/>
          </w:rPr>
          <w:instrText xml:space="preserve"> PAGEREF _Toc237918148 \h </w:instrText>
        </w:r>
        <w:r>
          <w:rPr>
            <w:noProof/>
            <w:webHidden/>
          </w:rPr>
        </w:r>
        <w:r>
          <w:rPr>
            <w:noProof/>
            <w:webHidden/>
          </w:rPr>
          <w:fldChar w:fldCharType="separate"/>
        </w:r>
        <w:r>
          <w:rPr>
            <w:noProof/>
            <w:webHidden/>
          </w:rPr>
          <w:t>42</w:t>
        </w:r>
        <w:r>
          <w:rPr>
            <w:noProof/>
            <w:webHidden/>
          </w:rPr>
          <w:fldChar w:fldCharType="end"/>
        </w:r>
      </w:hyperlink>
    </w:p>
    <w:p w14:paraId="21FFA243" w14:textId="3BDF542F" w:rsidR="009E0ED2" w:rsidRDefault="009E0ED2">
      <w:pPr>
        <w:pStyle w:val="TOC1"/>
        <w:rPr>
          <w:rFonts w:asciiTheme="minorHAnsi" w:eastAsiaTheme="minorEastAsia" w:hAnsiTheme="minorHAnsi"/>
          <w:b w:val="0"/>
          <w:noProof/>
          <w:color w:val="auto"/>
          <w:sz w:val="24"/>
        </w:rPr>
      </w:pPr>
      <w:hyperlink w:anchor="_Toc237918149" w:history="1">
        <w:r w:rsidRPr="009F6E97">
          <w:rPr>
            <w:rStyle w:val="Hyperlink"/>
            <w:rFonts w:cs="Calibri"/>
            <w:noProof/>
          </w:rPr>
          <w:t>ANNEX 11C: ALTERNATIVE PAYMENT SYSTEM COORDINATION PROTOCOL</w:t>
        </w:r>
        <w:r>
          <w:rPr>
            <w:noProof/>
            <w:webHidden/>
          </w:rPr>
          <w:tab/>
        </w:r>
        <w:r>
          <w:rPr>
            <w:noProof/>
            <w:webHidden/>
          </w:rPr>
          <w:fldChar w:fldCharType="begin"/>
        </w:r>
        <w:r>
          <w:rPr>
            <w:noProof/>
            <w:webHidden/>
          </w:rPr>
          <w:instrText xml:space="preserve"> PAGEREF _Toc237918149 \h </w:instrText>
        </w:r>
        <w:r>
          <w:rPr>
            <w:noProof/>
            <w:webHidden/>
          </w:rPr>
        </w:r>
        <w:r>
          <w:rPr>
            <w:noProof/>
            <w:webHidden/>
          </w:rPr>
          <w:fldChar w:fldCharType="separate"/>
        </w:r>
        <w:r>
          <w:rPr>
            <w:noProof/>
            <w:webHidden/>
          </w:rPr>
          <w:t>43</w:t>
        </w:r>
        <w:r>
          <w:rPr>
            <w:noProof/>
            <w:webHidden/>
          </w:rPr>
          <w:fldChar w:fldCharType="end"/>
        </w:r>
      </w:hyperlink>
    </w:p>
    <w:p w14:paraId="67009D22" w14:textId="73E0F336" w:rsidR="009E0ED2" w:rsidRDefault="009E0ED2">
      <w:pPr>
        <w:pStyle w:val="TOC2"/>
        <w:rPr>
          <w:rFonts w:asciiTheme="minorHAnsi" w:eastAsiaTheme="minorEastAsia" w:hAnsiTheme="minorHAnsi"/>
          <w:noProof/>
          <w:color w:val="auto"/>
          <w:sz w:val="24"/>
        </w:rPr>
      </w:pPr>
      <w:hyperlink w:anchor="_Toc237918150" w:history="1">
        <w:r w:rsidRPr="009F6E97">
          <w:rPr>
            <w:rStyle w:val="Hyperlink"/>
            <w:rFonts w:cs="Calibri"/>
            <w:noProof/>
          </w:rPr>
          <w:t>Section 11C.1: Parallel System Monitoring</w:t>
        </w:r>
        <w:r>
          <w:rPr>
            <w:noProof/>
            <w:webHidden/>
          </w:rPr>
          <w:tab/>
        </w:r>
        <w:r>
          <w:rPr>
            <w:noProof/>
            <w:webHidden/>
          </w:rPr>
          <w:fldChar w:fldCharType="begin"/>
        </w:r>
        <w:r>
          <w:rPr>
            <w:noProof/>
            <w:webHidden/>
          </w:rPr>
          <w:instrText xml:space="preserve"> PAGEREF _Toc237918150 \h </w:instrText>
        </w:r>
        <w:r>
          <w:rPr>
            <w:noProof/>
            <w:webHidden/>
          </w:rPr>
        </w:r>
        <w:r>
          <w:rPr>
            <w:noProof/>
            <w:webHidden/>
          </w:rPr>
          <w:fldChar w:fldCharType="separate"/>
        </w:r>
        <w:r>
          <w:rPr>
            <w:noProof/>
            <w:webHidden/>
          </w:rPr>
          <w:t>43</w:t>
        </w:r>
        <w:r>
          <w:rPr>
            <w:noProof/>
            <w:webHidden/>
          </w:rPr>
          <w:fldChar w:fldCharType="end"/>
        </w:r>
      </w:hyperlink>
    </w:p>
    <w:p w14:paraId="1D99156B" w14:textId="6FB881CA" w:rsidR="009E0ED2" w:rsidRDefault="009E0ED2">
      <w:pPr>
        <w:pStyle w:val="TOC2"/>
        <w:rPr>
          <w:rFonts w:asciiTheme="minorHAnsi" w:eastAsiaTheme="minorEastAsia" w:hAnsiTheme="minorHAnsi"/>
          <w:noProof/>
          <w:color w:val="auto"/>
          <w:sz w:val="24"/>
        </w:rPr>
      </w:pPr>
      <w:hyperlink w:anchor="_Toc237918151" w:history="1">
        <w:r w:rsidRPr="009F6E97">
          <w:rPr>
            <w:rStyle w:val="Hyperlink"/>
            <w:rFonts w:cs="Calibri"/>
            <w:noProof/>
          </w:rPr>
          <w:t>Section 11C.2: Substitution Measures (Carrot, Not Stick)</w:t>
        </w:r>
        <w:r>
          <w:rPr>
            <w:noProof/>
            <w:webHidden/>
          </w:rPr>
          <w:tab/>
        </w:r>
        <w:r>
          <w:rPr>
            <w:noProof/>
            <w:webHidden/>
          </w:rPr>
          <w:fldChar w:fldCharType="begin"/>
        </w:r>
        <w:r>
          <w:rPr>
            <w:noProof/>
            <w:webHidden/>
          </w:rPr>
          <w:instrText xml:space="preserve"> PAGEREF _Toc237918151 \h </w:instrText>
        </w:r>
        <w:r>
          <w:rPr>
            <w:noProof/>
            <w:webHidden/>
          </w:rPr>
        </w:r>
        <w:r>
          <w:rPr>
            <w:noProof/>
            <w:webHidden/>
          </w:rPr>
          <w:fldChar w:fldCharType="separate"/>
        </w:r>
        <w:r>
          <w:rPr>
            <w:noProof/>
            <w:webHidden/>
          </w:rPr>
          <w:t>43</w:t>
        </w:r>
        <w:r>
          <w:rPr>
            <w:noProof/>
            <w:webHidden/>
          </w:rPr>
          <w:fldChar w:fldCharType="end"/>
        </w:r>
      </w:hyperlink>
    </w:p>
    <w:p w14:paraId="14D76B36" w14:textId="1111AA40" w:rsidR="009E0ED2" w:rsidRDefault="009E0ED2">
      <w:pPr>
        <w:pStyle w:val="TOC2"/>
        <w:rPr>
          <w:rFonts w:asciiTheme="minorHAnsi" w:eastAsiaTheme="minorEastAsia" w:hAnsiTheme="minorHAnsi"/>
          <w:noProof/>
          <w:color w:val="auto"/>
          <w:sz w:val="24"/>
        </w:rPr>
      </w:pPr>
      <w:hyperlink w:anchor="_Toc237918152" w:history="1">
        <w:r w:rsidRPr="009F6E97">
          <w:rPr>
            <w:rStyle w:val="Hyperlink"/>
            <w:rFonts w:cs="Calibri"/>
            <w:noProof/>
          </w:rPr>
          <w:t>Section 11C.3: Coordinated Opacity Reduction (Optional)</w:t>
        </w:r>
        <w:r>
          <w:rPr>
            <w:noProof/>
            <w:webHidden/>
          </w:rPr>
          <w:tab/>
        </w:r>
        <w:r>
          <w:rPr>
            <w:noProof/>
            <w:webHidden/>
          </w:rPr>
          <w:fldChar w:fldCharType="begin"/>
        </w:r>
        <w:r>
          <w:rPr>
            <w:noProof/>
            <w:webHidden/>
          </w:rPr>
          <w:instrText xml:space="preserve"> PAGEREF _Toc237918152 \h </w:instrText>
        </w:r>
        <w:r>
          <w:rPr>
            <w:noProof/>
            <w:webHidden/>
          </w:rPr>
        </w:r>
        <w:r>
          <w:rPr>
            <w:noProof/>
            <w:webHidden/>
          </w:rPr>
          <w:fldChar w:fldCharType="separate"/>
        </w:r>
        <w:r>
          <w:rPr>
            <w:noProof/>
            <w:webHidden/>
          </w:rPr>
          <w:t>44</w:t>
        </w:r>
        <w:r>
          <w:rPr>
            <w:noProof/>
            <w:webHidden/>
          </w:rPr>
          <w:fldChar w:fldCharType="end"/>
        </w:r>
      </w:hyperlink>
    </w:p>
    <w:p w14:paraId="2738B915" w14:textId="0861AFF6" w:rsidR="009E0ED2" w:rsidRDefault="009E0ED2">
      <w:pPr>
        <w:pStyle w:val="TOC2"/>
        <w:rPr>
          <w:rFonts w:asciiTheme="minorHAnsi" w:eastAsiaTheme="minorEastAsia" w:hAnsiTheme="minorHAnsi"/>
          <w:noProof/>
          <w:color w:val="auto"/>
          <w:sz w:val="24"/>
        </w:rPr>
      </w:pPr>
      <w:hyperlink w:anchor="_Toc237918153" w:history="1">
        <w:r w:rsidRPr="009F6E97">
          <w:rPr>
            <w:rStyle w:val="Hyperlink"/>
            <w:rFonts w:cs="Calibri"/>
            <w:noProof/>
          </w:rPr>
          <w:t>Section 11C.4: Explicit Non-Coercion Clause</w:t>
        </w:r>
        <w:r>
          <w:rPr>
            <w:noProof/>
            <w:webHidden/>
          </w:rPr>
          <w:tab/>
        </w:r>
        <w:r>
          <w:rPr>
            <w:noProof/>
            <w:webHidden/>
          </w:rPr>
          <w:fldChar w:fldCharType="begin"/>
        </w:r>
        <w:r>
          <w:rPr>
            <w:noProof/>
            <w:webHidden/>
          </w:rPr>
          <w:instrText xml:space="preserve"> PAGEREF _Toc237918153 \h </w:instrText>
        </w:r>
        <w:r>
          <w:rPr>
            <w:noProof/>
            <w:webHidden/>
          </w:rPr>
        </w:r>
        <w:r>
          <w:rPr>
            <w:noProof/>
            <w:webHidden/>
          </w:rPr>
          <w:fldChar w:fldCharType="separate"/>
        </w:r>
        <w:r>
          <w:rPr>
            <w:noProof/>
            <w:webHidden/>
          </w:rPr>
          <w:t>44</w:t>
        </w:r>
        <w:r>
          <w:rPr>
            <w:noProof/>
            <w:webHidden/>
          </w:rPr>
          <w:fldChar w:fldCharType="end"/>
        </w:r>
      </w:hyperlink>
    </w:p>
    <w:p w14:paraId="46211286" w14:textId="1CDE16D9" w:rsidR="009E0ED2" w:rsidRDefault="009E0ED2">
      <w:pPr>
        <w:pStyle w:val="TOC2"/>
        <w:rPr>
          <w:rFonts w:asciiTheme="minorHAnsi" w:eastAsiaTheme="minorEastAsia" w:hAnsiTheme="minorHAnsi"/>
          <w:noProof/>
          <w:color w:val="auto"/>
          <w:sz w:val="24"/>
        </w:rPr>
      </w:pPr>
      <w:hyperlink w:anchor="_Toc237918154" w:history="1">
        <w:r w:rsidRPr="009F6E97">
          <w:rPr>
            <w:rStyle w:val="Hyperlink"/>
            <w:rFonts w:cs="Calibri"/>
            <w:noProof/>
          </w:rPr>
          <w:t>Section 11C.5: Alternative Payment System Resilience Protocol</w:t>
        </w:r>
        <w:r>
          <w:rPr>
            <w:noProof/>
            <w:webHidden/>
          </w:rPr>
          <w:tab/>
        </w:r>
        <w:r>
          <w:rPr>
            <w:noProof/>
            <w:webHidden/>
          </w:rPr>
          <w:fldChar w:fldCharType="begin"/>
        </w:r>
        <w:r>
          <w:rPr>
            <w:noProof/>
            <w:webHidden/>
          </w:rPr>
          <w:instrText xml:space="preserve"> PAGEREF _Toc237918154 \h </w:instrText>
        </w:r>
        <w:r>
          <w:rPr>
            <w:noProof/>
            <w:webHidden/>
          </w:rPr>
        </w:r>
        <w:r>
          <w:rPr>
            <w:noProof/>
            <w:webHidden/>
          </w:rPr>
          <w:fldChar w:fldCharType="separate"/>
        </w:r>
        <w:r>
          <w:rPr>
            <w:noProof/>
            <w:webHidden/>
          </w:rPr>
          <w:t>44</w:t>
        </w:r>
        <w:r>
          <w:rPr>
            <w:noProof/>
            <w:webHidden/>
          </w:rPr>
          <w:fldChar w:fldCharType="end"/>
        </w:r>
      </w:hyperlink>
    </w:p>
    <w:p w14:paraId="7DD08BD9" w14:textId="3E0E285E" w:rsidR="009E0ED2" w:rsidRDefault="009E0ED2">
      <w:pPr>
        <w:pStyle w:val="TOC1"/>
        <w:rPr>
          <w:rFonts w:asciiTheme="minorHAnsi" w:eastAsiaTheme="minorEastAsia" w:hAnsiTheme="minorHAnsi"/>
          <w:b w:val="0"/>
          <w:noProof/>
          <w:color w:val="auto"/>
          <w:sz w:val="24"/>
        </w:rPr>
      </w:pPr>
      <w:hyperlink w:anchor="_Toc237918155" w:history="1">
        <w:r w:rsidRPr="009F6E97">
          <w:rPr>
            <w:rStyle w:val="Hyperlink"/>
            <w:rFonts w:cs="Calibri"/>
            <w:noProof/>
          </w:rPr>
          <w:t>ANNEX 12: DIGITAL AND AI GOVERNANCE PROTOCOL</w:t>
        </w:r>
        <w:r>
          <w:rPr>
            <w:noProof/>
            <w:webHidden/>
          </w:rPr>
          <w:tab/>
        </w:r>
        <w:r>
          <w:rPr>
            <w:noProof/>
            <w:webHidden/>
          </w:rPr>
          <w:fldChar w:fldCharType="begin"/>
        </w:r>
        <w:r>
          <w:rPr>
            <w:noProof/>
            <w:webHidden/>
          </w:rPr>
          <w:instrText xml:space="preserve"> PAGEREF _Toc237918155 \h </w:instrText>
        </w:r>
        <w:r>
          <w:rPr>
            <w:noProof/>
            <w:webHidden/>
          </w:rPr>
        </w:r>
        <w:r>
          <w:rPr>
            <w:noProof/>
            <w:webHidden/>
          </w:rPr>
          <w:fldChar w:fldCharType="separate"/>
        </w:r>
        <w:r>
          <w:rPr>
            <w:noProof/>
            <w:webHidden/>
          </w:rPr>
          <w:t>44</w:t>
        </w:r>
        <w:r>
          <w:rPr>
            <w:noProof/>
            <w:webHidden/>
          </w:rPr>
          <w:fldChar w:fldCharType="end"/>
        </w:r>
      </w:hyperlink>
    </w:p>
    <w:p w14:paraId="4491F69F" w14:textId="787CB22F" w:rsidR="009E0ED2" w:rsidRDefault="009E0ED2">
      <w:pPr>
        <w:pStyle w:val="TOC1"/>
        <w:rPr>
          <w:rFonts w:asciiTheme="minorHAnsi" w:eastAsiaTheme="minorEastAsia" w:hAnsiTheme="minorHAnsi"/>
          <w:b w:val="0"/>
          <w:noProof/>
          <w:color w:val="auto"/>
          <w:sz w:val="24"/>
        </w:rPr>
      </w:pPr>
      <w:hyperlink w:anchor="_Toc237918156" w:history="1">
        <w:r w:rsidRPr="009F6E97">
          <w:rPr>
            <w:rStyle w:val="Hyperlink"/>
            <w:noProof/>
          </w:rPr>
          <w:t>ANNEX 13A: VERIFIED CAPABILITY INDEX (VCI) AND LIVE-FIRE</w:t>
        </w:r>
        <w:r>
          <w:rPr>
            <w:noProof/>
            <w:webHidden/>
          </w:rPr>
          <w:tab/>
        </w:r>
        <w:r>
          <w:rPr>
            <w:noProof/>
            <w:webHidden/>
          </w:rPr>
          <w:fldChar w:fldCharType="begin"/>
        </w:r>
        <w:r>
          <w:rPr>
            <w:noProof/>
            <w:webHidden/>
          </w:rPr>
          <w:instrText xml:space="preserve"> PAGEREF _Toc237918156 \h </w:instrText>
        </w:r>
        <w:r>
          <w:rPr>
            <w:noProof/>
            <w:webHidden/>
          </w:rPr>
        </w:r>
        <w:r>
          <w:rPr>
            <w:noProof/>
            <w:webHidden/>
          </w:rPr>
          <w:fldChar w:fldCharType="separate"/>
        </w:r>
        <w:r>
          <w:rPr>
            <w:noProof/>
            <w:webHidden/>
          </w:rPr>
          <w:t>45</w:t>
        </w:r>
        <w:r>
          <w:rPr>
            <w:noProof/>
            <w:webHidden/>
          </w:rPr>
          <w:fldChar w:fldCharType="end"/>
        </w:r>
      </w:hyperlink>
    </w:p>
    <w:p w14:paraId="2EAF1618" w14:textId="5E81E282" w:rsidR="009E0ED2" w:rsidRDefault="009E0ED2">
      <w:pPr>
        <w:pStyle w:val="TOC1"/>
        <w:rPr>
          <w:rFonts w:asciiTheme="minorHAnsi" w:eastAsiaTheme="minorEastAsia" w:hAnsiTheme="minorHAnsi"/>
          <w:b w:val="0"/>
          <w:noProof/>
          <w:color w:val="auto"/>
          <w:sz w:val="24"/>
        </w:rPr>
      </w:pPr>
      <w:hyperlink w:anchor="_Toc237918157" w:history="1">
        <w:r w:rsidRPr="009F6E97">
          <w:rPr>
            <w:rStyle w:val="Hyperlink"/>
            <w:rFonts w:cs="Calibri"/>
            <w:noProof/>
          </w:rPr>
          <w:t>ANNEX 14: COERCION FORECAST MARKET PROTOCOLS</w:t>
        </w:r>
        <w:r>
          <w:rPr>
            <w:noProof/>
            <w:webHidden/>
          </w:rPr>
          <w:tab/>
        </w:r>
        <w:r>
          <w:rPr>
            <w:noProof/>
            <w:webHidden/>
          </w:rPr>
          <w:fldChar w:fldCharType="begin"/>
        </w:r>
        <w:r>
          <w:rPr>
            <w:noProof/>
            <w:webHidden/>
          </w:rPr>
          <w:instrText xml:space="preserve"> PAGEREF _Toc237918157 \h </w:instrText>
        </w:r>
        <w:r>
          <w:rPr>
            <w:noProof/>
            <w:webHidden/>
          </w:rPr>
        </w:r>
        <w:r>
          <w:rPr>
            <w:noProof/>
            <w:webHidden/>
          </w:rPr>
          <w:fldChar w:fldCharType="separate"/>
        </w:r>
        <w:r>
          <w:rPr>
            <w:noProof/>
            <w:webHidden/>
          </w:rPr>
          <w:t>47</w:t>
        </w:r>
        <w:r>
          <w:rPr>
            <w:noProof/>
            <w:webHidden/>
          </w:rPr>
          <w:fldChar w:fldCharType="end"/>
        </w:r>
      </w:hyperlink>
    </w:p>
    <w:p w14:paraId="0DEF5284" w14:textId="7C3D22EF" w:rsidR="009E0ED2" w:rsidRDefault="009E0ED2">
      <w:pPr>
        <w:pStyle w:val="TOC1"/>
        <w:rPr>
          <w:rFonts w:asciiTheme="minorHAnsi" w:eastAsiaTheme="minorEastAsia" w:hAnsiTheme="minorHAnsi"/>
          <w:b w:val="0"/>
          <w:noProof/>
          <w:color w:val="auto"/>
          <w:sz w:val="24"/>
        </w:rPr>
      </w:pPr>
      <w:hyperlink w:anchor="_Toc237918158" w:history="1">
        <w:r w:rsidRPr="009F6E97">
          <w:rPr>
            <w:rStyle w:val="Hyperlink"/>
            <w:noProof/>
          </w:rPr>
          <w:t>ANNEX 20: CONTINGENCY ARCHITECTURE FOR FUTURE REVIEW</w:t>
        </w:r>
        <w:r>
          <w:rPr>
            <w:noProof/>
            <w:webHidden/>
          </w:rPr>
          <w:tab/>
        </w:r>
        <w:r>
          <w:rPr>
            <w:noProof/>
            <w:webHidden/>
          </w:rPr>
          <w:fldChar w:fldCharType="begin"/>
        </w:r>
        <w:r>
          <w:rPr>
            <w:noProof/>
            <w:webHidden/>
          </w:rPr>
          <w:instrText xml:space="preserve"> PAGEREF _Toc237918158 \h </w:instrText>
        </w:r>
        <w:r>
          <w:rPr>
            <w:noProof/>
            <w:webHidden/>
          </w:rPr>
        </w:r>
        <w:r>
          <w:rPr>
            <w:noProof/>
            <w:webHidden/>
          </w:rPr>
          <w:fldChar w:fldCharType="separate"/>
        </w:r>
        <w:r>
          <w:rPr>
            <w:noProof/>
            <w:webHidden/>
          </w:rPr>
          <w:t>51</w:t>
        </w:r>
        <w:r>
          <w:rPr>
            <w:noProof/>
            <w:webHidden/>
          </w:rPr>
          <w:fldChar w:fldCharType="end"/>
        </w:r>
      </w:hyperlink>
    </w:p>
    <w:p w14:paraId="313D437B" w14:textId="4611E6EA" w:rsidR="009E0ED2" w:rsidRDefault="009E0ED2">
      <w:pPr>
        <w:pStyle w:val="TOC1"/>
        <w:rPr>
          <w:rFonts w:asciiTheme="minorHAnsi" w:eastAsiaTheme="minorEastAsia" w:hAnsiTheme="minorHAnsi"/>
          <w:b w:val="0"/>
          <w:noProof/>
          <w:color w:val="auto"/>
          <w:sz w:val="24"/>
        </w:rPr>
      </w:pPr>
      <w:hyperlink w:anchor="_Toc237918159" w:history="1">
        <w:r w:rsidRPr="009F6E97">
          <w:rPr>
            <w:rStyle w:val="Hyperlink"/>
            <w:rFonts w:cs="Calibri"/>
            <w:noProof/>
          </w:rPr>
          <w:t>Annex 8A: Illustrative Capitalization Model</w:t>
        </w:r>
        <w:r>
          <w:rPr>
            <w:noProof/>
            <w:webHidden/>
          </w:rPr>
          <w:tab/>
        </w:r>
        <w:r>
          <w:rPr>
            <w:noProof/>
            <w:webHidden/>
          </w:rPr>
          <w:fldChar w:fldCharType="begin"/>
        </w:r>
        <w:r>
          <w:rPr>
            <w:noProof/>
            <w:webHidden/>
          </w:rPr>
          <w:instrText xml:space="preserve"> PAGEREF _Toc237918159 \h </w:instrText>
        </w:r>
        <w:r>
          <w:rPr>
            <w:noProof/>
            <w:webHidden/>
          </w:rPr>
        </w:r>
        <w:r>
          <w:rPr>
            <w:noProof/>
            <w:webHidden/>
          </w:rPr>
          <w:fldChar w:fldCharType="separate"/>
        </w:r>
        <w:r>
          <w:rPr>
            <w:noProof/>
            <w:webHidden/>
          </w:rPr>
          <w:t>53</w:t>
        </w:r>
        <w:r>
          <w:rPr>
            <w:noProof/>
            <w:webHidden/>
          </w:rPr>
          <w:fldChar w:fldCharType="end"/>
        </w:r>
      </w:hyperlink>
    </w:p>
    <w:p w14:paraId="1652A200" w14:textId="6D6F0B87" w:rsidR="009E0ED2" w:rsidRDefault="009E0ED2">
      <w:pPr>
        <w:pStyle w:val="TOC2"/>
        <w:rPr>
          <w:rFonts w:asciiTheme="minorHAnsi" w:eastAsiaTheme="minorEastAsia" w:hAnsiTheme="minorHAnsi"/>
          <w:noProof/>
          <w:color w:val="auto"/>
          <w:sz w:val="24"/>
        </w:rPr>
      </w:pPr>
      <w:hyperlink w:anchor="_Toc237918160" w:history="1">
        <w:r w:rsidRPr="009F6E97">
          <w:rPr>
            <w:rStyle w:val="Hyperlink"/>
            <w:rFonts w:cs="Calibri"/>
            <w:noProof/>
          </w:rPr>
          <w:t>Section 10.15: Predictability Restoration Protocol</w:t>
        </w:r>
        <w:r>
          <w:rPr>
            <w:noProof/>
            <w:webHidden/>
          </w:rPr>
          <w:tab/>
        </w:r>
        <w:r>
          <w:rPr>
            <w:noProof/>
            <w:webHidden/>
          </w:rPr>
          <w:fldChar w:fldCharType="begin"/>
        </w:r>
        <w:r>
          <w:rPr>
            <w:noProof/>
            <w:webHidden/>
          </w:rPr>
          <w:instrText xml:space="preserve"> PAGEREF _Toc237918160 \h </w:instrText>
        </w:r>
        <w:r>
          <w:rPr>
            <w:noProof/>
            <w:webHidden/>
          </w:rPr>
        </w:r>
        <w:r>
          <w:rPr>
            <w:noProof/>
            <w:webHidden/>
          </w:rPr>
          <w:fldChar w:fldCharType="separate"/>
        </w:r>
        <w:r>
          <w:rPr>
            <w:noProof/>
            <w:webHidden/>
          </w:rPr>
          <w:t>53</w:t>
        </w:r>
        <w:r>
          <w:rPr>
            <w:noProof/>
            <w:webHidden/>
          </w:rPr>
          <w:fldChar w:fldCharType="end"/>
        </w:r>
      </w:hyperlink>
    </w:p>
    <w:p w14:paraId="7B1D8515" w14:textId="7E735480" w:rsidR="009E0ED2" w:rsidRDefault="009E0ED2">
      <w:pPr>
        <w:pStyle w:val="TOC2"/>
        <w:rPr>
          <w:rFonts w:asciiTheme="minorHAnsi" w:eastAsiaTheme="minorEastAsia" w:hAnsiTheme="minorHAnsi"/>
          <w:noProof/>
          <w:color w:val="auto"/>
          <w:sz w:val="24"/>
        </w:rPr>
      </w:pPr>
      <w:hyperlink w:anchor="_Toc237918161" w:history="1">
        <w:r w:rsidRPr="009F6E97">
          <w:rPr>
            <w:rStyle w:val="Hyperlink"/>
            <w:rFonts w:cs="Calibri"/>
            <w:noProof/>
          </w:rPr>
          <w:t>Section 10.16: Enhanced Domestic Political Cost Disclosure</w:t>
        </w:r>
        <w:r>
          <w:rPr>
            <w:noProof/>
            <w:webHidden/>
          </w:rPr>
          <w:tab/>
        </w:r>
        <w:r>
          <w:rPr>
            <w:noProof/>
            <w:webHidden/>
          </w:rPr>
          <w:fldChar w:fldCharType="begin"/>
        </w:r>
        <w:r>
          <w:rPr>
            <w:noProof/>
            <w:webHidden/>
          </w:rPr>
          <w:instrText xml:space="preserve"> PAGEREF _Toc237918161 \h </w:instrText>
        </w:r>
        <w:r>
          <w:rPr>
            <w:noProof/>
            <w:webHidden/>
          </w:rPr>
        </w:r>
        <w:r>
          <w:rPr>
            <w:noProof/>
            <w:webHidden/>
          </w:rPr>
          <w:fldChar w:fldCharType="separate"/>
        </w:r>
        <w:r>
          <w:rPr>
            <w:noProof/>
            <w:webHidden/>
          </w:rPr>
          <w:t>53</w:t>
        </w:r>
        <w:r>
          <w:rPr>
            <w:noProof/>
            <w:webHidden/>
          </w:rPr>
          <w:fldChar w:fldCharType="end"/>
        </w:r>
      </w:hyperlink>
    </w:p>
    <w:p w14:paraId="3687617A" w14:textId="537D34E5" w:rsidR="009E0ED2" w:rsidRDefault="009E0ED2">
      <w:pPr>
        <w:pStyle w:val="TOC2"/>
        <w:rPr>
          <w:rFonts w:asciiTheme="minorHAnsi" w:eastAsiaTheme="minorEastAsia" w:hAnsiTheme="minorHAnsi"/>
          <w:noProof/>
          <w:color w:val="auto"/>
          <w:sz w:val="24"/>
        </w:rPr>
      </w:pPr>
      <w:hyperlink w:anchor="_Toc237918162" w:history="1">
        <w:r w:rsidRPr="009F6E97">
          <w:rPr>
            <w:rStyle w:val="Hyperlink"/>
            <w:rFonts w:cs="Calibri"/>
            <w:noProof/>
          </w:rPr>
          <w:t>Section 10.17: Policy Reversal Penalty Protocol</w:t>
        </w:r>
        <w:r>
          <w:rPr>
            <w:noProof/>
            <w:webHidden/>
          </w:rPr>
          <w:tab/>
        </w:r>
        <w:r>
          <w:rPr>
            <w:noProof/>
            <w:webHidden/>
          </w:rPr>
          <w:fldChar w:fldCharType="begin"/>
        </w:r>
        <w:r>
          <w:rPr>
            <w:noProof/>
            <w:webHidden/>
          </w:rPr>
          <w:instrText xml:space="preserve"> PAGEREF _Toc237918162 \h </w:instrText>
        </w:r>
        <w:r>
          <w:rPr>
            <w:noProof/>
            <w:webHidden/>
          </w:rPr>
        </w:r>
        <w:r>
          <w:rPr>
            <w:noProof/>
            <w:webHidden/>
          </w:rPr>
          <w:fldChar w:fldCharType="separate"/>
        </w:r>
        <w:r>
          <w:rPr>
            <w:noProof/>
            <w:webHidden/>
          </w:rPr>
          <w:t>54</w:t>
        </w:r>
        <w:r>
          <w:rPr>
            <w:noProof/>
            <w:webHidden/>
          </w:rPr>
          <w:fldChar w:fldCharType="end"/>
        </w:r>
      </w:hyperlink>
    </w:p>
    <w:p w14:paraId="02B36010" w14:textId="481E6B38" w:rsidR="009E0ED2" w:rsidRDefault="009E0ED2">
      <w:pPr>
        <w:pStyle w:val="TOC1"/>
        <w:rPr>
          <w:rFonts w:asciiTheme="minorHAnsi" w:eastAsiaTheme="minorEastAsia" w:hAnsiTheme="minorHAnsi"/>
          <w:b w:val="0"/>
          <w:noProof/>
          <w:color w:val="auto"/>
          <w:sz w:val="24"/>
        </w:rPr>
      </w:pPr>
      <w:hyperlink w:anchor="_Toc237918163" w:history="1">
        <w:r w:rsidRPr="009F6E97">
          <w:rPr>
            <w:rStyle w:val="Hyperlink"/>
            <w:rFonts w:cs="Calibri"/>
            <w:noProof/>
          </w:rPr>
          <w:t>ANNEX 24: OPERATIONAL THRESHOLDS AND CALIBRATION BANDS</w:t>
        </w:r>
        <w:r>
          <w:rPr>
            <w:noProof/>
            <w:webHidden/>
          </w:rPr>
          <w:tab/>
        </w:r>
        <w:r>
          <w:rPr>
            <w:noProof/>
            <w:webHidden/>
          </w:rPr>
          <w:fldChar w:fldCharType="begin"/>
        </w:r>
        <w:r>
          <w:rPr>
            <w:noProof/>
            <w:webHidden/>
          </w:rPr>
          <w:instrText xml:space="preserve"> PAGEREF _Toc237918163 \h </w:instrText>
        </w:r>
        <w:r>
          <w:rPr>
            <w:noProof/>
            <w:webHidden/>
          </w:rPr>
        </w:r>
        <w:r>
          <w:rPr>
            <w:noProof/>
            <w:webHidden/>
          </w:rPr>
          <w:fldChar w:fldCharType="separate"/>
        </w:r>
        <w:r>
          <w:rPr>
            <w:noProof/>
            <w:webHidden/>
          </w:rPr>
          <w:t>54</w:t>
        </w:r>
        <w:r>
          <w:rPr>
            <w:noProof/>
            <w:webHidden/>
          </w:rPr>
          <w:fldChar w:fldCharType="end"/>
        </w:r>
      </w:hyperlink>
    </w:p>
    <w:p w14:paraId="3678F804" w14:textId="03B23C4F" w:rsidR="009E0ED2" w:rsidRDefault="009E0ED2">
      <w:pPr>
        <w:pStyle w:val="TOC1"/>
        <w:rPr>
          <w:rFonts w:asciiTheme="minorHAnsi" w:eastAsiaTheme="minorEastAsia" w:hAnsiTheme="minorHAnsi"/>
          <w:b w:val="0"/>
          <w:noProof/>
          <w:color w:val="auto"/>
          <w:sz w:val="24"/>
        </w:rPr>
      </w:pPr>
      <w:hyperlink w:anchor="_Toc237918164" w:history="1">
        <w:r w:rsidRPr="009F6E97">
          <w:rPr>
            <w:rStyle w:val="Hyperlink"/>
            <w:rFonts w:cs="Calibri"/>
            <w:noProof/>
          </w:rPr>
          <w:t>APPENDIX</w:t>
        </w:r>
        <w:r>
          <w:rPr>
            <w:noProof/>
            <w:webHidden/>
          </w:rPr>
          <w:tab/>
        </w:r>
        <w:r>
          <w:rPr>
            <w:noProof/>
            <w:webHidden/>
          </w:rPr>
          <w:fldChar w:fldCharType="begin"/>
        </w:r>
        <w:r>
          <w:rPr>
            <w:noProof/>
            <w:webHidden/>
          </w:rPr>
          <w:instrText xml:space="preserve"> PAGEREF _Toc237918164 \h </w:instrText>
        </w:r>
        <w:r>
          <w:rPr>
            <w:noProof/>
            <w:webHidden/>
          </w:rPr>
        </w:r>
        <w:r>
          <w:rPr>
            <w:noProof/>
            <w:webHidden/>
          </w:rPr>
          <w:fldChar w:fldCharType="separate"/>
        </w:r>
        <w:r>
          <w:rPr>
            <w:noProof/>
            <w:webHidden/>
          </w:rPr>
          <w:t>56</w:t>
        </w:r>
        <w:r>
          <w:rPr>
            <w:noProof/>
            <w:webHidden/>
          </w:rPr>
          <w:fldChar w:fldCharType="end"/>
        </w:r>
      </w:hyperlink>
    </w:p>
    <w:p w14:paraId="339E9B9A" w14:textId="59CF7FC1" w:rsidR="00A306EF" w:rsidRDefault="00000000">
      <w:pPr>
        <w:pStyle w:val="TOC1"/>
        <w:spacing w:after="100"/>
      </w:pPr>
      <w:r>
        <w:fldChar w:fldCharType="end"/>
      </w:r>
    </w:p>
    <w:p w14:paraId="66C43AE9" w14:textId="77777777" w:rsidR="00A306EF" w:rsidRDefault="00000000">
      <w:pPr>
        <w:pStyle w:val="Heading3"/>
        <w:pageBreakBefore/>
      </w:pPr>
      <w:r>
        <w:rPr>
          <w:rFonts w:cs="Calibri"/>
          <w:szCs w:val="22"/>
        </w:rPr>
        <w:lastRenderedPageBreak/>
        <w:t>Document Architecture Note</w:t>
      </w:r>
    </w:p>
    <w:p w14:paraId="1114DFED" w14:textId="77777777" w:rsidR="00A306EF" w:rsidRDefault="00000000">
      <w:pPr>
        <w:spacing w:after="140"/>
      </w:pPr>
      <w:r>
        <w:rPr>
          <w:rFonts w:cs="Calibri"/>
          <w:szCs w:val="21"/>
        </w:rPr>
        <w:t>This document forms one volume of the three-volume IMESI v15.0 architecture. Volume 1, IMESI Charter &amp; Foundational Principles v15.0, defines the authority and legitimacy of the framework. Volume 2, IMESI Operational Doctrine &amp; Response Architecture v15.0, defines the behavior and response logic. Volume 3, IMESI Technical Annexes &amp; Enforcement Mechanisms v15.0, defines the mechanics and algorithms. Each volume reads independently for its audience, and cross-references to articles and annexes remain valid across the full three-volume set. This split preserves all content of the consolidated IMESI v15.0 master document.</w:t>
      </w:r>
    </w:p>
    <w:p w14:paraId="68DF546C" w14:textId="77777777" w:rsidR="00A306EF" w:rsidRDefault="00000000">
      <w:pPr>
        <w:pStyle w:val="Heading1"/>
        <w:spacing w:after="100"/>
      </w:pPr>
      <w:bookmarkStart w:id="0" w:name="_Toc237918123"/>
      <w:r>
        <w:rPr>
          <w:rFonts w:cs="Calibri"/>
          <w:szCs w:val="30"/>
        </w:rPr>
        <w:t>VERSION HISTORY AND DOCUMENT CONTROL SUMMARIES</w:t>
      </w:r>
      <w:bookmarkEnd w:id="0"/>
    </w:p>
    <w:p w14:paraId="5AB69E75" w14:textId="77777777" w:rsidR="00A306EF" w:rsidRDefault="00000000">
      <w:pPr>
        <w:pStyle w:val="Heading1"/>
        <w:spacing w:after="100"/>
      </w:pPr>
      <w:bookmarkStart w:id="1" w:name="_Toc237918124"/>
      <w:r>
        <w:rPr>
          <w:rFonts w:cs="Calibri"/>
          <w:szCs w:val="30"/>
        </w:rPr>
        <w:t>v15.0 RED TEAM, DEFECTOR, INTEGRITY, MILITARY, ANTI-FRAGILITY, AND WTO-DEFENCE SUMMARY</w:t>
      </w:r>
      <w:bookmarkEnd w:id="1"/>
    </w:p>
    <w:p w14:paraId="2AE9C592" w14:textId="77777777" w:rsidR="00A306EF" w:rsidRDefault="00000000">
      <w:pPr>
        <w:spacing w:after="140"/>
      </w:pPr>
      <w:r>
        <w:rPr>
          <w:rFonts w:cs="Calibri"/>
          <w:szCs w:val="21"/>
        </w:rPr>
        <w:t>This version integrates the complete Soor2 change package: 12 Red Team improvements, 10 Sovereign Defector amendments, 10 economic benefit carrots, 10 integrity hardening amendments, 10 military coercion hardening amendments, 6 anti-fragility amendments, 12 Heritage loophole fixes, the expulsion earn-back harmonization fix, 12 WTO defense amendments, the Living Document Protocol, and 10 final gap-closing amendments. Every provision underwent WTO-compatibility review and Immutable Present-Tense Matrix redrafting before integration. Four numbering collisions and five duplicated proposals were resolved through renumbering and merger, as documented below.</w:t>
      </w:r>
    </w:p>
    <w:p w14:paraId="654D4E6C" w14:textId="77777777" w:rsidR="00A306EF" w:rsidRDefault="00000000">
      <w:pPr>
        <w:spacing w:after="80"/>
      </w:pPr>
      <w:r>
        <w:rPr>
          <w:rFonts w:cs="Calibri"/>
          <w:szCs w:val="21"/>
        </w:rPr>
        <w:t>Part I: Red Team Improvements (12 provisions):</w:t>
      </w:r>
    </w:p>
    <w:p w14:paraId="61C68403" w14:textId="77777777" w:rsidR="00A306EF" w:rsidRDefault="00000000">
      <w:pPr>
        <w:spacing w:after="80"/>
      </w:pPr>
      <w:r>
        <w:rPr>
          <w:rFonts w:cs="Calibri"/>
          <w:szCs w:val="21"/>
        </w:rPr>
        <w:t>Section 2.15B: Protocol-Layer Coercion Certification</w:t>
      </w:r>
    </w:p>
    <w:p w14:paraId="17C34DD2" w14:textId="77777777" w:rsidR="00A306EF" w:rsidRDefault="00000000">
      <w:pPr>
        <w:spacing w:after="80"/>
      </w:pPr>
      <w:r>
        <w:rPr>
          <w:rFonts w:cs="Calibri"/>
          <w:szCs w:val="21"/>
        </w:rPr>
        <w:t>Section 8.28A: Regional Logistics Surge Authority</w:t>
      </w:r>
    </w:p>
    <w:p w14:paraId="3A8D25E4" w14:textId="77777777" w:rsidR="00A306EF" w:rsidRDefault="00000000">
      <w:pPr>
        <w:spacing w:after="80"/>
      </w:pPr>
      <w:r>
        <w:rPr>
          <w:rFonts w:cs="Calibri"/>
          <w:szCs w:val="21"/>
        </w:rPr>
        <w:t>Section 3.8G: Lame Duck and Transition Period Protections (renumbered from proposed 3.8F, which Section 3.8F Parliamentary Rejection already occupies)</w:t>
      </w:r>
    </w:p>
    <w:p w14:paraId="53F362EF" w14:textId="77777777" w:rsidR="00A306EF" w:rsidRDefault="00000000">
      <w:pPr>
        <w:spacing w:after="80"/>
      </w:pPr>
      <w:r>
        <w:rPr>
          <w:rFonts w:cs="Calibri"/>
          <w:szCs w:val="21"/>
        </w:rPr>
        <w:t>Section 4.2AE: Departure Communications Protocol (merges Improvement 4 and Defector Amendment 10, which proposed identical text)</w:t>
      </w:r>
    </w:p>
    <w:p w14:paraId="3B275320" w14:textId="77777777" w:rsidR="00A306EF" w:rsidRDefault="00000000">
      <w:pPr>
        <w:spacing w:after="80"/>
      </w:pPr>
      <w:r>
        <w:rPr>
          <w:rFonts w:cs="Calibri"/>
          <w:szCs w:val="21"/>
        </w:rPr>
        <w:t>Section 8.28B: Strategic Processed Minerals Reserve</w:t>
      </w:r>
    </w:p>
    <w:p w14:paraId="6EACC678" w14:textId="77777777" w:rsidR="00A306EF" w:rsidRDefault="00000000">
      <w:pPr>
        <w:spacing w:after="80"/>
      </w:pPr>
      <w:r>
        <w:rPr>
          <w:rFonts w:cs="Calibri"/>
          <w:szCs w:val="21"/>
        </w:rPr>
        <w:t>Section 2.5H: Coercion-as-Service Attribution</w:t>
      </w:r>
    </w:p>
    <w:p w14:paraId="7546CD3F" w14:textId="77777777" w:rsidR="00A306EF" w:rsidRDefault="00000000">
      <w:pPr>
        <w:spacing w:after="80"/>
      </w:pPr>
      <w:r>
        <w:rPr>
          <w:rFonts w:cs="Calibri"/>
          <w:szCs w:val="21"/>
        </w:rPr>
        <w:t>Section 2.15G: Standing Evidentiary Challenge Panel</w:t>
      </w:r>
    </w:p>
    <w:p w14:paraId="383CDA34" w14:textId="77777777" w:rsidR="00A306EF" w:rsidRDefault="00000000">
      <w:pPr>
        <w:spacing w:after="140"/>
      </w:pPr>
      <w:r>
        <w:rPr>
          <w:rFonts w:cs="Calibri"/>
          <w:szCs w:val="21"/>
        </w:rPr>
        <w:t>Section 6.12G: Bilateral Deal Insurance and Solidarity Counter-Offer (merges Improvement 8 and Defector Amendment 2, which both proposed Section 6.12G; capitalization fixed at 3% of total Fund size per the more developed Defector Amendment text)</w:t>
      </w:r>
    </w:p>
    <w:p w14:paraId="118BE186" w14:textId="77777777" w:rsidR="00A306EF" w:rsidRDefault="00000000">
      <w:pPr>
        <w:spacing w:after="80"/>
      </w:pPr>
      <w:r>
        <w:rPr>
          <w:rFonts w:cs="Calibri"/>
          <w:szCs w:val="21"/>
        </w:rPr>
        <w:t>Section 4.2AF: Member Political Pressure Vulnerability Assessment</w:t>
      </w:r>
    </w:p>
    <w:p w14:paraId="3E5782FC" w14:textId="77777777" w:rsidR="00A306EF" w:rsidRDefault="00000000">
      <w:pPr>
        <w:spacing w:after="80"/>
      </w:pPr>
      <w:r>
        <w:rPr>
          <w:rFonts w:cs="Calibri"/>
          <w:szCs w:val="21"/>
        </w:rPr>
        <w:t>Section 8.11C: Coercion Impact Fund for Non-Members</w:t>
      </w:r>
    </w:p>
    <w:p w14:paraId="3E48C4F4" w14:textId="77777777" w:rsidR="00A306EF" w:rsidRDefault="00000000">
      <w:pPr>
        <w:spacing w:after="80"/>
      </w:pPr>
      <w:r>
        <w:rPr>
          <w:rFonts w:cs="Calibri"/>
          <w:szCs w:val="21"/>
        </w:rPr>
        <w:lastRenderedPageBreak/>
        <w:t>Section 4.2AG: Standing Expert Rotation and Independence Protocol</w:t>
      </w:r>
    </w:p>
    <w:p w14:paraId="08B8A274" w14:textId="77777777" w:rsidR="00A306EF" w:rsidRDefault="00000000">
      <w:pPr>
        <w:spacing w:after="80"/>
      </w:pPr>
      <w:r>
        <w:rPr>
          <w:rFonts w:cs="Calibri"/>
          <w:szCs w:val="21"/>
        </w:rPr>
        <w:t>Section 5.0R: Pre-Authorized Evidentiary Packages</w:t>
      </w:r>
    </w:p>
    <w:p w14:paraId="2E3CFF81" w14:textId="77777777" w:rsidR="00A306EF" w:rsidRDefault="00000000">
      <w:pPr>
        <w:spacing w:after="80"/>
      </w:pPr>
      <w:r>
        <w:rPr>
          <w:rFonts w:cs="Calibri"/>
          <w:szCs w:val="21"/>
        </w:rPr>
        <w:t>Part II: Sovereign Defector Amendments (10 amendments, 8 standalone after mergers):</w:t>
      </w:r>
    </w:p>
    <w:p w14:paraId="7522B6A6" w14:textId="77777777" w:rsidR="00A306EF" w:rsidRDefault="00000000">
      <w:pPr>
        <w:spacing w:after="80"/>
      </w:pPr>
      <w:r>
        <w:rPr>
          <w:rFonts w:cs="Calibri"/>
          <w:szCs w:val="21"/>
        </w:rPr>
        <w:t>Section 6.6 (Addendum): Autonomous Sub-National and Corporate Participation</w:t>
      </w:r>
    </w:p>
    <w:p w14:paraId="4FC606C0" w14:textId="77777777" w:rsidR="00A306EF" w:rsidRDefault="00000000">
      <w:pPr>
        <w:spacing w:after="80"/>
      </w:pPr>
      <w:r>
        <w:rPr>
          <w:rFonts w:cs="Calibri"/>
          <w:szCs w:val="21"/>
        </w:rPr>
        <w:t>Section 6.3 (Second Addendum): Accelerated ACE for Systemic-Economy Defectors</w:t>
      </w:r>
    </w:p>
    <w:p w14:paraId="7AFDC4BF" w14:textId="77777777" w:rsidR="00A306EF" w:rsidRDefault="00000000">
      <w:pPr>
        <w:spacing w:after="80"/>
      </w:pPr>
      <w:r>
        <w:rPr>
          <w:rFonts w:cs="Calibri"/>
          <w:szCs w:val="21"/>
        </w:rPr>
        <w:t>Section 2.10 (Third Addendum): Systemic-Actor Cumulative Pressure Reduction</w:t>
      </w:r>
    </w:p>
    <w:p w14:paraId="7471BAC9" w14:textId="77777777" w:rsidR="00A306EF" w:rsidRDefault="00000000">
      <w:pPr>
        <w:spacing w:after="80"/>
      </w:pPr>
      <w:r>
        <w:rPr>
          <w:rFonts w:cs="Calibri"/>
          <w:szCs w:val="21"/>
        </w:rPr>
        <w:t>Section 3.7B (Second Addendum): Banked Performance Enforcement</w:t>
      </w:r>
    </w:p>
    <w:p w14:paraId="4A17A455" w14:textId="77777777" w:rsidR="00A306EF" w:rsidRDefault="00000000">
      <w:pPr>
        <w:spacing w:after="80"/>
      </w:pPr>
      <w:r>
        <w:rPr>
          <w:rFonts w:cs="Calibri"/>
          <w:szCs w:val="21"/>
        </w:rPr>
        <w:t>Section 4.6F (Addendum): Institutional Swap on Defection Notice</w:t>
      </w:r>
    </w:p>
    <w:p w14:paraId="08083FB4" w14:textId="77777777" w:rsidR="00A306EF" w:rsidRDefault="00000000">
      <w:pPr>
        <w:spacing w:after="80"/>
      </w:pPr>
      <w:r>
        <w:rPr>
          <w:rFonts w:cs="Calibri"/>
          <w:szCs w:val="21"/>
        </w:rPr>
        <w:t>Section 8.4C (Addendum): Enhanced Anonymity for Defection-Resistant Members</w:t>
      </w:r>
    </w:p>
    <w:p w14:paraId="3F80824E" w14:textId="77777777" w:rsidR="00A306EF" w:rsidRDefault="00000000">
      <w:pPr>
        <w:spacing w:after="80"/>
      </w:pPr>
      <w:r>
        <w:t>Section 8.9 (Addendum): Decoupling Surge on Systemic Defection</w:t>
      </w:r>
    </w:p>
    <w:p w14:paraId="4013C0BB" w14:textId="77777777" w:rsidR="00A306EF" w:rsidRDefault="00000000">
      <w:pPr>
        <w:spacing w:after="80"/>
      </w:pPr>
      <w:r>
        <w:t>Section 3.15 (Addendum): Rapid Coalition Expansion on Systemic Defection</w:t>
      </w:r>
    </w:p>
    <w:p w14:paraId="50D589F8" w14:textId="77777777" w:rsidR="00A306EF" w:rsidRDefault="00000000">
      <w:pPr>
        <w:spacing w:after="80"/>
      </w:pPr>
      <w:r>
        <w:t>Part III: Economic Benefit Carrots (10 provisions):</w:t>
      </w:r>
    </w:p>
    <w:p w14:paraId="2B1AC63D" w14:textId="77777777" w:rsidR="00A306EF" w:rsidRDefault="00000000">
      <w:pPr>
        <w:spacing w:after="80"/>
      </w:pPr>
      <w:r>
        <w:t>Section 3.18: IMESI Trade Preference Margin (ITPM)</w:t>
      </w:r>
    </w:p>
    <w:p w14:paraId="3D33CF27" w14:textId="77777777" w:rsidR="00A306EF" w:rsidRDefault="00000000">
      <w:pPr>
        <w:spacing w:after="80"/>
      </w:pPr>
      <w:r>
        <w:t>Section 8.28C: IMESI Infrastructure Investment Fund (IIIF)</w:t>
      </w:r>
    </w:p>
    <w:p w14:paraId="079EDF77" w14:textId="77777777" w:rsidR="00A306EF" w:rsidRDefault="00000000">
      <w:pPr>
        <w:spacing w:after="80"/>
      </w:pPr>
      <w:r>
        <w:t>Section 8.20E: IMESI Liquidity Backstop Guarantee (ILBG)</w:t>
      </w:r>
    </w:p>
    <w:p w14:paraId="74EF98F7" w14:textId="77777777" w:rsidR="00A306EF" w:rsidRDefault="00000000">
      <w:pPr>
        <w:spacing w:after="80"/>
      </w:pPr>
      <w:r>
        <w:t>Section 3.13 (Second Addendum): Joint Procurement Price Advantage (JPPA)</w:t>
      </w:r>
    </w:p>
    <w:p w14:paraId="26CC3989" w14:textId="77777777" w:rsidR="00A306EF" w:rsidRDefault="00000000">
      <w:pPr>
        <w:spacing w:after="80"/>
      </w:pPr>
      <w:r>
        <w:t>Section 3.18A: Talent Mobility and Skills Passport (TMSP)</w:t>
      </w:r>
    </w:p>
    <w:p w14:paraId="03C815B7" w14:textId="77777777" w:rsidR="00A306EF" w:rsidRDefault="00000000">
      <w:pPr>
        <w:spacing w:after="80"/>
      </w:pPr>
      <w:r>
        <w:t>Section 8.14A (Addendum): Sovereign Debt Rating Premium (SDRP)</w:t>
      </w:r>
    </w:p>
    <w:p w14:paraId="2DF5B1E6" w14:textId="77777777" w:rsidR="00A306EF" w:rsidRDefault="00000000">
      <w:pPr>
        <w:spacing w:after="80"/>
      </w:pPr>
      <w:r>
        <w:t>Section 8.33 (Third Addendum): IMESI Export Credit Guarantee (IECG)</w:t>
      </w:r>
    </w:p>
    <w:p w14:paraId="45B682AC" w14:textId="77777777" w:rsidR="00A306EF" w:rsidRDefault="00000000">
      <w:pPr>
        <w:spacing w:after="80"/>
      </w:pPr>
      <w:r>
        <w:t>Section 8.28D: IMESI Energy Security Pool (ESP)</w:t>
      </w:r>
    </w:p>
    <w:p w14:paraId="05BFCA38" w14:textId="77777777" w:rsidR="00A306EF" w:rsidRDefault="00000000">
      <w:pPr>
        <w:spacing w:after="80"/>
      </w:pPr>
      <w:r>
        <w:t>Section 9.8D: Digital Market Access Pass (DMAP)</w:t>
      </w:r>
    </w:p>
    <w:p w14:paraId="29BD6FA2" w14:textId="77777777" w:rsidR="00A306EF" w:rsidRDefault="00000000">
      <w:pPr>
        <w:spacing w:after="80"/>
      </w:pPr>
      <w:r>
        <w:t>Section 8.18D: First-Response Compensation Fund (FRCF)</w:t>
      </w:r>
    </w:p>
    <w:p w14:paraId="6370508C" w14:textId="77777777" w:rsidR="00A306EF" w:rsidRDefault="00000000">
      <w:pPr>
        <w:spacing w:after="80"/>
      </w:pPr>
      <w:r>
        <w:t>Part IV: Integrity Hardening Amendments (10 provisions):</w:t>
      </w:r>
    </w:p>
    <w:p w14:paraId="66CEFBA0" w14:textId="77777777" w:rsidR="00A306EF" w:rsidRDefault="00000000">
      <w:pPr>
        <w:spacing w:after="80"/>
      </w:pPr>
      <w:r>
        <w:t>Section 4.7: Integrity and Anti-Corruption Protocol</w:t>
      </w:r>
    </w:p>
    <w:p w14:paraId="2D981120" w14:textId="77777777" w:rsidR="00A306EF" w:rsidRDefault="00000000">
      <w:pPr>
        <w:spacing w:after="80"/>
      </w:pPr>
      <w:r>
        <w:t>Section 6.12K: Anti-Sabotage and Poison Pill Amendment Protocol (renumbered from proposed 6.12G, which the merged Bilateral Deal Insurance occupies)</w:t>
      </w:r>
    </w:p>
    <w:p w14:paraId="3DD5D6F6" w14:textId="77777777" w:rsidR="00A306EF" w:rsidRDefault="00000000">
      <w:pPr>
        <w:spacing w:after="80"/>
      </w:pPr>
      <w:r>
        <w:t>Section 4.7A: Revolving Door Restrictions</w:t>
      </w:r>
    </w:p>
    <w:p w14:paraId="4FA46924" w14:textId="77777777" w:rsidR="00A306EF" w:rsidRDefault="00000000">
      <w:pPr>
        <w:spacing w:after="80"/>
      </w:pPr>
      <w:r>
        <w:t>Section 4.7B: Whistleblower Fortress Protocol</w:t>
      </w:r>
    </w:p>
    <w:p w14:paraId="716278BF" w14:textId="77777777" w:rsidR="00A306EF" w:rsidRDefault="00000000">
      <w:pPr>
        <w:spacing w:after="80"/>
      </w:pPr>
      <w:r>
        <w:t>Section 4.7C: Voting Integrity and Anti-Coercion Verification</w:t>
      </w:r>
    </w:p>
    <w:p w14:paraId="69BF1C17" w14:textId="77777777" w:rsidR="00A306EF" w:rsidRDefault="00000000">
      <w:pPr>
        <w:spacing w:after="80"/>
      </w:pPr>
      <w:r>
        <w:t>Section 4.7D: Systemic Decision Golden Share (merges Hardening 6 and Heritage Fix 8, which proposed the same mechanism)</w:t>
      </w:r>
    </w:p>
    <w:p w14:paraId="63A57CFD" w14:textId="77777777" w:rsidR="00A306EF" w:rsidRDefault="00000000">
      <w:pPr>
        <w:spacing w:after="80"/>
      </w:pPr>
      <w:r>
        <w:t>Section 4.7E: Crisis Continuity Mandate</w:t>
      </w:r>
    </w:p>
    <w:p w14:paraId="5EB8DF8F" w14:textId="77777777" w:rsidR="00A306EF" w:rsidRDefault="00000000">
      <w:pPr>
        <w:spacing w:after="80"/>
      </w:pPr>
      <w:r>
        <w:t>Section 4.7F: Intelligence Integrity Canary Protocol</w:t>
      </w:r>
    </w:p>
    <w:p w14:paraId="75654F22" w14:textId="77777777" w:rsidR="00A306EF" w:rsidRDefault="00000000">
      <w:pPr>
        <w:spacing w:after="80"/>
      </w:pPr>
      <w:r>
        <w:lastRenderedPageBreak/>
        <w:t>Section 9.8E: Corporate Integrity Pledge (renumbered from proposed 9.8D, which the Digital Market Access Pass occupies)</w:t>
      </w:r>
    </w:p>
    <w:p w14:paraId="4A99B18E" w14:textId="77777777" w:rsidR="00A306EF" w:rsidRDefault="00000000">
      <w:pPr>
        <w:spacing w:after="80"/>
      </w:pPr>
      <w:r>
        <w:t>Section 4.7G: Solidarity Audit Protocol</w:t>
      </w:r>
    </w:p>
    <w:p w14:paraId="053D6523" w14:textId="77777777" w:rsidR="00A306EF" w:rsidRDefault="00000000">
      <w:pPr>
        <w:spacing w:after="80"/>
      </w:pPr>
      <w:r>
        <w:t>Part V: Military Coercion Hardening Amendments (10 provisions):</w:t>
      </w:r>
    </w:p>
    <w:p w14:paraId="1F5DAD4F" w14:textId="77777777" w:rsidR="00A306EF" w:rsidRDefault="00000000">
      <w:pPr>
        <w:spacing w:after="80"/>
      </w:pPr>
      <w:r>
        <w:t>Section 5.14: Existential Threat Immediate Protection Protocol</w:t>
      </w:r>
    </w:p>
    <w:p w14:paraId="67CE6F03" w14:textId="77777777" w:rsidR="00A306EF" w:rsidRDefault="00000000">
      <w:pPr>
        <w:spacing w:after="80"/>
      </w:pPr>
      <w:r>
        <w:t>Section 2.3 (Addendum): Troop Presence Aggravation Multiplier</w:t>
      </w:r>
    </w:p>
    <w:p w14:paraId="7585B295" w14:textId="77777777" w:rsidR="00A306EF" w:rsidRDefault="00000000">
      <w:pPr>
        <w:spacing w:after="80"/>
      </w:pPr>
      <w:r>
        <w:t>Section 8.34: Military Insurance Fund (MIF)</w:t>
      </w:r>
    </w:p>
    <w:p w14:paraId="2520FEEF" w14:textId="77777777" w:rsidR="00A306EF" w:rsidRDefault="00000000">
      <w:pPr>
        <w:spacing w:after="80"/>
      </w:pPr>
      <w:r>
        <w:t>Section 8.35: Civilian Evacuation Corridor</w:t>
      </w:r>
    </w:p>
    <w:p w14:paraId="7DE0D396" w14:textId="77777777" w:rsidR="00A306EF" w:rsidRDefault="00000000">
      <w:pPr>
        <w:spacing w:after="80"/>
      </w:pPr>
      <w:r>
        <w:t>Section 4.7H: Nuclear Umbrella and Security Guarantee Neutrality</w:t>
      </w:r>
    </w:p>
    <w:p w14:paraId="35222D9C" w14:textId="77777777" w:rsidR="00A306EF" w:rsidRDefault="00000000">
      <w:pPr>
        <w:spacing w:after="80"/>
      </w:pPr>
      <w:r>
        <w:t>Section 2.15H: Proxy Force Attribution Protocol</w:t>
      </w:r>
    </w:p>
    <w:p w14:paraId="7B3C86EB" w14:textId="77777777" w:rsidR="00A306EF" w:rsidRDefault="00000000">
      <w:pPr>
        <w:spacing w:after="80"/>
      </w:pPr>
      <w:r>
        <w:t>Section 3.15B: Strategic Buffer Accession Fast-Track</w:t>
      </w:r>
    </w:p>
    <w:p w14:paraId="5C10EFFD" w14:textId="77777777" w:rsidR="00A306EF" w:rsidRDefault="00000000">
      <w:pPr>
        <w:spacing w:after="80"/>
      </w:pPr>
      <w:r>
        <w:t>Section 4.2AH: Military-Economic Intelligence Fusion Unit (renumbered from proposed 4.2AF, which the Member Political Pressure Vulnerability Assessment occupies)</w:t>
      </w:r>
    </w:p>
    <w:p w14:paraId="10D39840" w14:textId="77777777" w:rsidR="00A306EF" w:rsidRDefault="00000000">
      <w:pPr>
        <w:spacing w:after="80"/>
      </w:pPr>
      <w:r>
        <w:t>Section 5.15: War Economy Transition Protocol</w:t>
      </w:r>
    </w:p>
    <w:p w14:paraId="208492D6" w14:textId="77777777" w:rsidR="00A306EF" w:rsidRDefault="00000000">
      <w:pPr>
        <w:spacing w:after="80"/>
      </w:pPr>
      <w:r>
        <w:t>Section 5.16: Encirclement Doctrine</w:t>
      </w:r>
    </w:p>
    <w:p w14:paraId="1901EF71" w14:textId="77777777" w:rsidR="00A306EF" w:rsidRDefault="00000000">
      <w:pPr>
        <w:spacing w:after="80"/>
      </w:pPr>
      <w:r>
        <w:t>Part VI: Anti-Fragility Amendments (6 provisions):</w:t>
      </w:r>
    </w:p>
    <w:p w14:paraId="7A4B7167" w14:textId="77777777" w:rsidR="00A306EF" w:rsidRDefault="00000000">
      <w:pPr>
        <w:spacing w:after="80"/>
      </w:pPr>
      <w:r>
        <w:t>Section 1.7: Attack-Induced Ratchet Clause</w:t>
      </w:r>
    </w:p>
    <w:p w14:paraId="3B4A74D4" w14:textId="77777777" w:rsidR="00A306EF" w:rsidRDefault="00000000">
      <w:pPr>
        <w:spacing w:after="80"/>
      </w:pPr>
      <w:r>
        <w:t>Section 8.36: Solidarity Bonus Amplifier</w:t>
      </w:r>
    </w:p>
    <w:p w14:paraId="3270BEF6" w14:textId="77777777" w:rsidR="00A306EF" w:rsidRDefault="00000000">
      <w:pPr>
        <w:spacing w:after="80"/>
      </w:pPr>
      <w:r>
        <w:t>Section 10A.6: Trust Accelerator Protocol</w:t>
      </w:r>
    </w:p>
    <w:p w14:paraId="2A5AA3F5" w14:textId="77777777" w:rsidR="00A306EF" w:rsidRDefault="00000000">
      <w:pPr>
        <w:spacing w:after="80"/>
      </w:pPr>
      <w:r>
        <w:t>Section 4.3E: Learning Engine Mandate</w:t>
      </w:r>
    </w:p>
    <w:p w14:paraId="7250B781" w14:textId="77777777" w:rsidR="00A306EF" w:rsidRDefault="00000000">
      <w:pPr>
        <w:spacing w:after="80"/>
      </w:pPr>
      <w:r>
        <w:t>Section 6.12H: Cohesion Multiplier Effect</w:t>
      </w:r>
    </w:p>
    <w:p w14:paraId="1D9CD756" w14:textId="77777777" w:rsidR="00A306EF" w:rsidRDefault="00000000">
      <w:pPr>
        <w:spacing w:after="80"/>
      </w:pPr>
      <w:r>
        <w:t>Section 10A.7: Phoenix Protocol</w:t>
      </w:r>
    </w:p>
    <w:p w14:paraId="24FDC14E" w14:textId="77777777" w:rsidR="00A306EF" w:rsidRDefault="00000000">
      <w:pPr>
        <w:spacing w:after="80"/>
      </w:pPr>
      <w:r>
        <w:t>Part VII: Heritage Loophole Fixes (12 fixes, 10 standalone after mergers):</w:t>
      </w:r>
    </w:p>
    <w:p w14:paraId="35ED969E" w14:textId="77777777" w:rsidR="00A306EF" w:rsidRDefault="00000000">
      <w:pPr>
        <w:spacing w:after="80"/>
      </w:pPr>
      <w:r>
        <w:t>Section 3.4 (Addendum): Minimum Response Floor, Objective Standards</w:t>
      </w:r>
    </w:p>
    <w:p w14:paraId="76B7F799" w14:textId="77777777" w:rsidR="00A306EF" w:rsidRDefault="00000000">
      <w:pPr>
        <w:spacing w:after="80"/>
      </w:pPr>
      <w:r>
        <w:t>Section 3.5 (Addendum): Expanded Abstention Definition</w:t>
      </w:r>
    </w:p>
    <w:p w14:paraId="0AA29E5F" w14:textId="77777777" w:rsidR="00A306EF" w:rsidRDefault="00000000">
      <w:pPr>
        <w:spacing w:after="80"/>
      </w:pPr>
      <w:r>
        <w:t>Section 8.11A (Addendum): Prohibition of Implicit Conditionality</w:t>
      </w:r>
    </w:p>
    <w:p w14:paraId="1BA26AAC" w14:textId="77777777" w:rsidR="00A306EF" w:rsidRDefault="00000000">
      <w:pPr>
        <w:spacing w:after="80"/>
      </w:pPr>
      <w:r>
        <w:t>Section 5.1B (Second Addendum): Challenge Discipline and Frivolous Challenge Penalties</w:t>
      </w:r>
    </w:p>
    <w:p w14:paraId="40E2F8E3" w14:textId="77777777" w:rsidR="00A306EF" w:rsidRDefault="00000000">
      <w:pPr>
        <w:spacing w:after="80"/>
      </w:pPr>
      <w:r>
        <w:t>Section 3.3B (Addendum): Meaningful Selective Participation Standard</w:t>
      </w:r>
    </w:p>
    <w:p w14:paraId="5E730357" w14:textId="77777777" w:rsidR="00A306EF" w:rsidRDefault="00000000">
      <w:pPr>
        <w:spacing w:after="80"/>
      </w:pPr>
      <w:r>
        <w:t>Section 5.0I (Addendum): Pure Stabilization Contribution Limits</w:t>
      </w:r>
    </w:p>
    <w:p w14:paraId="7D540980" w14:textId="77777777" w:rsidR="00A306EF" w:rsidRDefault="00000000">
      <w:pPr>
        <w:spacing w:after="80"/>
      </w:pPr>
      <w:r>
        <w:t>Section 3.2C (Addendum): Observer+ Sunset and No Permanent Observer Clause (merges Heritage Fixes 7 and 9)</w:t>
      </w:r>
    </w:p>
    <w:p w14:paraId="1BFD7F18" w14:textId="77777777" w:rsidR="00A306EF" w:rsidRDefault="00000000">
      <w:pPr>
        <w:spacing w:after="80"/>
      </w:pPr>
      <w:r>
        <w:t>Section 6.12I: Abuse of Process Ratchet</w:t>
      </w:r>
    </w:p>
    <w:p w14:paraId="67017E7A" w14:textId="77777777" w:rsidR="00A306EF" w:rsidRDefault="00000000">
      <w:pPr>
        <w:spacing w:after="80"/>
      </w:pPr>
      <w:r>
        <w:t>Section 6.12J: Solidarity Protection Protocol</w:t>
      </w:r>
    </w:p>
    <w:p w14:paraId="3F5E0874" w14:textId="77777777" w:rsidR="00A306EF" w:rsidRDefault="00000000">
      <w:pPr>
        <w:spacing w:after="80"/>
      </w:pPr>
      <w:r>
        <w:t>Section 3.4D: Continuous Active Participation Requirement</w:t>
      </w:r>
    </w:p>
    <w:p w14:paraId="157726D4" w14:textId="77777777" w:rsidR="00A306EF" w:rsidRDefault="00000000">
      <w:pPr>
        <w:spacing w:after="80"/>
      </w:pPr>
      <w:r>
        <w:lastRenderedPageBreak/>
        <w:t>Part VIII: Expulsion and Earn-Back Harmonization (4 provisions):</w:t>
      </w:r>
    </w:p>
    <w:p w14:paraId="171960F2" w14:textId="77777777" w:rsidR="00A306EF" w:rsidRDefault="00000000">
      <w:pPr>
        <w:spacing w:after="80"/>
      </w:pPr>
      <w:r>
        <w:t>Section 6.11 (Addendum): Existential Misconduct, Rehabilitation Review, and Permanent Exclusion</w:t>
      </w:r>
    </w:p>
    <w:p w14:paraId="43A8D3CB" w14:textId="77777777" w:rsidR="00A306EF" w:rsidRDefault="00000000">
      <w:pPr>
        <w:spacing w:after="80"/>
      </w:pPr>
      <w:r>
        <w:t>Section 1.0E (Addendum): Permanent Exclusion Carve-Out for Existential Misconduct</w:t>
      </w:r>
    </w:p>
    <w:p w14:paraId="3ED1EF35" w14:textId="77777777" w:rsidR="00A306EF" w:rsidRDefault="00000000">
      <w:pPr>
        <w:spacing w:after="80"/>
      </w:pPr>
      <w:r>
        <w:t>Section 4.6 (Second Addendum): Alumni Obligations After Permanent Exclusion</w:t>
      </w:r>
    </w:p>
    <w:p w14:paraId="16D2A3A4" w14:textId="77777777" w:rsidR="00A306EF" w:rsidRDefault="00000000">
      <w:pPr>
        <w:spacing w:after="80"/>
      </w:pPr>
      <w:r>
        <w:t>Section 3.7B (Third Addendum): Exit and Re-Entry Distinctions</w:t>
      </w:r>
    </w:p>
    <w:p w14:paraId="29DC86D2" w14:textId="77777777" w:rsidR="00A306EF" w:rsidRDefault="00000000">
      <w:pPr>
        <w:spacing w:after="80"/>
      </w:pPr>
      <w:r>
        <w:t>Part IX: WTO Defense Amendments (12 provisions):</w:t>
      </w:r>
    </w:p>
    <w:p w14:paraId="0C2D01A1" w14:textId="77777777" w:rsidR="00A306EF" w:rsidRDefault="00000000">
      <w:pPr>
        <w:spacing w:after="80"/>
      </w:pPr>
      <w:r>
        <w:t>Section 9.1B: GATT Article XXI Pre-Certification</w:t>
      </w:r>
    </w:p>
    <w:p w14:paraId="35A44113" w14:textId="77777777" w:rsidR="00A306EF" w:rsidRDefault="00000000">
      <w:pPr>
        <w:spacing w:after="80"/>
      </w:pPr>
      <w:r>
        <w:t>Section 1.1B: Declaration of Purpose and Nature</w:t>
      </w:r>
    </w:p>
    <w:p w14:paraId="79614998" w14:textId="77777777" w:rsidR="00A306EF" w:rsidRDefault="00000000">
      <w:pPr>
        <w:spacing w:after="80"/>
      </w:pPr>
      <w:r>
        <w:t>Section 2.1 (Addendum): Economic Coercion as an Emergency in International Relations</w:t>
      </w:r>
    </w:p>
    <w:p w14:paraId="2451484D" w14:textId="77777777" w:rsidR="00A306EF" w:rsidRDefault="00000000">
      <w:pPr>
        <w:spacing w:after="80"/>
      </w:pPr>
      <w:r>
        <w:t>Annex 1A (Second Addendum): WTO Plurilateral Notification</w:t>
      </w:r>
    </w:p>
    <w:p w14:paraId="5D4F8405" w14:textId="77777777" w:rsidR="00A306EF" w:rsidRDefault="00000000">
      <w:pPr>
        <w:spacing w:after="80"/>
      </w:pPr>
      <w:r>
        <w:t>Section 4.2V (Addendum): Non-Discrimination Certification Content</w:t>
      </w:r>
    </w:p>
    <w:p w14:paraId="4E8889AF" w14:textId="77777777" w:rsidR="00A306EF" w:rsidRDefault="00000000">
      <w:pPr>
        <w:spacing w:after="80"/>
      </w:pPr>
      <w:r>
        <w:t>Section 9.1 (Addendum): Pre-WTO Compatibility Assessment</w:t>
      </w:r>
    </w:p>
    <w:p w14:paraId="6716DE8E" w14:textId="77777777" w:rsidR="00A306EF" w:rsidRDefault="00000000">
      <w:pPr>
        <w:spacing w:after="80"/>
      </w:pPr>
      <w:r>
        <w:t>Section 9.2B: WTO Coordination and Defense Unit</w:t>
      </w:r>
    </w:p>
    <w:p w14:paraId="7364E192" w14:textId="77777777" w:rsidR="00A306EF" w:rsidRDefault="00000000">
      <w:pPr>
        <w:spacing w:after="80"/>
      </w:pPr>
      <w:r>
        <w:t>Section 9.6A (Addendum): Open Architecture as Legal Defense</w:t>
      </w:r>
    </w:p>
    <w:p w14:paraId="002EA524" w14:textId="77777777" w:rsidR="00A306EF" w:rsidRDefault="00000000">
      <w:pPr>
        <w:spacing w:after="80"/>
      </w:pPr>
      <w:r>
        <w:t>Annex 1A.1A: Pre-Authorized Security Exception Briefs</w:t>
      </w:r>
    </w:p>
    <w:p w14:paraId="1881F660" w14:textId="77777777" w:rsidR="00A306EF" w:rsidRDefault="00000000">
      <w:pPr>
        <w:spacing w:after="80"/>
      </w:pPr>
      <w:r>
        <w:t>Section 9.1 (Second Addendum): Good Faith Engagement</w:t>
      </w:r>
    </w:p>
    <w:p w14:paraId="4CD57F5E" w14:textId="77777777" w:rsidR="00A306EF" w:rsidRDefault="00000000">
      <w:pPr>
        <w:spacing w:after="80"/>
      </w:pPr>
      <w:r>
        <w:t>Section 9.4B: WTO Non-Violation Rebuttal Protocol</w:t>
      </w:r>
    </w:p>
    <w:p w14:paraId="35840DBA" w14:textId="77777777" w:rsidR="00A306EF" w:rsidRDefault="00000000">
      <w:pPr>
        <w:spacing w:after="80"/>
      </w:pPr>
      <w:r>
        <w:t>Section 9.4C: Affirmation of the Security Exception</w:t>
      </w:r>
    </w:p>
    <w:p w14:paraId="260F56B0" w14:textId="77777777" w:rsidR="00A306EF" w:rsidRDefault="00000000">
      <w:pPr>
        <w:spacing w:after="80"/>
      </w:pPr>
      <w:r>
        <w:t>Part X: Living Document Protocol (1 provision):</w:t>
      </w:r>
    </w:p>
    <w:p w14:paraId="357D67AB" w14:textId="77777777" w:rsidR="00A306EF" w:rsidRDefault="00000000">
      <w:pPr>
        <w:spacing w:after="80"/>
      </w:pPr>
      <w:r>
        <w:t>Section 10A.16: Living Document Protocol</w:t>
      </w:r>
    </w:p>
    <w:p w14:paraId="26FEDAC6" w14:textId="77777777" w:rsidR="00A306EF" w:rsidRDefault="00000000">
      <w:pPr>
        <w:spacing w:after="80"/>
      </w:pPr>
      <w:r>
        <w:t>Part XI: Final Gap-Closing Amendments (10 amendments, 9 provisions):</w:t>
      </w:r>
    </w:p>
    <w:p w14:paraId="1A1B94A1" w14:textId="77777777" w:rsidR="00A306EF" w:rsidRDefault="00000000">
      <w:pPr>
        <w:spacing w:after="80"/>
      </w:pPr>
      <w:r>
        <w:t>Section 5.5B (Addendum): Automatic Activation Override and Notification Protocol for Systemic Coercion (merges Gaps 1 and 9, which both proposed Section 5.5B addenda)</w:t>
      </w:r>
    </w:p>
    <w:p w14:paraId="2F21AEE5" w14:textId="77777777" w:rsidR="00A306EF" w:rsidRDefault="00000000">
      <w:pPr>
        <w:spacing w:after="80"/>
      </w:pPr>
      <w:r>
        <w:t>Section 3.2C (Second Addendum): Observer+ Graduation and Exit Accountability</w:t>
      </w:r>
    </w:p>
    <w:p w14:paraId="3A3F48D4" w14:textId="77777777" w:rsidR="00A306EF" w:rsidRDefault="00000000">
      <w:pPr>
        <w:spacing w:after="80"/>
      </w:pPr>
      <w:r>
        <w:t>Section 3.7B (Fourth Addendum): Recent Member Exit Accountability</w:t>
      </w:r>
    </w:p>
    <w:p w14:paraId="28D9CB5A" w14:textId="77777777" w:rsidR="00A306EF" w:rsidRDefault="00000000">
      <w:pPr>
        <w:spacing w:after="80"/>
      </w:pPr>
      <w:r>
        <w:t>Section 4.7A (Addendum): Permanent Revolving Door Restrictions</w:t>
      </w:r>
    </w:p>
    <w:p w14:paraId="465B0979" w14:textId="77777777" w:rsidR="00A306EF" w:rsidRDefault="00000000">
      <w:pPr>
        <w:spacing w:after="80"/>
      </w:pPr>
      <w:r>
        <w:t>Section 8.10C (Addendum): Financial Architecture Resilience Protocol</w:t>
      </w:r>
    </w:p>
    <w:p w14:paraId="2D872F44" w14:textId="77777777" w:rsidR="00A306EF" w:rsidRDefault="00000000">
      <w:pPr>
        <w:spacing w:after="80"/>
      </w:pPr>
      <w:r>
        <w:t>Section 3.7C: State Succession Protocol</w:t>
      </w:r>
    </w:p>
    <w:p w14:paraId="362D020B" w14:textId="77777777" w:rsidR="00A306EF" w:rsidRDefault="00000000">
      <w:pPr>
        <w:spacing w:after="80"/>
      </w:pPr>
      <w:r>
        <w:t>Section 4.8: Secretariat Hosting and Depositary</w:t>
      </w:r>
    </w:p>
    <w:p w14:paraId="77B43EA1" w14:textId="77777777" w:rsidR="00A306EF" w:rsidRDefault="00000000">
      <w:pPr>
        <w:spacing w:after="80"/>
      </w:pPr>
      <w:r>
        <w:t>Section 10A.2B (Addendum): Ratification Threshold</w:t>
      </w:r>
    </w:p>
    <w:p w14:paraId="58D39023" w14:textId="77777777" w:rsidR="00A306EF" w:rsidRDefault="00000000">
      <w:pPr>
        <w:spacing w:after="80"/>
      </w:pPr>
      <w:r>
        <w:t>Section 5.0 (Second Addendum): First Activation Accountability Protocol</w:t>
      </w:r>
    </w:p>
    <w:p w14:paraId="474D6D0D" w14:textId="77777777" w:rsidR="00A306EF" w:rsidRDefault="00000000">
      <w:pPr>
        <w:spacing w:after="80"/>
      </w:pPr>
      <w:r>
        <w:t>WTO-Compatibility Review Notes:</w:t>
      </w:r>
    </w:p>
    <w:p w14:paraId="005D5981" w14:textId="77777777" w:rsidR="00A306EF" w:rsidRDefault="00000000">
      <w:pPr>
        <w:spacing w:after="140"/>
      </w:pPr>
      <w:r>
        <w:t xml:space="preserve">ITPM tariff preference: modified before adoption. A standing, unconditional members-only tariff preference conflicts with GATT Article I most-favoured-nation treatment and lacks GATT Article XXIV </w:t>
      </w:r>
      <w:r>
        <w:lastRenderedPageBreak/>
        <w:t>coverage because IMESI eliminates no duties on substantially all trade among Members. The ITPM now activates exclusively upon IEWC certification of an emergency in international relations under Section 9.1B, operates as a temporary GATT Article XXI(b)(iii) security measure documented in the Proportionality Certification Memo, and substitutes equivalent customs fast-lane facilitation for any Member whose WTO obligations do not accommodate the tariff preference.</w:t>
      </w:r>
    </w:p>
    <w:p w14:paraId="183F4BCF" w14:textId="77777777" w:rsidR="00A306EF" w:rsidRDefault="00000000">
      <w:pPr>
        <w:spacing w:after="140"/>
      </w:pPr>
      <w:r>
        <w:t>Decoupling Surge exclusive sourcing: modified before adoption. The Joint Procurement Consortium sources exclusively from non-coercer suppliers only during an active case certified under Section 9.1B, rests on GATT Article XXI, and respects the government procurement carve-out in GATT Article III:8(a). Diversification grants remain decoupled from export performance and domestic content requirements, consistent with the SCM Agreement.</w:t>
      </w:r>
    </w:p>
    <w:p w14:paraId="4F4C028A" w14:textId="77777777" w:rsidR="00A306EF" w:rsidRDefault="00000000">
      <w:pPr>
        <w:spacing w:after="140"/>
      </w:pPr>
      <w:r>
        <w:t>Enhanced anonymity for Supporting tier: modified before adoption. Each Member continues to publish and administer its own trade measures under GATT Article X; the anonymity protection covers only coalition-level attribution by the Secretariat, never domestic transparency obligations.</w:t>
      </w:r>
    </w:p>
    <w:p w14:paraId="320A5523" w14:textId="77777777" w:rsidR="00A306EF" w:rsidRDefault="00000000">
      <w:pPr>
        <w:spacing w:after="140"/>
      </w:pPr>
      <w:r>
        <w:t>War Economy Transition export controls: modified before adoption. Temporary export controls operate expressly under GATT Article XI:2(a) (temporary relief of critical shortages of foodstuffs or other essential products) and Article XXI(b)(iii), carry WTO notification within 24 hours, and terminate within 30 days of threat resolution.</w:t>
      </w:r>
    </w:p>
    <w:p w14:paraId="5170E612" w14:textId="77777777" w:rsidR="00A306EF" w:rsidRDefault="00000000">
      <w:pPr>
        <w:spacing w:after="140"/>
      </w:pPr>
      <w:r>
        <w:t>Digital Market Access Pass: modified before adoption. The DMAP operates as a mutual recognition arrangement under GATS Article VII, open to accession by any WTO member that demonstrates equivalent standards, which removes any GATS Article II most-favoured-nation exposure.</w:t>
      </w:r>
    </w:p>
    <w:p w14:paraId="73372FE1" w14:textId="77777777" w:rsidR="00A306EF" w:rsidRDefault="00000000">
      <w:pPr>
        <w:spacing w:after="140"/>
      </w:pPr>
      <w:r>
        <w:t>Joint Procurement Price Advantage: modified before adoption. Pooled-volume pricing extends to every participating purchaser on objective, published terms; no member-origin priority pricing applies, preserving GPA consistency for GPA-party Members.</w:t>
      </w:r>
    </w:p>
    <w:p w14:paraId="2734C7CC" w14:textId="77777777" w:rsidR="00A306EF" w:rsidRDefault="00000000">
      <w:pPr>
        <w:spacing w:after="140"/>
      </w:pPr>
      <w:r>
        <w:t>Talent Mobility and Skills Passport: adopted with clarification. Short-term visa-free entry operates under Member immigration authority preserved by the GATS Annex on Movement of Natural Persons, which keeps visa measures outside GATS commitments.</w:t>
      </w:r>
    </w:p>
    <w:p w14:paraId="2EE196BB" w14:textId="77777777" w:rsidR="00A306EF" w:rsidRDefault="00000000">
      <w:pPr>
        <w:spacing w:after="140"/>
      </w:pPr>
      <w:r>
        <w:t>Coercion Impact Fund for Non-Members: modified before adoption. Support conditions attach only to non-material support of the certified coercive measure, never to the recipient's general political alignment, consistent with the implicit-conditionality prohibition in Section 8.11A.</w:t>
      </w:r>
    </w:p>
    <w:p w14:paraId="1F605190" w14:textId="77777777" w:rsidR="00A306EF" w:rsidRDefault="00000000">
      <w:pPr>
        <w:spacing w:after="140"/>
      </w:pPr>
      <w:r>
        <w:t>Corporate Integrity Pledge procurement preference: adopted with the same clarification applied in v14.0: the 5% preference remains internal to the Joint Procurement Consortium and identical for certified firms of every member origin, consistent with GPA Article V and general exceptions.</w:t>
      </w:r>
    </w:p>
    <w:p w14:paraId="4D25BBAE" w14:textId="77777777" w:rsidR="00A306EF" w:rsidRDefault="00000000">
      <w:pPr>
        <w:spacing w:after="140"/>
      </w:pPr>
      <w:r>
        <w:t>Systemic-actor threshold reductions: adopted as proposed. The reduced chronic-coercion thresholds apply only to measures that a coercer does not apply uniformly across all trading partners, which targets discriminatory measures rather than WTO-consistent conduct.</w:t>
      </w:r>
    </w:p>
    <w:p w14:paraId="3B9DEF28" w14:textId="77777777" w:rsidR="00A306EF" w:rsidRDefault="00000000">
      <w:pPr>
        <w:spacing w:after="140"/>
      </w:pPr>
      <w:r>
        <w:t>Energy Security Pool and Strategic Processed Minerals Reserve: adopted as proposed. Government stockpiling and release constitute no trade restriction; releases flow to Members and, in humanitarian cases, non-members without export prohibitions, preserving GATT Article XI consistency.</w:t>
      </w:r>
    </w:p>
    <w:p w14:paraId="34ECAF6B" w14:textId="77777777" w:rsidR="00A306EF" w:rsidRDefault="00000000">
      <w:pPr>
        <w:spacing w:after="80"/>
      </w:pPr>
      <w:r>
        <w:lastRenderedPageBreak/>
        <w:t>Export Credit Guarantee: adopted as proposed. The premium-funded, market-conforming guarantee follows the OECD Arrangement on Officially Supported Export Credits and extends equally to all Members.</w:t>
      </w:r>
    </w:p>
    <w:p w14:paraId="77126632" w14:textId="77777777" w:rsidR="00A306EF" w:rsidRDefault="00000000">
      <w:pPr>
        <w:spacing w:after="140"/>
      </w:pPr>
      <w:r>
        <w:t>Compensation and insurance facilities (FRCF, MIF, Bilateral Deal Insurance, Solidarity Bonus): adopted as proposed. Grants remain decoupled from export performance and import substitution, which keeps them outside prohibited-subsidy classification under the SCM Agreement.</w:t>
      </w:r>
    </w:p>
    <w:p w14:paraId="17E79390" w14:textId="77777777" w:rsidR="00A306EF" w:rsidRDefault="00000000">
      <w:pPr>
        <w:spacing w:after="140"/>
      </w:pPr>
      <w:r>
        <w:t>All military hardening provisions: adopted as proposed. These provisions deliver economic stabilization and humanitarian protection only, create no military obligations, and anchor every trade-affecting measure in GATT Article XXI through the Section 9.1B pre-certification architecture.</w:t>
      </w:r>
    </w:p>
    <w:p w14:paraId="2A14B77B" w14:textId="77777777" w:rsidR="00A306EF" w:rsidRDefault="00000000">
      <w:pPr>
        <w:spacing w:after="140"/>
      </w:pPr>
      <w:r>
        <w:t>Automatic Phase 2 activation (Gap 1): adopted with the GATT Article XXI anchoring made explicit. Every automatic activation deploys upon the Section 9.1B pre-certification, carries documentation in the Proportionality Certification Memo, and flows through the Section 5.0K WTO notification track, so automaticity never outruns the security-exception record.</w:t>
      </w:r>
    </w:p>
    <w:p w14:paraId="77CFBE0D" w14:textId="77777777" w:rsidR="00A306EF" w:rsidRDefault="00000000">
      <w:pPr>
        <w:spacing w:after="80"/>
      </w:pPr>
      <w:r>
        <w:t>Observer+ and recent-member clawbacks (Gaps 2 and 3): adopted as proposed. Benefit reconciliation constitutes financial accounting between the Fund and the participant and imposes no trade measure.</w:t>
      </w:r>
    </w:p>
    <w:p w14:paraId="77BAE6CA" w14:textId="77777777" w:rsidR="00A306EF" w:rsidRDefault="00000000">
      <w:pPr>
        <w:spacing w:after="80"/>
      </w:pPr>
      <w:r>
        <w:t>Revolving door extension (Gap 4): adopted as proposed. Personnel restrictions on former officials create no trade measure.</w:t>
      </w:r>
    </w:p>
    <w:p w14:paraId="5834CD24" w14:textId="77777777" w:rsidR="00A306EF" w:rsidRDefault="00000000">
      <w:pPr>
        <w:spacing w:after="140"/>
      </w:pPr>
      <w:r>
        <w:t>Financial architecture resilience (Gap 5): adopted as proposed. The automatic activation is confined to defensive liquidity and settlement functions operating under the GATS Annex on Financial Services prudential carve-out, and the standing IMF/BIS dialogue channel preserves multilateral consistency.</w:t>
      </w:r>
    </w:p>
    <w:p w14:paraId="7CAEBE5C" w14:textId="77777777" w:rsidR="00A306EF" w:rsidRDefault="00000000">
      <w:pPr>
        <w:spacing w:after="80"/>
      </w:pPr>
      <w:r>
        <w:t>State succession, hosting, and ratification (Gaps 6, 7, and 8): adopted as proposed. Treaty-administration provisions with no trade content.</w:t>
      </w:r>
    </w:p>
    <w:p w14:paraId="56C9B8EB" w14:textId="77777777" w:rsidR="00A306EF" w:rsidRDefault="00000000">
      <w:pPr>
        <w:spacing w:after="80"/>
      </w:pPr>
      <w:r>
        <w:t>Automatic activation notification (Gap 9): adopted as proposed. The 6-hour notification to the WTO Director-General strengthens transparency and the good-faith engagement record under Section 9.1 (Second Addendum).</w:t>
      </w:r>
    </w:p>
    <w:p w14:paraId="13C805FC" w14:textId="77777777" w:rsidR="00A306EF" w:rsidRDefault="00000000">
      <w:pPr>
        <w:spacing w:after="140"/>
      </w:pPr>
      <w:r>
        <w:t>First activation accountability (Gap 10): adopted as proposed. The 30-day Phase 1 intensity cap, enhanced Proportionality Certification Memo, and humanitarian impact assessment strengthen the proportionality and least-restrictive-means defense under Section 4.2V.</w:t>
      </w:r>
    </w:p>
    <w:p w14:paraId="7B9A5CA0" w14:textId="77777777" w:rsidR="00A306EF" w:rsidRDefault="00000000">
      <w:pPr>
        <w:spacing w:after="140"/>
      </w:pPr>
      <w:r>
        <w:t>Harmonization note: the 10-year Observer+ moratorium in Section 3.2C (Second Addendum) supersedes the 5-year moratorium in Section 3.2C (Addendum) for non-graduating Observers, resolving the overlap in favor of the longer period.</w:t>
      </w:r>
    </w:p>
    <w:p w14:paraId="6BE05C49" w14:textId="77777777" w:rsidR="00A306EF" w:rsidRDefault="00000000">
      <w:pPr>
        <w:spacing w:after="140"/>
      </w:pPr>
      <w:r>
        <w:t>Matrix Compliance Note: every v15.0 provision follows the Immutable Present-Tense Matrix: active present-tense drafting, sovereign operational triggers, mutual architecture framing, no future-tense commands, no permissive leaks, no passive constructions, no em dashes.</w:t>
      </w:r>
    </w:p>
    <w:p w14:paraId="19414798" w14:textId="77777777" w:rsidR="00A306EF" w:rsidRDefault="00000000">
      <w:pPr>
        <w:pStyle w:val="Heading1"/>
        <w:pageBreakBefore/>
        <w:spacing w:after="100"/>
      </w:pPr>
      <w:bookmarkStart w:id="2" w:name="_Toc237918125"/>
      <w:r>
        <w:rPr>
          <w:rFonts w:cs="Calibri"/>
          <w:szCs w:val="30"/>
        </w:rPr>
        <w:lastRenderedPageBreak/>
        <w:t>v14.0 PRIVATE-SECTOR PARTNERSHIP AND DOCUMENT RESTORATION SUMMARY</w:t>
      </w:r>
      <w:bookmarkEnd w:id="2"/>
    </w:p>
    <w:p w14:paraId="78645B6C" w14:textId="77777777" w:rsidR="00A306EF" w:rsidRDefault="00000000">
      <w:pPr>
        <w:spacing w:after="140"/>
      </w:pPr>
      <w:r>
        <w:rPr>
          <w:rFonts w:cs="Calibri"/>
          <w:szCs w:val="21"/>
        </w:rPr>
        <w:t>This version integrates 10 private-sector incentive proposals, consolidated per their own integration guidance into 8 addenda to existing sections rather than a new standalone part, and completes a document restoration: removal of 27 pages of superseded v10-era appendix material, repair of table of contents formatting, and elimination of a near-blank page. The incentives transform IMESI from a government-to-government treaty into a public-private partnership for economic security, engaging the private sector as a partner in resilience through low-cost, self-funding, and WTO-compatible measures.</w:t>
      </w:r>
    </w:p>
    <w:p w14:paraId="3D1429D5" w14:textId="77777777" w:rsidR="00A306EF" w:rsidRDefault="00000000">
      <w:pPr>
        <w:spacing w:after="80"/>
      </w:pPr>
      <w:r>
        <w:rPr>
          <w:rFonts w:cs="Calibri"/>
          <w:szCs w:val="21"/>
        </w:rPr>
        <w:t>Part I: Insurance and Continuity (2 provisions):</w:t>
      </w:r>
    </w:p>
    <w:p w14:paraId="4995A3EC" w14:textId="77777777" w:rsidR="00A306EF" w:rsidRDefault="00000000">
      <w:pPr>
        <w:spacing w:after="80"/>
      </w:pPr>
      <w:r>
        <w:rPr>
          <w:rFonts w:cs="Calibri"/>
          <w:szCs w:val="21"/>
        </w:rPr>
        <w:t>Section 8.33 (Addendum): Trade Credit Insurance Premium Rebate Protocol</w:t>
      </w:r>
    </w:p>
    <w:p w14:paraId="0CBE82E2" w14:textId="77777777" w:rsidR="00A306EF" w:rsidRDefault="00000000">
      <w:pPr>
        <w:spacing w:after="80"/>
      </w:pPr>
      <w:r>
        <w:rPr>
          <w:rFonts w:cs="Calibri"/>
          <w:szCs w:val="21"/>
        </w:rPr>
        <w:t>Section 8.33 (Second Addendum): Business Continuity Safe Harbor Protocol</w:t>
      </w:r>
    </w:p>
    <w:p w14:paraId="03AFCC08" w14:textId="77777777" w:rsidR="00A306EF" w:rsidRDefault="00000000">
      <w:pPr>
        <w:spacing w:after="80"/>
      </w:pPr>
      <w:r>
        <w:rPr>
          <w:rFonts w:cs="Calibri"/>
          <w:szCs w:val="21"/>
        </w:rPr>
        <w:t>Part II: Certified-Firm Commercial Advantages (4 provisions):</w:t>
      </w:r>
    </w:p>
    <w:p w14:paraId="0A32FDAA" w14:textId="77777777" w:rsidR="00A306EF" w:rsidRDefault="00000000">
      <w:pPr>
        <w:spacing w:after="80"/>
      </w:pPr>
      <w:r>
        <w:rPr>
          <w:rFonts w:cs="Calibri"/>
          <w:szCs w:val="21"/>
        </w:rPr>
        <w:t>Section 9.8A (Second Addendum): Fast-Lane Customs Clearance Protocol</w:t>
      </w:r>
    </w:p>
    <w:p w14:paraId="613A236B" w14:textId="77777777" w:rsidR="00A306EF" w:rsidRDefault="00000000">
      <w:pPr>
        <w:spacing w:after="80"/>
      </w:pPr>
      <w:r>
        <w:rPr>
          <w:rFonts w:cs="Calibri"/>
          <w:szCs w:val="21"/>
        </w:rPr>
        <w:t>Section 3.13 (Addendum): Certified Supplier Price Preference Protocol</w:t>
      </w:r>
    </w:p>
    <w:p w14:paraId="0E6DB6B6" w14:textId="77777777" w:rsidR="00A306EF" w:rsidRDefault="00000000">
      <w:pPr>
        <w:spacing w:after="80"/>
      </w:pPr>
      <w:r>
        <w:rPr>
          <w:rFonts w:cs="Calibri"/>
          <w:szCs w:val="21"/>
        </w:rPr>
        <w:t>Section 9.8 (Second Addendum): Certified-Firm Fast-Track Adjudication and Compliance Credit Protocol</w:t>
      </w:r>
    </w:p>
    <w:p w14:paraId="22071ABE" w14:textId="77777777" w:rsidR="00A306EF" w:rsidRDefault="00000000">
      <w:pPr>
        <w:spacing w:after="80"/>
      </w:pPr>
      <w:r>
        <w:rPr>
          <w:rFonts w:cs="Calibri"/>
          <w:szCs w:val="21"/>
        </w:rPr>
        <w:t>Section 8.14 (Addendum): Resilience Bond Certification and Private-Sector Resilience Dividend Protocol</w:t>
      </w:r>
    </w:p>
    <w:p w14:paraId="0599AE76" w14:textId="77777777" w:rsidR="00A306EF" w:rsidRDefault="00000000">
      <w:pPr>
        <w:spacing w:after="80"/>
      </w:pPr>
      <w:r>
        <w:rPr>
          <w:rFonts w:cs="Calibri"/>
          <w:szCs w:val="21"/>
        </w:rPr>
        <w:t>Part III: Financial Infrastructure and Platform Protections (2 provisions):</w:t>
      </w:r>
    </w:p>
    <w:p w14:paraId="73C6AA9F" w14:textId="77777777" w:rsidR="00A306EF" w:rsidRDefault="00000000">
      <w:pPr>
        <w:spacing w:after="80"/>
      </w:pPr>
      <w:r>
        <w:rPr>
          <w:rFonts w:cs="Calibri"/>
          <w:szCs w:val="21"/>
        </w:rPr>
        <w:t>Section 8.10 (Second Addendum): Sanctions-Proof Letter of Credit Guarantee Protocol</w:t>
      </w:r>
    </w:p>
    <w:p w14:paraId="278C9A16" w14:textId="77777777" w:rsidR="00A306EF" w:rsidRDefault="00000000">
      <w:pPr>
        <w:spacing w:after="80"/>
      </w:pPr>
      <w:r>
        <w:rPr>
          <w:rFonts w:cs="Calibri"/>
          <w:szCs w:val="21"/>
        </w:rPr>
        <w:t>Section 6.6A (Addendum): Platform Good-Faith Liability Shield Protocol</w:t>
      </w:r>
    </w:p>
    <w:p w14:paraId="58000F70" w14:textId="77777777" w:rsidR="00A306EF" w:rsidRDefault="00000000">
      <w:pPr>
        <w:spacing w:after="80"/>
      </w:pPr>
      <w:r>
        <w:rPr>
          <w:rFonts w:cs="Calibri"/>
          <w:szCs w:val="21"/>
        </w:rPr>
        <w:t>Part IV: Document Restoration (3 repairs):</w:t>
      </w:r>
    </w:p>
    <w:p w14:paraId="155D268A" w14:textId="77777777" w:rsidR="00A306EF" w:rsidRDefault="00000000">
      <w:pPr>
        <w:spacing w:after="80"/>
      </w:pPr>
      <w:r>
        <w:rPr>
          <w:rFonts w:cs="Calibri"/>
          <w:szCs w:val="21"/>
        </w:rPr>
        <w:t>Removal of superseded v10-era appendix material, including a duplicated legacy table of contents rendered as body text, an outdated version history, and the v10.0 Impact Assessment</w:t>
      </w:r>
    </w:p>
    <w:p w14:paraId="319C305C" w14:textId="77777777" w:rsidR="00A306EF" w:rsidRDefault="00000000">
      <w:pPr>
        <w:spacing w:after="80"/>
      </w:pPr>
      <w:r>
        <w:rPr>
          <w:rFonts w:cs="Calibri"/>
          <w:szCs w:val="21"/>
        </w:rPr>
        <w:t>Repair of the table of contents: deletion of 50 vestigial entries carrying duplicated page numbers and restoration of the truncated Section 5.0B heading</w:t>
      </w:r>
    </w:p>
    <w:p w14:paraId="4FF8040D" w14:textId="77777777" w:rsidR="00A306EF" w:rsidRDefault="00000000">
      <w:pPr>
        <w:spacing w:after="80"/>
      </w:pPr>
      <w:r>
        <w:rPr>
          <w:rFonts w:cs="Calibri"/>
          <w:szCs w:val="21"/>
        </w:rPr>
        <w:t>Elimination of a near-blank page ahead of the Philosophical Preamble</w:t>
      </w:r>
    </w:p>
    <w:p w14:paraId="78C03D43" w14:textId="77777777" w:rsidR="00A306EF" w:rsidRDefault="00000000">
      <w:pPr>
        <w:spacing w:after="80"/>
      </w:pPr>
      <w:r>
        <w:rPr>
          <w:rFonts w:cs="Calibri"/>
          <w:szCs w:val="21"/>
        </w:rPr>
        <w:t>WTO-Compatibility Review Notes:</w:t>
      </w:r>
    </w:p>
    <w:p w14:paraId="01FB2BAE" w14:textId="77777777" w:rsidR="00A306EF" w:rsidRDefault="00000000">
      <w:pPr>
        <w:spacing w:after="140"/>
      </w:pPr>
      <w:r>
        <w:rPr>
          <w:rFonts w:cs="Calibri"/>
          <w:szCs w:val="21"/>
        </w:rPr>
        <w:t>Trade credit reinsurance: adopted as proposed; crisis-responsive reinsurance for certified coercive events operates under GATS Article XIVbis security exceptions and prudential carve-outs, with funding recycled from the Retroactive Reinstatement Surcharge.</w:t>
      </w:r>
    </w:p>
    <w:p w14:paraId="1BC75AE6" w14:textId="77777777" w:rsidR="00A306EF" w:rsidRDefault="00000000">
      <w:pPr>
        <w:spacing w:after="80"/>
      </w:pPr>
      <w:r>
        <w:rPr>
          <w:rFonts w:cs="Calibri"/>
          <w:szCs w:val="21"/>
        </w:rPr>
        <w:t>Resilience bond tax exemption: adopted as proposed; members extend the exemption under domestic fiscal law, a tax-policy matter outside trade-measure classification.</w:t>
      </w:r>
    </w:p>
    <w:p w14:paraId="49F6F53C" w14:textId="77777777" w:rsidR="00A306EF" w:rsidRDefault="00000000">
      <w:pPr>
        <w:spacing w:after="80"/>
      </w:pPr>
      <w:r>
        <w:rPr>
          <w:rFonts w:cs="Calibri"/>
          <w:szCs w:val="21"/>
        </w:rPr>
        <w:t>Fast-lane customs: adopted as proposed; the binding clearance guarantee follows the authorized-operator model the WTO Trade Facilitation Agreement expressly permits, with objective and non-discriminatory eligibility.</w:t>
      </w:r>
    </w:p>
    <w:p w14:paraId="222ADAD0" w14:textId="77777777" w:rsidR="00A306EF" w:rsidRDefault="00000000">
      <w:pPr>
        <w:spacing w:after="140"/>
      </w:pPr>
      <w:r>
        <w:rPr>
          <w:rFonts w:cs="Calibri"/>
          <w:szCs w:val="21"/>
        </w:rPr>
        <w:lastRenderedPageBreak/>
        <w:t>Procurement price preference: adopted with a clarification keeping the preference internal to the Joint Procurement Consortium and identical for certified firms of every member origin, consistent with GPA Article V and general exceptions.</w:t>
      </w:r>
    </w:p>
    <w:p w14:paraId="61191322" w14:textId="77777777" w:rsidR="00A306EF" w:rsidRDefault="00000000">
      <w:pPr>
        <w:spacing w:after="80"/>
      </w:pPr>
      <w:r>
        <w:rPr>
          <w:rFonts w:cs="Calibri"/>
          <w:szCs w:val="21"/>
        </w:rPr>
        <w:t>Fast-track arbitration: adopted as proposed; the 30-day track complements rather than supersedes bilateral investment treaty and investor-state mechanisms.</w:t>
      </w:r>
    </w:p>
    <w:p w14:paraId="19FFFAB0" w14:textId="77777777" w:rsidR="00A306EF" w:rsidRDefault="00000000">
      <w:pPr>
        <w:spacing w:after="80"/>
      </w:pPr>
      <w:r>
        <w:rPr>
          <w:rFonts w:cs="Calibri"/>
          <w:szCs w:val="21"/>
        </w:rPr>
        <w:t>Letter of Credit guarantee: adopted as proposed; the guarantee covers legitimate, lawful trade as a liquidity tool under the GATS Annex on Financial Services prudential carve-out and imposes no trade restriction.</w:t>
      </w:r>
    </w:p>
    <w:p w14:paraId="0C40E4AB" w14:textId="77777777" w:rsidR="00A306EF" w:rsidRDefault="00000000">
      <w:pPr>
        <w:spacing w:after="80"/>
      </w:pPr>
      <w:r>
        <w:rPr>
          <w:rFonts w:cs="Calibri"/>
          <w:szCs w:val="21"/>
        </w:rPr>
        <w:t>Compliance credits: adopted as proposed; voluntary reporting incentives function as administrative cooperation rather than a trade measure.</w:t>
      </w:r>
    </w:p>
    <w:p w14:paraId="30912679" w14:textId="77777777" w:rsidR="00A306EF" w:rsidRDefault="00000000">
      <w:pPr>
        <w:spacing w:after="80"/>
      </w:pPr>
      <w:r>
        <w:rPr>
          <w:rFonts w:cs="Calibri"/>
          <w:szCs w:val="21"/>
        </w:rPr>
        <w:t>Business continuity safe harbor: adopted as proposed; the package functions as emergency assistance to firms facing coercive state action and imposes no border measure.</w:t>
      </w:r>
    </w:p>
    <w:p w14:paraId="4B7DCC32" w14:textId="77777777" w:rsidR="00A306EF" w:rsidRDefault="00000000">
      <w:pPr>
        <w:spacing w:after="140"/>
      </w:pPr>
      <w:r>
        <w:rPr>
          <w:rFonts w:cs="Calibri"/>
          <w:szCs w:val="21"/>
        </w:rPr>
        <w:t>Resilience Dividend recast: the proposed direct cash grant carried SCM Agreement exposure; the Dividend is implemented per the proposal's own conservative alternative as a standardised member-state tax credit decoupled from export performance and production volumes, with Fund support limited to certification and administration.</w:t>
      </w:r>
    </w:p>
    <w:p w14:paraId="340F64A5" w14:textId="77777777" w:rsidR="00A306EF" w:rsidRDefault="00000000">
      <w:pPr>
        <w:spacing w:after="80"/>
      </w:pPr>
      <w:r>
        <w:rPr>
          <w:rFonts w:cs="Calibri"/>
          <w:szCs w:val="21"/>
        </w:rPr>
        <w:t>Platform liability shield: adopted as proposed; members extend the shield through domestic platform regulation, which constitutes no trade measure and draws no Fund resources.</w:t>
      </w:r>
    </w:p>
    <w:p w14:paraId="4D94D68C" w14:textId="77777777" w:rsidR="00A306EF" w:rsidRDefault="00000000">
      <w:pPr>
        <w:pStyle w:val="Heading1"/>
        <w:pageBreakBefore/>
        <w:spacing w:after="100"/>
      </w:pPr>
      <w:bookmarkStart w:id="3" w:name="_Toc237918126"/>
      <w:r>
        <w:rPr>
          <w:rFonts w:cs="Calibri"/>
          <w:szCs w:val="30"/>
        </w:rPr>
        <w:lastRenderedPageBreak/>
        <w:t>v13.0 HYBRID ARCHITECTURE AND HARDENING SUMMARY</w:t>
      </w:r>
      <w:bookmarkEnd w:id="3"/>
    </w:p>
    <w:p w14:paraId="61F79312" w14:textId="77777777" w:rsidR="00A306EF" w:rsidRDefault="00000000">
      <w:pPr>
        <w:spacing w:after="140"/>
      </w:pPr>
      <w:r>
        <w:t>This version integrates 32 provisions across four packages: the Step-Back/Earn-Back hybrid compliance architecture, twenty vulnerability fixes spanning coalition politics, financial chokepoints, legal procedure, intelligence resilience, and institutional operations, Coercion Forecast Market integrity hardening, and a framework-wide terminology reform adopting Reinstatement as the uniform term for the measure-reversal mechanism throughout the Instrument.</w:t>
      </w:r>
    </w:p>
    <w:p w14:paraId="71D20E0D" w14:textId="77777777" w:rsidR="00A306EF" w:rsidRDefault="00000000">
      <w:pPr>
        <w:spacing w:after="140"/>
      </w:pPr>
      <w:r>
        <w:t>The provisions derive from an external red-team package of thirty vulnerability fixes, ten market-integrity fixes, and a hybrid architecture amendment set. Every proposal underwent individual WTO-compatibility review; twenty-six proposals pass without adoption as duplicates of provisions already introduced in v12.1, and the review notes at the end of this summary record each modification made to bring a proposal into alignment.</w:t>
      </w:r>
    </w:p>
    <w:p w14:paraId="2271F3DF" w14:textId="77777777" w:rsidR="00A306EF" w:rsidRDefault="00000000">
      <w:pPr>
        <w:spacing w:after="80"/>
      </w:pPr>
      <w:r>
        <w:rPr>
          <w:rFonts w:cs="Calibri"/>
          <w:szCs w:val="21"/>
        </w:rPr>
        <w:t>Part I: Hybrid Compliance Architecture (10 provisions):</w:t>
      </w:r>
    </w:p>
    <w:p w14:paraId="08A58243" w14:textId="77777777" w:rsidR="00A306EF" w:rsidRDefault="00000000">
      <w:pPr>
        <w:numPr>
          <w:ilvl w:val="0"/>
          <w:numId w:val="1"/>
        </w:numPr>
        <w:spacing w:after="80"/>
      </w:pPr>
      <w:r>
        <w:rPr>
          <w:rFonts w:cs="Calibri"/>
          <w:szCs w:val="21"/>
        </w:rPr>
        <w:t>Section 1.0E: Modular Economic Security Framework</w:t>
      </w:r>
    </w:p>
    <w:p w14:paraId="50830C6C" w14:textId="77777777" w:rsidR="00A306EF" w:rsidRDefault="00000000">
      <w:pPr>
        <w:numPr>
          <w:ilvl w:val="0"/>
          <w:numId w:val="1"/>
        </w:numPr>
        <w:spacing w:after="80"/>
      </w:pPr>
      <w:r>
        <w:rPr>
          <w:rFonts w:cs="Calibri"/>
          <w:szCs w:val="21"/>
        </w:rPr>
        <w:t>Section 1.0F: Mutual Architecture Declaration</w:t>
      </w:r>
    </w:p>
    <w:p w14:paraId="4E805B08" w14:textId="77777777" w:rsidR="00A306EF" w:rsidRDefault="00000000">
      <w:pPr>
        <w:numPr>
          <w:ilvl w:val="0"/>
          <w:numId w:val="1"/>
        </w:numPr>
        <w:spacing w:after="80"/>
      </w:pPr>
      <w:r>
        <w:rPr>
          <w:rFonts w:cs="Calibri"/>
          <w:szCs w:val="21"/>
        </w:rPr>
        <w:t>Section 5.2 (Second Addendum): Reinstatement Triggers and Backstop Principle</w:t>
      </w:r>
    </w:p>
    <w:p w14:paraId="2D312CE8" w14:textId="77777777" w:rsidR="00A306EF" w:rsidRDefault="00000000">
      <w:pPr>
        <w:numPr>
          <w:ilvl w:val="0"/>
          <w:numId w:val="1"/>
        </w:numPr>
        <w:spacing w:after="80"/>
      </w:pPr>
      <w:r>
        <w:rPr>
          <w:rFonts w:cs="Calibri"/>
          <w:szCs w:val="21"/>
        </w:rPr>
        <w:t>Section 5.4B: Step-Back/Earn-Back Protocol</w:t>
      </w:r>
    </w:p>
    <w:p w14:paraId="52948271" w14:textId="77777777" w:rsidR="00A306EF" w:rsidRDefault="00000000">
      <w:pPr>
        <w:numPr>
          <w:ilvl w:val="0"/>
          <w:numId w:val="1"/>
        </w:numPr>
        <w:spacing w:after="80"/>
      </w:pPr>
      <w:r>
        <w:rPr>
          <w:rFonts w:cs="Calibri"/>
          <w:szCs w:val="21"/>
        </w:rPr>
        <w:t>Section 5.4C: Three-Tier Breach Classification System</w:t>
      </w:r>
    </w:p>
    <w:p w14:paraId="265D11CD" w14:textId="77777777" w:rsidR="00A306EF" w:rsidRDefault="00000000">
      <w:pPr>
        <w:numPr>
          <w:ilvl w:val="0"/>
          <w:numId w:val="1"/>
        </w:numPr>
        <w:spacing w:after="80"/>
      </w:pPr>
      <w:r>
        <w:rPr>
          <w:rFonts w:cs="Calibri"/>
          <w:szCs w:val="21"/>
        </w:rPr>
        <w:t>Section 5.4D: Sequenced Impact and Human-in-the-Loop Requirement</w:t>
      </w:r>
    </w:p>
    <w:p w14:paraId="5B80BCC3" w14:textId="77777777" w:rsidR="00A306EF" w:rsidRDefault="00000000">
      <w:pPr>
        <w:numPr>
          <w:ilvl w:val="0"/>
          <w:numId w:val="1"/>
        </w:numPr>
        <w:spacing w:after="80"/>
      </w:pPr>
      <w:r>
        <w:rPr>
          <w:rFonts w:cs="Calibri"/>
          <w:szCs w:val="21"/>
        </w:rPr>
        <w:t>Section 5.4E: Cross-Module Spillover Protection</w:t>
      </w:r>
    </w:p>
    <w:p w14:paraId="74D67621" w14:textId="77777777" w:rsidR="00A306EF" w:rsidRDefault="00000000">
      <w:pPr>
        <w:numPr>
          <w:ilvl w:val="0"/>
          <w:numId w:val="1"/>
        </w:numPr>
        <w:spacing w:after="80"/>
      </w:pPr>
      <w:r>
        <w:rPr>
          <w:rFonts w:cs="Calibri"/>
          <w:szCs w:val="21"/>
        </w:rPr>
        <w:t>Section 5.4F: Earn-Back Credit System</w:t>
      </w:r>
    </w:p>
    <w:p w14:paraId="627EC267" w14:textId="77777777" w:rsidR="00A306EF" w:rsidRDefault="00000000">
      <w:pPr>
        <w:numPr>
          <w:ilvl w:val="0"/>
          <w:numId w:val="1"/>
        </w:numPr>
        <w:spacing w:after="80"/>
      </w:pPr>
      <w:r>
        <w:rPr>
          <w:rFonts w:cs="Calibri"/>
          <w:szCs w:val="21"/>
        </w:rPr>
        <w:t>Section 5.4G: Reinstatement Review and Sunset Safeguards</w:t>
      </w:r>
    </w:p>
    <w:p w14:paraId="33F4D158" w14:textId="77777777" w:rsidR="00A306EF" w:rsidRDefault="00000000">
      <w:pPr>
        <w:numPr>
          <w:ilvl w:val="0"/>
          <w:numId w:val="1"/>
        </w:numPr>
        <w:spacing w:after="80"/>
      </w:pPr>
      <w:r>
        <w:rPr>
          <w:rFonts w:cs="Calibri"/>
          <w:szCs w:val="21"/>
        </w:rPr>
        <w:t>Section 5.4H: Earn-Back Timelines Under Nofade Protocol</w:t>
      </w:r>
    </w:p>
    <w:p w14:paraId="520FF456" w14:textId="77777777" w:rsidR="00A306EF" w:rsidRDefault="00000000">
      <w:pPr>
        <w:spacing w:after="80"/>
      </w:pPr>
      <w:r>
        <w:rPr>
          <w:rFonts w:cs="Calibri"/>
          <w:szCs w:val="21"/>
        </w:rPr>
        <w:t>Part II: Coalition Politics and Solidarity Fixes (5 provisions):</w:t>
      </w:r>
    </w:p>
    <w:p w14:paraId="491D5923" w14:textId="77777777" w:rsidR="00A306EF" w:rsidRDefault="00000000">
      <w:pPr>
        <w:numPr>
          <w:ilvl w:val="0"/>
          <w:numId w:val="1"/>
        </w:numPr>
        <w:spacing w:after="80"/>
      </w:pPr>
      <w:r>
        <w:rPr>
          <w:rFonts w:cs="Calibri"/>
          <w:szCs w:val="21"/>
        </w:rPr>
        <w:t>Section 1.0A (Second Addendum): Judicial Delay Aggravation Standard</w:t>
      </w:r>
    </w:p>
    <w:p w14:paraId="05F18203" w14:textId="77777777" w:rsidR="00A306EF" w:rsidRDefault="00000000">
      <w:pPr>
        <w:numPr>
          <w:ilvl w:val="0"/>
          <w:numId w:val="1"/>
        </w:numPr>
        <w:spacing w:after="80"/>
      </w:pPr>
      <w:r>
        <w:rPr>
          <w:rFonts w:cs="Calibri"/>
          <w:szCs w:val="21"/>
        </w:rPr>
        <w:t>Section 3.8 (Second Addendum): Election-Timing Aggravation Standard</w:t>
      </w:r>
    </w:p>
    <w:p w14:paraId="1D156EF4" w14:textId="77777777" w:rsidR="00A306EF" w:rsidRDefault="00000000">
      <w:pPr>
        <w:numPr>
          <w:ilvl w:val="0"/>
          <w:numId w:val="1"/>
        </w:numPr>
        <w:spacing w:after="80"/>
      </w:pPr>
      <w:r>
        <w:rPr>
          <w:rFonts w:cs="Calibri"/>
          <w:szCs w:val="21"/>
        </w:rPr>
        <w:t>Section 4.1C (Addendum): Quiet Absentee Protocol</w:t>
      </w:r>
    </w:p>
    <w:p w14:paraId="5A4E5384" w14:textId="77777777" w:rsidR="00A306EF" w:rsidRDefault="00000000">
      <w:pPr>
        <w:numPr>
          <w:ilvl w:val="0"/>
          <w:numId w:val="1"/>
        </w:numPr>
        <w:spacing w:after="80"/>
      </w:pPr>
      <w:r>
        <w:rPr>
          <w:rFonts w:cs="Calibri"/>
          <w:szCs w:val="21"/>
        </w:rPr>
        <w:t>Section 3.1F (Addendum): First-Mover Protection Extension Protocol</w:t>
      </w:r>
    </w:p>
    <w:p w14:paraId="09E6D6BC" w14:textId="77777777" w:rsidR="00A306EF" w:rsidRDefault="00000000">
      <w:pPr>
        <w:numPr>
          <w:ilvl w:val="0"/>
          <w:numId w:val="1"/>
        </w:numPr>
        <w:spacing w:after="80"/>
      </w:pPr>
      <w:r>
        <w:rPr>
          <w:rFonts w:cs="Calibri"/>
          <w:szCs w:val="21"/>
        </w:rPr>
        <w:t>Section 8.4E (Addendum): High-Intensity Case Fatigue Protocol</w:t>
      </w:r>
    </w:p>
    <w:p w14:paraId="77C88D5C" w14:textId="77777777" w:rsidR="00A306EF" w:rsidRDefault="00000000">
      <w:pPr>
        <w:spacing w:after="80"/>
      </w:pPr>
      <w:r>
        <w:rPr>
          <w:rFonts w:cs="Calibri"/>
          <w:szCs w:val="21"/>
        </w:rPr>
        <w:t>Part III: Financial and Liquidity Chokepoint Fixes (5 provisions):</w:t>
      </w:r>
    </w:p>
    <w:p w14:paraId="63E402EC" w14:textId="77777777" w:rsidR="00A306EF" w:rsidRDefault="00000000">
      <w:pPr>
        <w:numPr>
          <w:ilvl w:val="0"/>
          <w:numId w:val="1"/>
        </w:numPr>
        <w:spacing w:after="80"/>
      </w:pPr>
      <w:r>
        <w:rPr>
          <w:rFonts w:cs="Calibri"/>
          <w:szCs w:val="21"/>
        </w:rPr>
        <w:t>Section 8.10K: SFI Asset Protection and Jurisdictional Redundancy</w:t>
      </w:r>
    </w:p>
    <w:p w14:paraId="3D51055B" w14:textId="77777777" w:rsidR="00A306EF" w:rsidRDefault="00000000">
      <w:pPr>
        <w:numPr>
          <w:ilvl w:val="0"/>
          <w:numId w:val="1"/>
        </w:numPr>
        <w:spacing w:after="80"/>
      </w:pPr>
      <w:r>
        <w:rPr>
          <w:rFonts w:cs="Calibri"/>
          <w:szCs w:val="21"/>
        </w:rPr>
        <w:t>Section 11C.5: Alternative Payment System Resilience Protocol</w:t>
      </w:r>
    </w:p>
    <w:p w14:paraId="684743EE" w14:textId="77777777" w:rsidR="00A306EF" w:rsidRDefault="00000000">
      <w:pPr>
        <w:numPr>
          <w:ilvl w:val="0"/>
          <w:numId w:val="1"/>
        </w:numPr>
        <w:spacing w:after="80"/>
      </w:pPr>
      <w:r>
        <w:rPr>
          <w:rFonts w:cs="Calibri"/>
          <w:szCs w:val="21"/>
        </w:rPr>
        <w:t>Section 8.16 (Second Addendum): Insurance Pool Integrity Protocol</w:t>
      </w:r>
    </w:p>
    <w:p w14:paraId="1105F36E" w14:textId="77777777" w:rsidR="00A306EF" w:rsidRDefault="00000000">
      <w:pPr>
        <w:numPr>
          <w:ilvl w:val="0"/>
          <w:numId w:val="1"/>
        </w:numPr>
        <w:spacing w:after="80"/>
      </w:pPr>
      <w:r>
        <w:rPr>
          <w:rFonts w:cs="Calibri"/>
          <w:szCs w:val="21"/>
        </w:rPr>
        <w:t>Section 6.8 (Addendum): Reinsurance Backstop Protocol</w:t>
      </w:r>
    </w:p>
    <w:p w14:paraId="2C588101" w14:textId="77777777" w:rsidR="00A306EF" w:rsidRDefault="00000000">
      <w:pPr>
        <w:numPr>
          <w:ilvl w:val="0"/>
          <w:numId w:val="1"/>
        </w:numPr>
        <w:spacing w:after="80"/>
      </w:pPr>
      <w:r>
        <w:rPr>
          <w:rFonts w:cs="Calibri"/>
          <w:szCs w:val="21"/>
        </w:rPr>
        <w:lastRenderedPageBreak/>
        <w:t>Section 8.10I (Addendum): Threat-Based Financial Escalation Protocol</w:t>
      </w:r>
    </w:p>
    <w:p w14:paraId="5A59C620" w14:textId="77777777" w:rsidR="00A306EF" w:rsidRDefault="00000000">
      <w:pPr>
        <w:spacing w:after="80"/>
      </w:pPr>
      <w:r>
        <w:rPr>
          <w:rFonts w:cs="Calibri"/>
          <w:szCs w:val="21"/>
        </w:rPr>
        <w:t>Part IV: Legal, Intelligence, and Institutional Fixes (10 provisions):</w:t>
      </w:r>
    </w:p>
    <w:p w14:paraId="41128D65" w14:textId="77777777" w:rsidR="00A306EF" w:rsidRDefault="00000000">
      <w:pPr>
        <w:numPr>
          <w:ilvl w:val="0"/>
          <w:numId w:val="1"/>
        </w:numPr>
        <w:spacing w:after="80"/>
      </w:pPr>
      <w:r>
        <w:rPr>
          <w:rFonts w:cs="Calibri"/>
          <w:szCs w:val="21"/>
        </w:rPr>
        <w:t>Section 9.4A (Addendum): Anti-Override Protocol</w:t>
      </w:r>
    </w:p>
    <w:p w14:paraId="7FC73860" w14:textId="77777777" w:rsidR="00A306EF" w:rsidRDefault="00000000">
      <w:pPr>
        <w:numPr>
          <w:ilvl w:val="0"/>
          <w:numId w:val="1"/>
        </w:numPr>
        <w:spacing w:after="80"/>
      </w:pPr>
      <w:r>
        <w:rPr>
          <w:rFonts w:cs="Calibri"/>
          <w:szCs w:val="21"/>
        </w:rPr>
        <w:t>Annex 1B (Addendum): ISDS Defense Cost-Sharing Protocol</w:t>
      </w:r>
    </w:p>
    <w:p w14:paraId="18CAAF2B" w14:textId="77777777" w:rsidR="00A306EF" w:rsidRDefault="00000000">
      <w:pPr>
        <w:numPr>
          <w:ilvl w:val="0"/>
          <w:numId w:val="1"/>
        </w:numPr>
        <w:spacing w:after="80"/>
      </w:pPr>
      <w:r>
        <w:rPr>
          <w:rFonts w:cs="Calibri"/>
          <w:szCs w:val="21"/>
        </w:rPr>
        <w:t>Section 3.7B (Addendum): Pre-Withdrawal Notification Protocol</w:t>
      </w:r>
    </w:p>
    <w:p w14:paraId="32AEB480" w14:textId="77777777" w:rsidR="00A306EF" w:rsidRDefault="00000000">
      <w:pPr>
        <w:numPr>
          <w:ilvl w:val="0"/>
          <w:numId w:val="1"/>
        </w:numPr>
        <w:spacing w:after="80"/>
      </w:pPr>
      <w:r>
        <w:rPr>
          <w:rFonts w:cs="Calibri"/>
          <w:szCs w:val="21"/>
        </w:rPr>
        <w:t>Section 6.5C (Addendum): Non-Member Supplier Coercion Protocol</w:t>
      </w:r>
    </w:p>
    <w:p w14:paraId="734F6EF5" w14:textId="77777777" w:rsidR="00A306EF" w:rsidRDefault="00000000">
      <w:pPr>
        <w:numPr>
          <w:ilvl w:val="0"/>
          <w:numId w:val="1"/>
        </w:numPr>
        <w:spacing w:after="80"/>
      </w:pPr>
      <w:r>
        <w:rPr>
          <w:rFonts w:cs="Calibri"/>
          <w:szCs w:val="21"/>
        </w:rPr>
        <w:t>Section 4.2N (Third Addendum): Institutional Diversity and Rotation Mandate</w:t>
      </w:r>
    </w:p>
    <w:p w14:paraId="4960B2C0" w14:textId="77777777" w:rsidR="00A306EF" w:rsidRDefault="00000000">
      <w:pPr>
        <w:numPr>
          <w:ilvl w:val="0"/>
          <w:numId w:val="1"/>
        </w:numPr>
        <w:spacing w:after="80"/>
      </w:pPr>
      <w:r>
        <w:rPr>
          <w:rFonts w:cs="Calibri"/>
          <w:szCs w:val="21"/>
        </w:rPr>
        <w:t>Section 4.2N (Fourth Addendum): Leakage Response Time and Resource Protocol</w:t>
      </w:r>
    </w:p>
    <w:p w14:paraId="1DB6526F" w14:textId="77777777" w:rsidR="00A306EF" w:rsidRDefault="00000000">
      <w:pPr>
        <w:numPr>
          <w:ilvl w:val="0"/>
          <w:numId w:val="1"/>
        </w:numPr>
        <w:spacing w:after="80"/>
      </w:pPr>
      <w:r>
        <w:rPr>
          <w:rFonts w:cs="Calibri"/>
          <w:szCs w:val="21"/>
        </w:rPr>
        <w:t>Section 4.2AA (Addendum): Regulator-Weaponization Protocol</w:t>
      </w:r>
    </w:p>
    <w:p w14:paraId="76852844" w14:textId="77777777" w:rsidR="00A306EF" w:rsidRDefault="00000000">
      <w:pPr>
        <w:numPr>
          <w:ilvl w:val="0"/>
          <w:numId w:val="1"/>
        </w:numPr>
        <w:spacing w:after="80"/>
      </w:pPr>
      <w:r>
        <w:rPr>
          <w:rFonts w:cs="Calibri"/>
          <w:szCs w:val="21"/>
        </w:rPr>
        <w:t>Section 4.6 (Addendum): Alumni Network Security Protocol</w:t>
      </w:r>
    </w:p>
    <w:p w14:paraId="6D669E87" w14:textId="77777777" w:rsidR="00A306EF" w:rsidRDefault="00000000">
      <w:pPr>
        <w:numPr>
          <w:ilvl w:val="0"/>
          <w:numId w:val="1"/>
        </w:numPr>
        <w:spacing w:after="80"/>
      </w:pPr>
      <w:r>
        <w:rPr>
          <w:rFonts w:cs="Calibri"/>
          <w:szCs w:val="21"/>
        </w:rPr>
        <w:t>Section 8.11B (Addendum): Strategic Non-Member Protection Protocol</w:t>
      </w:r>
    </w:p>
    <w:p w14:paraId="14DC9B8E" w14:textId="77777777" w:rsidR="00A306EF" w:rsidRDefault="00000000">
      <w:pPr>
        <w:numPr>
          <w:ilvl w:val="0"/>
          <w:numId w:val="1"/>
        </w:numPr>
        <w:spacing w:after="80"/>
      </w:pPr>
      <w:r>
        <w:rPr>
          <w:rFonts w:cs="Calibri"/>
          <w:szCs w:val="21"/>
        </w:rPr>
        <w:t>Annex 13A (Addendum): Micro-Exercise Independence Protocol</w:t>
      </w:r>
    </w:p>
    <w:p w14:paraId="6E484976" w14:textId="77777777" w:rsidR="00A306EF" w:rsidRDefault="00000000">
      <w:pPr>
        <w:spacing w:after="80"/>
      </w:pPr>
      <w:r>
        <w:rPr>
          <w:rFonts w:cs="Calibri"/>
          <w:szCs w:val="21"/>
        </w:rPr>
        <w:t>Part V: CFM Market-Integrity Hardening (1 consolidated protocol, 10 clauses):</w:t>
      </w:r>
    </w:p>
    <w:p w14:paraId="66371A84" w14:textId="77777777" w:rsidR="00A306EF" w:rsidRDefault="00000000">
      <w:pPr>
        <w:numPr>
          <w:ilvl w:val="0"/>
          <w:numId w:val="1"/>
        </w:numPr>
        <w:spacing w:after="80"/>
      </w:pPr>
      <w:r>
        <w:rPr>
          <w:rFonts w:cs="Calibri"/>
          <w:szCs w:val="21"/>
        </w:rPr>
        <w:t>Annex 14 (Addendum): Coercion Forecast Market Integrity Hardening Protocol</w:t>
      </w:r>
    </w:p>
    <w:p w14:paraId="6B013475" w14:textId="77777777" w:rsidR="00A306EF" w:rsidRDefault="00000000">
      <w:pPr>
        <w:spacing w:after="80"/>
      </w:pPr>
      <w:r>
        <w:rPr>
          <w:rFonts w:cs="Calibri"/>
          <w:szCs w:val="21"/>
        </w:rPr>
        <w:t>Part VI: Hybrid Integration and Cross-Cutting Amendments (7 amendments):</w:t>
      </w:r>
    </w:p>
    <w:p w14:paraId="28466C09" w14:textId="77777777" w:rsidR="00A306EF" w:rsidRDefault="00000000">
      <w:pPr>
        <w:numPr>
          <w:ilvl w:val="0"/>
          <w:numId w:val="1"/>
        </w:numPr>
        <w:spacing w:after="80"/>
      </w:pPr>
      <w:r>
        <w:rPr>
          <w:rFonts w:cs="Calibri"/>
          <w:szCs w:val="21"/>
        </w:rPr>
        <w:t>Section 6.12F: Step-Back/Earn-Back Anti-Fragmentation Integration</w:t>
      </w:r>
    </w:p>
    <w:p w14:paraId="30AB4EBE" w14:textId="77777777" w:rsidR="00A306EF" w:rsidRDefault="00000000">
      <w:pPr>
        <w:numPr>
          <w:ilvl w:val="0"/>
          <w:numId w:val="1"/>
        </w:numPr>
        <w:spacing w:after="80"/>
      </w:pPr>
      <w:r>
        <w:rPr>
          <w:rFonts w:cs="Calibri"/>
          <w:szCs w:val="21"/>
        </w:rPr>
        <w:t>Section 4.2X (Amended): Policy Noise Index calculation criteria and triggers</w:t>
      </w:r>
    </w:p>
    <w:p w14:paraId="36F88EB7" w14:textId="77777777" w:rsidR="00A306EF" w:rsidRDefault="00000000">
      <w:pPr>
        <w:numPr>
          <w:ilvl w:val="0"/>
          <w:numId w:val="1"/>
        </w:numPr>
        <w:spacing w:after="80"/>
      </w:pPr>
      <w:r>
        <w:rPr>
          <w:rFonts w:cs="Calibri"/>
          <w:szCs w:val="21"/>
        </w:rPr>
        <w:t>Section 5.2E (Amended): earn-back continuity during reinstatement suspension</w:t>
      </w:r>
    </w:p>
    <w:p w14:paraId="7887C517" w14:textId="77777777" w:rsidR="00A306EF" w:rsidRDefault="00000000">
      <w:pPr>
        <w:numPr>
          <w:ilvl w:val="0"/>
          <w:numId w:val="1"/>
        </w:numPr>
        <w:spacing w:after="80"/>
      </w:pPr>
      <w:r>
        <w:rPr>
          <w:rFonts w:cs="Calibri"/>
          <w:szCs w:val="21"/>
        </w:rPr>
        <w:t>Section 5.3J (Amended): Serial Re-Escalator designation effects</w:t>
      </w:r>
    </w:p>
    <w:p w14:paraId="0BA0EF8E" w14:textId="77777777" w:rsidR="00A306EF" w:rsidRDefault="00000000">
      <w:pPr>
        <w:numPr>
          <w:ilvl w:val="0"/>
          <w:numId w:val="1"/>
        </w:numPr>
        <w:spacing w:after="80"/>
      </w:pPr>
      <w:r>
        <w:rPr>
          <w:rFonts w:cs="Calibri"/>
          <w:szCs w:val="21"/>
        </w:rPr>
        <w:t>Annex 14 (Amended): tightened position limits and circuit breakers</w:t>
      </w:r>
    </w:p>
    <w:p w14:paraId="3812D927" w14:textId="77777777" w:rsidR="00A306EF" w:rsidRDefault="00000000">
      <w:pPr>
        <w:numPr>
          <w:ilvl w:val="0"/>
          <w:numId w:val="1"/>
        </w:numPr>
        <w:spacing w:after="80"/>
      </w:pPr>
      <w:r>
        <w:rPr>
          <w:rFonts w:cs="Calibri"/>
          <w:szCs w:val="21"/>
        </w:rPr>
        <w:t>Operational Simplicity Principle (Amended): two enforcement pathways anchor</w:t>
      </w:r>
    </w:p>
    <w:p w14:paraId="46217A58" w14:textId="77777777" w:rsidR="00A306EF" w:rsidRDefault="00000000">
      <w:pPr>
        <w:numPr>
          <w:ilvl w:val="0"/>
          <w:numId w:val="1"/>
        </w:numPr>
        <w:spacing w:after="80"/>
      </w:pPr>
      <w:r>
        <w:rPr>
          <w:rFonts w:cs="Calibri"/>
          <w:szCs w:val="21"/>
        </w:rPr>
        <w:t>Glossary (Amended): hybrid architecture definitions</w:t>
      </w:r>
    </w:p>
    <w:p w14:paraId="0D5F5F42" w14:textId="77777777" w:rsidR="00A306EF" w:rsidRDefault="00000000">
      <w:pPr>
        <w:spacing w:after="80"/>
      </w:pPr>
      <w:r>
        <w:rPr>
          <w:rFonts w:cs="Calibri"/>
          <w:szCs w:val="21"/>
        </w:rPr>
        <w:t>WTO-Compatibility Review Notes:</w:t>
      </w:r>
    </w:p>
    <w:p w14:paraId="1ED61FED" w14:textId="77777777" w:rsidR="00A306EF" w:rsidRDefault="00000000">
      <w:pPr>
        <w:numPr>
          <w:ilvl w:val="0"/>
          <w:numId w:val="1"/>
        </w:numPr>
        <w:spacing w:after="80"/>
      </w:pPr>
      <w:r>
        <w:rPr>
          <w:rFonts w:cs="Calibri"/>
          <w:szCs w:val="21"/>
        </w:rPr>
        <w:t>External incorporation by reference: the proposed incorporation of external verification instruments converts into a self-contained protocol defined within this Instrument (Section 5.4B)</w:t>
      </w:r>
    </w:p>
    <w:p w14:paraId="17937C60" w14:textId="77777777" w:rsidR="00A306EF" w:rsidRDefault="00000000">
      <w:pPr>
        <w:numPr>
          <w:ilvl w:val="0"/>
          <w:numId w:val="1"/>
        </w:numPr>
        <w:spacing w:after="140"/>
      </w:pPr>
      <w:r>
        <w:rPr>
          <w:rFonts w:cs="Calibri"/>
          <w:szCs w:val="21"/>
        </w:rPr>
        <w:t>Breach classification recast: nuclear-safeguards telemetry concepts, including fissile material, sensors, and inspector access, recast into economic-compliance terms covering non-implementation, contribution default, verification obstruction, and falsified data (Section 5.4C)</w:t>
      </w:r>
    </w:p>
    <w:p w14:paraId="101727F9" w14:textId="77777777" w:rsidR="00A306EF" w:rsidRDefault="00000000">
      <w:pPr>
        <w:numPr>
          <w:ilvl w:val="0"/>
          <w:numId w:val="1"/>
        </w:numPr>
        <w:spacing w:after="80"/>
      </w:pPr>
      <w:r>
        <w:rPr>
          <w:rFonts w:cs="Calibri"/>
          <w:szCs w:val="21"/>
        </w:rPr>
        <w:t>Sequenced impact ladder: the benefit-pause sequence maps onto IMESI benefit categories, with humanitarian flows, released escrow, and crisis communication channels never affected (Section 5.4D)</w:t>
      </w:r>
    </w:p>
    <w:p w14:paraId="63653EAA" w14:textId="77777777" w:rsidR="00A306EF" w:rsidRDefault="00000000">
      <w:pPr>
        <w:numPr>
          <w:ilvl w:val="0"/>
          <w:numId w:val="1"/>
        </w:numPr>
        <w:spacing w:after="80"/>
      </w:pPr>
      <w:r>
        <w:rPr>
          <w:rFonts w:cs="Calibri"/>
          <w:szCs w:val="21"/>
        </w:rPr>
        <w:t>Module definitions: the proposed nuclear, maritime, and governance modules recast into Trade Measures, Financial, Supply-Chain, Governance, and Institutional modules (Section 5.4E)</w:t>
      </w:r>
    </w:p>
    <w:p w14:paraId="3E21FD57" w14:textId="77777777" w:rsidR="00A306EF" w:rsidRDefault="00000000">
      <w:pPr>
        <w:numPr>
          <w:ilvl w:val="0"/>
          <w:numId w:val="1"/>
        </w:numPr>
        <w:spacing w:after="140"/>
      </w:pPr>
      <w:r>
        <w:rPr>
          <w:rFonts w:cs="Calibri"/>
          <w:szCs w:val="21"/>
        </w:rPr>
        <w:lastRenderedPageBreak/>
        <w:t>Escalation gating: proposals authorizing immediate Phase 2 or Phase 3 escalation without a vote route through the standard voting and human-confirmation procedures of Sections 4.5B and 5.5B (Sections 3.7B (Addendum) and 8.10I (Addendum))</w:t>
      </w:r>
    </w:p>
    <w:p w14:paraId="3900B691" w14:textId="77777777" w:rsidR="00A306EF" w:rsidRDefault="00000000">
      <w:pPr>
        <w:numPr>
          <w:ilvl w:val="0"/>
          <w:numId w:val="1"/>
        </w:numPr>
        <w:spacing w:after="80"/>
      </w:pPr>
      <w:r>
        <w:rPr>
          <w:rFonts w:cs="Calibri"/>
          <w:szCs w:val="21"/>
        </w:rPr>
        <w:t>First-Mover Extension: the proposed Category 2 Red-Line reclassification for coercion targeting founding members converts into severity elevation plus immediate Track A stabilization (Section 3.1F (Addendum))</w:t>
      </w:r>
    </w:p>
    <w:p w14:paraId="6B68A8D9" w14:textId="77777777" w:rsidR="00A306EF" w:rsidRDefault="00000000">
      <w:pPr>
        <w:numPr>
          <w:ilvl w:val="0"/>
          <w:numId w:val="1"/>
        </w:numPr>
        <w:spacing w:after="80"/>
      </w:pPr>
      <w:r>
        <w:rPr>
          <w:rFonts w:cs="Calibri"/>
          <w:szCs w:val="21"/>
        </w:rPr>
        <w:t>Anti-fragmentation integration: references to a scored reset mechanism absent from this Instrument recast around the established bad-faith standards of Section 6.12 (Section 6.12F)</w:t>
      </w:r>
    </w:p>
    <w:p w14:paraId="2922744F" w14:textId="77777777" w:rsidR="00A306EF" w:rsidRDefault="00000000">
      <w:pPr>
        <w:numPr>
          <w:ilvl w:val="0"/>
          <w:numId w:val="1"/>
        </w:numPr>
        <w:spacing w:after="80"/>
      </w:pPr>
      <w:r>
        <w:rPr>
          <w:rFonts w:cs="Calibri"/>
          <w:szCs w:val="21"/>
        </w:rPr>
        <w:t>Section 5.2 redraft: implemented as a Second Addendum that preserves the v12.0 Anti-Reprisal Protocol rather than replacing the Section wholesale</w:t>
      </w:r>
    </w:p>
    <w:p w14:paraId="29D4CEB2" w14:textId="77777777" w:rsidR="00A306EF" w:rsidRDefault="00000000">
      <w:pPr>
        <w:numPr>
          <w:ilvl w:val="0"/>
          <w:numId w:val="1"/>
        </w:numPr>
        <w:spacing w:after="140"/>
      </w:pPr>
      <w:r>
        <w:rPr>
          <w:rFonts w:cs="Calibri"/>
          <w:szCs w:val="21"/>
        </w:rPr>
        <w:t>Internal-benefit character: all step-back reductions operate on IMESI-internal benefits, including Fund disbursements, procurement privileges, and SFI rates, and create no border measure; the Reinstatement review and sunset safeguards (Section 5.4G) keep every resumed measure time-limited and proportionate</w:t>
      </w:r>
    </w:p>
    <w:p w14:paraId="640A4DE4" w14:textId="77777777" w:rsidR="00A306EF" w:rsidRDefault="00000000">
      <w:pPr>
        <w:numPr>
          <w:ilvl w:val="0"/>
          <w:numId w:val="1"/>
        </w:numPr>
        <w:spacing w:after="80"/>
      </w:pPr>
      <w:r>
        <w:rPr>
          <w:rFonts w:cs="Calibri"/>
          <w:szCs w:val="21"/>
        </w:rPr>
        <w:t>Passed, Pre-Formation Tariff Shield: duplicates the existing Section 8.1A (Addendum)</w:t>
      </w:r>
    </w:p>
    <w:p w14:paraId="7A5B0BC0" w14:textId="77777777" w:rsidR="00A306EF" w:rsidRDefault="00000000">
      <w:pPr>
        <w:numPr>
          <w:ilvl w:val="0"/>
          <w:numId w:val="1"/>
        </w:numPr>
        <w:spacing w:after="80"/>
      </w:pPr>
      <w:r>
        <w:rPr>
          <w:rFonts w:cs="Calibri"/>
          <w:szCs w:val="21"/>
        </w:rPr>
        <w:t>Passed, Anti-Fragmentation Hardening AF-1 to AF-5: duplicate Sections 6.12A-6.12E introduced in v12.1</w:t>
      </w:r>
    </w:p>
    <w:p w14:paraId="11DEC27C" w14:textId="77777777" w:rsidR="00A306EF" w:rsidRDefault="00000000">
      <w:pPr>
        <w:numPr>
          <w:ilvl w:val="0"/>
          <w:numId w:val="1"/>
        </w:numPr>
        <w:spacing w:after="80"/>
      </w:pPr>
      <w:r>
        <w:rPr>
          <w:rFonts w:cs="Calibri"/>
          <w:szCs w:val="21"/>
        </w:rPr>
        <w:t>Passed, Financial Hardening F-1 and F-3 to F-11: duplicate Sections 8.0A (Addendum), 8.4A (Addendum), 8.4F, 8.9 (Second Addendum), 8.10J, 8.10Y, 8.20D, and 8.31-8.33 introduced in v12.1</w:t>
      </w:r>
    </w:p>
    <w:p w14:paraId="29D7BABB" w14:textId="77777777" w:rsidR="00A306EF" w:rsidRDefault="00000000">
      <w:pPr>
        <w:numPr>
          <w:ilvl w:val="0"/>
          <w:numId w:val="1"/>
        </w:numPr>
        <w:spacing w:after="80"/>
      </w:pPr>
      <w:r>
        <w:rPr>
          <w:rFonts w:cs="Calibri"/>
          <w:szCs w:val="21"/>
        </w:rPr>
        <w:t>Passed, Institutional Hardening I-2 to I-8: duplicate Sections 4.2AD, 4.2AC, 9.8C, and 10.15-10.17 introduced in v12.1; proposal I-3 duplicates the hardened Section 4.2Y text</w:t>
      </w:r>
    </w:p>
    <w:p w14:paraId="54236DCD" w14:textId="77777777" w:rsidR="00A306EF" w:rsidRDefault="00000000">
      <w:pPr>
        <w:numPr>
          <w:ilvl w:val="0"/>
          <w:numId w:val="1"/>
        </w:numPr>
        <w:spacing w:after="80"/>
      </w:pPr>
      <w:r>
        <w:rPr>
          <w:rFonts w:cs="Calibri"/>
          <w:szCs w:val="21"/>
        </w:rPr>
        <w:t>Passed, Section 10.9 redraft: duplicates Section 10.9 as amended by the terminology reform</w:t>
      </w:r>
    </w:p>
    <w:p w14:paraId="6E383174" w14:textId="77777777" w:rsidR="00A306EF" w:rsidRDefault="00000000">
      <w:pPr>
        <w:numPr>
          <w:ilvl w:val="0"/>
          <w:numId w:val="1"/>
        </w:numPr>
        <w:spacing w:after="140"/>
      </w:pPr>
      <w:r>
        <w:rPr>
          <w:rFonts w:cs="Calibri"/>
          <w:szCs w:val="21"/>
        </w:rPr>
        <w:t>Numbering reconciliation: the third and fourth addenda to Section 4.2N follow the existing v11.0 addenda; Section 8.10K follows Section 8.10J; the 8.16 integrity protocol numbers as a Second Addendum following the v12.0 addendum</w:t>
      </w:r>
    </w:p>
    <w:p w14:paraId="7CCE2320" w14:textId="77777777" w:rsidR="00A306EF" w:rsidRDefault="00000000">
      <w:pPr>
        <w:pStyle w:val="Heading1"/>
        <w:pageBreakBefore/>
        <w:spacing w:after="100"/>
      </w:pPr>
      <w:bookmarkStart w:id="4" w:name="_Toc237918127"/>
      <w:r>
        <w:rPr>
          <w:rFonts w:cs="Calibri"/>
          <w:szCs w:val="30"/>
        </w:rPr>
        <w:lastRenderedPageBreak/>
        <w:t>v12.1 HARDENING ADDITIONS SUMMARY</w:t>
      </w:r>
      <w:bookmarkEnd w:id="4"/>
    </w:p>
    <w:p w14:paraId="0B2689B9" w14:textId="77777777" w:rsidR="00A306EF" w:rsidRDefault="00000000">
      <w:pPr>
        <w:spacing w:after="140"/>
      </w:pPr>
      <w:r>
        <w:rPr>
          <w:rFonts w:cs="Calibri"/>
          <w:szCs w:val="21"/>
        </w:rPr>
        <w:t>This version integrates 62 hardening provisions across five packages: irrational-actor and political-volatility hardening, disinformation and cognitive-coercion resilience, unilateralism and surprise-action countermeasures, Red Team structural fixes, and WTO-compatible structural and financial hardening. The provisions derive from 66 external proposals; every proposal underwent individual WTO-compatibility review, twelve proposals enter with modifications recorded in the review notes at the end of this summary, and two proposals pass without adoption as duplicates of existing provisions.</w:t>
      </w:r>
    </w:p>
    <w:p w14:paraId="607E44DD" w14:textId="77777777" w:rsidR="00A306EF" w:rsidRDefault="00000000">
      <w:pPr>
        <w:spacing w:after="80"/>
      </w:pPr>
      <w:r>
        <w:rPr>
          <w:rFonts w:cs="Calibri"/>
          <w:szCs w:val="21"/>
        </w:rPr>
        <w:t>Part I: Irrational-Actor and Political-Volatility Hardening (20 provisions):</w:t>
      </w:r>
    </w:p>
    <w:p w14:paraId="6724B723" w14:textId="77777777" w:rsidR="00A306EF" w:rsidRDefault="00000000">
      <w:pPr>
        <w:numPr>
          <w:ilvl w:val="0"/>
          <w:numId w:val="1"/>
        </w:numPr>
        <w:spacing w:after="80"/>
      </w:pPr>
      <w:r>
        <w:rPr>
          <w:rFonts w:cs="Calibri"/>
          <w:szCs w:val="21"/>
        </w:rPr>
        <w:t>Section 1.1 (Fifth Addendum): Domestic Fracture Ceiling</w:t>
      </w:r>
    </w:p>
    <w:p w14:paraId="0692A64A" w14:textId="77777777" w:rsidR="00A306EF" w:rsidRDefault="00000000">
      <w:pPr>
        <w:numPr>
          <w:ilvl w:val="0"/>
          <w:numId w:val="1"/>
        </w:numPr>
        <w:spacing w:after="80"/>
      </w:pPr>
      <w:r>
        <w:rPr>
          <w:rFonts w:cs="Calibri"/>
          <w:szCs w:val="21"/>
        </w:rPr>
        <w:t>Section 1.4I: Pattern-of-Conduct Coercion Doctrine</w:t>
      </w:r>
    </w:p>
    <w:p w14:paraId="43021FED" w14:textId="77777777" w:rsidR="00A306EF" w:rsidRDefault="00000000">
      <w:pPr>
        <w:numPr>
          <w:ilvl w:val="0"/>
          <w:numId w:val="1"/>
        </w:numPr>
        <w:spacing w:after="80"/>
      </w:pPr>
      <w:r>
        <w:rPr>
          <w:rFonts w:cs="Calibri"/>
          <w:szCs w:val="21"/>
        </w:rPr>
        <w:t>Section 2.15A: Unsubstantiated National Security Claim Protocol</w:t>
      </w:r>
    </w:p>
    <w:p w14:paraId="438FA608" w14:textId="77777777" w:rsidR="00A306EF" w:rsidRDefault="00000000">
      <w:pPr>
        <w:numPr>
          <w:ilvl w:val="0"/>
          <w:numId w:val="1"/>
        </w:numPr>
        <w:spacing w:after="80"/>
      </w:pPr>
      <w:r>
        <w:rPr>
          <w:rFonts w:cs="Calibri"/>
          <w:szCs w:val="21"/>
        </w:rPr>
        <w:t>Section 2.15C: Mixed-Issue Tariff Protocol</w:t>
      </w:r>
    </w:p>
    <w:p w14:paraId="78E16010" w14:textId="77777777" w:rsidR="00A306EF" w:rsidRDefault="00000000">
      <w:pPr>
        <w:numPr>
          <w:ilvl w:val="0"/>
          <w:numId w:val="1"/>
        </w:numPr>
        <w:spacing w:after="80"/>
      </w:pPr>
      <w:r>
        <w:rPr>
          <w:rFonts w:cs="Calibri"/>
          <w:szCs w:val="21"/>
        </w:rPr>
        <w:t>Section 2.15E: Official Statement Consistency Protocol</w:t>
      </w:r>
    </w:p>
    <w:p w14:paraId="792F39E0" w14:textId="77777777" w:rsidR="00A306EF" w:rsidRDefault="00000000">
      <w:pPr>
        <w:numPr>
          <w:ilvl w:val="0"/>
          <w:numId w:val="1"/>
        </w:numPr>
        <w:spacing w:after="80"/>
      </w:pPr>
      <w:r>
        <w:rPr>
          <w:rFonts w:cs="Calibri"/>
          <w:szCs w:val="21"/>
        </w:rPr>
        <w:t>Section 2.15F: Retroactive Policy Reversal Protocol</w:t>
      </w:r>
    </w:p>
    <w:p w14:paraId="23CC2E27" w14:textId="77777777" w:rsidR="00A306EF" w:rsidRDefault="00000000">
      <w:pPr>
        <w:numPr>
          <w:ilvl w:val="0"/>
          <w:numId w:val="1"/>
        </w:numPr>
        <w:spacing w:after="80"/>
      </w:pPr>
      <w:r>
        <w:rPr>
          <w:rFonts w:cs="Calibri"/>
          <w:szCs w:val="21"/>
        </w:rPr>
        <w:t>Section 4.2W: Political Theater Immunity Protocol</w:t>
      </w:r>
    </w:p>
    <w:p w14:paraId="6B1357AC" w14:textId="77777777" w:rsidR="00A306EF" w:rsidRDefault="00000000">
      <w:pPr>
        <w:numPr>
          <w:ilvl w:val="0"/>
          <w:numId w:val="1"/>
        </w:numPr>
        <w:spacing w:after="80"/>
      </w:pPr>
      <w:r>
        <w:rPr>
          <w:rFonts w:cs="Calibri"/>
          <w:szCs w:val="21"/>
        </w:rPr>
        <w:t>Section 4.2X: Adversarial Policy Signal Decoder</w:t>
      </w:r>
    </w:p>
    <w:p w14:paraId="60174297" w14:textId="77777777" w:rsidR="00A306EF" w:rsidRDefault="00000000">
      <w:pPr>
        <w:numPr>
          <w:ilvl w:val="0"/>
          <w:numId w:val="1"/>
        </w:numPr>
        <w:spacing w:after="80"/>
      </w:pPr>
      <w:r>
        <w:rPr>
          <w:rFonts w:cs="Calibri"/>
          <w:szCs w:val="21"/>
        </w:rPr>
        <w:t>Section 4.2AD: Market Signaling and Volatility Monitoring Unit</w:t>
      </w:r>
    </w:p>
    <w:p w14:paraId="77628447" w14:textId="77777777" w:rsidR="00A306EF" w:rsidRDefault="00000000">
      <w:pPr>
        <w:numPr>
          <w:ilvl w:val="0"/>
          <w:numId w:val="1"/>
        </w:numPr>
        <w:spacing w:after="80"/>
      </w:pPr>
      <w:r>
        <w:rPr>
          <w:rFonts w:cs="Calibri"/>
          <w:szCs w:val="21"/>
        </w:rPr>
        <w:t>Section 5.3H: Automatic Structural Damage Compensation</w:t>
      </w:r>
    </w:p>
    <w:p w14:paraId="19798770" w14:textId="77777777" w:rsidR="00A306EF" w:rsidRDefault="00000000">
      <w:pPr>
        <w:numPr>
          <w:ilvl w:val="0"/>
          <w:numId w:val="1"/>
        </w:numPr>
        <w:spacing w:after="80"/>
      </w:pPr>
      <w:r>
        <w:rPr>
          <w:rFonts w:cs="Calibri"/>
          <w:szCs w:val="21"/>
        </w:rPr>
        <w:t>Section 5.3I: Voluntary De-escalation Incentive for Cessation of Disinformation</w:t>
      </w:r>
    </w:p>
    <w:p w14:paraId="664DA00A" w14:textId="77777777" w:rsidR="00A306EF" w:rsidRDefault="00000000">
      <w:pPr>
        <w:numPr>
          <w:ilvl w:val="0"/>
          <w:numId w:val="1"/>
        </w:numPr>
        <w:spacing w:after="80"/>
      </w:pPr>
      <w:r>
        <w:rPr>
          <w:rFonts w:cs="Calibri"/>
          <w:szCs w:val="21"/>
        </w:rPr>
        <w:t>Section 5.3J: Re-Escalation Safeguard Protocol</w:t>
      </w:r>
    </w:p>
    <w:p w14:paraId="4B017CFE" w14:textId="77777777" w:rsidR="00A306EF" w:rsidRDefault="00000000">
      <w:pPr>
        <w:numPr>
          <w:ilvl w:val="0"/>
          <w:numId w:val="1"/>
        </w:numPr>
        <w:spacing w:after="80"/>
      </w:pPr>
      <w:r>
        <w:rPr>
          <w:rFonts w:cs="Calibri"/>
          <w:szCs w:val="21"/>
        </w:rPr>
        <w:t>Section 5.3K: Resolution Voidance Protocol</w:t>
      </w:r>
    </w:p>
    <w:p w14:paraId="1325028E" w14:textId="77777777" w:rsidR="00A306EF" w:rsidRDefault="00000000">
      <w:pPr>
        <w:numPr>
          <w:ilvl w:val="0"/>
          <w:numId w:val="1"/>
        </w:numPr>
        <w:spacing w:after="80"/>
      </w:pPr>
      <w:r>
        <w:rPr>
          <w:rFonts w:cs="Calibri"/>
          <w:szCs w:val="21"/>
        </w:rPr>
        <w:t>Section 6.7 (Addendum): High-Volatility Threshold Reduction</w:t>
      </w:r>
    </w:p>
    <w:p w14:paraId="0DDFB2BE" w14:textId="77777777" w:rsidR="00A306EF" w:rsidRDefault="00000000">
      <w:pPr>
        <w:numPr>
          <w:ilvl w:val="0"/>
          <w:numId w:val="1"/>
        </w:numPr>
        <w:spacing w:after="80"/>
      </w:pPr>
      <w:r>
        <w:rPr>
          <w:rFonts w:cs="Calibri"/>
          <w:szCs w:val="21"/>
        </w:rPr>
        <w:t>Section 8.4F: Political Volatility Surcharge Shield</w:t>
      </w:r>
    </w:p>
    <w:p w14:paraId="59D8DC7E" w14:textId="77777777" w:rsidR="00A306EF" w:rsidRDefault="00000000">
      <w:pPr>
        <w:numPr>
          <w:ilvl w:val="0"/>
          <w:numId w:val="1"/>
        </w:numPr>
        <w:spacing w:after="80"/>
      </w:pPr>
      <w:r>
        <w:rPr>
          <w:rFonts w:cs="Calibri"/>
          <w:szCs w:val="21"/>
        </w:rPr>
        <w:t>Section 8.18B: Psychological Impact Guarantee</w:t>
      </w:r>
    </w:p>
    <w:p w14:paraId="6F8FB3D3" w14:textId="77777777" w:rsidR="00A306EF" w:rsidRDefault="00000000">
      <w:pPr>
        <w:numPr>
          <w:ilvl w:val="0"/>
          <w:numId w:val="1"/>
        </w:numPr>
        <w:spacing w:after="80"/>
      </w:pPr>
      <w:r>
        <w:rPr>
          <w:rFonts w:cs="Calibri"/>
          <w:szCs w:val="21"/>
        </w:rPr>
        <w:t>Section 8.31: Arbitrary Shock Diversification Facility</w:t>
      </w:r>
    </w:p>
    <w:p w14:paraId="76F28EA0" w14:textId="77777777" w:rsidR="00A306EF" w:rsidRDefault="00000000">
      <w:pPr>
        <w:numPr>
          <w:ilvl w:val="0"/>
          <w:numId w:val="1"/>
        </w:numPr>
        <w:spacing w:after="80"/>
      </w:pPr>
      <w:r>
        <w:rPr>
          <w:rFonts w:cs="Calibri"/>
          <w:szCs w:val="21"/>
        </w:rPr>
        <w:t>Section 10.15: Predictability Restoration Protocol</w:t>
      </w:r>
    </w:p>
    <w:p w14:paraId="52567C65" w14:textId="77777777" w:rsidR="00A306EF" w:rsidRDefault="00000000">
      <w:pPr>
        <w:numPr>
          <w:ilvl w:val="0"/>
          <w:numId w:val="1"/>
        </w:numPr>
        <w:spacing w:after="80"/>
      </w:pPr>
      <w:r>
        <w:rPr>
          <w:rFonts w:cs="Calibri"/>
          <w:szCs w:val="21"/>
        </w:rPr>
        <w:t>Section 10.16: Enhanced Domestic Political Cost Disclosure</w:t>
      </w:r>
    </w:p>
    <w:p w14:paraId="5AEF1AA9" w14:textId="77777777" w:rsidR="00A306EF" w:rsidRDefault="00000000">
      <w:pPr>
        <w:numPr>
          <w:ilvl w:val="0"/>
          <w:numId w:val="1"/>
        </w:numPr>
        <w:spacing w:after="80"/>
      </w:pPr>
      <w:r>
        <w:rPr>
          <w:rFonts w:cs="Calibri"/>
          <w:szCs w:val="21"/>
        </w:rPr>
        <w:t>Section 10.17: Policy Reversal Penalty Protocol</w:t>
      </w:r>
    </w:p>
    <w:p w14:paraId="21DEBBC9" w14:textId="77777777" w:rsidR="00A306EF" w:rsidRDefault="00000000">
      <w:pPr>
        <w:spacing w:after="80"/>
      </w:pPr>
      <w:r>
        <w:rPr>
          <w:rFonts w:cs="Calibri"/>
          <w:szCs w:val="21"/>
        </w:rPr>
        <w:t>Part II: Disinformation and Cognitive-Coercion Resilience (6 provisions):</w:t>
      </w:r>
    </w:p>
    <w:p w14:paraId="78D6C131" w14:textId="77777777" w:rsidR="00A306EF" w:rsidRDefault="00000000">
      <w:pPr>
        <w:numPr>
          <w:ilvl w:val="0"/>
          <w:numId w:val="1"/>
        </w:numPr>
        <w:spacing w:after="80"/>
      </w:pPr>
      <w:r>
        <w:rPr>
          <w:rFonts w:cs="Calibri"/>
          <w:szCs w:val="21"/>
        </w:rPr>
        <w:t>Section 4.2Z: Rapid Media Integrity Response Protocol</w:t>
      </w:r>
    </w:p>
    <w:p w14:paraId="61BE7753" w14:textId="77777777" w:rsidR="00A306EF" w:rsidRDefault="00000000">
      <w:pPr>
        <w:numPr>
          <w:ilvl w:val="0"/>
          <w:numId w:val="1"/>
        </w:numPr>
        <w:spacing w:after="80"/>
      </w:pPr>
      <w:r>
        <w:rPr>
          <w:rFonts w:cs="Calibri"/>
          <w:szCs w:val="21"/>
        </w:rPr>
        <w:t>Section 4.2AA: Misinformation-Induced Harm Compensation Eligibility</w:t>
      </w:r>
    </w:p>
    <w:p w14:paraId="62F4952D" w14:textId="77777777" w:rsidR="00A306EF" w:rsidRDefault="00000000">
      <w:pPr>
        <w:numPr>
          <w:ilvl w:val="0"/>
          <w:numId w:val="1"/>
        </w:numPr>
        <w:spacing w:after="80"/>
      </w:pPr>
      <w:r>
        <w:rPr>
          <w:rFonts w:cs="Calibri"/>
          <w:szCs w:val="21"/>
        </w:rPr>
        <w:t>Section 4.2AB: Domestic Political Cost Assessment</w:t>
      </w:r>
    </w:p>
    <w:p w14:paraId="5C0BBA02" w14:textId="77777777" w:rsidR="00A306EF" w:rsidRDefault="00000000">
      <w:pPr>
        <w:numPr>
          <w:ilvl w:val="0"/>
          <w:numId w:val="1"/>
        </w:numPr>
        <w:spacing w:after="80"/>
      </w:pPr>
      <w:r>
        <w:rPr>
          <w:rFonts w:cs="Calibri"/>
          <w:szCs w:val="21"/>
        </w:rPr>
        <w:t>Section 4.2AC: Pre-Authorized Disinformation Counter-Narrative Library</w:t>
      </w:r>
    </w:p>
    <w:p w14:paraId="48EBD6B0" w14:textId="77777777" w:rsidR="00A306EF" w:rsidRDefault="00000000">
      <w:pPr>
        <w:numPr>
          <w:ilvl w:val="0"/>
          <w:numId w:val="1"/>
        </w:numPr>
        <w:spacing w:after="80"/>
      </w:pPr>
      <w:r>
        <w:rPr>
          <w:rFonts w:cs="Calibri"/>
          <w:szCs w:val="21"/>
        </w:rPr>
        <w:lastRenderedPageBreak/>
        <w:t>Section 6.6A: Non-State Actor and Platform Coordination Protocol</w:t>
      </w:r>
    </w:p>
    <w:p w14:paraId="1A97F05C" w14:textId="77777777" w:rsidR="00A306EF" w:rsidRDefault="00000000">
      <w:pPr>
        <w:numPr>
          <w:ilvl w:val="0"/>
          <w:numId w:val="1"/>
        </w:numPr>
        <w:spacing w:after="80"/>
      </w:pPr>
      <w:r>
        <w:rPr>
          <w:rFonts w:cs="Calibri"/>
          <w:szCs w:val="21"/>
        </w:rPr>
        <w:t>Section 9.8C: Independent Media and Fact-Checking Partnership Program</w:t>
      </w:r>
    </w:p>
    <w:p w14:paraId="51ECCBC4" w14:textId="77777777" w:rsidR="00A306EF" w:rsidRDefault="00000000">
      <w:pPr>
        <w:spacing w:after="80"/>
      </w:pPr>
      <w:r>
        <w:rPr>
          <w:rFonts w:cs="Calibri"/>
          <w:szCs w:val="21"/>
        </w:rPr>
        <w:t>Part III: Unilateralism and Surprise-Action Countermeasures (13 provisions):</w:t>
      </w:r>
    </w:p>
    <w:p w14:paraId="04520FF3" w14:textId="77777777" w:rsidR="00A306EF" w:rsidRDefault="00000000">
      <w:pPr>
        <w:numPr>
          <w:ilvl w:val="0"/>
          <w:numId w:val="1"/>
        </w:numPr>
        <w:spacing w:after="80"/>
      </w:pPr>
      <w:r>
        <w:rPr>
          <w:rFonts w:cs="Calibri"/>
          <w:szCs w:val="21"/>
        </w:rPr>
        <w:t>Section 1.4H: Unilateral Economic Statecraft Presumption</w:t>
      </w:r>
    </w:p>
    <w:p w14:paraId="5B3A8669" w14:textId="77777777" w:rsidR="00A306EF" w:rsidRDefault="00000000">
      <w:pPr>
        <w:numPr>
          <w:ilvl w:val="0"/>
          <w:numId w:val="1"/>
        </w:numPr>
        <w:spacing w:after="80"/>
      </w:pPr>
      <w:r>
        <w:rPr>
          <w:rFonts w:cs="Calibri"/>
          <w:szCs w:val="21"/>
        </w:rPr>
        <w:t>Section 2.1J: Retroactive Policy-Linkage Doctrine</w:t>
      </w:r>
    </w:p>
    <w:p w14:paraId="6F435FA1" w14:textId="77777777" w:rsidR="00A306EF" w:rsidRDefault="00000000">
      <w:pPr>
        <w:numPr>
          <w:ilvl w:val="0"/>
          <w:numId w:val="1"/>
        </w:numPr>
        <w:spacing w:after="80"/>
      </w:pPr>
      <w:r>
        <w:rPr>
          <w:rFonts w:cs="Calibri"/>
          <w:szCs w:val="21"/>
        </w:rPr>
        <w:t>Section 2.1K: Executive Authority Aggravation Standard</w:t>
      </w:r>
    </w:p>
    <w:p w14:paraId="06B89C80" w14:textId="77777777" w:rsidR="00A306EF" w:rsidRDefault="00000000">
      <w:pPr>
        <w:numPr>
          <w:ilvl w:val="0"/>
          <w:numId w:val="1"/>
        </w:numPr>
        <w:spacing w:after="80"/>
      </w:pPr>
      <w:r>
        <w:rPr>
          <w:rFonts w:cs="Calibri"/>
          <w:szCs w:val="21"/>
        </w:rPr>
        <w:t>Section 2.2B: Category 10, Unilateral Tariff Regime Disruption</w:t>
      </w:r>
    </w:p>
    <w:p w14:paraId="73589B76" w14:textId="77777777" w:rsidR="00A306EF" w:rsidRDefault="00000000">
      <w:pPr>
        <w:numPr>
          <w:ilvl w:val="0"/>
          <w:numId w:val="1"/>
        </w:numPr>
        <w:spacing w:after="80"/>
      </w:pPr>
      <w:r>
        <w:rPr>
          <w:rFonts w:cs="Calibri"/>
          <w:szCs w:val="21"/>
        </w:rPr>
        <w:t>Section 2.10C: Regulatory Surprise Protocol</w:t>
      </w:r>
    </w:p>
    <w:p w14:paraId="2950EA37" w14:textId="77777777" w:rsidR="00A306EF" w:rsidRDefault="00000000">
      <w:pPr>
        <w:numPr>
          <w:ilvl w:val="0"/>
          <w:numId w:val="1"/>
        </w:numPr>
        <w:spacing w:after="80"/>
      </w:pPr>
      <w:r>
        <w:rPr>
          <w:rFonts w:cs="Calibri"/>
          <w:szCs w:val="21"/>
        </w:rPr>
        <w:t>Section 2.10D: Customs Harassment and Administrative Obstruction Protocol</w:t>
      </w:r>
    </w:p>
    <w:p w14:paraId="20360CA2" w14:textId="77777777" w:rsidR="00A306EF" w:rsidRDefault="00000000">
      <w:pPr>
        <w:numPr>
          <w:ilvl w:val="0"/>
          <w:numId w:val="1"/>
        </w:numPr>
        <w:spacing w:after="80"/>
      </w:pPr>
      <w:r>
        <w:rPr>
          <w:rFonts w:cs="Calibri"/>
          <w:szCs w:val="21"/>
        </w:rPr>
        <w:t>Section 3.8A (Addendum): Crisis Communication Mandate</w:t>
      </w:r>
    </w:p>
    <w:p w14:paraId="548F75B9" w14:textId="77777777" w:rsidR="00A306EF" w:rsidRDefault="00000000">
      <w:pPr>
        <w:numPr>
          <w:ilvl w:val="0"/>
          <w:numId w:val="1"/>
        </w:numPr>
        <w:spacing w:after="80"/>
      </w:pPr>
      <w:r>
        <w:rPr>
          <w:rFonts w:cs="Calibri"/>
          <w:szCs w:val="21"/>
        </w:rPr>
        <w:t>Section 5.0N: Deliberative-Process Acceleration Protocol</w:t>
      </w:r>
    </w:p>
    <w:p w14:paraId="1EA41001" w14:textId="77777777" w:rsidR="00A306EF" w:rsidRDefault="00000000">
      <w:pPr>
        <w:numPr>
          <w:ilvl w:val="0"/>
          <w:numId w:val="1"/>
        </w:numPr>
        <w:spacing w:after="80"/>
      </w:pPr>
      <w:r>
        <w:rPr>
          <w:rFonts w:cs="Calibri"/>
          <w:szCs w:val="21"/>
        </w:rPr>
        <w:t>Section 5.0O: Unannounced Trade Action Protocol</w:t>
      </w:r>
    </w:p>
    <w:p w14:paraId="1706A905" w14:textId="77777777" w:rsidR="00A306EF" w:rsidRDefault="00000000">
      <w:pPr>
        <w:numPr>
          <w:ilvl w:val="0"/>
          <w:numId w:val="1"/>
        </w:numPr>
        <w:spacing w:after="80"/>
      </w:pPr>
      <w:r>
        <w:rPr>
          <w:rFonts w:cs="Calibri"/>
          <w:szCs w:val="21"/>
        </w:rPr>
        <w:t>Section 5.0P: Aggressive Negotiation Tactics Protocol</w:t>
      </w:r>
    </w:p>
    <w:p w14:paraId="758ED032" w14:textId="77777777" w:rsidR="00A306EF" w:rsidRDefault="00000000">
      <w:pPr>
        <w:numPr>
          <w:ilvl w:val="0"/>
          <w:numId w:val="1"/>
        </w:numPr>
        <w:spacing w:after="80"/>
      </w:pPr>
      <w:r>
        <w:rPr>
          <w:rFonts w:cs="Calibri"/>
          <w:szCs w:val="21"/>
        </w:rPr>
        <w:t>Section 5.0Q: No-Pretext Tariff Protocol</w:t>
      </w:r>
    </w:p>
    <w:p w14:paraId="02D614E4" w14:textId="77777777" w:rsidR="00A306EF" w:rsidRDefault="00000000">
      <w:pPr>
        <w:numPr>
          <w:ilvl w:val="0"/>
          <w:numId w:val="1"/>
        </w:numPr>
        <w:spacing w:after="80"/>
      </w:pPr>
      <w:r>
        <w:rPr>
          <w:rFonts w:cs="Calibri"/>
          <w:szCs w:val="21"/>
        </w:rPr>
        <w:t>Section 8.10Y: Market-Triggered SFI Activation</w:t>
      </w:r>
    </w:p>
    <w:p w14:paraId="69EC12B7" w14:textId="77777777" w:rsidR="00A306EF" w:rsidRDefault="00000000">
      <w:pPr>
        <w:numPr>
          <w:ilvl w:val="0"/>
          <w:numId w:val="1"/>
        </w:numPr>
        <w:spacing w:after="80"/>
      </w:pPr>
      <w:r>
        <w:rPr>
          <w:rFonts w:cs="Calibri"/>
          <w:szCs w:val="21"/>
        </w:rPr>
        <w:t>Section 10.1B: Standing Political-Economy Vulnerability Assessment</w:t>
      </w:r>
    </w:p>
    <w:p w14:paraId="2096F6EA" w14:textId="77777777" w:rsidR="00A306EF" w:rsidRDefault="00000000">
      <w:pPr>
        <w:spacing w:after="80"/>
      </w:pPr>
      <w:r>
        <w:rPr>
          <w:rFonts w:cs="Calibri"/>
          <w:szCs w:val="21"/>
        </w:rPr>
        <w:t>Part IV: Red Team Structural Fixes (13 provisions):</w:t>
      </w:r>
    </w:p>
    <w:p w14:paraId="5A8B1FDC" w14:textId="77777777" w:rsidR="00A306EF" w:rsidRDefault="00000000">
      <w:pPr>
        <w:numPr>
          <w:ilvl w:val="0"/>
          <w:numId w:val="1"/>
        </w:numPr>
        <w:spacing w:after="80"/>
      </w:pPr>
      <w:r>
        <w:rPr>
          <w:rFonts w:cs="Calibri"/>
          <w:szCs w:val="21"/>
        </w:rPr>
        <w:t>Section 2.1L: Consumer Goods Export Restriction Protocol</w:t>
      </w:r>
    </w:p>
    <w:p w14:paraId="2652253F" w14:textId="77777777" w:rsidR="00A306EF" w:rsidRDefault="00000000">
      <w:pPr>
        <w:numPr>
          <w:ilvl w:val="0"/>
          <w:numId w:val="1"/>
        </w:numPr>
        <w:spacing w:after="80"/>
      </w:pPr>
      <w:r>
        <w:rPr>
          <w:rFonts w:cs="Calibri"/>
          <w:szCs w:val="21"/>
        </w:rPr>
        <w:t>Section 2.9D: Defensive Market-Integrity Measures Against Algorithmic Disinformation</w:t>
      </w:r>
    </w:p>
    <w:p w14:paraId="386BB210" w14:textId="77777777" w:rsidR="00A306EF" w:rsidRDefault="00000000">
      <w:pPr>
        <w:numPr>
          <w:ilvl w:val="0"/>
          <w:numId w:val="1"/>
        </w:numPr>
        <w:spacing w:after="80"/>
      </w:pPr>
      <w:r>
        <w:rPr>
          <w:rFonts w:cs="Calibri"/>
          <w:szCs w:val="21"/>
        </w:rPr>
        <w:t>Section 2.15D: Secondary Supply Chain Sanctions Protocol</w:t>
      </w:r>
    </w:p>
    <w:p w14:paraId="169AD0EE" w14:textId="77777777" w:rsidR="00A306EF" w:rsidRDefault="00000000">
      <w:pPr>
        <w:numPr>
          <w:ilvl w:val="0"/>
          <w:numId w:val="1"/>
        </w:numPr>
        <w:spacing w:after="80"/>
      </w:pPr>
      <w:r>
        <w:rPr>
          <w:rFonts w:cs="Calibri"/>
          <w:szCs w:val="21"/>
        </w:rPr>
        <w:t>Section 3.5 (Second Addendum): Vulnerability-Based Abstention Relief</w:t>
      </w:r>
    </w:p>
    <w:p w14:paraId="4C4DE804" w14:textId="77777777" w:rsidR="00A306EF" w:rsidRDefault="00000000">
      <w:pPr>
        <w:numPr>
          <w:ilvl w:val="0"/>
          <w:numId w:val="1"/>
        </w:numPr>
        <w:spacing w:after="80"/>
      </w:pPr>
      <w:r>
        <w:rPr>
          <w:rFonts w:cs="Calibri"/>
          <w:szCs w:val="21"/>
        </w:rPr>
        <w:t>Section 4.2F (Addendum): Silent Prepositioning Track</w:t>
      </w:r>
    </w:p>
    <w:p w14:paraId="63CACC13" w14:textId="77777777" w:rsidR="00A306EF" w:rsidRDefault="00000000">
      <w:pPr>
        <w:numPr>
          <w:ilvl w:val="0"/>
          <w:numId w:val="1"/>
        </w:numPr>
        <w:spacing w:after="80"/>
      </w:pPr>
      <w:r>
        <w:rPr>
          <w:rFonts w:cs="Calibri"/>
          <w:szCs w:val="21"/>
        </w:rPr>
        <w:t>Section 4.2U (Addendum): Market Confidence Rider</w:t>
      </w:r>
    </w:p>
    <w:p w14:paraId="7603E0F2" w14:textId="77777777" w:rsidR="00A306EF" w:rsidRDefault="00000000">
      <w:pPr>
        <w:numPr>
          <w:ilvl w:val="0"/>
          <w:numId w:val="1"/>
        </w:numPr>
        <w:spacing w:after="80"/>
      </w:pPr>
      <w:r>
        <w:rPr>
          <w:rFonts w:cs="Calibri"/>
          <w:szCs w:val="21"/>
        </w:rPr>
        <w:t>Section 4.2Y: Coalition Narrative Integrity Cell</w:t>
      </w:r>
    </w:p>
    <w:p w14:paraId="0DD9A146" w14:textId="77777777" w:rsidR="00A306EF" w:rsidRDefault="00000000">
      <w:pPr>
        <w:numPr>
          <w:ilvl w:val="0"/>
          <w:numId w:val="1"/>
        </w:numPr>
        <w:spacing w:after="80"/>
      </w:pPr>
      <w:r>
        <w:rPr>
          <w:rFonts w:cs="Calibri"/>
          <w:szCs w:val="21"/>
        </w:rPr>
        <w:t>Section 5.11 (Addendum): Deceleration Mandate</w:t>
      </w:r>
    </w:p>
    <w:p w14:paraId="710CA98F" w14:textId="77777777" w:rsidR="00A306EF" w:rsidRDefault="00000000">
      <w:pPr>
        <w:numPr>
          <w:ilvl w:val="0"/>
          <w:numId w:val="1"/>
        </w:numPr>
        <w:spacing w:after="80"/>
      </w:pPr>
      <w:r>
        <w:rPr>
          <w:rFonts w:cs="Calibri"/>
          <w:szCs w:val="21"/>
        </w:rPr>
        <w:t>Section 6.12A: Coalition Defection Pre-Positioning Protocol</w:t>
      </w:r>
    </w:p>
    <w:p w14:paraId="0DD1B675" w14:textId="77777777" w:rsidR="00A306EF" w:rsidRDefault="00000000">
      <w:pPr>
        <w:numPr>
          <w:ilvl w:val="0"/>
          <w:numId w:val="1"/>
        </w:numPr>
        <w:spacing w:after="80"/>
      </w:pPr>
      <w:r>
        <w:rPr>
          <w:rFonts w:cs="Calibri"/>
          <w:szCs w:val="21"/>
        </w:rPr>
        <w:t>Section 6.12B: Bilateral Offer Consultation and Pre-Authorized Rejection Protocol</w:t>
      </w:r>
    </w:p>
    <w:p w14:paraId="4151625F" w14:textId="77777777" w:rsidR="00A306EF" w:rsidRDefault="00000000">
      <w:pPr>
        <w:numPr>
          <w:ilvl w:val="0"/>
          <w:numId w:val="1"/>
        </w:numPr>
        <w:spacing w:after="80"/>
      </w:pPr>
      <w:r>
        <w:rPr>
          <w:rFonts w:cs="Calibri"/>
          <w:szCs w:val="21"/>
        </w:rPr>
        <w:t>Section 6.12C: Coalition Cohesion Stress Testing Mandate</w:t>
      </w:r>
    </w:p>
    <w:p w14:paraId="6A37B55E" w14:textId="77777777" w:rsidR="00A306EF" w:rsidRDefault="00000000">
      <w:pPr>
        <w:numPr>
          <w:ilvl w:val="0"/>
          <w:numId w:val="1"/>
        </w:numPr>
        <w:spacing w:after="80"/>
      </w:pPr>
      <w:r>
        <w:rPr>
          <w:rFonts w:cs="Calibri"/>
          <w:szCs w:val="21"/>
        </w:rPr>
        <w:t>Section 6.12D: Bilateral Exemption Offer Detection and Disclosure Protocol</w:t>
      </w:r>
    </w:p>
    <w:p w14:paraId="7635D5B3" w14:textId="77777777" w:rsidR="00A306EF" w:rsidRDefault="00000000">
      <w:pPr>
        <w:numPr>
          <w:ilvl w:val="0"/>
          <w:numId w:val="1"/>
        </w:numPr>
        <w:spacing w:after="80"/>
      </w:pPr>
      <w:r>
        <w:rPr>
          <w:rFonts w:cs="Calibri"/>
          <w:szCs w:val="21"/>
        </w:rPr>
        <w:t>Section 6.12E: Parallel Negotiations Disclosure Requirement</w:t>
      </w:r>
    </w:p>
    <w:p w14:paraId="0A542C37" w14:textId="77777777" w:rsidR="00A306EF" w:rsidRDefault="00000000">
      <w:pPr>
        <w:spacing w:after="80"/>
      </w:pPr>
      <w:r>
        <w:rPr>
          <w:rFonts w:cs="Calibri"/>
          <w:szCs w:val="21"/>
        </w:rPr>
        <w:t>Part V: WTO-Compatible Structural and Financial Hardening (10 provisions):</w:t>
      </w:r>
    </w:p>
    <w:p w14:paraId="5A30FAF1" w14:textId="77777777" w:rsidR="00A306EF" w:rsidRDefault="00000000">
      <w:pPr>
        <w:numPr>
          <w:ilvl w:val="0"/>
          <w:numId w:val="1"/>
        </w:numPr>
        <w:spacing w:after="80"/>
      </w:pPr>
      <w:r>
        <w:rPr>
          <w:rFonts w:cs="Calibri"/>
          <w:szCs w:val="21"/>
        </w:rPr>
        <w:t>Section 5.3D (Third Addendum): Sustained Behavioral Change Standard</w:t>
      </w:r>
    </w:p>
    <w:p w14:paraId="2417DBE6" w14:textId="77777777" w:rsidR="00A306EF" w:rsidRDefault="00000000">
      <w:pPr>
        <w:numPr>
          <w:ilvl w:val="0"/>
          <w:numId w:val="1"/>
        </w:numPr>
        <w:spacing w:after="80"/>
      </w:pPr>
      <w:r>
        <w:rPr>
          <w:rFonts w:cs="Calibri"/>
          <w:szCs w:val="21"/>
        </w:rPr>
        <w:t>Section 7.1A: Reciprocal Regulatory Equivalence Doctrine</w:t>
      </w:r>
    </w:p>
    <w:p w14:paraId="425BD30F" w14:textId="77777777" w:rsidR="00A306EF" w:rsidRDefault="00000000">
      <w:pPr>
        <w:numPr>
          <w:ilvl w:val="0"/>
          <w:numId w:val="1"/>
        </w:numPr>
        <w:spacing w:after="80"/>
      </w:pPr>
      <w:r>
        <w:rPr>
          <w:rFonts w:cs="Calibri"/>
          <w:szCs w:val="21"/>
        </w:rPr>
        <w:lastRenderedPageBreak/>
        <w:t>Section 7.6: Unilateral De-escalation Exit Ramp</w:t>
      </w:r>
    </w:p>
    <w:p w14:paraId="57BCAB62" w14:textId="77777777" w:rsidR="00A306EF" w:rsidRDefault="00000000">
      <w:pPr>
        <w:numPr>
          <w:ilvl w:val="0"/>
          <w:numId w:val="1"/>
        </w:numPr>
        <w:spacing w:after="80"/>
      </w:pPr>
      <w:r>
        <w:rPr>
          <w:rFonts w:cs="Calibri"/>
          <w:szCs w:val="21"/>
        </w:rPr>
        <w:t>Section 8.0A (Addendum): Enhanced Liquidity Pre-Positioning</w:t>
      </w:r>
    </w:p>
    <w:p w14:paraId="7C07ACA2" w14:textId="77777777" w:rsidR="00A306EF" w:rsidRDefault="00000000">
      <w:pPr>
        <w:numPr>
          <w:ilvl w:val="0"/>
          <w:numId w:val="1"/>
        </w:numPr>
        <w:spacing w:after="80"/>
      </w:pPr>
      <w:r>
        <w:rPr>
          <w:rFonts w:cs="Calibri"/>
          <w:szCs w:val="21"/>
        </w:rPr>
        <w:t>Section 8.4A (Addendum): Automatic Individual Relief Trigger</w:t>
      </w:r>
    </w:p>
    <w:p w14:paraId="4D76C17B" w14:textId="77777777" w:rsidR="00A306EF" w:rsidRDefault="00000000">
      <w:pPr>
        <w:numPr>
          <w:ilvl w:val="0"/>
          <w:numId w:val="1"/>
        </w:numPr>
        <w:spacing w:after="80"/>
      </w:pPr>
      <w:r>
        <w:rPr>
          <w:rFonts w:cs="Calibri"/>
          <w:szCs w:val="21"/>
        </w:rPr>
        <w:t>Section 8.9 (Second Addendum): Threat-Triggered Preliminary Procurement</w:t>
      </w:r>
    </w:p>
    <w:p w14:paraId="5FE9649F" w14:textId="77777777" w:rsidR="00A306EF" w:rsidRDefault="00000000">
      <w:pPr>
        <w:numPr>
          <w:ilvl w:val="0"/>
          <w:numId w:val="1"/>
        </w:numPr>
        <w:spacing w:after="80"/>
      </w:pPr>
      <w:r>
        <w:rPr>
          <w:rFonts w:cs="Calibri"/>
          <w:szCs w:val="21"/>
        </w:rPr>
        <w:t>Section 8.10J: SFI Settlement Continuity Guarantee</w:t>
      </w:r>
    </w:p>
    <w:p w14:paraId="17C618E8" w14:textId="77777777" w:rsidR="00A306EF" w:rsidRDefault="00000000">
      <w:pPr>
        <w:numPr>
          <w:ilvl w:val="0"/>
          <w:numId w:val="1"/>
        </w:numPr>
        <w:spacing w:after="80"/>
      </w:pPr>
      <w:r>
        <w:rPr>
          <w:rFonts w:cs="Calibri"/>
          <w:szCs w:val="21"/>
        </w:rPr>
        <w:t>Section 8.20D: IMF Rapid Financing Coordination Protocol</w:t>
      </w:r>
    </w:p>
    <w:p w14:paraId="25B63A66" w14:textId="77777777" w:rsidR="00A306EF" w:rsidRDefault="00000000">
      <w:pPr>
        <w:numPr>
          <w:ilvl w:val="0"/>
          <w:numId w:val="1"/>
        </w:numPr>
        <w:spacing w:after="80"/>
      </w:pPr>
      <w:r>
        <w:rPr>
          <w:rFonts w:cs="Calibri"/>
          <w:szCs w:val="21"/>
        </w:rPr>
        <w:t>Section 8.32: Unilateral Measure Stabilization Fund</w:t>
      </w:r>
    </w:p>
    <w:p w14:paraId="5AEB24C8" w14:textId="77777777" w:rsidR="00A306EF" w:rsidRDefault="00000000">
      <w:pPr>
        <w:numPr>
          <w:ilvl w:val="0"/>
          <w:numId w:val="1"/>
        </w:numPr>
        <w:spacing w:after="80"/>
      </w:pPr>
      <w:r>
        <w:rPr>
          <w:rFonts w:cs="Calibri"/>
          <w:szCs w:val="21"/>
        </w:rPr>
        <w:t>Section 8.33: Private Sector Liquidity Guarantee Program</w:t>
      </w:r>
    </w:p>
    <w:p w14:paraId="09EF02AC" w14:textId="77777777" w:rsidR="00A306EF" w:rsidRDefault="00000000">
      <w:pPr>
        <w:spacing w:after="80"/>
      </w:pPr>
      <w:r>
        <w:rPr>
          <w:rFonts w:cs="Calibri"/>
          <w:szCs w:val="21"/>
        </w:rPr>
        <w:t>WTO-Compatibility Review Notes:</w:t>
      </w:r>
    </w:p>
    <w:p w14:paraId="3146372F" w14:textId="77777777" w:rsidR="00A306EF" w:rsidRDefault="00000000">
      <w:pPr>
        <w:spacing w:after="80"/>
      </w:pPr>
      <w:r>
        <w:rPr>
          <w:rFonts w:cs="Calibri"/>
          <w:szCs w:val="21"/>
        </w:rPr>
        <w:t>Twelve proposals enter with modifications to secure WTO compatibility, and two proposals pass without adoption. The notes below record each disposition:</w:t>
      </w:r>
    </w:p>
    <w:p w14:paraId="6DBFD07A" w14:textId="77777777" w:rsidR="00A306EF" w:rsidRDefault="00000000">
      <w:pPr>
        <w:numPr>
          <w:ilvl w:val="0"/>
          <w:numId w:val="1"/>
        </w:numPr>
        <w:spacing w:after="140"/>
      </w:pPr>
      <w:r>
        <w:rPr>
          <w:rFonts w:cs="Calibri"/>
          <w:szCs w:val="21"/>
        </w:rPr>
        <w:t>Permanent reinstatement tariff: the permanent +25% re-imposition converts into the residual, time-limited Retroactive Reinstatement Surcharge under Section 10.9 (Second Addendum); permanent punitive duties sit outside GATT proportionality</w:t>
      </w:r>
    </w:p>
    <w:p w14:paraId="72ADC051" w14:textId="77777777" w:rsidR="00A306EF" w:rsidRDefault="00000000">
      <w:pPr>
        <w:numPr>
          <w:ilvl w:val="0"/>
          <w:numId w:val="1"/>
        </w:numPr>
        <w:spacing w:after="80"/>
      </w:pPr>
      <w:r>
        <w:rPr>
          <w:rFonts w:cs="Calibri"/>
          <w:szCs w:val="21"/>
        </w:rPr>
        <w:t>UMSF funding: the point-of-settlement transaction levy converts into replenishment through the Retroactive Reinstatement Surcharge, avoiding border-charge character</w:t>
      </w:r>
    </w:p>
    <w:p w14:paraId="0EB7E821" w14:textId="77777777" w:rsidR="00A306EF" w:rsidRDefault="00000000">
      <w:pPr>
        <w:numPr>
          <w:ilvl w:val="0"/>
          <w:numId w:val="1"/>
        </w:numPr>
        <w:spacing w:after="80"/>
      </w:pPr>
      <w:r>
        <w:rPr>
          <w:rFonts w:cs="Calibri"/>
          <w:szCs w:val="21"/>
        </w:rPr>
        <w:t>Per-tonne export subsidy: the production-linked subsidy converts into the Arbitrary Shock Diversification Facility (Section 8.31), a cost-reimbursement mechanism structured for SCM Agreement compatibility</w:t>
      </w:r>
    </w:p>
    <w:p w14:paraId="4050E17A" w14:textId="77777777" w:rsidR="00A306EF" w:rsidRDefault="00000000">
      <w:pPr>
        <w:numPr>
          <w:ilvl w:val="0"/>
          <w:numId w:val="1"/>
        </w:numPr>
        <w:spacing w:after="80"/>
      </w:pPr>
      <w:r>
        <w:rPr>
          <w:rFonts w:cs="Calibri"/>
          <w:szCs w:val="21"/>
        </w:rPr>
        <w:t>Exit-ramp contribution: the 200% punitive contribution reduces to 150% of assessed harm (Section 7.6) for proportionality</w:t>
      </w:r>
    </w:p>
    <w:p w14:paraId="79E6D497" w14:textId="77777777" w:rsidR="00A306EF" w:rsidRDefault="00000000">
      <w:pPr>
        <w:numPr>
          <w:ilvl w:val="0"/>
          <w:numId w:val="1"/>
        </w:numPr>
        <w:spacing w:after="80"/>
      </w:pPr>
      <w:r>
        <w:rPr>
          <w:rFonts w:cs="Calibri"/>
          <w:szCs w:val="21"/>
        </w:rPr>
        <w:t>Platform propagation limits: mandated algorithmic suppression converts into CNIC-compliant flagging and coordination (Section 6.6A), preserving platform due process</w:t>
      </w:r>
    </w:p>
    <w:p w14:paraId="2776ABCE" w14:textId="77777777" w:rsidR="00A306EF" w:rsidRDefault="00000000">
      <w:pPr>
        <w:numPr>
          <w:ilvl w:val="0"/>
          <w:numId w:val="1"/>
        </w:numPr>
        <w:spacing w:after="140"/>
      </w:pPr>
      <w:r>
        <w:rPr>
          <w:rFonts w:cs="Calibri"/>
          <w:szCs w:val="21"/>
        </w:rPr>
        <w:t>Bilateral-deal prohibition: the outright prohibition on accepting bilateral exemptions converts into detection, consultation, and disclosure obligations (Sections 6.12B and 6.12D), preserving member sovereignty under Section 3.7B</w:t>
      </w:r>
    </w:p>
    <w:p w14:paraId="0EA9B68F" w14:textId="77777777" w:rsidR="00A306EF" w:rsidRDefault="00000000">
      <w:pPr>
        <w:numPr>
          <w:ilvl w:val="0"/>
          <w:numId w:val="1"/>
        </w:numPr>
        <w:spacing w:after="80"/>
      </w:pPr>
      <w:r>
        <w:rPr>
          <w:rFonts w:cs="Calibri"/>
          <w:szCs w:val="21"/>
        </w:rPr>
        <w:t>Automatic Phase 2 escalation: activation without a Committee vote converts into the standard human-confirmation path (Section 6.12E), preserving the Section 4.5B and Section 5.5B confirmation gates</w:t>
      </w:r>
    </w:p>
    <w:p w14:paraId="1FCD52AF" w14:textId="77777777" w:rsidR="00A306EF" w:rsidRDefault="00000000">
      <w:pPr>
        <w:numPr>
          <w:ilvl w:val="0"/>
          <w:numId w:val="1"/>
        </w:numPr>
        <w:spacing w:after="80"/>
      </w:pPr>
      <w:r>
        <w:rPr>
          <w:rFonts w:cs="Calibri"/>
          <w:szCs w:val="21"/>
        </w:rPr>
        <w:t>Executive orders as coercion per se: the per-se rule converts into the Executive Authority Aggravation Standard (Section 2.1K) with case-specific IEWC review</w:t>
      </w:r>
    </w:p>
    <w:p w14:paraId="22E9C909" w14:textId="77777777" w:rsidR="00A306EF" w:rsidRDefault="00000000">
      <w:pPr>
        <w:numPr>
          <w:ilvl w:val="0"/>
          <w:numId w:val="1"/>
        </w:numPr>
        <w:spacing w:after="80"/>
      </w:pPr>
      <w:r>
        <w:rPr>
          <w:rFonts w:cs="Calibri"/>
          <w:szCs w:val="21"/>
        </w:rPr>
        <w:t>UMSF capitalization: the 10% capitalization target reduces to 5% (Section 8.0A (Addendum) and Section 8.32) to avoid over-deterrence and trade-distortive scale</w:t>
      </w:r>
    </w:p>
    <w:p w14:paraId="7DD2205A" w14:textId="77777777" w:rsidR="00A306EF" w:rsidRDefault="00000000">
      <w:pPr>
        <w:numPr>
          <w:ilvl w:val="0"/>
          <w:numId w:val="1"/>
        </w:numPr>
        <w:spacing w:after="80"/>
      </w:pPr>
      <w:r>
        <w:rPr>
          <w:rFonts w:cs="Calibri"/>
          <w:szCs w:val="21"/>
        </w:rPr>
        <w:t>Unlimited individual relief: Emergency Benefit Certificate issuance caps at two per five-year cycle and stays unlimited only against High-Volatility coercers (Section 8.4A (Addendum))</w:t>
      </w:r>
    </w:p>
    <w:p w14:paraId="013024D8" w14:textId="77777777" w:rsidR="00A306EF" w:rsidRDefault="00000000">
      <w:pPr>
        <w:numPr>
          <w:ilvl w:val="0"/>
          <w:numId w:val="1"/>
        </w:numPr>
        <w:spacing w:after="80"/>
      </w:pPr>
      <w:r>
        <w:rPr>
          <w:rFonts w:cs="Calibri"/>
          <w:szCs w:val="21"/>
        </w:rPr>
        <w:lastRenderedPageBreak/>
        <w:t>Silent prepositioning: the track retains Section 4.2V transparency certification upon activation (Section 4.2F (Addendum))</w:t>
      </w:r>
    </w:p>
    <w:p w14:paraId="2F022798" w14:textId="77777777" w:rsidR="00A306EF" w:rsidRDefault="00000000">
      <w:pPr>
        <w:numPr>
          <w:ilvl w:val="0"/>
          <w:numId w:val="1"/>
        </w:numPr>
        <w:spacing w:after="80"/>
      </w:pPr>
      <w:r>
        <w:rPr>
          <w:rFonts w:cs="Calibri"/>
          <w:szCs w:val="21"/>
        </w:rPr>
        <w:t>Numbering reconciliations: Category 10 numbers as Section 2.2B to avoid collision with Section 2.2A; the vulnerability assessment numbers as Section 10.1B; market-triggered SFI activation numbers as Section 8.10Y</w:t>
      </w:r>
    </w:p>
    <w:p w14:paraId="00B5C3BF" w14:textId="77777777" w:rsidR="00A306EF" w:rsidRDefault="00000000">
      <w:pPr>
        <w:numPr>
          <w:ilvl w:val="0"/>
          <w:numId w:val="1"/>
        </w:numPr>
        <w:spacing w:after="80"/>
      </w:pPr>
      <w:r>
        <w:rPr>
          <w:rFonts w:cs="Calibri"/>
          <w:szCs w:val="21"/>
        </w:rPr>
        <w:t>Passed, Emergency Powers Presumption: duplicates Sections 1.4F and 1.4G, so the proposal adds no operative content</w:t>
      </w:r>
    </w:p>
    <w:p w14:paraId="582326FA" w14:textId="77777777" w:rsidR="00A306EF" w:rsidRDefault="00000000">
      <w:pPr>
        <w:numPr>
          <w:ilvl w:val="0"/>
          <w:numId w:val="1"/>
        </w:numPr>
        <w:spacing w:after="80"/>
      </w:pPr>
      <w:r>
        <w:rPr>
          <w:rFonts w:cs="Calibri"/>
          <w:szCs w:val="21"/>
        </w:rPr>
        <w:t>Passed, Trade Deficit Non-Defense: duplicates Section 1.1 (Fourth Addendum), so the proposal adds no operative content</w:t>
      </w:r>
    </w:p>
    <w:p w14:paraId="579B29F0" w14:textId="77777777" w:rsidR="00A306EF" w:rsidRDefault="00000000">
      <w:pPr>
        <w:pStyle w:val="Heading1"/>
        <w:pageBreakBefore/>
        <w:spacing w:after="100"/>
      </w:pPr>
      <w:bookmarkStart w:id="5" w:name="_Toc237918128"/>
      <w:r>
        <w:rPr>
          <w:rFonts w:cs="Calibri"/>
          <w:szCs w:val="30"/>
        </w:rPr>
        <w:lastRenderedPageBreak/>
        <w:t>v12.0 ADDITIONS SUMMARY</w:t>
      </w:r>
      <w:bookmarkStart w:id="6" w:name="_Toc000002"/>
      <w:bookmarkEnd w:id="5"/>
      <w:bookmarkEnd w:id="6"/>
    </w:p>
    <w:p w14:paraId="76A4B31A" w14:textId="77777777" w:rsidR="00A306EF" w:rsidRDefault="00000000">
      <w:pPr>
        <w:spacing w:after="140"/>
      </w:pPr>
      <w:r>
        <w:rPr>
          <w:rFonts w:cs="Calibri"/>
          <w:szCs w:val="21"/>
        </w:rPr>
        <w:t>This version integrates 135 amendments across three packages, a Human-on-the-Loop oversight architecture, and the Nofade Protocol for continuous effect, and applies two framework-wide reforms: the stabilization-measures terminology reform and the abolition of sunset clauses. Every amendment underwent individual WTO-compatibility review; the review notes at the end of this summary record each modification made to bring a proposal into WTO alignment.</w:t>
      </w:r>
    </w:p>
    <w:p w14:paraId="2777E143" w14:textId="77777777" w:rsidR="00A306EF" w:rsidRDefault="00000000">
      <w:pPr>
        <w:spacing w:after="80"/>
      </w:pPr>
      <w:r>
        <w:rPr>
          <w:rFonts w:cs="Calibri"/>
          <w:szCs w:val="21"/>
        </w:rPr>
        <w:t>Part I: WTO Alignment and Legal Hardening (40 amendments):</w:t>
      </w:r>
    </w:p>
    <w:p w14:paraId="3D0981B6" w14:textId="77777777" w:rsidR="00A306EF" w:rsidRDefault="00000000">
      <w:pPr>
        <w:numPr>
          <w:ilvl w:val="0"/>
          <w:numId w:val="1"/>
        </w:numPr>
        <w:spacing w:after="80"/>
      </w:pPr>
      <w:r>
        <w:rPr>
          <w:rFonts w:cs="Calibri"/>
          <w:szCs w:val="21"/>
        </w:rPr>
        <w:t>Article VIII (Addendum): Mutual Economic Stabilization and Resilience Facility</w:t>
      </w:r>
    </w:p>
    <w:p w14:paraId="30C1E9B3" w14:textId="77777777" w:rsidR="00A306EF" w:rsidRDefault="00000000">
      <w:pPr>
        <w:numPr>
          <w:ilvl w:val="0"/>
          <w:numId w:val="1"/>
        </w:numPr>
        <w:spacing w:after="80"/>
      </w:pPr>
      <w:r>
        <w:rPr>
          <w:rFonts w:cs="Calibri"/>
          <w:szCs w:val="21"/>
        </w:rPr>
        <w:t>Section 5.0K: WTO Notification and Consultation Protocol</w:t>
      </w:r>
    </w:p>
    <w:p w14:paraId="1A2F55EA" w14:textId="77777777" w:rsidR="00A306EF" w:rsidRDefault="00000000">
      <w:pPr>
        <w:numPr>
          <w:ilvl w:val="0"/>
          <w:numId w:val="1"/>
        </w:numPr>
        <w:spacing w:after="80"/>
      </w:pPr>
      <w:r>
        <w:rPr>
          <w:rFonts w:cs="Calibri"/>
          <w:szCs w:val="21"/>
        </w:rPr>
        <w:t>Section 5.4A (Addendum): Mandatory Periodic Review Protocol</w:t>
      </w:r>
    </w:p>
    <w:p w14:paraId="24FFBC57" w14:textId="77777777" w:rsidR="00A306EF" w:rsidRDefault="00000000">
      <w:pPr>
        <w:numPr>
          <w:ilvl w:val="0"/>
          <w:numId w:val="1"/>
        </w:numPr>
        <w:spacing w:after="80"/>
      </w:pPr>
      <w:r>
        <w:rPr>
          <w:rFonts w:cs="Calibri"/>
          <w:szCs w:val="21"/>
        </w:rPr>
        <w:t>Section 5.0L: Binding WTO Compatibility Certification</w:t>
      </w:r>
    </w:p>
    <w:p w14:paraId="01E91047" w14:textId="77777777" w:rsidR="00A306EF" w:rsidRDefault="00000000">
      <w:pPr>
        <w:numPr>
          <w:ilvl w:val="0"/>
          <w:numId w:val="1"/>
        </w:numPr>
        <w:spacing w:after="80"/>
      </w:pPr>
      <w:r>
        <w:rPr>
          <w:rFonts w:cs="Calibri"/>
          <w:szCs w:val="21"/>
        </w:rPr>
        <w:t>Annex 1A.2 (Addendum): GATT Article XXIV Plurilateral Recognition</w:t>
      </w:r>
    </w:p>
    <w:p w14:paraId="65222FE2" w14:textId="77777777" w:rsidR="00A306EF" w:rsidRDefault="00000000">
      <w:pPr>
        <w:numPr>
          <w:ilvl w:val="0"/>
          <w:numId w:val="1"/>
        </w:numPr>
        <w:spacing w:after="80"/>
      </w:pPr>
      <w:r>
        <w:rPr>
          <w:rFonts w:cs="Calibri"/>
          <w:szCs w:val="21"/>
        </w:rPr>
        <w:t>Article IX (Second Addendum): Without Prejudice to WTO Rights</w:t>
      </w:r>
    </w:p>
    <w:p w14:paraId="6B93E4DE" w14:textId="77777777" w:rsidR="00A306EF" w:rsidRDefault="00000000">
      <w:pPr>
        <w:numPr>
          <w:ilvl w:val="0"/>
          <w:numId w:val="1"/>
        </w:numPr>
        <w:spacing w:after="80"/>
      </w:pPr>
      <w:r>
        <w:rPr>
          <w:rFonts w:cs="Calibri"/>
          <w:szCs w:val="21"/>
        </w:rPr>
        <w:t>Section 9.1A: WTO Deference Clause</w:t>
      </w:r>
    </w:p>
    <w:p w14:paraId="23BFFB7B" w14:textId="77777777" w:rsidR="00A306EF" w:rsidRDefault="00000000">
      <w:pPr>
        <w:numPr>
          <w:ilvl w:val="0"/>
          <w:numId w:val="1"/>
        </w:numPr>
        <w:spacing w:after="80"/>
      </w:pPr>
      <w:r>
        <w:rPr>
          <w:rFonts w:cs="Calibri"/>
          <w:szCs w:val="21"/>
        </w:rPr>
        <w:t>Section 1.1 (Addendum): Proportionality in WTO Terms</w:t>
      </w:r>
    </w:p>
    <w:p w14:paraId="171F67A4" w14:textId="77777777" w:rsidR="00A306EF" w:rsidRDefault="00000000">
      <w:pPr>
        <w:numPr>
          <w:ilvl w:val="0"/>
          <w:numId w:val="1"/>
        </w:numPr>
        <w:spacing w:after="80"/>
      </w:pPr>
      <w:r>
        <w:rPr>
          <w:rFonts w:cs="Calibri"/>
          <w:szCs w:val="21"/>
        </w:rPr>
        <w:t>Section 5.0 (Addendum): Good-Faith Engagement Requirement</w:t>
      </w:r>
    </w:p>
    <w:p w14:paraId="2AD7BCC5" w14:textId="77777777" w:rsidR="00A306EF" w:rsidRDefault="00000000">
      <w:pPr>
        <w:numPr>
          <w:ilvl w:val="0"/>
          <w:numId w:val="1"/>
        </w:numPr>
        <w:spacing w:after="80"/>
      </w:pPr>
      <w:r>
        <w:rPr>
          <w:rFonts w:cs="Calibri"/>
          <w:szCs w:val="21"/>
        </w:rPr>
        <w:t>Section 5.3A.2 (Addendum): Alternative Measures Consideration</w:t>
      </w:r>
    </w:p>
    <w:p w14:paraId="3171A244" w14:textId="77777777" w:rsidR="00A306EF" w:rsidRDefault="00000000">
      <w:pPr>
        <w:numPr>
          <w:ilvl w:val="0"/>
          <w:numId w:val="1"/>
        </w:numPr>
        <w:spacing w:after="80"/>
      </w:pPr>
      <w:r>
        <w:rPr>
          <w:rFonts w:cs="Calibri"/>
          <w:szCs w:val="21"/>
        </w:rPr>
        <w:t>Section 1.2 (Addendum): Economic Impact Assessment Mandate</w:t>
      </w:r>
    </w:p>
    <w:p w14:paraId="6F6AD63A" w14:textId="77777777" w:rsidR="00A306EF" w:rsidRDefault="00000000">
      <w:pPr>
        <w:numPr>
          <w:ilvl w:val="0"/>
          <w:numId w:val="1"/>
        </w:numPr>
        <w:spacing w:after="80"/>
      </w:pPr>
      <w:r>
        <w:rPr>
          <w:rFonts w:cs="Calibri"/>
          <w:szCs w:val="21"/>
        </w:rPr>
        <w:t>Section 4.2V (Addendum): Non-Discrimination Certification</w:t>
      </w:r>
    </w:p>
    <w:p w14:paraId="70A972DE" w14:textId="77777777" w:rsidR="00A306EF" w:rsidRDefault="00000000">
      <w:pPr>
        <w:numPr>
          <w:ilvl w:val="0"/>
          <w:numId w:val="1"/>
        </w:numPr>
        <w:spacing w:after="80"/>
      </w:pPr>
      <w:r>
        <w:rPr>
          <w:rFonts w:cs="Calibri"/>
          <w:szCs w:val="21"/>
        </w:rPr>
        <w:t>Annex 1A.1 (Second Addendum): Emergency in International Relations Certification</w:t>
      </w:r>
    </w:p>
    <w:p w14:paraId="2FA89BF8" w14:textId="77777777" w:rsidR="00A306EF" w:rsidRDefault="00000000">
      <w:pPr>
        <w:numPr>
          <w:ilvl w:val="0"/>
          <w:numId w:val="1"/>
        </w:numPr>
        <w:spacing w:after="80"/>
      </w:pPr>
      <w:r>
        <w:rPr>
          <w:rFonts w:cs="Calibri"/>
          <w:szCs w:val="21"/>
        </w:rPr>
        <w:t>Annex 2A (Addendum): Sectoral Proportionality Matrix</w:t>
      </w:r>
    </w:p>
    <w:p w14:paraId="72745388" w14:textId="77777777" w:rsidR="00A306EF" w:rsidRDefault="00000000">
      <w:pPr>
        <w:numPr>
          <w:ilvl w:val="0"/>
          <w:numId w:val="1"/>
        </w:numPr>
        <w:spacing w:after="80"/>
      </w:pPr>
      <w:r>
        <w:rPr>
          <w:rFonts w:cs="Calibri"/>
          <w:szCs w:val="21"/>
        </w:rPr>
        <w:t>Section 5.3 (Addendum): Cessation Condition Linkage</w:t>
      </w:r>
    </w:p>
    <w:p w14:paraId="73B56B75" w14:textId="77777777" w:rsidR="00A306EF" w:rsidRDefault="00000000">
      <w:pPr>
        <w:numPr>
          <w:ilvl w:val="0"/>
          <w:numId w:val="1"/>
        </w:numPr>
        <w:spacing w:after="80"/>
      </w:pPr>
      <w:r>
        <w:rPr>
          <w:rFonts w:cs="Calibri"/>
          <w:szCs w:val="21"/>
        </w:rPr>
        <w:t>Section 2.15 (Second Addendum): Member Right of Response</w:t>
      </w:r>
    </w:p>
    <w:p w14:paraId="11E86CCE" w14:textId="77777777" w:rsidR="00A306EF" w:rsidRDefault="00000000">
      <w:pPr>
        <w:numPr>
          <w:ilvl w:val="0"/>
          <w:numId w:val="1"/>
        </w:numPr>
        <w:spacing w:after="80"/>
      </w:pPr>
      <w:r>
        <w:rPr>
          <w:rFonts w:cs="Calibri"/>
          <w:szCs w:val="21"/>
        </w:rPr>
        <w:t>Annex 6B (Addendum): Expedited Judicial Review</w:t>
      </w:r>
    </w:p>
    <w:p w14:paraId="1CA2D3B6" w14:textId="77777777" w:rsidR="00A306EF" w:rsidRDefault="00000000">
      <w:pPr>
        <w:numPr>
          <w:ilvl w:val="0"/>
          <w:numId w:val="1"/>
        </w:numPr>
        <w:spacing w:after="80"/>
      </w:pPr>
      <w:r>
        <w:rPr>
          <w:rFonts w:cs="Calibri"/>
          <w:szCs w:val="21"/>
        </w:rPr>
        <w:t>Section 2.6 (Addendum): Provisional Measures Distinction</w:t>
      </w:r>
    </w:p>
    <w:p w14:paraId="2DA09B6D" w14:textId="77777777" w:rsidR="00A306EF" w:rsidRDefault="00000000">
      <w:pPr>
        <w:numPr>
          <w:ilvl w:val="0"/>
          <w:numId w:val="1"/>
        </w:numPr>
        <w:spacing w:after="80"/>
      </w:pPr>
      <w:r>
        <w:rPr>
          <w:rFonts w:cs="Calibri"/>
          <w:szCs w:val="21"/>
        </w:rPr>
        <w:t>Section 9.3 (Addendum): Third-Party Input Protocol</w:t>
      </w:r>
    </w:p>
    <w:p w14:paraId="057761D1" w14:textId="77777777" w:rsidR="00A306EF" w:rsidRDefault="00000000">
      <w:pPr>
        <w:numPr>
          <w:ilvl w:val="0"/>
          <w:numId w:val="1"/>
        </w:numPr>
        <w:spacing w:after="80"/>
      </w:pPr>
      <w:r>
        <w:rPr>
          <w:rFonts w:cs="Calibri"/>
          <w:szCs w:val="21"/>
        </w:rPr>
        <w:t>Section 10A.4 (Second Addendum): WTO Conflict Protocol</w:t>
      </w:r>
    </w:p>
    <w:p w14:paraId="4FF051C3" w14:textId="77777777" w:rsidR="00A306EF" w:rsidRDefault="00000000">
      <w:pPr>
        <w:numPr>
          <w:ilvl w:val="0"/>
          <w:numId w:val="1"/>
        </w:numPr>
        <w:spacing w:after="80"/>
      </w:pPr>
      <w:r>
        <w:rPr>
          <w:rFonts w:cs="Calibri"/>
          <w:szCs w:val="21"/>
        </w:rPr>
        <w:t>Section 4.5 (Addendum): Dispute Suspension Option</w:t>
      </w:r>
    </w:p>
    <w:p w14:paraId="517D8094" w14:textId="77777777" w:rsidR="00A306EF" w:rsidRDefault="00000000">
      <w:pPr>
        <w:numPr>
          <w:ilvl w:val="0"/>
          <w:numId w:val="1"/>
        </w:numPr>
        <w:spacing w:after="80"/>
      </w:pPr>
      <w:r>
        <w:rPr>
          <w:rFonts w:cs="Calibri"/>
          <w:szCs w:val="21"/>
        </w:rPr>
        <w:t>Section 4.2A (Addendum): Transparency by Default</w:t>
      </w:r>
    </w:p>
    <w:p w14:paraId="56BA8654" w14:textId="77777777" w:rsidR="00A306EF" w:rsidRDefault="00000000">
      <w:pPr>
        <w:numPr>
          <w:ilvl w:val="0"/>
          <w:numId w:val="1"/>
        </w:numPr>
        <w:spacing w:after="80"/>
      </w:pPr>
      <w:r>
        <w:rPr>
          <w:rFonts w:cs="Calibri"/>
          <w:szCs w:val="21"/>
        </w:rPr>
        <w:t>Section 4.3 (Addendum): Member Grievance Procedure</w:t>
      </w:r>
    </w:p>
    <w:p w14:paraId="4CC0392E" w14:textId="77777777" w:rsidR="00A306EF" w:rsidRDefault="00000000">
      <w:pPr>
        <w:numPr>
          <w:ilvl w:val="0"/>
          <w:numId w:val="1"/>
        </w:numPr>
        <w:spacing w:after="80"/>
      </w:pPr>
      <w:r>
        <w:rPr>
          <w:rFonts w:cs="Calibri"/>
          <w:szCs w:val="21"/>
        </w:rPr>
        <w:t>Section 1.1 (Second Addendum): Safeguard Analogy</w:t>
      </w:r>
    </w:p>
    <w:p w14:paraId="055E6C70" w14:textId="77777777" w:rsidR="00A306EF" w:rsidRDefault="00000000">
      <w:pPr>
        <w:numPr>
          <w:ilvl w:val="0"/>
          <w:numId w:val="1"/>
        </w:numPr>
        <w:spacing w:after="80"/>
      </w:pPr>
      <w:r>
        <w:t>Annex 1A.3: Standard WTO Notification Format</w:t>
      </w:r>
    </w:p>
    <w:p w14:paraId="1272A62F" w14:textId="77777777" w:rsidR="00A306EF" w:rsidRDefault="00000000">
      <w:pPr>
        <w:numPr>
          <w:ilvl w:val="0"/>
          <w:numId w:val="1"/>
        </w:numPr>
        <w:spacing w:after="80"/>
      </w:pPr>
      <w:r>
        <w:lastRenderedPageBreak/>
        <w:t>Section 9.1 (Addendum): Consultation Request Protocol</w:t>
      </w:r>
    </w:p>
    <w:p w14:paraId="535E13F8" w14:textId="77777777" w:rsidR="00A306EF" w:rsidRDefault="00000000">
      <w:pPr>
        <w:numPr>
          <w:ilvl w:val="0"/>
          <w:numId w:val="1"/>
        </w:numPr>
        <w:spacing w:after="80"/>
      </w:pPr>
      <w:r>
        <w:t>Section 9.2A: WTO Secretariat Dialogue Channel</w:t>
      </w:r>
    </w:p>
    <w:p w14:paraId="5B30E217" w14:textId="77777777" w:rsidR="00A306EF" w:rsidRDefault="00000000">
      <w:pPr>
        <w:numPr>
          <w:ilvl w:val="0"/>
          <w:numId w:val="1"/>
        </w:numPr>
        <w:spacing w:after="80"/>
      </w:pPr>
      <w:r>
        <w:t>Preamble (Addendum): Most-Favoured-Nation Assurance</w:t>
      </w:r>
    </w:p>
    <w:p w14:paraId="7D5E73C1" w14:textId="77777777" w:rsidR="00A306EF" w:rsidRDefault="00000000">
      <w:pPr>
        <w:numPr>
          <w:ilvl w:val="0"/>
          <w:numId w:val="1"/>
        </w:numPr>
        <w:spacing w:after="80"/>
      </w:pPr>
      <w:r>
        <w:t>Preamble (Second Addendum): National Treatment Assurance</w:t>
      </w:r>
    </w:p>
    <w:p w14:paraId="2B8BA66E" w14:textId="77777777" w:rsidR="00A306EF" w:rsidRDefault="00000000">
      <w:pPr>
        <w:numPr>
          <w:ilvl w:val="0"/>
          <w:numId w:val="1"/>
        </w:numPr>
        <w:spacing w:after="80"/>
      </w:pPr>
      <w:r>
        <w:t>Section 8.10C (Addendum): IMF Consultation Requirement</w:t>
      </w:r>
    </w:p>
    <w:p w14:paraId="277C926B" w14:textId="77777777" w:rsidR="00A306EF" w:rsidRDefault="00000000">
      <w:pPr>
        <w:numPr>
          <w:ilvl w:val="0"/>
          <w:numId w:val="1"/>
        </w:numPr>
        <w:spacing w:after="80"/>
      </w:pPr>
      <w:r>
        <w:t>Section 9.4A: FTA Coordination Protocol</w:t>
      </w:r>
    </w:p>
    <w:p w14:paraId="7109DF25" w14:textId="77777777" w:rsidR="00A306EF" w:rsidRDefault="00000000">
      <w:pPr>
        <w:numPr>
          <w:ilvl w:val="0"/>
          <w:numId w:val="1"/>
        </w:numPr>
        <w:spacing w:after="80"/>
      </w:pPr>
      <w:r>
        <w:t>Section 9.4 (Addendum): Regional Court Protocol</w:t>
      </w:r>
    </w:p>
    <w:p w14:paraId="22C28B33" w14:textId="77777777" w:rsidR="00A306EF" w:rsidRDefault="00000000">
      <w:pPr>
        <w:numPr>
          <w:ilvl w:val="0"/>
          <w:numId w:val="1"/>
        </w:numPr>
        <w:spacing w:after="80"/>
      </w:pPr>
      <w:r>
        <w:t>Annex 1B.1: Investment Treaty Coordination Protocol</w:t>
      </w:r>
    </w:p>
    <w:p w14:paraId="1C62E7A4" w14:textId="77777777" w:rsidR="00A306EF" w:rsidRDefault="00000000">
      <w:pPr>
        <w:numPr>
          <w:ilvl w:val="0"/>
          <w:numId w:val="1"/>
        </w:numPr>
        <w:spacing w:after="80"/>
      </w:pPr>
      <w:r>
        <w:t>Annex 11 (Second Addendum): Intellectual Property Safeguard</w:t>
      </w:r>
    </w:p>
    <w:p w14:paraId="195D3654" w14:textId="77777777" w:rsidR="00A306EF" w:rsidRDefault="00000000">
      <w:pPr>
        <w:numPr>
          <w:ilvl w:val="0"/>
          <w:numId w:val="1"/>
        </w:numPr>
        <w:spacing w:after="80"/>
      </w:pPr>
      <w:r>
        <w:t>Section 10.14: Services Stabilization Protocol</w:t>
      </w:r>
    </w:p>
    <w:p w14:paraId="27F9ED63" w14:textId="77777777" w:rsidR="00A306EF" w:rsidRDefault="00000000">
      <w:pPr>
        <w:numPr>
          <w:ilvl w:val="0"/>
          <w:numId w:val="1"/>
        </w:numPr>
        <w:spacing w:after="80"/>
      </w:pPr>
      <w:r>
        <w:t>Section 3.1H: Progressive Accession</w:t>
      </w:r>
    </w:p>
    <w:p w14:paraId="3A14C3A2" w14:textId="77777777" w:rsidR="00A306EF" w:rsidRDefault="00000000">
      <w:pPr>
        <w:numPr>
          <w:ilvl w:val="0"/>
          <w:numId w:val="1"/>
        </w:numPr>
        <w:spacing w:after="80"/>
      </w:pPr>
      <w:r>
        <w:t>Section 10A.1 (Addendum): Grand Review Transparency</w:t>
      </w:r>
    </w:p>
    <w:p w14:paraId="49A2016E" w14:textId="77777777" w:rsidR="00A306EF" w:rsidRDefault="00000000">
      <w:pPr>
        <w:numPr>
          <w:ilvl w:val="0"/>
          <w:numId w:val="1"/>
        </w:numPr>
        <w:spacing w:after="80"/>
      </w:pPr>
      <w:r>
        <w:t>Preamble (Third Addendum): Non-Targeting Clarification</w:t>
      </w:r>
    </w:p>
    <w:p w14:paraId="671DC228" w14:textId="77777777" w:rsidR="00A306EF" w:rsidRDefault="00000000">
      <w:pPr>
        <w:numPr>
          <w:ilvl w:val="0"/>
          <w:numId w:val="1"/>
        </w:numPr>
        <w:spacing w:after="80"/>
      </w:pPr>
      <w:r>
        <w:rPr>
          <w:rFonts w:cs="Calibri"/>
          <w:szCs w:val="21"/>
        </w:rPr>
        <w:t>Section 3.7B: Exit Without Penalty</w:t>
      </w:r>
    </w:p>
    <w:p w14:paraId="7BAE79A1" w14:textId="77777777" w:rsidR="00A306EF" w:rsidRDefault="00000000">
      <w:pPr>
        <w:spacing w:after="80"/>
      </w:pPr>
      <w:r>
        <w:rPr>
          <w:rFonts w:cs="Calibri"/>
          <w:szCs w:val="21"/>
        </w:rPr>
        <w:t>Part II: Hardening Fixes (75 amendments):</w:t>
      </w:r>
    </w:p>
    <w:p w14:paraId="6F7D146A" w14:textId="77777777" w:rsidR="00A306EF" w:rsidRDefault="00000000">
      <w:pPr>
        <w:numPr>
          <w:ilvl w:val="0"/>
          <w:numId w:val="1"/>
        </w:numPr>
        <w:spacing w:after="80"/>
      </w:pPr>
      <w:r>
        <w:rPr>
          <w:rFonts w:cs="Calibri"/>
          <w:szCs w:val="21"/>
        </w:rPr>
        <w:t>Section 2.2 (Second Addendum): Category 6, MFN Status Revocation</w:t>
      </w:r>
    </w:p>
    <w:p w14:paraId="2C851B53" w14:textId="77777777" w:rsidR="00A306EF" w:rsidRDefault="00000000">
      <w:pPr>
        <w:numPr>
          <w:ilvl w:val="0"/>
          <w:numId w:val="1"/>
        </w:numPr>
        <w:spacing w:after="80"/>
      </w:pPr>
      <w:r>
        <w:rPr>
          <w:rFonts w:cs="Calibri"/>
          <w:szCs w:val="21"/>
        </w:rPr>
        <w:t>Section 2.2A: Tier 2 Tariff Doctrine</w:t>
      </w:r>
    </w:p>
    <w:p w14:paraId="0975F986" w14:textId="77777777" w:rsidR="00A306EF" w:rsidRDefault="00000000">
      <w:pPr>
        <w:numPr>
          <w:ilvl w:val="0"/>
          <w:numId w:val="1"/>
        </w:numPr>
        <w:spacing w:after="80"/>
      </w:pPr>
      <w:r>
        <w:rPr>
          <w:rFonts w:cs="Calibri"/>
          <w:szCs w:val="21"/>
        </w:rPr>
        <w:t>Section 2.1 (Third Addendum): Commercial Coercion Doctrine</w:t>
      </w:r>
    </w:p>
    <w:p w14:paraId="0DF25044" w14:textId="77777777" w:rsidR="00A306EF" w:rsidRDefault="00000000">
      <w:pPr>
        <w:numPr>
          <w:ilvl w:val="0"/>
          <w:numId w:val="1"/>
        </w:numPr>
        <w:spacing w:after="80"/>
      </w:pPr>
      <w:r>
        <w:rPr>
          <w:rFonts w:cs="Calibri"/>
          <w:szCs w:val="21"/>
        </w:rPr>
        <w:t>Section 2.1 (Fourth Addendum): Foreign Policy Demand Inclusion</w:t>
      </w:r>
    </w:p>
    <w:p w14:paraId="23FDF83A" w14:textId="77777777" w:rsidR="00A306EF" w:rsidRDefault="00000000">
      <w:pPr>
        <w:numPr>
          <w:ilvl w:val="0"/>
          <w:numId w:val="1"/>
        </w:numPr>
        <w:spacing w:after="80"/>
      </w:pPr>
      <w:r>
        <w:rPr>
          <w:rFonts w:cs="Calibri"/>
          <w:szCs w:val="21"/>
        </w:rPr>
        <w:t>Section 2.12B: Security-Alliance Linked Coercion Protocol</w:t>
      </w:r>
    </w:p>
    <w:p w14:paraId="61289366" w14:textId="77777777" w:rsidR="00A306EF" w:rsidRDefault="00000000">
      <w:pPr>
        <w:numPr>
          <w:ilvl w:val="0"/>
          <w:numId w:val="1"/>
        </w:numPr>
        <w:spacing w:after="80"/>
      </w:pPr>
      <w:r>
        <w:rPr>
          <w:rFonts w:cs="Calibri"/>
          <w:szCs w:val="21"/>
        </w:rPr>
        <w:t>Section 1.4B (Addendum): MFN Suspension as SND Trigger</w:t>
      </w:r>
    </w:p>
    <w:p w14:paraId="6CAB9116" w14:textId="77777777" w:rsidR="00A306EF" w:rsidRDefault="00000000">
      <w:pPr>
        <w:numPr>
          <w:ilvl w:val="0"/>
          <w:numId w:val="1"/>
        </w:numPr>
        <w:spacing w:after="80"/>
      </w:pPr>
      <w:r>
        <w:rPr>
          <w:rFonts w:cs="Calibri"/>
          <w:szCs w:val="21"/>
        </w:rPr>
        <w:t>Section 1.4B(d): Graduated MFN Loophole Closure</w:t>
      </w:r>
    </w:p>
    <w:p w14:paraId="0CE9DB74" w14:textId="77777777" w:rsidR="00A306EF" w:rsidRDefault="00000000">
      <w:pPr>
        <w:numPr>
          <w:ilvl w:val="0"/>
          <w:numId w:val="1"/>
        </w:numPr>
        <w:spacing w:after="80"/>
      </w:pPr>
      <w:r>
        <w:rPr>
          <w:rFonts w:cs="Calibri"/>
          <w:szCs w:val="21"/>
        </w:rPr>
        <w:t>Section 2.1D: Symbolic Tariff Coercion</w:t>
      </w:r>
    </w:p>
    <w:p w14:paraId="02949855" w14:textId="77777777" w:rsidR="00A306EF" w:rsidRDefault="00000000">
      <w:pPr>
        <w:numPr>
          <w:ilvl w:val="0"/>
          <w:numId w:val="1"/>
        </w:numPr>
        <w:spacing w:after="80"/>
      </w:pPr>
      <w:r>
        <w:rPr>
          <w:rFonts w:cs="Calibri"/>
          <w:szCs w:val="21"/>
        </w:rPr>
        <w:t>Section 10.1A: Sub-National Political Targeting</w:t>
      </w:r>
    </w:p>
    <w:p w14:paraId="19A4A848" w14:textId="77777777" w:rsidR="00A306EF" w:rsidRDefault="00000000">
      <w:pPr>
        <w:numPr>
          <w:ilvl w:val="0"/>
          <w:numId w:val="1"/>
        </w:numPr>
        <w:spacing w:after="80"/>
      </w:pPr>
      <w:r>
        <w:rPr>
          <w:rFonts w:cs="Calibri"/>
          <w:szCs w:val="21"/>
        </w:rPr>
        <w:t>Section 1.1 (Third Addendum): Cultural Heritage Protection</w:t>
      </w:r>
    </w:p>
    <w:p w14:paraId="5CD89CDC" w14:textId="77777777" w:rsidR="00A306EF" w:rsidRDefault="00000000">
      <w:pPr>
        <w:numPr>
          <w:ilvl w:val="0"/>
          <w:numId w:val="1"/>
        </w:numPr>
        <w:spacing w:after="80"/>
      </w:pPr>
      <w:r>
        <w:rPr>
          <w:rFonts w:cs="Calibri"/>
          <w:szCs w:val="21"/>
        </w:rPr>
        <w:t>Section 5.1C: Election Cycle Acceleration</w:t>
      </w:r>
    </w:p>
    <w:p w14:paraId="7D06986F" w14:textId="77777777" w:rsidR="00A306EF" w:rsidRDefault="00000000">
      <w:pPr>
        <w:numPr>
          <w:ilvl w:val="0"/>
          <w:numId w:val="1"/>
        </w:numPr>
        <w:spacing w:after="80"/>
      </w:pPr>
      <w:r>
        <w:rPr>
          <w:rFonts w:cs="Calibri"/>
          <w:szCs w:val="21"/>
        </w:rPr>
        <w:t>Section 3.8 (Addendum): Transition Period Protection</w:t>
      </w:r>
    </w:p>
    <w:p w14:paraId="0112C57A" w14:textId="77777777" w:rsidR="00A306EF" w:rsidRDefault="00000000">
      <w:pPr>
        <w:numPr>
          <w:ilvl w:val="0"/>
          <w:numId w:val="1"/>
        </w:numPr>
        <w:spacing w:after="80"/>
      </w:pPr>
      <w:r>
        <w:rPr>
          <w:rFonts w:cs="Calibri"/>
          <w:szCs w:val="21"/>
        </w:rPr>
        <w:t>Section 6.4 (Second Addendum): Executive Authority Transparency</w:t>
      </w:r>
    </w:p>
    <w:p w14:paraId="482E8334" w14:textId="77777777" w:rsidR="00A306EF" w:rsidRDefault="00000000">
      <w:pPr>
        <w:numPr>
          <w:ilvl w:val="0"/>
          <w:numId w:val="1"/>
        </w:numPr>
        <w:spacing w:after="80"/>
      </w:pPr>
      <w:r>
        <w:rPr>
          <w:rFonts w:cs="Calibri"/>
          <w:szCs w:val="21"/>
        </w:rPr>
        <w:t>Section 2.2 (Third Addendum): Shock Tariff Definition</w:t>
      </w:r>
    </w:p>
    <w:p w14:paraId="3B6C5056" w14:textId="77777777" w:rsidR="00A306EF" w:rsidRDefault="00000000">
      <w:pPr>
        <w:numPr>
          <w:ilvl w:val="0"/>
          <w:numId w:val="1"/>
        </w:numPr>
        <w:spacing w:after="80"/>
      </w:pPr>
      <w:r>
        <w:rPr>
          <w:rFonts w:cs="Calibri"/>
          <w:szCs w:val="21"/>
        </w:rPr>
        <w:t>Section 5.0M: Midnight Tariff Protocol</w:t>
      </w:r>
    </w:p>
    <w:p w14:paraId="4552CE81" w14:textId="77777777" w:rsidR="00A306EF" w:rsidRDefault="00000000">
      <w:pPr>
        <w:numPr>
          <w:ilvl w:val="0"/>
          <w:numId w:val="1"/>
        </w:numPr>
        <w:spacing w:after="80"/>
      </w:pPr>
      <w:r>
        <w:rPr>
          <w:rFonts w:cs="Calibri"/>
          <w:szCs w:val="21"/>
        </w:rPr>
        <w:t>Section 5.1B (Addendum): Cumulative Notice Provision</w:t>
      </w:r>
    </w:p>
    <w:p w14:paraId="14C90DD9" w14:textId="77777777" w:rsidR="00A306EF" w:rsidRDefault="00000000">
      <w:pPr>
        <w:numPr>
          <w:ilvl w:val="0"/>
          <w:numId w:val="1"/>
        </w:numPr>
        <w:spacing w:after="80"/>
      </w:pPr>
      <w:r>
        <w:rPr>
          <w:rFonts w:cs="Calibri"/>
          <w:szCs w:val="21"/>
        </w:rPr>
        <w:t>Section 1.4F: Emergency Powers Statute Presumption</w:t>
      </w:r>
    </w:p>
    <w:p w14:paraId="0024EF4A" w14:textId="77777777" w:rsidR="00A306EF" w:rsidRDefault="00000000">
      <w:pPr>
        <w:numPr>
          <w:ilvl w:val="0"/>
          <w:numId w:val="1"/>
        </w:numPr>
        <w:spacing w:after="80"/>
      </w:pPr>
      <w:r>
        <w:rPr>
          <w:rFonts w:cs="Calibri"/>
          <w:szCs w:val="21"/>
        </w:rPr>
        <w:t>Annex 1A.1 (Third Addendum): Pre-WTO Statute Tariffs</w:t>
      </w:r>
    </w:p>
    <w:p w14:paraId="23FC98DD" w14:textId="77777777" w:rsidR="00A306EF" w:rsidRDefault="00000000">
      <w:pPr>
        <w:numPr>
          <w:ilvl w:val="0"/>
          <w:numId w:val="1"/>
        </w:numPr>
        <w:spacing w:after="80"/>
      </w:pPr>
      <w:r>
        <w:rPr>
          <w:rFonts w:cs="Calibri"/>
          <w:szCs w:val="21"/>
        </w:rPr>
        <w:lastRenderedPageBreak/>
        <w:t>Section 2.15 (Third Addendum): Administrative Authority Factor</w:t>
      </w:r>
    </w:p>
    <w:p w14:paraId="2C812BDB" w14:textId="77777777" w:rsidR="00A306EF" w:rsidRDefault="00000000">
      <w:pPr>
        <w:numPr>
          <w:ilvl w:val="0"/>
          <w:numId w:val="1"/>
        </w:numPr>
        <w:spacing w:after="80"/>
      </w:pPr>
      <w:r>
        <w:rPr>
          <w:rFonts w:cs="Calibri"/>
          <w:szCs w:val="21"/>
        </w:rPr>
        <w:t>Section 10.7A: De Minimis Manipulation</w:t>
      </w:r>
    </w:p>
    <w:p w14:paraId="727C430D" w14:textId="77777777" w:rsidR="00A306EF" w:rsidRDefault="00000000">
      <w:pPr>
        <w:numPr>
          <w:ilvl w:val="0"/>
          <w:numId w:val="1"/>
        </w:numPr>
        <w:spacing w:after="80"/>
      </w:pPr>
      <w:r>
        <w:rPr>
          <w:rFonts w:cs="Calibri"/>
          <w:szCs w:val="21"/>
        </w:rPr>
        <w:t>Section 2.1 (Fifth Addendum): Postal Channel Coercion</w:t>
      </w:r>
    </w:p>
    <w:p w14:paraId="24254967" w14:textId="77777777" w:rsidR="00A306EF" w:rsidRDefault="00000000">
      <w:pPr>
        <w:numPr>
          <w:ilvl w:val="0"/>
          <w:numId w:val="1"/>
        </w:numPr>
        <w:spacing w:after="80"/>
      </w:pPr>
      <w:r>
        <w:rPr>
          <w:rFonts w:cs="Calibri"/>
          <w:szCs w:val="21"/>
        </w:rPr>
        <w:t>Section 10.11A: Country of Origin Manipulation</w:t>
      </w:r>
    </w:p>
    <w:p w14:paraId="457DBBAD" w14:textId="77777777" w:rsidR="00A306EF" w:rsidRDefault="00000000">
      <w:pPr>
        <w:numPr>
          <w:ilvl w:val="0"/>
          <w:numId w:val="1"/>
        </w:numPr>
        <w:spacing w:after="80"/>
      </w:pPr>
      <w:r>
        <w:rPr>
          <w:rFonts w:cs="Calibri"/>
          <w:szCs w:val="21"/>
        </w:rPr>
        <w:t>Section 6.4 (Third Addendum): Transshipment Reporting</w:t>
      </w:r>
    </w:p>
    <w:p w14:paraId="0395ABBA" w14:textId="77777777" w:rsidR="00A306EF" w:rsidRDefault="00000000">
      <w:pPr>
        <w:numPr>
          <w:ilvl w:val="0"/>
          <w:numId w:val="1"/>
        </w:numPr>
        <w:spacing w:after="80"/>
      </w:pPr>
      <w:r>
        <w:rPr>
          <w:rFonts w:cs="Calibri"/>
          <w:szCs w:val="21"/>
        </w:rPr>
        <w:t>Section 1.1 (Fourth Addendum): Trade Deficit Non-Defense</w:t>
      </w:r>
    </w:p>
    <w:p w14:paraId="1FE9A3D0" w14:textId="77777777" w:rsidR="00A306EF" w:rsidRDefault="00000000">
      <w:pPr>
        <w:numPr>
          <w:ilvl w:val="0"/>
          <w:numId w:val="1"/>
        </w:numPr>
        <w:spacing w:after="80"/>
      </w:pPr>
      <w:r>
        <w:rPr>
          <w:rFonts w:cs="Calibri"/>
          <w:szCs w:val="21"/>
        </w:rPr>
        <w:t>Annex 1 (Addendum): Unfair Trade Allegation Standard</w:t>
      </w:r>
    </w:p>
    <w:p w14:paraId="613E209A" w14:textId="77777777" w:rsidR="00A306EF" w:rsidRDefault="00000000">
      <w:pPr>
        <w:numPr>
          <w:ilvl w:val="0"/>
          <w:numId w:val="1"/>
        </w:numPr>
        <w:spacing w:after="80"/>
      </w:pPr>
      <w:r>
        <w:rPr>
          <w:rFonts w:cs="Calibri"/>
          <w:szCs w:val="21"/>
        </w:rPr>
        <w:t>Section 1.4G: Emergency Declaration Certification</w:t>
      </w:r>
    </w:p>
    <w:p w14:paraId="27759D12" w14:textId="77777777" w:rsidR="00A306EF" w:rsidRDefault="00000000">
      <w:pPr>
        <w:numPr>
          <w:ilvl w:val="0"/>
          <w:numId w:val="1"/>
        </w:numPr>
        <w:spacing w:after="80"/>
      </w:pPr>
      <w:r>
        <w:rPr>
          <w:rFonts w:cs="Calibri"/>
          <w:szCs w:val="21"/>
        </w:rPr>
        <w:t>Section 5.4A (Second Addendum): Emergency-Authority Response Horizon</w:t>
      </w:r>
    </w:p>
    <w:p w14:paraId="66178F4F" w14:textId="77777777" w:rsidR="00A306EF" w:rsidRDefault="00000000">
      <w:pPr>
        <w:numPr>
          <w:ilvl w:val="0"/>
          <w:numId w:val="1"/>
        </w:numPr>
        <w:spacing w:after="80"/>
      </w:pPr>
      <w:r>
        <w:rPr>
          <w:rFonts w:cs="Calibri"/>
          <w:szCs w:val="21"/>
        </w:rPr>
        <w:t>Annex 1 (Second Addendum): Forced Labor and Human Rights Verification Standard</w:t>
      </w:r>
    </w:p>
    <w:p w14:paraId="30E1A663" w14:textId="77777777" w:rsidR="00A306EF" w:rsidRDefault="00000000">
      <w:pPr>
        <w:numPr>
          <w:ilvl w:val="0"/>
          <w:numId w:val="1"/>
        </w:numPr>
        <w:spacing w:after="80"/>
      </w:pPr>
      <w:r>
        <w:rPr>
          <w:rFonts w:cs="Calibri"/>
          <w:szCs w:val="21"/>
        </w:rPr>
        <w:t>Section 2.7 (Addendum): Public Health Transparency</w:t>
      </w:r>
    </w:p>
    <w:p w14:paraId="5BB8F1E4" w14:textId="77777777" w:rsidR="00A306EF" w:rsidRDefault="00000000">
      <w:pPr>
        <w:numPr>
          <w:ilvl w:val="0"/>
          <w:numId w:val="1"/>
        </w:numPr>
        <w:spacing w:after="80"/>
      </w:pPr>
      <w:r>
        <w:rPr>
          <w:rFonts w:cs="Calibri"/>
          <w:szCs w:val="21"/>
        </w:rPr>
        <w:t>Section 1.4B (Second Addendum): Baseline Shift Doctrine Hardening</w:t>
      </w:r>
    </w:p>
    <w:p w14:paraId="61248E12" w14:textId="77777777" w:rsidR="00A306EF" w:rsidRDefault="00000000">
      <w:pPr>
        <w:numPr>
          <w:ilvl w:val="0"/>
          <w:numId w:val="1"/>
        </w:numPr>
        <w:spacing w:after="80"/>
      </w:pPr>
      <w:r>
        <w:rPr>
          <w:rFonts w:cs="Calibri"/>
          <w:szCs w:val="21"/>
        </w:rPr>
        <w:t>Section 2.2 (Fourth Addendum): Category 7, Universal Tariff Shock</w:t>
      </w:r>
    </w:p>
    <w:p w14:paraId="526B2500" w14:textId="77777777" w:rsidR="00A306EF" w:rsidRDefault="00000000">
      <w:pPr>
        <w:numPr>
          <w:ilvl w:val="0"/>
          <w:numId w:val="1"/>
        </w:numPr>
        <w:spacing w:after="80"/>
      </w:pPr>
      <w:r>
        <w:rPr>
          <w:rFonts w:cs="Calibri"/>
          <w:szCs w:val="21"/>
        </w:rPr>
        <w:t>Section 6.4 (Fourth Addendum): Trade Remedy Petition Transparency</w:t>
      </w:r>
    </w:p>
    <w:p w14:paraId="73775062" w14:textId="77777777" w:rsidR="00A306EF" w:rsidRDefault="00000000">
      <w:pPr>
        <w:numPr>
          <w:ilvl w:val="0"/>
          <w:numId w:val="1"/>
        </w:numPr>
        <w:spacing w:after="80"/>
      </w:pPr>
      <w:r>
        <w:rPr>
          <w:rFonts w:cs="Calibri"/>
          <w:szCs w:val="21"/>
        </w:rPr>
        <w:t>Section 2.1E: Trade Remedy Harassment Pattern</w:t>
      </w:r>
    </w:p>
    <w:p w14:paraId="4353A235" w14:textId="77777777" w:rsidR="00A306EF" w:rsidRDefault="00000000">
      <w:pPr>
        <w:numPr>
          <w:ilvl w:val="0"/>
          <w:numId w:val="1"/>
        </w:numPr>
        <w:spacing w:after="80"/>
      </w:pPr>
      <w:r>
        <w:rPr>
          <w:rFonts w:cs="Calibri"/>
          <w:szCs w:val="21"/>
        </w:rPr>
        <w:t>Section 5.3A (Second Addendum): Phased Withdrawal De-Escalation</w:t>
      </w:r>
    </w:p>
    <w:p w14:paraId="7A82A697" w14:textId="77777777" w:rsidR="00A306EF" w:rsidRDefault="00000000">
      <w:pPr>
        <w:numPr>
          <w:ilvl w:val="0"/>
          <w:numId w:val="1"/>
        </w:numPr>
        <w:spacing w:after="80"/>
      </w:pPr>
      <w:r>
        <w:rPr>
          <w:rFonts w:cs="Calibri"/>
          <w:szCs w:val="21"/>
        </w:rPr>
        <w:t>Section 10.9 (Second Addendum): Retroactive Reinstatement Surcharge</w:t>
      </w:r>
    </w:p>
    <w:p w14:paraId="013DD8CF" w14:textId="77777777" w:rsidR="00A306EF" w:rsidRDefault="00000000">
      <w:pPr>
        <w:numPr>
          <w:ilvl w:val="0"/>
          <w:numId w:val="1"/>
        </w:numPr>
        <w:spacing w:after="80"/>
      </w:pPr>
      <w:r>
        <w:rPr>
          <w:rFonts w:cs="Calibri"/>
          <w:szCs w:val="21"/>
        </w:rPr>
        <w:t>Section 2.1 (Sixth Addendum): Exchange Rate Measure Linkage</w:t>
      </w:r>
    </w:p>
    <w:p w14:paraId="3CB32AAE" w14:textId="77777777" w:rsidR="00A306EF" w:rsidRDefault="00000000">
      <w:pPr>
        <w:numPr>
          <w:ilvl w:val="0"/>
          <w:numId w:val="1"/>
        </w:numPr>
        <w:spacing w:after="80"/>
      </w:pPr>
      <w:r>
        <w:rPr>
          <w:rFonts w:cs="Calibri"/>
          <w:szCs w:val="21"/>
        </w:rPr>
        <w:t>Annex 11 (Third Addendum): Dual-Use Expansion Response</w:t>
      </w:r>
    </w:p>
    <w:p w14:paraId="407938DE" w14:textId="77777777" w:rsidR="00A306EF" w:rsidRDefault="00000000">
      <w:pPr>
        <w:numPr>
          <w:ilvl w:val="0"/>
          <w:numId w:val="1"/>
        </w:numPr>
        <w:spacing w:after="80"/>
      </w:pPr>
      <w:r>
        <w:rPr>
          <w:rFonts w:cs="Calibri"/>
          <w:szCs w:val="21"/>
        </w:rPr>
        <w:t>Section 6.2 (Addendum): Secondary Tariff Pressure</w:t>
      </w:r>
    </w:p>
    <w:p w14:paraId="058771EC" w14:textId="77777777" w:rsidR="00A306EF" w:rsidRDefault="00000000">
      <w:pPr>
        <w:numPr>
          <w:ilvl w:val="0"/>
          <w:numId w:val="1"/>
        </w:numPr>
        <w:spacing w:after="80"/>
      </w:pPr>
      <w:r>
        <w:rPr>
          <w:rFonts w:cs="Calibri"/>
          <w:szCs w:val="21"/>
        </w:rPr>
        <w:t>Section 9.4 (Second Addendum): Regional Agreement Pretext</w:t>
      </w:r>
    </w:p>
    <w:p w14:paraId="382A12F9" w14:textId="77777777" w:rsidR="00A306EF" w:rsidRDefault="00000000">
      <w:pPr>
        <w:numPr>
          <w:ilvl w:val="0"/>
          <w:numId w:val="1"/>
        </w:numPr>
        <w:spacing w:after="80"/>
      </w:pPr>
      <w:r>
        <w:rPr>
          <w:rFonts w:cs="Calibri"/>
          <w:szCs w:val="21"/>
        </w:rPr>
        <w:t>Section 1.0A (Addendum): Domestic Court Shield Protocol</w:t>
      </w:r>
    </w:p>
    <w:p w14:paraId="4126A2B0" w14:textId="77777777" w:rsidR="00A306EF" w:rsidRDefault="00000000">
      <w:pPr>
        <w:numPr>
          <w:ilvl w:val="0"/>
          <w:numId w:val="1"/>
        </w:numPr>
        <w:spacing w:after="80"/>
      </w:pPr>
      <w:r>
        <w:rPr>
          <w:rFonts w:cs="Calibri"/>
          <w:szCs w:val="21"/>
        </w:rPr>
        <w:t>Annex 16 (Addendum): Disinformation Response Protocol</w:t>
      </w:r>
    </w:p>
    <w:p w14:paraId="023C17AD" w14:textId="77777777" w:rsidR="00A306EF" w:rsidRDefault="00000000">
      <w:pPr>
        <w:numPr>
          <w:ilvl w:val="0"/>
          <w:numId w:val="1"/>
        </w:numPr>
        <w:spacing w:after="80"/>
      </w:pPr>
      <w:r>
        <w:rPr>
          <w:rFonts w:cs="Calibri"/>
          <w:szCs w:val="21"/>
        </w:rPr>
        <w:t>Section 2.5 (Second Addendum): Social Media Attribution</w:t>
      </w:r>
    </w:p>
    <w:p w14:paraId="5665043D" w14:textId="77777777" w:rsidR="00A306EF" w:rsidRDefault="00000000">
      <w:pPr>
        <w:numPr>
          <w:ilvl w:val="0"/>
          <w:numId w:val="1"/>
        </w:numPr>
        <w:spacing w:after="80"/>
      </w:pPr>
      <w:r>
        <w:rPr>
          <w:rFonts w:cs="Calibri"/>
          <w:szCs w:val="21"/>
        </w:rPr>
        <w:t>Section 5.3C (Third Addendum): Negotiation Window Exemption</w:t>
      </w:r>
    </w:p>
    <w:p w14:paraId="7C60816F" w14:textId="77777777" w:rsidR="00A306EF" w:rsidRDefault="00000000">
      <w:pPr>
        <w:numPr>
          <w:ilvl w:val="0"/>
          <w:numId w:val="1"/>
        </w:numPr>
        <w:spacing w:after="80"/>
      </w:pPr>
      <w:r>
        <w:rPr>
          <w:rFonts w:cs="Calibri"/>
          <w:szCs w:val="21"/>
        </w:rPr>
        <w:t>Section 5.3D (Second Addendum): Administrative Delay Standard</w:t>
      </w:r>
    </w:p>
    <w:p w14:paraId="1D527809" w14:textId="77777777" w:rsidR="00A306EF" w:rsidRDefault="00000000">
      <w:pPr>
        <w:numPr>
          <w:ilvl w:val="0"/>
          <w:numId w:val="1"/>
        </w:numPr>
        <w:spacing w:after="80"/>
      </w:pPr>
      <w:r>
        <w:rPr>
          <w:rFonts w:cs="Calibri"/>
          <w:szCs w:val="21"/>
        </w:rPr>
        <w:t>Section 6.4 (Fifth Addendum): Product Exemption Transparency</w:t>
      </w:r>
    </w:p>
    <w:p w14:paraId="7FD3BCB8" w14:textId="77777777" w:rsidR="00A306EF" w:rsidRDefault="00000000">
      <w:pPr>
        <w:numPr>
          <w:ilvl w:val="0"/>
          <w:numId w:val="1"/>
        </w:numPr>
        <w:spacing w:after="80"/>
      </w:pPr>
      <w:r>
        <w:rPr>
          <w:rFonts w:cs="Calibri"/>
          <w:szCs w:val="21"/>
        </w:rPr>
        <w:t>Section 2.1 (Seventh Addendum): Investment Measure Linkage</w:t>
      </w:r>
    </w:p>
    <w:p w14:paraId="78FBDBAC" w14:textId="77777777" w:rsidR="00A306EF" w:rsidRDefault="00000000">
      <w:pPr>
        <w:numPr>
          <w:ilvl w:val="0"/>
          <w:numId w:val="1"/>
        </w:numPr>
        <w:spacing w:after="80"/>
      </w:pPr>
      <w:r>
        <w:rPr>
          <w:rFonts w:cs="Calibri"/>
          <w:szCs w:val="21"/>
        </w:rPr>
        <w:t>Section 2.1 (Eighth Addendum): Procurement Preference Coercion</w:t>
      </w:r>
    </w:p>
    <w:p w14:paraId="71274700" w14:textId="77777777" w:rsidR="00A306EF" w:rsidRDefault="00000000">
      <w:pPr>
        <w:numPr>
          <w:ilvl w:val="0"/>
          <w:numId w:val="1"/>
        </w:numPr>
        <w:spacing w:after="80"/>
      </w:pPr>
      <w:r>
        <w:rPr>
          <w:rFonts w:cs="Calibri"/>
          <w:szCs w:val="21"/>
        </w:rPr>
        <w:t>Section 2.9 (Addendum): Data Weaponization Linkage</w:t>
      </w:r>
    </w:p>
    <w:p w14:paraId="0ADBAC09" w14:textId="77777777" w:rsidR="00A306EF" w:rsidRDefault="00000000">
      <w:pPr>
        <w:numPr>
          <w:ilvl w:val="0"/>
          <w:numId w:val="1"/>
        </w:numPr>
        <w:spacing w:after="80"/>
      </w:pPr>
      <w:r>
        <w:t>Section 2.1 (Ninth Addendum): Intellectual Property Linkage</w:t>
      </w:r>
    </w:p>
    <w:p w14:paraId="28639170" w14:textId="77777777" w:rsidR="00A306EF" w:rsidRDefault="00000000">
      <w:pPr>
        <w:numPr>
          <w:ilvl w:val="0"/>
          <w:numId w:val="1"/>
        </w:numPr>
        <w:spacing w:after="80"/>
      </w:pPr>
      <w:r>
        <w:t>Section 2.1F: Regulatory Coercion Doctrine</w:t>
      </w:r>
    </w:p>
    <w:p w14:paraId="0ECF4A0F" w14:textId="77777777" w:rsidR="00A306EF" w:rsidRDefault="00000000">
      <w:pPr>
        <w:numPr>
          <w:ilvl w:val="0"/>
          <w:numId w:val="1"/>
        </w:numPr>
        <w:spacing w:after="80"/>
      </w:pPr>
      <w:r>
        <w:t>Section 2.1G: Regulatory Weaponization</w:t>
      </w:r>
    </w:p>
    <w:p w14:paraId="4158E928" w14:textId="77777777" w:rsidR="00A306EF" w:rsidRDefault="00000000">
      <w:pPr>
        <w:numPr>
          <w:ilvl w:val="0"/>
          <w:numId w:val="1"/>
        </w:numPr>
        <w:spacing w:after="80"/>
      </w:pPr>
      <w:r>
        <w:lastRenderedPageBreak/>
        <w:t>Section 2.10 (Second Addendum): Inspection Harassment Protocol</w:t>
      </w:r>
    </w:p>
    <w:p w14:paraId="0AF576DB" w14:textId="77777777" w:rsidR="00A306EF" w:rsidRDefault="00000000">
      <w:pPr>
        <w:numPr>
          <w:ilvl w:val="0"/>
          <w:numId w:val="1"/>
        </w:numPr>
        <w:spacing w:after="80"/>
      </w:pPr>
      <w:r>
        <w:t>Section 2.1 (Tenth Addendum): Licensing Denial Protocol</w:t>
      </w:r>
    </w:p>
    <w:p w14:paraId="05DD6270" w14:textId="77777777" w:rsidR="00A306EF" w:rsidRDefault="00000000">
      <w:pPr>
        <w:numPr>
          <w:ilvl w:val="0"/>
          <w:numId w:val="1"/>
        </w:numPr>
        <w:spacing w:after="80"/>
      </w:pPr>
      <w:r>
        <w:t>Section 5.0A (Second Addendum): Import Detention Acceleration</w:t>
      </w:r>
    </w:p>
    <w:p w14:paraId="191622FB" w14:textId="77777777" w:rsidR="00A306EF" w:rsidRDefault="00000000">
      <w:pPr>
        <w:numPr>
          <w:ilvl w:val="0"/>
          <w:numId w:val="1"/>
        </w:numPr>
        <w:spacing w:after="80"/>
      </w:pPr>
      <w:r>
        <w:t>Section 2.7 (Second Addendum): SPS Abuse Standard</w:t>
      </w:r>
    </w:p>
    <w:p w14:paraId="0148A4D2" w14:textId="77777777" w:rsidR="00A306EF" w:rsidRDefault="00000000">
      <w:pPr>
        <w:numPr>
          <w:ilvl w:val="0"/>
          <w:numId w:val="1"/>
        </w:numPr>
        <w:spacing w:after="80"/>
      </w:pPr>
      <w:r>
        <w:t>Section 6.2A: Derivative Coercion Protocol</w:t>
      </w:r>
    </w:p>
    <w:p w14:paraId="5AE7B127" w14:textId="77777777" w:rsidR="00A306EF" w:rsidRDefault="00000000">
      <w:pPr>
        <w:numPr>
          <w:ilvl w:val="0"/>
          <w:numId w:val="1"/>
        </w:numPr>
        <w:spacing w:after="80"/>
      </w:pPr>
      <w:r>
        <w:t>Section 6.2 (Second Addendum): Derivative Pressure Fast Activation</w:t>
      </w:r>
    </w:p>
    <w:p w14:paraId="05840D19" w14:textId="77777777" w:rsidR="00A306EF" w:rsidRDefault="00000000">
      <w:pPr>
        <w:numPr>
          <w:ilvl w:val="0"/>
          <w:numId w:val="1"/>
        </w:numPr>
        <w:spacing w:after="80"/>
      </w:pPr>
      <w:r>
        <w:t>Section 1.6 (Addendum): Chain Reaction Protocol</w:t>
      </w:r>
    </w:p>
    <w:p w14:paraId="35F7348D" w14:textId="77777777" w:rsidR="00A306EF" w:rsidRDefault="00000000">
      <w:pPr>
        <w:numPr>
          <w:ilvl w:val="0"/>
          <w:numId w:val="1"/>
        </w:numPr>
        <w:spacing w:after="80"/>
      </w:pPr>
      <w:r>
        <w:t>Section 2.1H: Extraterritorial Tariff Coercion</w:t>
      </w:r>
    </w:p>
    <w:p w14:paraId="67A7CF1A" w14:textId="77777777" w:rsidR="00A306EF" w:rsidRDefault="00000000">
      <w:pPr>
        <w:numPr>
          <w:ilvl w:val="0"/>
          <w:numId w:val="1"/>
        </w:numPr>
        <w:spacing w:after="80"/>
      </w:pPr>
      <w:r>
        <w:t>Annex 1A.1 (Fourth Addendum): Third-State Trade Rebuttal</w:t>
      </w:r>
    </w:p>
    <w:p w14:paraId="2BC0F608" w14:textId="77777777" w:rsidR="00A306EF" w:rsidRDefault="00000000">
      <w:pPr>
        <w:numPr>
          <w:ilvl w:val="0"/>
          <w:numId w:val="1"/>
        </w:numPr>
        <w:spacing w:after="80"/>
      </w:pPr>
      <w:r>
        <w:t>Section 6.4B: Transshipment Evasion Protocol</w:t>
      </w:r>
    </w:p>
    <w:p w14:paraId="24AB65BA" w14:textId="77777777" w:rsidR="00A306EF" w:rsidRDefault="00000000">
      <w:pPr>
        <w:numPr>
          <w:ilvl w:val="0"/>
          <w:numId w:val="1"/>
        </w:numPr>
        <w:spacing w:after="80"/>
      </w:pPr>
      <w:r>
        <w:t>Section 10.11A (Addendum): Country of Origin Fraud</w:t>
      </w:r>
    </w:p>
    <w:p w14:paraId="5E6A5BB9" w14:textId="77777777" w:rsidR="00A306EF" w:rsidRDefault="00000000">
      <w:pPr>
        <w:numPr>
          <w:ilvl w:val="0"/>
          <w:numId w:val="1"/>
        </w:numPr>
        <w:spacing w:after="80"/>
      </w:pPr>
      <w:r>
        <w:t>Section 6.4 (Sixth Addendum): Certificate of Origin Transparency</w:t>
      </w:r>
    </w:p>
    <w:p w14:paraId="314DA92A" w14:textId="77777777" w:rsidR="00A306EF" w:rsidRDefault="00000000">
      <w:pPr>
        <w:numPr>
          <w:ilvl w:val="0"/>
          <w:numId w:val="1"/>
        </w:numPr>
        <w:spacing w:after="80"/>
      </w:pPr>
      <w:r>
        <w:t>Section 2.14 (Addendum): Platform Coercion Protocol</w:t>
      </w:r>
    </w:p>
    <w:p w14:paraId="0B5F8BC0" w14:textId="77777777" w:rsidR="00A306EF" w:rsidRDefault="00000000">
      <w:pPr>
        <w:numPr>
          <w:ilvl w:val="0"/>
          <w:numId w:val="1"/>
        </w:numPr>
        <w:spacing w:after="80"/>
      </w:pPr>
      <w:r>
        <w:t>Section 2.9 (Second Addendum): Digital Services Linkage</w:t>
      </w:r>
    </w:p>
    <w:p w14:paraId="6B80EFE8" w14:textId="77777777" w:rsidR="00A306EF" w:rsidRDefault="00000000">
      <w:pPr>
        <w:numPr>
          <w:ilvl w:val="0"/>
          <w:numId w:val="1"/>
        </w:numPr>
        <w:spacing w:after="80"/>
      </w:pPr>
      <w:r>
        <w:t>Section 2.2 (Fifth Addendum): Category 8, Payment System Exclusion</w:t>
      </w:r>
    </w:p>
    <w:p w14:paraId="4C808919" w14:textId="77777777" w:rsidR="00A306EF" w:rsidRDefault="00000000">
      <w:pPr>
        <w:numPr>
          <w:ilvl w:val="0"/>
          <w:numId w:val="1"/>
        </w:numPr>
        <w:spacing w:after="80"/>
      </w:pPr>
      <w:r>
        <w:t>Section 2.1 (Eleventh Addendum): Correspondent Banking Denial</w:t>
      </w:r>
    </w:p>
    <w:p w14:paraId="7A185A9F" w14:textId="77777777" w:rsidR="00A306EF" w:rsidRDefault="00000000">
      <w:pPr>
        <w:numPr>
          <w:ilvl w:val="0"/>
          <w:numId w:val="1"/>
        </w:numPr>
        <w:spacing w:after="80"/>
      </w:pPr>
      <w:r>
        <w:t>Section 2.1 (Twelfth Addendum): Credit Rating Weaponization</w:t>
      </w:r>
    </w:p>
    <w:p w14:paraId="13597E1A" w14:textId="77777777" w:rsidR="00A306EF" w:rsidRDefault="00000000">
      <w:pPr>
        <w:numPr>
          <w:ilvl w:val="0"/>
          <w:numId w:val="1"/>
        </w:numPr>
        <w:spacing w:after="80"/>
      </w:pPr>
      <w:r>
        <w:t>Section 8.20 (Second Addendum): IMF Leverage Protocol</w:t>
      </w:r>
    </w:p>
    <w:p w14:paraId="6B475421" w14:textId="77777777" w:rsidR="00A306EF" w:rsidRDefault="00000000">
      <w:pPr>
        <w:numPr>
          <w:ilvl w:val="0"/>
          <w:numId w:val="1"/>
        </w:numPr>
        <w:spacing w:after="80"/>
      </w:pPr>
      <w:r>
        <w:t>Section 8.20 (Third Addendum): BIS Blocking Protocol</w:t>
      </w:r>
    </w:p>
    <w:p w14:paraId="2A736808" w14:textId="77777777" w:rsidR="00A306EF" w:rsidRDefault="00000000">
      <w:pPr>
        <w:numPr>
          <w:ilvl w:val="0"/>
          <w:numId w:val="1"/>
        </w:numPr>
        <w:spacing w:after="80"/>
      </w:pPr>
      <w:r>
        <w:t>Annex 1A.1 (Fifth Addendum): National Security Claim Review</w:t>
      </w:r>
    </w:p>
    <w:p w14:paraId="286AC011" w14:textId="77777777" w:rsidR="00A306EF" w:rsidRDefault="00000000">
      <w:pPr>
        <w:numPr>
          <w:ilvl w:val="0"/>
          <w:numId w:val="1"/>
        </w:numPr>
        <w:spacing w:after="80"/>
      </w:pPr>
      <w:r>
        <w:t>Section 2.2 (Sixth Addendum): Category 9, National Security Definition Expansion</w:t>
      </w:r>
    </w:p>
    <w:p w14:paraId="225718C1" w14:textId="77777777" w:rsidR="00A306EF" w:rsidRDefault="00000000">
      <w:pPr>
        <w:numPr>
          <w:ilvl w:val="0"/>
          <w:numId w:val="1"/>
        </w:numPr>
        <w:spacing w:after="80"/>
      </w:pPr>
      <w:r>
        <w:t>Section 2.1I: Procurement Coercion Doctrine</w:t>
      </w:r>
    </w:p>
    <w:p w14:paraId="025D7005" w14:textId="77777777" w:rsidR="00A306EF" w:rsidRDefault="00000000">
      <w:pPr>
        <w:numPr>
          <w:ilvl w:val="0"/>
          <w:numId w:val="1"/>
        </w:numPr>
        <w:spacing w:after="80"/>
      </w:pPr>
      <w:r>
        <w:t>Section 2.1 (Thirteenth Addendum): Local Content Monitoring</w:t>
      </w:r>
    </w:p>
    <w:p w14:paraId="559F235E" w14:textId="77777777" w:rsidR="00A306EF" w:rsidRDefault="00000000">
      <w:pPr>
        <w:numPr>
          <w:ilvl w:val="0"/>
          <w:numId w:val="1"/>
        </w:numPr>
        <w:spacing w:after="80"/>
      </w:pPr>
      <w:r>
        <w:t>Section 5.6 (Second Addendum): Retaliation for Stabilization Measures</w:t>
      </w:r>
    </w:p>
    <w:p w14:paraId="551CA5CA" w14:textId="77777777" w:rsidR="00A306EF" w:rsidRDefault="00000000">
      <w:pPr>
        <w:spacing w:after="80"/>
      </w:pPr>
      <w:r>
        <w:t>Part III: Pre-Formation and Accession Countermeasures (20 amendments):</w:t>
      </w:r>
    </w:p>
    <w:p w14:paraId="471122A7" w14:textId="77777777" w:rsidR="00A306EF" w:rsidRDefault="00000000">
      <w:pPr>
        <w:numPr>
          <w:ilvl w:val="0"/>
          <w:numId w:val="1"/>
        </w:numPr>
        <w:spacing w:after="80"/>
      </w:pPr>
      <w:r>
        <w:t>Article I (Addendum): Security Alliance Firewall Declaration</w:t>
      </w:r>
    </w:p>
    <w:p w14:paraId="776B4C90" w14:textId="77777777" w:rsidR="00A306EF" w:rsidRDefault="00000000">
      <w:pPr>
        <w:numPr>
          <w:ilvl w:val="0"/>
          <w:numId w:val="1"/>
        </w:numPr>
        <w:spacing w:after="80"/>
      </w:pPr>
      <w:r>
        <w:t>Section 1.1A (Addendum): Bilateral Deal Compatibility</w:t>
      </w:r>
    </w:p>
    <w:p w14:paraId="6A651FBB" w14:textId="77777777" w:rsidR="00A306EF" w:rsidRDefault="00000000">
      <w:pPr>
        <w:numPr>
          <w:ilvl w:val="0"/>
          <w:numId w:val="1"/>
        </w:numPr>
        <w:spacing w:after="80"/>
      </w:pPr>
      <w:r>
        <w:t>Section 9.6A (Addendum): No Exclusivity Guarantee</w:t>
      </w:r>
    </w:p>
    <w:p w14:paraId="447F26AB" w14:textId="77777777" w:rsidR="00A306EF" w:rsidRDefault="00000000">
      <w:pPr>
        <w:numPr>
          <w:ilvl w:val="0"/>
          <w:numId w:val="1"/>
        </w:numPr>
        <w:spacing w:after="80"/>
      </w:pPr>
      <w:r>
        <w:t>Annex 1A (Addendum): Pre-Emptive WTO Notice</w:t>
      </w:r>
    </w:p>
    <w:p w14:paraId="5CFB50E0" w14:textId="77777777" w:rsidR="00A306EF" w:rsidRDefault="00000000">
      <w:pPr>
        <w:numPr>
          <w:ilvl w:val="0"/>
          <w:numId w:val="1"/>
        </w:numPr>
        <w:spacing w:after="80"/>
      </w:pPr>
      <w:r>
        <w:t>Article III (Addendum): Anti-Sanctions Protection</w:t>
      </w:r>
    </w:p>
    <w:p w14:paraId="305A8AA7" w14:textId="77777777" w:rsidR="00A306EF" w:rsidRDefault="00000000">
      <w:pPr>
        <w:numPr>
          <w:ilvl w:val="0"/>
          <w:numId w:val="1"/>
        </w:numPr>
        <w:spacing w:after="80"/>
      </w:pPr>
      <w:r>
        <w:t>Section 8.1A (Addendum): Pre-Formation Tariff Shield</w:t>
      </w:r>
    </w:p>
    <w:p w14:paraId="1C85E403" w14:textId="77777777" w:rsidR="00A306EF" w:rsidRDefault="00000000">
      <w:pPr>
        <w:numPr>
          <w:ilvl w:val="0"/>
          <w:numId w:val="1"/>
        </w:numPr>
        <w:spacing w:after="80"/>
      </w:pPr>
      <w:r>
        <w:t>Section 3.1A (Addendum): Transitional Access Window</w:t>
      </w:r>
    </w:p>
    <w:p w14:paraId="57891B88" w14:textId="77777777" w:rsidR="00A306EF" w:rsidRDefault="00000000">
      <w:pPr>
        <w:numPr>
          <w:ilvl w:val="0"/>
          <w:numId w:val="1"/>
        </w:numPr>
        <w:spacing w:after="80"/>
      </w:pPr>
      <w:r>
        <w:t>Section 5.0A (Third Addendum): Pre-Formation Attack Standing Authority</w:t>
      </w:r>
    </w:p>
    <w:p w14:paraId="41F22572" w14:textId="77777777" w:rsidR="00A306EF" w:rsidRDefault="00000000">
      <w:pPr>
        <w:numPr>
          <w:ilvl w:val="0"/>
          <w:numId w:val="1"/>
        </w:numPr>
        <w:spacing w:after="80"/>
      </w:pPr>
      <w:r>
        <w:lastRenderedPageBreak/>
        <w:t>Annex 1 (Third Addendum): Trade-Partner Compatibility Certification</w:t>
      </w:r>
    </w:p>
    <w:p w14:paraId="0193559E" w14:textId="77777777" w:rsidR="00A306EF" w:rsidRDefault="00000000">
      <w:pPr>
        <w:numPr>
          <w:ilvl w:val="0"/>
          <w:numId w:val="1"/>
        </w:numPr>
        <w:spacing w:after="80"/>
      </w:pPr>
      <w:r>
        <w:t>Section 8.16 (Addendum): Investor Confidence Guarantee</w:t>
      </w:r>
    </w:p>
    <w:p w14:paraId="0C4841A7" w14:textId="77777777" w:rsidR="00A306EF" w:rsidRDefault="00000000">
      <w:pPr>
        <w:numPr>
          <w:ilvl w:val="0"/>
          <w:numId w:val="1"/>
        </w:numPr>
        <w:spacing w:after="80"/>
      </w:pPr>
      <w:r>
        <w:t>Annex 16 (Second Addendum): Narrative Defense Fund</w:t>
      </w:r>
    </w:p>
    <w:p w14:paraId="4B0B6070" w14:textId="77777777" w:rsidR="00A306EF" w:rsidRDefault="00000000">
      <w:pPr>
        <w:numPr>
          <w:ilvl w:val="0"/>
          <w:numId w:val="1"/>
        </w:numPr>
        <w:spacing w:after="80"/>
      </w:pPr>
      <w:r>
        <w:t>Annex 16 (Third Addendum): Civil Society Partnership Council</w:t>
      </w:r>
    </w:p>
    <w:p w14:paraId="0E7F7395" w14:textId="77777777" w:rsidR="00A306EF" w:rsidRDefault="00000000">
      <w:pPr>
        <w:numPr>
          <w:ilvl w:val="0"/>
          <w:numId w:val="1"/>
        </w:numPr>
        <w:spacing w:after="80"/>
      </w:pPr>
      <w:r>
        <w:t>Article IV (Addendum): Leader Protection Protocol</w:t>
      </w:r>
    </w:p>
    <w:p w14:paraId="4A81D07A" w14:textId="77777777" w:rsidR="00A306EF" w:rsidRDefault="00000000">
      <w:pPr>
        <w:numPr>
          <w:ilvl w:val="0"/>
          <w:numId w:val="1"/>
        </w:numPr>
        <w:spacing w:after="80"/>
      </w:pPr>
      <w:r>
        <w:t>Annex 16C (Addendum): Stakeholder Outreach Mandate</w:t>
      </w:r>
    </w:p>
    <w:p w14:paraId="7127BEBF" w14:textId="77777777" w:rsidR="00A306EF" w:rsidRDefault="00000000">
      <w:pPr>
        <w:numPr>
          <w:ilvl w:val="0"/>
          <w:numId w:val="1"/>
        </w:numPr>
        <w:spacing w:after="80"/>
      </w:pPr>
      <w:r>
        <w:t>Section 4.2A (Second Addendum): Transparency Dashboard Early Activation</w:t>
      </w:r>
    </w:p>
    <w:p w14:paraId="1CCD8AD8" w14:textId="77777777" w:rsidR="00A306EF" w:rsidRDefault="00000000">
      <w:pPr>
        <w:numPr>
          <w:ilvl w:val="0"/>
          <w:numId w:val="1"/>
        </w:numPr>
        <w:spacing w:after="80"/>
      </w:pPr>
      <w:r>
        <w:t>Section 5.2 (Addendum): Anti-Reprisal Protocol</w:t>
      </w:r>
    </w:p>
    <w:p w14:paraId="145431D9" w14:textId="77777777" w:rsidR="00A306EF" w:rsidRDefault="00000000">
      <w:pPr>
        <w:numPr>
          <w:ilvl w:val="0"/>
          <w:numId w:val="1"/>
        </w:numPr>
        <w:spacing w:after="80"/>
      </w:pPr>
      <w:r>
        <w:t>Section 3.7 (Addendum): Retroactive Protection Clause</w:t>
      </w:r>
    </w:p>
    <w:p w14:paraId="7D092034" w14:textId="77777777" w:rsidR="00A306EF" w:rsidRDefault="00000000">
      <w:pPr>
        <w:numPr>
          <w:ilvl w:val="0"/>
          <w:numId w:val="1"/>
        </w:numPr>
        <w:spacing w:after="80"/>
      </w:pPr>
      <w:r>
        <w:t>Section 3.15 (Addendum): Prospective Member Shield</w:t>
      </w:r>
    </w:p>
    <w:p w14:paraId="62256AF1" w14:textId="77777777" w:rsidR="00A306EF" w:rsidRDefault="00000000">
      <w:pPr>
        <w:numPr>
          <w:ilvl w:val="0"/>
          <w:numId w:val="1"/>
        </w:numPr>
        <w:spacing w:after="80"/>
      </w:pPr>
      <w:r>
        <w:t>Section 3.2C (Addendum): Observer Status Guarantee</w:t>
      </w:r>
    </w:p>
    <w:p w14:paraId="508489B9" w14:textId="77777777" w:rsidR="00A306EF" w:rsidRDefault="00000000">
      <w:pPr>
        <w:numPr>
          <w:ilvl w:val="0"/>
          <w:numId w:val="1"/>
        </w:numPr>
        <w:spacing w:after="80"/>
      </w:pPr>
      <w:r>
        <w:t>Section 10A.2B (Addendum): Collective Solidarity Endorsement</w:t>
      </w:r>
    </w:p>
    <w:p w14:paraId="07A466D0" w14:textId="77777777" w:rsidR="00A306EF" w:rsidRDefault="00000000">
      <w:pPr>
        <w:spacing w:after="80"/>
      </w:pPr>
      <w:r>
        <w:t>Part IV: Human-on-the-Loop Oversight Architecture:</w:t>
      </w:r>
    </w:p>
    <w:p w14:paraId="4908DC8E" w14:textId="77777777" w:rsidR="00A306EF" w:rsidRDefault="00000000">
      <w:pPr>
        <w:numPr>
          <w:ilvl w:val="0"/>
          <w:numId w:val="1"/>
        </w:numPr>
        <w:spacing w:after="80"/>
      </w:pPr>
      <w:r>
        <w:t>Section 4.5A: Autonomous Execution Default (Human-on-the-Loop)</w:t>
      </w:r>
    </w:p>
    <w:p w14:paraId="740206C1" w14:textId="77777777" w:rsidR="00A306EF" w:rsidRDefault="00000000">
      <w:pPr>
        <w:numPr>
          <w:ilvl w:val="0"/>
          <w:numId w:val="1"/>
        </w:numPr>
        <w:spacing w:after="80"/>
      </w:pPr>
      <w:r>
        <w:t>Section 4.5B: Supermajority Emergency Abort (Negative Veto)</w:t>
      </w:r>
    </w:p>
    <w:p w14:paraId="0CCA0BC8" w14:textId="77777777" w:rsidR="00A306EF" w:rsidRDefault="00000000">
      <w:pPr>
        <w:numPr>
          <w:ilvl w:val="0"/>
          <w:numId w:val="1"/>
        </w:numPr>
        <w:spacing w:after="80"/>
      </w:pPr>
      <w:r>
        <w:t>Section 8.18C: Evidentiary Data-Auditing Safeguard</w:t>
      </w:r>
    </w:p>
    <w:p w14:paraId="3E32C043" w14:textId="77777777" w:rsidR="00A306EF" w:rsidRDefault="00000000">
      <w:pPr>
        <w:spacing w:after="80"/>
      </w:pPr>
      <w:r>
        <w:t>Part V: Continuous Effect:</w:t>
      </w:r>
    </w:p>
    <w:p w14:paraId="3C06A48E" w14:textId="77777777" w:rsidR="00A306EF" w:rsidRDefault="00000000">
      <w:pPr>
        <w:numPr>
          <w:ilvl w:val="0"/>
          <w:numId w:val="1"/>
        </w:numPr>
        <w:spacing w:after="80"/>
      </w:pPr>
      <w:r>
        <w:t>Annex 25: The Nofade Rule, Protocol for Continuous Effect</w:t>
      </w:r>
    </w:p>
    <w:p w14:paraId="65E3A9BC" w14:textId="77777777" w:rsidR="00A306EF" w:rsidRDefault="00000000">
      <w:pPr>
        <w:numPr>
          <w:ilvl w:val="0"/>
          <w:numId w:val="1"/>
        </w:numPr>
        <w:spacing w:after="140"/>
      </w:pPr>
      <w:r>
        <w:t>Abolition of sunset clauses across the Instrument: every time-based expiry converts to a rolling review horizon with renewal by silence, default continuity, and written-instrument modification, including Sections 3.7, 3.7A, 3.8E, 5.4A, and 5.12</w:t>
      </w:r>
    </w:p>
    <w:p w14:paraId="69F37C71" w14:textId="77777777" w:rsidR="00A306EF" w:rsidRDefault="00000000">
      <w:pPr>
        <w:spacing w:after="80"/>
      </w:pPr>
      <w:r>
        <w:t>Part VI: Terminology Reform:</w:t>
      </w:r>
    </w:p>
    <w:p w14:paraId="3CF9F183" w14:textId="77777777" w:rsidR="00A306EF" w:rsidRDefault="00000000">
      <w:pPr>
        <w:numPr>
          <w:ilvl w:val="0"/>
          <w:numId w:val="1"/>
        </w:numPr>
        <w:spacing w:after="80"/>
      </w:pPr>
      <w:r>
        <w:t>The term stabilization measures replaces countermeasures throughout the Instrument, aligning the framework with GATT Article XX and XXI defensive framing</w:t>
      </w:r>
    </w:p>
    <w:p w14:paraId="5BB30F19" w14:textId="77777777" w:rsidR="00A306EF" w:rsidRDefault="00000000">
      <w:pPr>
        <w:spacing w:after="80"/>
      </w:pPr>
      <w:r>
        <w:t>WTO Compatibility Review Notes (modifications applied during drafting):</w:t>
      </w:r>
    </w:p>
    <w:p w14:paraId="7F570A1F" w14:textId="77777777" w:rsidR="00A306EF" w:rsidRDefault="00000000">
      <w:pPr>
        <w:numPr>
          <w:ilvl w:val="0"/>
          <w:numId w:val="1"/>
        </w:numPr>
        <w:spacing w:after="140"/>
      </w:pPr>
      <w:r>
        <w:t>WTO Consultation Harmonization: the 14-day WTO consultation window (Section 5.0K) and the rapid-activation fixes reconcile into a two-track system: a standard track (48-hour notification, 14-day consultation) and a compressed track for Red-Line, emergency, and pre-formation events (48-hour notification, 72-hour expedited consultation); non-trade-restrictive protective measures execute immediately in all tracks</w:t>
      </w:r>
    </w:p>
    <w:p w14:paraId="492C3183" w14:textId="77777777" w:rsidR="00A306EF" w:rsidRDefault="00000000">
      <w:pPr>
        <w:numPr>
          <w:ilvl w:val="0"/>
          <w:numId w:val="1"/>
        </w:numPr>
        <w:spacing w:after="140"/>
      </w:pPr>
      <w:r>
        <w:t>Fix #17 (IEEPA): redrafted as an internal presumption of coercion under IMESI doctrine rather than non-recognition of a domestic statute; the United Nations Security Council condition drops as legally inapposite to tariff measures</w:t>
      </w:r>
    </w:p>
    <w:p w14:paraId="3F7437F2" w14:textId="77777777" w:rsidR="00A306EF" w:rsidRDefault="00000000">
      <w:pPr>
        <w:numPr>
          <w:ilvl w:val="0"/>
          <w:numId w:val="1"/>
        </w:numPr>
        <w:spacing w:after="140"/>
      </w:pPr>
      <w:r>
        <w:lastRenderedPageBreak/>
        <w:t>Fix #27 (Duration Limit): converted from an asserted sunset over the coercing state’s domestic tariffs, which exceeds IMESI jurisdiction, into a 90-day rolling horizon for IMESI’s own fast-track response authority under the Nofade Protocol</w:t>
      </w:r>
    </w:p>
    <w:p w14:paraId="68931215" w14:textId="77777777" w:rsidR="00A306EF" w:rsidRDefault="00000000">
      <w:pPr>
        <w:numPr>
          <w:ilvl w:val="0"/>
          <w:numId w:val="1"/>
        </w:numPr>
        <w:spacing w:after="80"/>
      </w:pPr>
      <w:r>
        <w:t>Fix #35 (Retroactive Penalty): converted from an assessed claim payable by the coercer into a 25% retroactive surcharge implemented through tariff-equivalent measures credited to the Fund</w:t>
      </w:r>
    </w:p>
    <w:p w14:paraId="6D29A14B" w14:textId="77777777" w:rsidR="00A306EF" w:rsidRDefault="00000000">
      <w:pPr>
        <w:numPr>
          <w:ilvl w:val="0"/>
          <w:numId w:val="1"/>
        </w:numPr>
        <w:spacing w:after="80"/>
      </w:pPr>
      <w:r>
        <w:t>Fix #39 (Regional Agreement): redrafted to route obligation conflicts through the WTO Deference Clause (Section 9.1A); this Instrument asserts no automatic supremacy over a Member’s regional treaty commitments</w:t>
      </w:r>
    </w:p>
    <w:p w14:paraId="711DA923" w14:textId="77777777" w:rsidR="00A306EF" w:rsidRDefault="00000000">
      <w:pPr>
        <w:numPr>
          <w:ilvl w:val="0"/>
          <w:numId w:val="1"/>
        </w:numPr>
        <w:spacing w:after="80"/>
      </w:pPr>
      <w:r>
        <w:t>Fix #40 (Domestic Court Shield): a documented-evidence qualifier added to meet due-process standards</w:t>
      </w:r>
    </w:p>
    <w:p w14:paraId="19EE9D53" w14:textId="77777777" w:rsidR="00A306EF" w:rsidRDefault="00000000">
      <w:pPr>
        <w:numPr>
          <w:ilvl w:val="0"/>
          <w:numId w:val="1"/>
        </w:numPr>
        <w:spacing w:after="80"/>
      </w:pPr>
      <w:r>
        <w:t>Fix #57 (Derivative Pressure): automatic Phase 1 activation without a Committee vote converts to activation under the compressed consultation track upon 48-hour IEWC certification</w:t>
      </w:r>
    </w:p>
    <w:p w14:paraId="72164B7F" w14:textId="77777777" w:rsidR="00A306EF" w:rsidRDefault="00000000">
      <w:pPr>
        <w:numPr>
          <w:ilvl w:val="0"/>
          <w:numId w:val="1"/>
        </w:numPr>
        <w:spacing w:after="140"/>
      </w:pPr>
      <w:r>
        <w:t>Fix #61 (Transshipment): adopted with measures attaching to transshipped goods on an origin basis; consequences for facilitating states limited to internal status (Observer+), with no trade measures against third countries’ own goods</w:t>
      </w:r>
    </w:p>
    <w:p w14:paraId="5C5B38E0" w14:textId="77777777" w:rsidR="00A306EF" w:rsidRDefault="00000000">
      <w:pPr>
        <w:numPr>
          <w:ilvl w:val="0"/>
          <w:numId w:val="1"/>
        </w:numPr>
        <w:spacing w:after="80"/>
      </w:pPr>
      <w:r>
        <w:t>Fix #62 (Origin Fraud): the unverifiable-origin presumption gains an importer rebuttal channel for due process</w:t>
      </w:r>
    </w:p>
    <w:p w14:paraId="32A1DF63" w14:textId="77777777" w:rsidR="00A306EF" w:rsidRDefault="00000000">
      <w:pPr>
        <w:numPr>
          <w:ilvl w:val="0"/>
          <w:numId w:val="1"/>
        </w:numPr>
        <w:spacing w:after="80"/>
      </w:pPr>
      <w:r>
        <w:t>Fix #64 (Platform Coercion): procurement exclusion responses carry an explicit WTO Government Procurement Agreement consistency qualifier</w:t>
      </w:r>
    </w:p>
    <w:p w14:paraId="0703B608" w14:textId="77777777" w:rsidR="00A306EF" w:rsidRDefault="00000000">
      <w:pPr>
        <w:numPr>
          <w:ilvl w:val="0"/>
          <w:numId w:val="1"/>
        </w:numPr>
        <w:spacing w:after="80"/>
      </w:pPr>
      <w:r>
        <w:t>Countermeasure #8 (Standing Authority): the no-waiting-period design converts to the compressed consultation track to preserve WTO procedural posture</w:t>
      </w:r>
    </w:p>
    <w:p w14:paraId="346AF4F3" w14:textId="77777777" w:rsidR="00A306EF" w:rsidRDefault="00000000">
      <w:pPr>
        <w:numPr>
          <w:ilvl w:val="0"/>
          <w:numId w:val="1"/>
        </w:numPr>
        <w:spacing w:after="80"/>
      </w:pPr>
      <w:r>
        <w:t>Countermeasure #9: the single-state compatibility certification generalizes into a Trade-Partner Compatibility Certification covering all major trading partners, consistent with the Non-Targeting Clarification</w:t>
      </w:r>
    </w:p>
    <w:p w14:paraId="0643CFEB" w14:textId="77777777" w:rsidR="00A306EF" w:rsidRDefault="00000000">
      <w:pPr>
        <w:numPr>
          <w:ilvl w:val="0"/>
          <w:numId w:val="1"/>
        </w:numPr>
        <w:spacing w:after="80"/>
      </w:pPr>
      <w:r>
        <w:t>Countermeasure #16 (Anti-Reprisal): Phase 2 invocation within 48 hours converts to a Committee vote within 48 hours with execution under the compressed consultation track</w:t>
      </w:r>
    </w:p>
    <w:p w14:paraId="728C2257" w14:textId="77777777" w:rsidR="00A306EF" w:rsidRDefault="00000000">
      <w:pPr>
        <w:numPr>
          <w:ilvl w:val="0"/>
          <w:numId w:val="1"/>
        </w:numPr>
        <w:spacing w:after="80"/>
      </w:pPr>
      <w:r>
        <w:t>Numbering reconciliations: Red-Line Categories 6-9 follow v11.0 Category 5; the Midnight Tariff Protocol numbers as Section 5.0M to avoid collision with Section 5.0K</w:t>
      </w:r>
    </w:p>
    <w:p w14:paraId="050E57C0" w14:textId="77777777" w:rsidR="00A306EF" w:rsidRDefault="00000000">
      <w:pPr>
        <w:pStyle w:val="Heading1"/>
        <w:pageBreakBefore/>
        <w:spacing w:after="100"/>
      </w:pPr>
      <w:bookmarkStart w:id="7" w:name="_Toc237918129"/>
      <w:r>
        <w:lastRenderedPageBreak/>
        <w:t>v11.0 ADDITIONS SUMMARY</w:t>
      </w:r>
      <w:bookmarkStart w:id="8" w:name="_Toc000003"/>
      <w:bookmarkEnd w:id="7"/>
      <w:bookmarkEnd w:id="8"/>
    </w:p>
    <w:p w14:paraId="124902D8" w14:textId="77777777" w:rsidR="00A306EF" w:rsidRDefault="00000000">
      <w:pPr>
        <w:spacing w:after="140"/>
      </w:pPr>
      <w:r>
        <w:t>This version integrates 40 hardening amendments across 10 categories into the IMESI v10.0 base document, and redrafts the full text under the Immutable Present-Tense Matrix: active present-tense drafting, automatic logic triggers, sovereign operational framing, and mutual architecture framing throughout.</w:t>
      </w:r>
    </w:p>
    <w:p w14:paraId="15FEE4C0" w14:textId="77777777" w:rsidR="00A306EF" w:rsidRDefault="00000000">
      <w:pPr>
        <w:spacing w:after="80"/>
      </w:pPr>
      <w:r>
        <w:t>Category 1: Closing the Universal Tariff Loophole (non-discriminatory, MFN-based tariffs):</w:t>
      </w:r>
    </w:p>
    <w:p w14:paraId="6E9A49C7" w14:textId="77777777" w:rsidR="00A306EF" w:rsidRDefault="00000000">
      <w:pPr>
        <w:numPr>
          <w:ilvl w:val="0"/>
          <w:numId w:val="1"/>
        </w:numPr>
        <w:spacing w:after="80"/>
      </w:pPr>
      <w:r>
        <w:t>Section 1.4D (Addendum): Elimination of the MFN Consistency Safe Harbor</w:t>
      </w:r>
    </w:p>
    <w:p w14:paraId="300D41B1" w14:textId="77777777" w:rsidR="00A306EF" w:rsidRDefault="00000000">
      <w:pPr>
        <w:numPr>
          <w:ilvl w:val="0"/>
          <w:numId w:val="1"/>
        </w:numPr>
        <w:spacing w:after="80"/>
      </w:pPr>
      <w:r>
        <w:t>Section 1.4 (Addendum): Reduced GSD Tariff Threshold for Emergency Declarations</w:t>
      </w:r>
    </w:p>
    <w:p w14:paraId="079DFA72" w14:textId="77777777" w:rsidR="00A306EF" w:rsidRDefault="00000000">
      <w:pPr>
        <w:numPr>
          <w:ilvl w:val="0"/>
          <w:numId w:val="1"/>
        </w:numPr>
        <w:spacing w:after="80"/>
      </w:pPr>
      <w:r>
        <w:t>Section 1.4E: Constructive Systemic Disruption (Baseline Shift Doctrine)</w:t>
      </w:r>
    </w:p>
    <w:p w14:paraId="529DA468" w14:textId="77777777" w:rsidR="00A306EF" w:rsidRDefault="00000000">
      <w:pPr>
        <w:numPr>
          <w:ilvl w:val="0"/>
          <w:numId w:val="1"/>
        </w:numPr>
        <w:spacing w:after="80"/>
      </w:pPr>
      <w:r>
        <w:t>Section 5.3D (Addendum): No Re-Imposition of Pre-Coercion Baseline</w:t>
      </w:r>
    </w:p>
    <w:p w14:paraId="04B8FE14" w14:textId="77777777" w:rsidR="00A306EF" w:rsidRDefault="00000000">
      <w:pPr>
        <w:spacing w:after="80"/>
      </w:pPr>
      <w:r>
        <w:t>Category 2: Neutralizing Emergency and National Security Justifications:</w:t>
      </w:r>
    </w:p>
    <w:p w14:paraId="47F80601" w14:textId="77777777" w:rsidR="00A306EF" w:rsidRDefault="00000000">
      <w:pPr>
        <w:numPr>
          <w:ilvl w:val="0"/>
          <w:numId w:val="1"/>
        </w:numPr>
        <w:spacing w:after="80"/>
      </w:pPr>
      <w:r>
        <w:t>Annex 1A.1 (Addendum): Pre-Emptive Defense against Section 232 Invocations</w:t>
      </w:r>
    </w:p>
    <w:p w14:paraId="110B2BCF" w14:textId="77777777" w:rsidR="00A306EF" w:rsidRDefault="00000000">
      <w:pPr>
        <w:numPr>
          <w:ilvl w:val="0"/>
          <w:numId w:val="1"/>
        </w:numPr>
        <w:spacing w:after="80"/>
      </w:pPr>
      <w:r>
        <w:t>Section 2.15 (Addendum): Sham Investigation Protocol</w:t>
      </w:r>
    </w:p>
    <w:p w14:paraId="749C56B3" w14:textId="77777777" w:rsidR="00A306EF" w:rsidRDefault="00000000">
      <w:pPr>
        <w:numPr>
          <w:ilvl w:val="0"/>
          <w:numId w:val="1"/>
        </w:numPr>
        <w:spacing w:after="80"/>
      </w:pPr>
      <w:r>
        <w:t>Section 5.12: Rolling Review of Emergency Powers</w:t>
      </w:r>
    </w:p>
    <w:p w14:paraId="2CB6FB34" w14:textId="77777777" w:rsidR="00A306EF" w:rsidRDefault="00000000">
      <w:pPr>
        <w:numPr>
          <w:ilvl w:val="0"/>
          <w:numId w:val="1"/>
        </w:numPr>
        <w:spacing w:after="80"/>
      </w:pPr>
      <w:r>
        <w:t>Section 2.1 (Addendum): Extra-Jurisdictional Coercion Nexus Clause</w:t>
      </w:r>
    </w:p>
    <w:p w14:paraId="02CFBC35" w14:textId="77777777" w:rsidR="00A306EF" w:rsidRDefault="00000000">
      <w:pPr>
        <w:spacing w:after="80"/>
      </w:pPr>
      <w:r>
        <w:t>Category 3: Hardening Against Divide and Conquer (bilateral exemptions):</w:t>
      </w:r>
    </w:p>
    <w:p w14:paraId="7673E736" w14:textId="77777777" w:rsidR="00A306EF" w:rsidRDefault="00000000">
      <w:pPr>
        <w:numPr>
          <w:ilvl w:val="0"/>
          <w:numId w:val="1"/>
        </w:numPr>
        <w:spacing w:after="80"/>
      </w:pPr>
      <w:r>
        <w:t>Section 6.3 (Addendum): Automatic ACE Trigger for Quota Exemptions</w:t>
      </w:r>
    </w:p>
    <w:p w14:paraId="5779F808" w14:textId="77777777" w:rsidR="00A306EF" w:rsidRDefault="00000000">
      <w:pPr>
        <w:numPr>
          <w:ilvl w:val="0"/>
          <w:numId w:val="1"/>
        </w:numPr>
        <w:spacing w:after="80"/>
      </w:pPr>
      <w:r>
        <w:t>Section 8.4C (Addendum): Most-Favoured-Nation Aggregator</w:t>
      </w:r>
    </w:p>
    <w:p w14:paraId="7D2D2D95" w14:textId="77777777" w:rsidR="00A306EF" w:rsidRDefault="00000000">
      <w:pPr>
        <w:numPr>
          <w:ilvl w:val="0"/>
          <w:numId w:val="1"/>
        </w:numPr>
        <w:spacing w:after="80"/>
      </w:pPr>
      <w:r>
        <w:t>Section 3.5 (Addendum): The Flexibility Trap</w:t>
      </w:r>
    </w:p>
    <w:p w14:paraId="493AB5CC" w14:textId="77777777" w:rsidR="00A306EF" w:rsidRDefault="00000000">
      <w:pPr>
        <w:numPr>
          <w:ilvl w:val="0"/>
          <w:numId w:val="1"/>
        </w:numPr>
        <w:spacing w:after="80"/>
      </w:pPr>
      <w:r>
        <w:t>Section 6.4 (Addendum): Transparency of Relief Petitions</w:t>
      </w:r>
    </w:p>
    <w:p w14:paraId="6C5D38EF" w14:textId="77777777" w:rsidR="00A306EF" w:rsidRDefault="00000000">
      <w:pPr>
        <w:spacing w:after="80"/>
      </w:pPr>
      <w:r>
        <w:t>Category 4: Countering Weaponized Unpredictability:</w:t>
      </w:r>
    </w:p>
    <w:p w14:paraId="4F5E2342" w14:textId="77777777" w:rsidR="00A306EF" w:rsidRDefault="00000000">
      <w:pPr>
        <w:numPr>
          <w:ilvl w:val="0"/>
          <w:numId w:val="1"/>
        </w:numPr>
        <w:spacing w:after="80"/>
      </w:pPr>
      <w:r>
        <w:t>Section 2.1 (Second Addendum): Credible Threat as Actionable Coercion</w:t>
      </w:r>
    </w:p>
    <w:p w14:paraId="697B6D52" w14:textId="77777777" w:rsidR="00A306EF" w:rsidRDefault="00000000">
      <w:pPr>
        <w:numPr>
          <w:ilvl w:val="0"/>
          <w:numId w:val="1"/>
        </w:numPr>
        <w:spacing w:after="80"/>
      </w:pPr>
      <w:r>
        <w:t>Section 8.14A (Addendum): Tariff Policy Volatility Metric</w:t>
      </w:r>
    </w:p>
    <w:p w14:paraId="3F1DD488" w14:textId="77777777" w:rsidR="00A306EF" w:rsidRDefault="00000000">
      <w:pPr>
        <w:numPr>
          <w:ilvl w:val="0"/>
          <w:numId w:val="1"/>
        </w:numPr>
        <w:spacing w:after="80"/>
      </w:pPr>
      <w:r>
        <w:t>Section 8.18 (Addendum): Phase 0+ Anticipatory Liquidity for Market Jitters</w:t>
      </w:r>
    </w:p>
    <w:p w14:paraId="766F34E7" w14:textId="77777777" w:rsidR="00A306EF" w:rsidRDefault="00000000">
      <w:pPr>
        <w:numPr>
          <w:ilvl w:val="0"/>
          <w:numId w:val="1"/>
        </w:numPr>
        <w:spacing w:after="80"/>
      </w:pPr>
      <w:r>
        <w:t>Section 5.6 (Addendum): Retaliation for Retaliation Protocol</w:t>
      </w:r>
    </w:p>
    <w:p w14:paraId="234D7768" w14:textId="77777777" w:rsidR="00A306EF" w:rsidRDefault="00000000">
      <w:pPr>
        <w:spacing w:after="80"/>
      </w:pPr>
      <w:r>
        <w:t>Category 5: Sector-Specific Hardening (steel, aluminium, automotive, chips):</w:t>
      </w:r>
    </w:p>
    <w:p w14:paraId="6DEAA36D" w14:textId="77777777" w:rsidR="00A306EF" w:rsidRDefault="00000000">
      <w:pPr>
        <w:numPr>
          <w:ilvl w:val="0"/>
          <w:numId w:val="1"/>
        </w:numPr>
        <w:spacing w:after="80"/>
      </w:pPr>
      <w:r>
        <w:t>Section 2.2 (Addendum): Category 5 Strategic Manufacturing Coercion</w:t>
      </w:r>
    </w:p>
    <w:p w14:paraId="5D8C73D9" w14:textId="77777777" w:rsidR="00A306EF" w:rsidRDefault="00000000">
      <w:pPr>
        <w:numPr>
          <w:ilvl w:val="0"/>
          <w:numId w:val="1"/>
        </w:numPr>
        <w:spacing w:after="80"/>
      </w:pPr>
      <w:r>
        <w:t>Section 8.9 (Addendum): Critical Minerals Fast-Track</w:t>
      </w:r>
    </w:p>
    <w:p w14:paraId="7045315B" w14:textId="77777777" w:rsidR="00A306EF" w:rsidRDefault="00000000">
      <w:pPr>
        <w:numPr>
          <w:ilvl w:val="0"/>
          <w:numId w:val="1"/>
        </w:numPr>
        <w:spacing w:after="80"/>
      </w:pPr>
      <w:r>
        <w:t>Annex 10 (Addendum): Agricultural Counter-Power Protocol</w:t>
      </w:r>
    </w:p>
    <w:p w14:paraId="298374FC" w14:textId="77777777" w:rsidR="00A306EF" w:rsidRDefault="00000000">
      <w:pPr>
        <w:numPr>
          <w:ilvl w:val="0"/>
          <w:numId w:val="1"/>
        </w:numPr>
        <w:spacing w:after="80"/>
      </w:pPr>
      <w:r>
        <w:t>Section 7.1 (Addendum): Finished Goods Tariff Response</w:t>
      </w:r>
    </w:p>
    <w:p w14:paraId="332BA404" w14:textId="77777777" w:rsidR="00A306EF" w:rsidRDefault="00000000">
      <w:pPr>
        <w:spacing w:after="80"/>
      </w:pPr>
      <w:r>
        <w:t>Category 6: Handling Retreat and Return (the tactical pause):</w:t>
      </w:r>
    </w:p>
    <w:p w14:paraId="2C3FF755" w14:textId="77777777" w:rsidR="00A306EF" w:rsidRDefault="00000000">
      <w:pPr>
        <w:numPr>
          <w:ilvl w:val="0"/>
          <w:numId w:val="1"/>
        </w:numPr>
        <w:spacing w:after="80"/>
      </w:pPr>
      <w:r>
        <w:rPr>
          <w:rFonts w:cs="Calibri"/>
          <w:szCs w:val="21"/>
        </w:rPr>
        <w:t>Section 10.9 (Addendum): Reinstatement Plus Hard Coding</w:t>
      </w:r>
    </w:p>
    <w:p w14:paraId="2D005577" w14:textId="77777777" w:rsidR="00A306EF" w:rsidRDefault="00000000">
      <w:pPr>
        <w:numPr>
          <w:ilvl w:val="0"/>
          <w:numId w:val="1"/>
        </w:numPr>
        <w:spacing w:after="80"/>
      </w:pPr>
      <w:r>
        <w:rPr>
          <w:rFonts w:cs="Calibri"/>
          <w:szCs w:val="21"/>
        </w:rPr>
        <w:lastRenderedPageBreak/>
        <w:t>Section 5.3A (Addendum): No Grace Period for Serial Coercers</w:t>
      </w:r>
    </w:p>
    <w:p w14:paraId="00DB8B0E" w14:textId="77777777" w:rsidR="00A306EF" w:rsidRDefault="00000000">
      <w:pPr>
        <w:numPr>
          <w:ilvl w:val="0"/>
          <w:numId w:val="1"/>
        </w:numPr>
        <w:spacing w:after="80"/>
      </w:pPr>
      <w:r>
        <w:rPr>
          <w:rFonts w:cs="Calibri"/>
          <w:szCs w:val="21"/>
        </w:rPr>
        <w:t>Section 5.3C (Addendum): Cooling-Off Period</w:t>
      </w:r>
    </w:p>
    <w:p w14:paraId="01723CE1" w14:textId="77777777" w:rsidR="00A306EF" w:rsidRDefault="00000000">
      <w:pPr>
        <w:numPr>
          <w:ilvl w:val="0"/>
          <w:numId w:val="1"/>
        </w:numPr>
        <w:spacing w:after="80"/>
      </w:pPr>
      <w:r>
        <w:rPr>
          <w:rFonts w:cs="Calibri"/>
          <w:szCs w:val="21"/>
        </w:rPr>
        <w:t>Section 5.3C (Second Addendum): Compliance History Score</w:t>
      </w:r>
    </w:p>
    <w:p w14:paraId="16963E56" w14:textId="77777777" w:rsidR="00A306EF" w:rsidRDefault="00000000">
      <w:pPr>
        <w:spacing w:after="80"/>
      </w:pPr>
      <w:r>
        <w:rPr>
          <w:rFonts w:cs="Calibri"/>
          <w:szCs w:val="21"/>
        </w:rPr>
        <w:t>Category 7: Shoring Up Legal and Institutional Loopholes:</w:t>
      </w:r>
    </w:p>
    <w:p w14:paraId="1CE229DE" w14:textId="77777777" w:rsidR="00A306EF" w:rsidRDefault="00000000">
      <w:pPr>
        <w:numPr>
          <w:ilvl w:val="0"/>
          <w:numId w:val="1"/>
        </w:numPr>
        <w:spacing w:after="80"/>
      </w:pPr>
      <w:r>
        <w:rPr>
          <w:rFonts w:cs="Calibri"/>
          <w:szCs w:val="21"/>
        </w:rPr>
        <w:t>Section 3.8B (Addendum): Anti-Veto for Federal Objections</w:t>
      </w:r>
    </w:p>
    <w:p w14:paraId="2B6CF2D1" w14:textId="77777777" w:rsidR="00A306EF" w:rsidRDefault="00000000">
      <w:pPr>
        <w:numPr>
          <w:ilvl w:val="0"/>
          <w:numId w:val="1"/>
        </w:numPr>
        <w:spacing w:after="80"/>
      </w:pPr>
      <w:r>
        <w:rPr>
          <w:rFonts w:cs="Calibri"/>
          <w:szCs w:val="21"/>
        </w:rPr>
        <w:t>Section 2.5 (Addendum): Official Statement Attribution</w:t>
      </w:r>
    </w:p>
    <w:p w14:paraId="0DAC10DC" w14:textId="77777777" w:rsidR="00A306EF" w:rsidRDefault="00000000">
      <w:pPr>
        <w:numPr>
          <w:ilvl w:val="0"/>
          <w:numId w:val="1"/>
        </w:numPr>
        <w:spacing w:after="80"/>
      </w:pPr>
      <w:r>
        <w:rPr>
          <w:rFonts w:cs="Calibri"/>
          <w:szCs w:val="21"/>
        </w:rPr>
        <w:t>Section 5.0A (Addendum): Lame Duck Acceleration</w:t>
      </w:r>
    </w:p>
    <w:p w14:paraId="1D0F8A59" w14:textId="77777777" w:rsidR="00A306EF" w:rsidRDefault="00000000">
      <w:pPr>
        <w:numPr>
          <w:ilvl w:val="0"/>
          <w:numId w:val="1"/>
        </w:numPr>
        <w:spacing w:after="80"/>
      </w:pPr>
      <w:r>
        <w:rPr>
          <w:rFonts w:cs="Calibri"/>
          <w:szCs w:val="21"/>
        </w:rPr>
        <w:t>Section 8.19 (Addendum): Retroactive Draws</w:t>
      </w:r>
    </w:p>
    <w:p w14:paraId="783B3FEC" w14:textId="77777777" w:rsidR="00A306EF" w:rsidRDefault="00000000">
      <w:pPr>
        <w:numPr>
          <w:ilvl w:val="0"/>
          <w:numId w:val="1"/>
        </w:numPr>
        <w:spacing w:after="80"/>
      </w:pPr>
      <w:r>
        <w:rPr>
          <w:rFonts w:cs="Calibri"/>
          <w:szCs w:val="21"/>
        </w:rPr>
        <w:t>Section 9.8 (Addendum): Private Sector Sensor Protection</w:t>
      </w:r>
    </w:p>
    <w:p w14:paraId="14104326" w14:textId="77777777" w:rsidR="00A306EF" w:rsidRDefault="00000000">
      <w:pPr>
        <w:spacing w:after="80"/>
      </w:pPr>
      <w:r>
        <w:rPr>
          <w:rFonts w:cs="Calibri"/>
          <w:szCs w:val="21"/>
        </w:rPr>
        <w:t>Category 8: Financial and Payment Hardening:</w:t>
      </w:r>
    </w:p>
    <w:p w14:paraId="4EECD528" w14:textId="77777777" w:rsidR="00A306EF" w:rsidRDefault="00000000">
      <w:pPr>
        <w:numPr>
          <w:ilvl w:val="0"/>
          <w:numId w:val="1"/>
        </w:numPr>
        <w:spacing w:after="80"/>
      </w:pPr>
      <w:r>
        <w:rPr>
          <w:rFonts w:cs="Calibri"/>
          <w:szCs w:val="21"/>
        </w:rPr>
        <w:t>Section 8.10 (Addendum): Tariff Payment Surcharge</w:t>
      </w:r>
    </w:p>
    <w:p w14:paraId="6EBA3CE4" w14:textId="77777777" w:rsidR="00A306EF" w:rsidRDefault="00000000">
      <w:pPr>
        <w:numPr>
          <w:ilvl w:val="0"/>
          <w:numId w:val="1"/>
        </w:numPr>
        <w:spacing w:after="80"/>
      </w:pPr>
      <w:r>
        <w:rPr>
          <w:rFonts w:cs="Calibri"/>
          <w:szCs w:val="21"/>
        </w:rPr>
        <w:t>Section 8.20 (Addendum): Stabilization Levy</w:t>
      </w:r>
    </w:p>
    <w:p w14:paraId="79BEDD1A" w14:textId="77777777" w:rsidR="00A306EF" w:rsidRDefault="00000000">
      <w:pPr>
        <w:numPr>
          <w:ilvl w:val="0"/>
          <w:numId w:val="1"/>
        </w:numPr>
        <w:spacing w:after="80"/>
      </w:pPr>
      <w:r>
        <w:rPr>
          <w:rFonts w:cs="Calibri"/>
          <w:szCs w:val="21"/>
        </w:rPr>
        <w:t>Section 8.10D (Addendum): Treasury Coordination</w:t>
      </w:r>
    </w:p>
    <w:p w14:paraId="2A352C67" w14:textId="77777777" w:rsidR="00A306EF" w:rsidRDefault="00000000">
      <w:pPr>
        <w:spacing w:after="80"/>
      </w:pPr>
      <w:r>
        <w:rPr>
          <w:rFonts w:cs="Calibri"/>
          <w:szCs w:val="21"/>
        </w:rPr>
        <w:t>Category 9: Closing the Regulatory and Non-Tariff Backdoors:</w:t>
      </w:r>
    </w:p>
    <w:p w14:paraId="54F52BEE" w14:textId="77777777" w:rsidR="00A306EF" w:rsidRDefault="00000000">
      <w:pPr>
        <w:numPr>
          <w:ilvl w:val="0"/>
          <w:numId w:val="1"/>
        </w:numPr>
        <w:spacing w:after="80"/>
      </w:pPr>
      <w:r>
        <w:rPr>
          <w:rFonts w:cs="Calibri"/>
          <w:szCs w:val="21"/>
        </w:rPr>
        <w:t>Section 2.10 (Addendum): Administrative Harassment Index</w:t>
      </w:r>
    </w:p>
    <w:p w14:paraId="5CA3325C" w14:textId="77777777" w:rsidR="00A306EF" w:rsidRDefault="00000000">
      <w:pPr>
        <w:numPr>
          <w:ilvl w:val="0"/>
          <w:numId w:val="1"/>
        </w:numPr>
        <w:spacing w:after="80"/>
      </w:pPr>
      <w:r>
        <w:rPr>
          <w:rFonts w:cs="Calibri"/>
          <w:szCs w:val="21"/>
        </w:rPr>
        <w:t>Annex 11 (Addendum): Export Control Symmetry</w:t>
      </w:r>
    </w:p>
    <w:p w14:paraId="7BCFD8A6" w14:textId="77777777" w:rsidR="00A306EF" w:rsidRDefault="00000000">
      <w:pPr>
        <w:numPr>
          <w:ilvl w:val="0"/>
          <w:numId w:val="1"/>
        </w:numPr>
        <w:spacing w:after="80"/>
      </w:pPr>
      <w:r>
        <w:rPr>
          <w:rFonts w:cs="Calibri"/>
          <w:szCs w:val="21"/>
        </w:rPr>
        <w:t>Section 10.7 (Addendum): De Minimis Exploit Closure</w:t>
      </w:r>
    </w:p>
    <w:p w14:paraId="6FB7415A" w14:textId="77777777" w:rsidR="00A306EF" w:rsidRDefault="00000000">
      <w:pPr>
        <w:spacing w:after="80"/>
      </w:pPr>
      <w:r>
        <w:rPr>
          <w:rFonts w:cs="Calibri"/>
          <w:szCs w:val="21"/>
        </w:rPr>
        <w:t>Category 10: Governance and Speed (overcoming delay):</w:t>
      </w:r>
    </w:p>
    <w:p w14:paraId="64530D02" w14:textId="77777777" w:rsidR="00A306EF" w:rsidRDefault="00000000">
      <w:pPr>
        <w:numPr>
          <w:ilvl w:val="0"/>
          <w:numId w:val="1"/>
        </w:numPr>
        <w:spacing w:after="80"/>
      </w:pPr>
      <w:r>
        <w:rPr>
          <w:rFonts w:cs="Calibri"/>
          <w:szCs w:val="21"/>
        </w:rPr>
        <w:t>Section 4.2N (Addendum): Executive Privilege Override</w:t>
      </w:r>
    </w:p>
    <w:p w14:paraId="6126F48B" w14:textId="77777777" w:rsidR="00A306EF" w:rsidRDefault="00000000">
      <w:pPr>
        <w:numPr>
          <w:ilvl w:val="0"/>
          <w:numId w:val="1"/>
        </w:numPr>
        <w:spacing w:after="80"/>
      </w:pPr>
      <w:r>
        <w:rPr>
          <w:rFonts w:cs="Calibri"/>
          <w:szCs w:val="21"/>
        </w:rPr>
        <w:t>Section 4.2N (Second Addendum): Shadow Commissioning</w:t>
      </w:r>
    </w:p>
    <w:p w14:paraId="2E806B23" w14:textId="77777777" w:rsidR="00A306EF" w:rsidRDefault="00000000">
      <w:pPr>
        <w:numPr>
          <w:ilvl w:val="0"/>
          <w:numId w:val="1"/>
        </w:numPr>
        <w:spacing w:after="80"/>
      </w:pPr>
      <w:r>
        <w:rPr>
          <w:rFonts w:cs="Calibri"/>
          <w:szCs w:val="21"/>
        </w:rPr>
        <w:t>Section 5.13: Emergency Vote Consolidation</w:t>
      </w:r>
    </w:p>
    <w:p w14:paraId="0F9AF41C" w14:textId="77777777" w:rsidR="00A306EF" w:rsidRDefault="00000000">
      <w:pPr>
        <w:numPr>
          <w:ilvl w:val="0"/>
          <w:numId w:val="1"/>
        </w:numPr>
        <w:spacing w:after="80"/>
      </w:pPr>
      <w:r>
        <w:rPr>
          <w:rFonts w:cs="Calibri"/>
          <w:szCs w:val="21"/>
        </w:rPr>
        <w:t>Section 10A.4 (Addendum): Troll Amendment Blocking</w:t>
      </w:r>
    </w:p>
    <w:p w14:paraId="46939A35" w14:textId="77777777" w:rsidR="00A306EF" w:rsidRDefault="00000000">
      <w:pPr>
        <w:numPr>
          <w:ilvl w:val="0"/>
          <w:numId w:val="1"/>
        </w:numPr>
        <w:spacing w:after="80"/>
      </w:pPr>
      <w:r>
        <w:rPr>
          <w:rFonts w:cs="Calibri"/>
          <w:szCs w:val="21"/>
        </w:rPr>
        <w:t>Article IX (Addendum): Head of State Liability Declaration</w:t>
      </w:r>
    </w:p>
    <w:p w14:paraId="278FBA66" w14:textId="77777777" w:rsidR="00A306EF" w:rsidRDefault="00000000">
      <w:pPr>
        <w:pStyle w:val="Heading1"/>
        <w:pageBreakBefore/>
        <w:spacing w:after="100"/>
      </w:pPr>
      <w:bookmarkStart w:id="9" w:name="_Toc237918130"/>
      <w:r>
        <w:rPr>
          <w:rFonts w:cs="Calibri"/>
          <w:szCs w:val="30"/>
        </w:rPr>
        <w:lastRenderedPageBreak/>
        <w:t>v10.0 ADDITIONS SUMMARY</w:t>
      </w:r>
      <w:bookmarkStart w:id="10" w:name="_Toc000004"/>
      <w:bookmarkEnd w:id="9"/>
      <w:bookmarkEnd w:id="10"/>
    </w:p>
    <w:p w14:paraId="4FEE980C" w14:textId="77777777" w:rsidR="00A306EF" w:rsidRDefault="00000000">
      <w:pPr>
        <w:spacing w:after="80"/>
      </w:pPr>
      <w:r>
        <w:rPr>
          <w:rFonts w:cs="Calibri"/>
          <w:szCs w:val="21"/>
        </w:rPr>
        <w:t>This version integrates the following additions and revisions into the IMESI v9.8 base document:</w:t>
      </w:r>
    </w:p>
    <w:p w14:paraId="0F4BD8A8" w14:textId="77777777" w:rsidR="00A306EF" w:rsidRDefault="00000000">
      <w:pPr>
        <w:pStyle w:val="Heading1"/>
        <w:pageBreakBefore/>
        <w:spacing w:after="100"/>
      </w:pPr>
      <w:bookmarkStart w:id="11" w:name="_Toc237918131"/>
      <w:r>
        <w:rPr>
          <w:rFonts w:cs="Calibri"/>
          <w:szCs w:val="30"/>
        </w:rPr>
        <w:lastRenderedPageBreak/>
        <w:t>Part I: Safe-to-Add (No Revision Required)</w:t>
      </w:r>
      <w:bookmarkStart w:id="12" w:name="_Toc000005"/>
      <w:bookmarkEnd w:id="11"/>
      <w:bookmarkEnd w:id="12"/>
    </w:p>
    <w:p w14:paraId="6BC365C4" w14:textId="77777777" w:rsidR="00A306EF" w:rsidRDefault="00000000">
      <w:pPr>
        <w:numPr>
          <w:ilvl w:val="0"/>
          <w:numId w:val="1"/>
        </w:numPr>
        <w:spacing w:after="80"/>
      </w:pPr>
      <w:r>
        <w:rPr>
          <w:rFonts w:cs="Calibri"/>
          <w:szCs w:val="21"/>
        </w:rPr>
        <w:t>Annex 11B: Open Standards Protocol</w:t>
      </w:r>
    </w:p>
    <w:p w14:paraId="42240E02" w14:textId="77777777" w:rsidR="00A306EF" w:rsidRDefault="00000000">
      <w:pPr>
        <w:numPr>
          <w:ilvl w:val="0"/>
          <w:numId w:val="1"/>
        </w:numPr>
        <w:spacing w:after="80"/>
      </w:pPr>
      <w:r>
        <w:rPr>
          <w:rFonts w:cs="Calibri"/>
          <w:szCs w:val="21"/>
        </w:rPr>
        <w:t>Section 8.30: Coalition Capacity Insurance (CCI)</w:t>
      </w:r>
    </w:p>
    <w:p w14:paraId="7C3A3BAA" w14:textId="77777777" w:rsidR="00A306EF" w:rsidRDefault="00000000">
      <w:pPr>
        <w:numPr>
          <w:ilvl w:val="0"/>
          <w:numId w:val="1"/>
        </w:numPr>
        <w:spacing w:after="80"/>
      </w:pPr>
      <w:r>
        <w:rPr>
          <w:rFonts w:cs="Calibri"/>
          <w:szCs w:val="21"/>
        </w:rPr>
        <w:t>Section 3.17: Certified Transparent Operator Program</w:t>
      </w:r>
    </w:p>
    <w:p w14:paraId="610FD9E6" w14:textId="77777777" w:rsidR="00A306EF" w:rsidRDefault="00000000">
      <w:pPr>
        <w:numPr>
          <w:ilvl w:val="0"/>
          <w:numId w:val="1"/>
        </w:numPr>
        <w:spacing w:after="80"/>
      </w:pPr>
      <w:r>
        <w:rPr>
          <w:rFonts w:cs="Calibri"/>
          <w:szCs w:val="21"/>
        </w:rPr>
        <w:t>Section 8.4A: Burden-Sharing Escalation Surcharge (BSES)</w:t>
      </w:r>
    </w:p>
    <w:p w14:paraId="3827312F" w14:textId="77777777" w:rsidR="00A306EF" w:rsidRDefault="00000000">
      <w:pPr>
        <w:numPr>
          <w:ilvl w:val="0"/>
          <w:numId w:val="1"/>
        </w:numPr>
        <w:spacing w:after="80"/>
      </w:pPr>
      <w:r>
        <w:rPr>
          <w:rFonts w:cs="Calibri"/>
          <w:szCs w:val="21"/>
        </w:rPr>
        <w:t>Section 2.10 (Amended): Graduated Pressure Early Warning (GPEW)</w:t>
      </w:r>
    </w:p>
    <w:p w14:paraId="5296AFBD" w14:textId="77777777" w:rsidR="00A306EF" w:rsidRDefault="00000000">
      <w:pPr>
        <w:spacing w:after="80"/>
      </w:pPr>
      <w:r>
        <w:rPr>
          <w:rFonts w:cs="Calibri"/>
          <w:szCs w:val="21"/>
        </w:rPr>
        <w:t>Part II: Revised Provisions (Safe After Amendment)</w:t>
      </w:r>
    </w:p>
    <w:p w14:paraId="79E0D36D" w14:textId="77777777" w:rsidR="00A306EF" w:rsidRDefault="00000000">
      <w:pPr>
        <w:numPr>
          <w:ilvl w:val="0"/>
          <w:numId w:val="1"/>
        </w:numPr>
        <w:spacing w:after="80"/>
      </w:pPr>
      <w:r>
        <w:rPr>
          <w:rFonts w:cs="Calibri"/>
          <w:szCs w:val="21"/>
        </w:rPr>
        <w:t>Section 8.14A (Expanded): Enhanced Coercion Risk Rating, Grade D vote requirement</w:t>
      </w:r>
    </w:p>
    <w:p w14:paraId="411C00C5" w14:textId="77777777" w:rsidR="00A306EF" w:rsidRDefault="00000000">
      <w:pPr>
        <w:numPr>
          <w:ilvl w:val="0"/>
          <w:numId w:val="1"/>
        </w:numPr>
        <w:spacing w:after="80"/>
      </w:pPr>
      <w:r>
        <w:rPr>
          <w:rFonts w:cs="Calibri"/>
          <w:szCs w:val="21"/>
        </w:rPr>
        <w:t>Section 8.10G: SFI Settlement Preference Automation, Discretionary + opt-out</w:t>
      </w:r>
    </w:p>
    <w:p w14:paraId="6A566F4A" w14:textId="77777777" w:rsidR="00A306EF" w:rsidRDefault="00000000">
      <w:pPr>
        <w:numPr>
          <w:ilvl w:val="0"/>
          <w:numId w:val="1"/>
        </w:numPr>
        <w:spacing w:after="80"/>
      </w:pPr>
      <w:r>
        <w:rPr>
          <w:rFonts w:cs="Calibri"/>
          <w:szCs w:val="21"/>
        </w:rPr>
        <w:t>Section 8.18A: Debt Service Bridge Sub-Facility, Cap, evidence bar, rolling review</w:t>
      </w:r>
    </w:p>
    <w:p w14:paraId="10F84F0A" w14:textId="77777777" w:rsidR="00A306EF" w:rsidRDefault="00000000">
      <w:pPr>
        <w:numPr>
          <w:ilvl w:val="0"/>
          <w:numId w:val="1"/>
        </w:numPr>
        <w:spacing w:after="80"/>
      </w:pPr>
      <w:r>
        <w:rPr>
          <w:rFonts w:cs="Calibri"/>
          <w:szCs w:val="21"/>
        </w:rPr>
        <w:t>Section 5.0A: Phase 1 Auto-Activation, 24-hour timeline, parliamentary safeguard</w:t>
      </w:r>
    </w:p>
    <w:p w14:paraId="20FCEE5A" w14:textId="77777777" w:rsidR="00A306EF" w:rsidRDefault="00000000">
      <w:pPr>
        <w:numPr>
          <w:ilvl w:val="0"/>
          <w:numId w:val="1"/>
        </w:numPr>
        <w:spacing w:after="80"/>
      </w:pPr>
      <w:r>
        <w:rPr>
          <w:rFonts w:cs="Calibri"/>
          <w:szCs w:val="21"/>
        </w:rPr>
        <w:t>Section 6.3 (Amended): Immediate ACE Trigger, 24-hour timeline, consultation</w:t>
      </w:r>
    </w:p>
    <w:p w14:paraId="2250C39F" w14:textId="77777777" w:rsidR="00A306EF" w:rsidRDefault="00000000">
      <w:pPr>
        <w:numPr>
          <w:ilvl w:val="0"/>
          <w:numId w:val="1"/>
        </w:numPr>
        <w:spacing w:after="80"/>
      </w:pPr>
      <w:r>
        <w:rPr>
          <w:rFonts w:cs="Calibri"/>
          <w:szCs w:val="21"/>
        </w:rPr>
        <w:t>Section 10A.4: Adaptive Institutional Mutation (AIM), Non-recurrence, limits</w:t>
      </w:r>
    </w:p>
    <w:p w14:paraId="0F6D64D6" w14:textId="77777777" w:rsidR="00A306EF" w:rsidRDefault="00000000">
      <w:pPr>
        <w:spacing w:after="80"/>
      </w:pPr>
      <w:r>
        <w:rPr>
          <w:rFonts w:cs="Calibri"/>
          <w:szCs w:val="21"/>
        </w:rPr>
        <w:t>Part III: New Architectural Safeguard</w:t>
      </w:r>
    </w:p>
    <w:p w14:paraId="72C21073" w14:textId="77777777" w:rsidR="00A306EF" w:rsidRDefault="00000000">
      <w:pPr>
        <w:numPr>
          <w:ilvl w:val="0"/>
          <w:numId w:val="1"/>
        </w:numPr>
        <w:spacing w:after="80"/>
      </w:pPr>
      <w:r>
        <w:rPr>
          <w:rFonts w:cs="Calibri"/>
          <w:szCs w:val="21"/>
        </w:rPr>
        <w:t>Section 5.11: Escalation Cascade Safeguard (Circuit-Breaker)</w:t>
      </w:r>
    </w:p>
    <w:p w14:paraId="19FDFA26" w14:textId="77777777" w:rsidR="00A306EF" w:rsidRDefault="00000000">
      <w:pPr>
        <w:spacing w:after="80"/>
      </w:pPr>
      <w:r>
        <w:rPr>
          <w:rFonts w:cs="Calibri"/>
          <w:szCs w:val="21"/>
        </w:rPr>
        <w:t>Part IV: Clarifying Rules</w:t>
      </w:r>
    </w:p>
    <w:p w14:paraId="3F724CB6" w14:textId="77777777" w:rsidR="00A306EF" w:rsidRDefault="00000000">
      <w:pPr>
        <w:numPr>
          <w:ilvl w:val="0"/>
          <w:numId w:val="1"/>
        </w:numPr>
        <w:spacing w:after="80"/>
      </w:pPr>
      <w:r>
        <w:rPr>
          <w:rFonts w:cs="Calibri"/>
          <w:szCs w:val="21"/>
        </w:rPr>
        <w:t>Section 8.4B: Burden-Sharing Hardship Exemption (integrated into 8.4A)</w:t>
      </w:r>
    </w:p>
    <w:p w14:paraId="1EF5B1D8" w14:textId="77777777" w:rsidR="00A306EF" w:rsidRDefault="00000000">
      <w:pPr>
        <w:numPr>
          <w:ilvl w:val="0"/>
          <w:numId w:val="1"/>
        </w:numPr>
        <w:spacing w:after="80"/>
      </w:pPr>
      <w:r>
        <w:rPr>
          <w:rFonts w:cs="Calibri"/>
          <w:szCs w:val="21"/>
        </w:rPr>
        <w:t>CTO Status Interaction (integrated into Section 3.17)</w:t>
      </w:r>
    </w:p>
    <w:p w14:paraId="52B46922" w14:textId="77777777" w:rsidR="00A306EF" w:rsidRDefault="00000000">
      <w:pPr>
        <w:numPr>
          <w:ilvl w:val="0"/>
          <w:numId w:val="1"/>
        </w:numPr>
        <w:spacing w:after="80"/>
      </w:pPr>
      <w:r>
        <w:rPr>
          <w:rFonts w:cs="Calibri"/>
          <w:szCs w:val="21"/>
        </w:rPr>
        <w:t>Section 11B.5: Open Standards Market Concentration Certification</w:t>
      </w:r>
    </w:p>
    <w:p w14:paraId="6E3229FF" w14:textId="77777777" w:rsidR="00A306EF" w:rsidRDefault="00000000">
      <w:pPr>
        <w:numPr>
          <w:ilvl w:val="0"/>
          <w:numId w:val="1"/>
        </w:numPr>
        <w:spacing w:after="80"/>
      </w:pPr>
      <w:r>
        <w:rPr>
          <w:rFonts w:cs="Calibri"/>
          <w:szCs w:val="21"/>
        </w:rPr>
        <w:t>Section 3.9B: CRB Syndication Fallback</w:t>
      </w:r>
    </w:p>
    <w:p w14:paraId="15820404" w14:textId="77777777" w:rsidR="00A306EF" w:rsidRDefault="00000000">
      <w:pPr>
        <w:spacing w:after="80"/>
      </w:pPr>
      <w:r>
        <w:rPr>
          <w:rFonts w:cs="Calibri"/>
          <w:szCs w:val="21"/>
        </w:rPr>
        <w:t>Red Team Vulnerability Fixes (6 provisions)</w:t>
      </w:r>
    </w:p>
    <w:p w14:paraId="37E0C1FB" w14:textId="77777777" w:rsidR="00A306EF" w:rsidRDefault="00000000">
      <w:pPr>
        <w:numPr>
          <w:ilvl w:val="0"/>
          <w:numId w:val="1"/>
        </w:numPr>
        <w:spacing w:after="80"/>
      </w:pPr>
      <w:r>
        <w:rPr>
          <w:rFonts w:cs="Calibri"/>
          <w:szCs w:val="21"/>
        </w:rPr>
        <w:t>Section 2.15: Evidentiary Standards for Coercion Certification</w:t>
      </w:r>
    </w:p>
    <w:p w14:paraId="447E7A53" w14:textId="77777777" w:rsidR="00A306EF" w:rsidRDefault="00000000">
      <w:pPr>
        <w:numPr>
          <w:ilvl w:val="0"/>
          <w:numId w:val="1"/>
        </w:numPr>
        <w:spacing w:after="80"/>
      </w:pPr>
      <w:r>
        <w:rPr>
          <w:rFonts w:cs="Calibri"/>
          <w:szCs w:val="21"/>
        </w:rPr>
        <w:t>Section 4.3A: Compliance Audit and Transparency Protocol</w:t>
      </w:r>
    </w:p>
    <w:p w14:paraId="43278836" w14:textId="77777777" w:rsidR="00A306EF" w:rsidRDefault="00000000">
      <w:pPr>
        <w:numPr>
          <w:ilvl w:val="0"/>
          <w:numId w:val="1"/>
        </w:numPr>
        <w:spacing w:after="80"/>
      </w:pPr>
      <w:r>
        <w:rPr>
          <w:rFonts w:cs="Calibri"/>
          <w:szCs w:val="21"/>
        </w:rPr>
        <w:t>Annex 11C: Alternative Payment System Coordination Protocol</w:t>
      </w:r>
    </w:p>
    <w:p w14:paraId="5EA15316" w14:textId="77777777" w:rsidR="00A306EF" w:rsidRDefault="00000000">
      <w:pPr>
        <w:numPr>
          <w:ilvl w:val="0"/>
          <w:numId w:val="1"/>
        </w:numPr>
        <w:spacing w:after="80"/>
      </w:pPr>
      <w:r>
        <w:t>Section 2.10A: Intensity-Compressed Coercion Protocol</w:t>
      </w:r>
    </w:p>
    <w:p w14:paraId="6DFD5A2A" w14:textId="77777777" w:rsidR="00A306EF" w:rsidRDefault="00000000">
      <w:pPr>
        <w:numPr>
          <w:ilvl w:val="0"/>
          <w:numId w:val="1"/>
        </w:numPr>
        <w:spacing w:after="80"/>
      </w:pPr>
      <w:r>
        <w:t>Section 1.6B: Institutional Independence Safeguards for IEWC</w:t>
      </w:r>
    </w:p>
    <w:p w14:paraId="2B790208" w14:textId="77777777" w:rsidR="00A306EF" w:rsidRDefault="00000000">
      <w:pPr>
        <w:numPr>
          <w:ilvl w:val="0"/>
          <w:numId w:val="1"/>
        </w:numPr>
        <w:spacing w:after="80"/>
      </w:pPr>
      <w:r>
        <w:t>Section 5.2A: Escalation Review Protocol (Phase Stalemate-Breaker)</w:t>
      </w:r>
    </w:p>
    <w:p w14:paraId="5C4FC1A6" w14:textId="77777777" w:rsidR="00A306EF" w:rsidRDefault="00000000">
      <w:pPr>
        <w:spacing w:after="80"/>
      </w:pPr>
      <w:r>
        <w:t>Critical Structural Gap Closures (10 provisions)</w:t>
      </w:r>
    </w:p>
    <w:p w14:paraId="7AC4E7D9" w14:textId="77777777" w:rsidR="00A306EF" w:rsidRDefault="00000000">
      <w:pPr>
        <w:numPr>
          <w:ilvl w:val="0"/>
          <w:numId w:val="1"/>
        </w:numPr>
        <w:spacing w:after="80"/>
      </w:pPr>
      <w:r>
        <w:t>Section 4.2P: IEWC Capacity Management and Surge Protocol</w:t>
      </w:r>
    </w:p>
    <w:p w14:paraId="6EFF7B45" w14:textId="77777777" w:rsidR="00A306EF" w:rsidRDefault="00000000">
      <w:pPr>
        <w:numPr>
          <w:ilvl w:val="0"/>
          <w:numId w:val="1"/>
        </w:numPr>
        <w:spacing w:after="80"/>
      </w:pPr>
      <w:r>
        <w:t>Section 6.11: Member Misconduct and Immediate Suspension</w:t>
      </w:r>
    </w:p>
    <w:p w14:paraId="5A29079E" w14:textId="77777777" w:rsidR="00A306EF" w:rsidRDefault="00000000">
      <w:pPr>
        <w:numPr>
          <w:ilvl w:val="0"/>
          <w:numId w:val="1"/>
        </w:numPr>
        <w:spacing w:after="80"/>
      </w:pPr>
      <w:r>
        <w:t>Section 8.4D: Fund Solvency Safeguards and Emergency Capital Calls</w:t>
      </w:r>
    </w:p>
    <w:p w14:paraId="7316147C" w14:textId="77777777" w:rsidR="00A306EF" w:rsidRDefault="00000000">
      <w:pPr>
        <w:numPr>
          <w:ilvl w:val="0"/>
          <w:numId w:val="1"/>
        </w:numPr>
        <w:spacing w:after="80"/>
      </w:pPr>
      <w:r>
        <w:t>Section 4.6F: SFI Node Hosting Agreements</w:t>
      </w:r>
    </w:p>
    <w:p w14:paraId="311CBBF4" w14:textId="77777777" w:rsidR="00A306EF" w:rsidRDefault="00000000">
      <w:pPr>
        <w:numPr>
          <w:ilvl w:val="0"/>
          <w:numId w:val="1"/>
        </w:numPr>
        <w:spacing w:after="80"/>
      </w:pPr>
      <w:r>
        <w:lastRenderedPageBreak/>
        <w:t>Section 5.3E: Tariff Escalation Ceiling and Automatic Freeze</w:t>
      </w:r>
    </w:p>
    <w:p w14:paraId="3663507D" w14:textId="77777777" w:rsidR="00A306EF" w:rsidRDefault="00000000">
      <w:pPr>
        <w:numPr>
          <w:ilvl w:val="0"/>
          <w:numId w:val="1"/>
        </w:numPr>
        <w:spacing w:after="80"/>
      </w:pPr>
      <w:r>
        <w:t>Section 4.6H: Central Bank Swap Coordination</w:t>
      </w:r>
    </w:p>
    <w:p w14:paraId="1B13A4E1" w14:textId="77777777" w:rsidR="00A306EF" w:rsidRDefault="00000000">
      <w:pPr>
        <w:numPr>
          <w:ilvl w:val="0"/>
          <w:numId w:val="1"/>
        </w:numPr>
        <w:spacing w:after="80"/>
      </w:pPr>
      <w:r>
        <w:t>Section 4.2N: Intelligence Compartmentalization and Leakage Response</w:t>
      </w:r>
    </w:p>
    <w:p w14:paraId="5BA8FA91" w14:textId="77777777" w:rsidR="00A306EF" w:rsidRDefault="00000000">
      <w:pPr>
        <w:numPr>
          <w:ilvl w:val="0"/>
          <w:numId w:val="1"/>
        </w:numPr>
        <w:spacing w:after="80"/>
      </w:pPr>
      <w:r>
        <w:t>Section 6.9A: Expedited Intra-Coalition Dispute Resolution</w:t>
      </w:r>
    </w:p>
    <w:p w14:paraId="7CA17AAB" w14:textId="77777777" w:rsidR="00A306EF" w:rsidRDefault="00000000">
      <w:pPr>
        <w:numPr>
          <w:ilvl w:val="0"/>
          <w:numId w:val="1"/>
        </w:numPr>
        <w:spacing w:after="80"/>
      </w:pPr>
      <w:r>
        <w:t>Section 3.8F: Parliamentary Rejection Consequences</w:t>
      </w:r>
    </w:p>
    <w:p w14:paraId="59EBE4D6" w14:textId="77777777" w:rsidR="00A306EF" w:rsidRDefault="00000000">
      <w:pPr>
        <w:numPr>
          <w:ilvl w:val="0"/>
          <w:numId w:val="1"/>
        </w:numPr>
        <w:spacing w:after="80"/>
      </w:pPr>
      <w:r>
        <w:t>Section 8.11: Third-Country Spillover Fund</w:t>
      </w:r>
    </w:p>
    <w:p w14:paraId="49B6C32D" w14:textId="77777777" w:rsidR="00A306EF" w:rsidRDefault="00000000">
      <w:pPr>
        <w:spacing w:after="80"/>
      </w:pPr>
      <w:r>
        <w:t>Military-Economic Nexus Provisions (11 provisions)</w:t>
      </w:r>
    </w:p>
    <w:p w14:paraId="036A8299" w14:textId="77777777" w:rsidR="00A306EF" w:rsidRDefault="00000000">
      <w:pPr>
        <w:numPr>
          <w:ilvl w:val="0"/>
          <w:numId w:val="1"/>
        </w:numPr>
        <w:spacing w:after="80"/>
      </w:pPr>
      <w:r>
        <w:t>Section 1.1 (Addendum): Escalated Response Ceiling for Military-Adjacent Coercion</w:t>
      </w:r>
    </w:p>
    <w:p w14:paraId="2820D49E" w14:textId="77777777" w:rsidR="00A306EF" w:rsidRDefault="00000000">
      <w:pPr>
        <w:numPr>
          <w:ilvl w:val="0"/>
          <w:numId w:val="1"/>
        </w:numPr>
        <w:spacing w:after="80"/>
      </w:pPr>
      <w:r>
        <w:t>Section 1.5A: Economic Stabilization in Armed-Force Context</w:t>
      </w:r>
    </w:p>
    <w:p w14:paraId="0E896B3F" w14:textId="77777777" w:rsidR="00A306EF" w:rsidRDefault="00000000">
      <w:pPr>
        <w:numPr>
          <w:ilvl w:val="0"/>
          <w:numId w:val="1"/>
        </w:numPr>
        <w:spacing w:after="80"/>
      </w:pPr>
      <w:r>
        <w:t>Section 1.6(a)(f): Military-Trigger in Compound Emergency</w:t>
      </w:r>
    </w:p>
    <w:p w14:paraId="48E40C0E" w14:textId="77777777" w:rsidR="00A306EF" w:rsidRDefault="00000000">
      <w:pPr>
        <w:numPr>
          <w:ilvl w:val="0"/>
          <w:numId w:val="1"/>
        </w:numPr>
        <w:spacing w:after="80"/>
      </w:pPr>
      <w:r>
        <w:t>Section 2.3 (Addendum): Hybrid Military-Economic Multiplier</w:t>
      </w:r>
    </w:p>
    <w:p w14:paraId="6FAF4974" w14:textId="77777777" w:rsidR="00A306EF" w:rsidRDefault="00000000">
      <w:pPr>
        <w:numPr>
          <w:ilvl w:val="0"/>
          <w:numId w:val="1"/>
        </w:numPr>
        <w:spacing w:after="80"/>
      </w:pPr>
      <w:r>
        <w:t>Section 2.10A (Addendum): Military Nexus Fast-Lane</w:t>
      </w:r>
    </w:p>
    <w:p w14:paraId="32A1D536" w14:textId="77777777" w:rsidR="00A306EF" w:rsidRDefault="00000000">
      <w:pPr>
        <w:numPr>
          <w:ilvl w:val="0"/>
          <w:numId w:val="1"/>
        </w:numPr>
        <w:spacing w:after="80"/>
      </w:pPr>
      <w:r>
        <w:t>Section 2.12(d): Military Coercion Context Adjustment</w:t>
      </w:r>
    </w:p>
    <w:p w14:paraId="057D4C04" w14:textId="77777777" w:rsidR="00A306EF" w:rsidRDefault="00000000">
      <w:pPr>
        <w:numPr>
          <w:ilvl w:val="0"/>
          <w:numId w:val="1"/>
        </w:numPr>
        <w:spacing w:after="80"/>
      </w:pPr>
      <w:r>
        <w:t>Section 2.12A: Hybrid Threat Integration Protocol</w:t>
      </w:r>
    </w:p>
    <w:p w14:paraId="32D9EF4D" w14:textId="77777777" w:rsidR="00A306EF" w:rsidRDefault="00000000">
      <w:pPr>
        <w:numPr>
          <w:ilvl w:val="0"/>
          <w:numId w:val="1"/>
        </w:numPr>
        <w:spacing w:after="80"/>
      </w:pPr>
      <w:r>
        <w:t>Section 4.2Q: Military-Linked Supply Chain Emergency Authority</w:t>
      </w:r>
    </w:p>
    <w:p w14:paraId="6DBE1923" w14:textId="77777777" w:rsidR="00A306EF" w:rsidRDefault="00000000">
      <w:pPr>
        <w:numPr>
          <w:ilvl w:val="0"/>
          <w:numId w:val="1"/>
        </w:numPr>
        <w:spacing w:after="80"/>
      </w:pPr>
      <w:r>
        <w:t>Section 4.2R: Military Context Registry (Meta-Safeguard)</w:t>
      </w:r>
    </w:p>
    <w:p w14:paraId="30D74E73" w14:textId="77777777" w:rsidR="00A306EF" w:rsidRDefault="00000000">
      <w:pPr>
        <w:numPr>
          <w:ilvl w:val="0"/>
          <w:numId w:val="1"/>
        </w:numPr>
        <w:spacing w:after="80"/>
      </w:pPr>
      <w:r>
        <w:t>Section 5.3F: Civilian Protection Trigger</w:t>
      </w:r>
    </w:p>
    <w:p w14:paraId="4EE959A2" w14:textId="77777777" w:rsidR="00A306EF" w:rsidRDefault="00000000">
      <w:pPr>
        <w:numPr>
          <w:ilvl w:val="0"/>
          <w:numId w:val="1"/>
        </w:numPr>
        <w:spacing w:after="80"/>
      </w:pPr>
      <w:r>
        <w:t>Section 9.7: Political-Military Liaison Channel</w:t>
      </w:r>
    </w:p>
    <w:p w14:paraId="69207D1B" w14:textId="77777777" w:rsidR="00A306EF" w:rsidRDefault="00000000">
      <w:pPr>
        <w:spacing w:after="80"/>
      </w:pPr>
      <w:r>
        <w:t>Political Inoculation Clauses (9 provisions)</w:t>
      </w:r>
    </w:p>
    <w:p w14:paraId="1E6C6C2C" w14:textId="77777777" w:rsidR="00A306EF" w:rsidRDefault="00000000">
      <w:pPr>
        <w:numPr>
          <w:ilvl w:val="0"/>
          <w:numId w:val="1"/>
        </w:numPr>
        <w:spacing w:after="80"/>
      </w:pPr>
      <w:r>
        <w:t>Section 1.0A (Addendum): Democratic Override Safeguard</w:t>
      </w:r>
    </w:p>
    <w:p w14:paraId="407E9506" w14:textId="77777777" w:rsidR="00A306EF" w:rsidRDefault="00000000">
      <w:pPr>
        <w:numPr>
          <w:ilvl w:val="0"/>
          <w:numId w:val="1"/>
        </w:numPr>
        <w:spacing w:after="80"/>
      </w:pPr>
      <w:r>
        <w:t>Section 1.5B: Clarification of Non-Defense Character</w:t>
      </w:r>
    </w:p>
    <w:p w14:paraId="5327D421" w14:textId="77777777" w:rsidR="00A306EF" w:rsidRDefault="00000000">
      <w:pPr>
        <w:numPr>
          <w:ilvl w:val="0"/>
          <w:numId w:val="1"/>
        </w:numPr>
        <w:spacing w:after="80"/>
      </w:pPr>
      <w:r>
        <w:t>Section 1.6B (Addendum): Geographical and Systemic Balance</w:t>
      </w:r>
    </w:p>
    <w:p w14:paraId="3A01E4BC" w14:textId="77777777" w:rsidR="00A306EF" w:rsidRDefault="00000000">
      <w:pPr>
        <w:numPr>
          <w:ilvl w:val="0"/>
          <w:numId w:val="1"/>
        </w:numPr>
        <w:spacing w:after="80"/>
      </w:pPr>
      <w:r>
        <w:t>Section 2.4A: Symmetry of Economic Exposure</w:t>
      </w:r>
    </w:p>
    <w:p w14:paraId="75B0C59A" w14:textId="77777777" w:rsidR="00A306EF" w:rsidRDefault="00000000">
      <w:pPr>
        <w:numPr>
          <w:ilvl w:val="0"/>
          <w:numId w:val="1"/>
        </w:numPr>
        <w:spacing w:after="80"/>
      </w:pPr>
      <w:r>
        <w:t>Section 2.9 (Addendum): Information Defense Boundary</w:t>
      </w:r>
    </w:p>
    <w:p w14:paraId="1999A5D3" w14:textId="77777777" w:rsidR="00A306EF" w:rsidRDefault="00000000">
      <w:pPr>
        <w:numPr>
          <w:ilvl w:val="0"/>
          <w:numId w:val="1"/>
        </w:numPr>
        <w:spacing w:after="80"/>
      </w:pPr>
      <w:r>
        <w:t>Section 2.12A (Addendum): Security Alliance Firewall</w:t>
      </w:r>
    </w:p>
    <w:p w14:paraId="367B5350" w14:textId="77777777" w:rsidR="00A306EF" w:rsidRDefault="00000000">
      <w:pPr>
        <w:numPr>
          <w:ilvl w:val="0"/>
          <w:numId w:val="1"/>
        </w:numPr>
        <w:spacing w:after="80"/>
      </w:pPr>
      <w:r>
        <w:t>Section 8.10H: Currency and Origin Neutrality Clause</w:t>
      </w:r>
    </w:p>
    <w:p w14:paraId="3437FEBA" w14:textId="77777777" w:rsidR="00A306EF" w:rsidRDefault="00000000">
      <w:pPr>
        <w:numPr>
          <w:ilvl w:val="0"/>
          <w:numId w:val="1"/>
        </w:numPr>
        <w:spacing w:after="80"/>
      </w:pPr>
      <w:r>
        <w:t>Section 8.11A: Non-Alignment of Development Support</w:t>
      </w:r>
    </w:p>
    <w:p w14:paraId="6333F72A" w14:textId="77777777" w:rsidR="00A306EF" w:rsidRDefault="00000000">
      <w:pPr>
        <w:numPr>
          <w:ilvl w:val="0"/>
          <w:numId w:val="1"/>
        </w:numPr>
        <w:spacing w:after="80"/>
      </w:pPr>
      <w:r>
        <w:t>Annex 1 (Addendum): Complementarity with Existing Fora</w:t>
      </w:r>
    </w:p>
    <w:p w14:paraId="5B9DFF0A" w14:textId="77777777" w:rsidR="00A306EF" w:rsidRDefault="00000000">
      <w:pPr>
        <w:spacing w:after="80"/>
      </w:pPr>
      <w:r>
        <w:t>Small-State Protection Provisions (17 provisions)</w:t>
      </w:r>
    </w:p>
    <w:p w14:paraId="574E1B57" w14:textId="77777777" w:rsidR="00A306EF" w:rsidRDefault="00000000">
      <w:pPr>
        <w:numPr>
          <w:ilvl w:val="0"/>
          <w:numId w:val="1"/>
        </w:numPr>
        <w:spacing w:after="80"/>
      </w:pPr>
      <w:r>
        <w:t>Section 4.1A: Small States Collective Caucus</w:t>
      </w:r>
    </w:p>
    <w:p w14:paraId="6A7BCA58" w14:textId="77777777" w:rsidR="00A306EF" w:rsidRDefault="00000000">
      <w:pPr>
        <w:numPr>
          <w:ilvl w:val="0"/>
          <w:numId w:val="1"/>
        </w:numPr>
        <w:spacing w:after="80"/>
      </w:pPr>
      <w:r>
        <w:t>Section 2.1C: Preferential Aggregation for Small-State Cases</w:t>
      </w:r>
    </w:p>
    <w:p w14:paraId="2A0E87D5" w14:textId="77777777" w:rsidR="00A306EF" w:rsidRDefault="00000000">
      <w:pPr>
        <w:numPr>
          <w:ilvl w:val="0"/>
          <w:numId w:val="1"/>
        </w:numPr>
        <w:spacing w:after="80"/>
      </w:pPr>
      <w:r>
        <w:t>Section 10.13: Coalition Market Access Pool</w:t>
      </w:r>
    </w:p>
    <w:p w14:paraId="0A7DC582" w14:textId="77777777" w:rsidR="00A306EF" w:rsidRDefault="00000000">
      <w:pPr>
        <w:numPr>
          <w:ilvl w:val="0"/>
          <w:numId w:val="1"/>
        </w:numPr>
        <w:spacing w:after="80"/>
      </w:pPr>
      <w:r>
        <w:t>Section 8.9B: Vulnerable Coalition Window</w:t>
      </w:r>
    </w:p>
    <w:p w14:paraId="160EB883" w14:textId="77777777" w:rsidR="00A306EF" w:rsidRDefault="00000000">
      <w:pPr>
        <w:numPr>
          <w:ilvl w:val="0"/>
          <w:numId w:val="1"/>
        </w:numPr>
        <w:spacing w:after="80"/>
      </w:pPr>
      <w:r>
        <w:lastRenderedPageBreak/>
        <w:t>Section 2.8A: Coalition Standards Recognition</w:t>
      </w:r>
    </w:p>
    <w:p w14:paraId="4DC93A7A" w14:textId="77777777" w:rsidR="00A306EF" w:rsidRDefault="00000000">
      <w:pPr>
        <w:numPr>
          <w:ilvl w:val="0"/>
          <w:numId w:val="1"/>
        </w:numPr>
        <w:spacing w:after="80"/>
      </w:pPr>
      <w:r>
        <w:t>Section 1.6B (Addendum): Small-State Representation Guarantee</w:t>
      </w:r>
    </w:p>
    <w:p w14:paraId="3BD53FB3" w14:textId="77777777" w:rsidR="00A306EF" w:rsidRDefault="00000000">
      <w:pPr>
        <w:numPr>
          <w:ilvl w:val="0"/>
          <w:numId w:val="1"/>
        </w:numPr>
        <w:spacing w:after="80"/>
      </w:pPr>
      <w:r>
        <w:t>Annex 13 (Addendum): Small-State Cluster Stress Test</w:t>
      </w:r>
    </w:p>
    <w:p w14:paraId="7EF986A6" w14:textId="77777777" w:rsidR="00A306EF" w:rsidRDefault="00000000">
      <w:pPr>
        <w:numPr>
          <w:ilvl w:val="0"/>
          <w:numId w:val="1"/>
        </w:numPr>
        <w:spacing w:after="80"/>
      </w:pPr>
      <w:r>
        <w:t>Section 5.0B: Small-State First Activation Presumption</w:t>
      </w:r>
    </w:p>
    <w:p w14:paraId="45AF793A" w14:textId="77777777" w:rsidR="00A306EF" w:rsidRDefault="00000000">
      <w:pPr>
        <w:numPr>
          <w:ilvl w:val="0"/>
          <w:numId w:val="1"/>
        </w:numPr>
        <w:spacing w:after="80"/>
      </w:pPr>
      <w:r>
        <w:t>Section 2.10B: Repeat Coercer Presumption for Small States</w:t>
      </w:r>
    </w:p>
    <w:p w14:paraId="77CA87B3" w14:textId="77777777" w:rsidR="00A306EF" w:rsidRDefault="00000000">
      <w:pPr>
        <w:numPr>
          <w:ilvl w:val="0"/>
          <w:numId w:val="1"/>
        </w:numPr>
        <w:spacing w:after="80"/>
      </w:pPr>
      <w:r>
        <w:t>Section 3.4B: Small-State Solidarity Pledge</w:t>
      </w:r>
    </w:p>
    <w:p w14:paraId="2FC4D1DE" w14:textId="77777777" w:rsidR="00A306EF" w:rsidRDefault="00000000">
      <w:pPr>
        <w:numPr>
          <w:ilvl w:val="0"/>
          <w:numId w:val="1"/>
        </w:numPr>
        <w:spacing w:after="80"/>
      </w:pPr>
      <w:r>
        <w:t>Section 8.1A: Small-State Resilience Reserve (20% hard-reserve)</w:t>
      </w:r>
    </w:p>
    <w:p w14:paraId="2CB40498" w14:textId="77777777" w:rsidR="00A306EF" w:rsidRDefault="00000000">
      <w:pPr>
        <w:numPr>
          <w:ilvl w:val="0"/>
          <w:numId w:val="1"/>
        </w:numPr>
        <w:spacing w:after="80"/>
      </w:pPr>
      <w:r>
        <w:t>Section 4.2S: Small-State Legal and Negotiation Support Unit</w:t>
      </w:r>
    </w:p>
    <w:p w14:paraId="112117FC" w14:textId="77777777" w:rsidR="00A306EF" w:rsidRDefault="00000000">
      <w:pPr>
        <w:numPr>
          <w:ilvl w:val="0"/>
          <w:numId w:val="1"/>
        </w:numPr>
        <w:spacing w:after="80"/>
      </w:pPr>
      <w:r>
        <w:t>Section 8.9C: Small-State Diversification Priority Scoring</w:t>
      </w:r>
    </w:p>
    <w:p w14:paraId="3DA1CD14" w14:textId="77777777" w:rsidR="00A306EF" w:rsidRDefault="00000000">
      <w:pPr>
        <w:numPr>
          <w:ilvl w:val="0"/>
          <w:numId w:val="1"/>
        </w:numPr>
        <w:spacing w:after="80"/>
      </w:pPr>
      <w:r>
        <w:t>Section 4.3A (Addendum): Small-State Compliance Safe Harbour</w:t>
      </w:r>
    </w:p>
    <w:p w14:paraId="03454A64" w14:textId="77777777" w:rsidR="00A306EF" w:rsidRDefault="00000000">
      <w:pPr>
        <w:numPr>
          <w:ilvl w:val="0"/>
          <w:numId w:val="1"/>
        </w:numPr>
        <w:spacing w:after="80"/>
      </w:pPr>
      <w:r>
        <w:t>Annex 22A: Micro-State Participation Framework</w:t>
      </w:r>
    </w:p>
    <w:p w14:paraId="144394CE" w14:textId="77777777" w:rsidR="00A306EF" w:rsidRDefault="00000000">
      <w:pPr>
        <w:numPr>
          <w:ilvl w:val="0"/>
          <w:numId w:val="1"/>
        </w:numPr>
        <w:spacing w:after="80"/>
      </w:pPr>
      <w:r>
        <w:t>Annex 16 (Addendum): Small-State Communications Representation</w:t>
      </w:r>
    </w:p>
    <w:p w14:paraId="7FB05855" w14:textId="77777777" w:rsidR="00A306EF" w:rsidRDefault="00000000">
      <w:pPr>
        <w:numPr>
          <w:ilvl w:val="0"/>
          <w:numId w:val="1"/>
        </w:numPr>
        <w:spacing w:after="80"/>
      </w:pPr>
      <w:r>
        <w:t>Section 5.0C: Small-State Non-Abandonment Clause</w:t>
      </w:r>
    </w:p>
    <w:p w14:paraId="2B39C03F" w14:textId="77777777" w:rsidR="00A306EF" w:rsidRDefault="00000000">
      <w:pPr>
        <w:spacing w:after="80"/>
      </w:pPr>
      <w:r>
        <w:t>Adoption Readiness Provisions (10 provisions)</w:t>
      </w:r>
    </w:p>
    <w:p w14:paraId="61910508" w14:textId="77777777" w:rsidR="00A306EF" w:rsidRDefault="00000000">
      <w:pPr>
        <w:numPr>
          <w:ilvl w:val="0"/>
          <w:numId w:val="1"/>
        </w:numPr>
        <w:spacing w:after="80"/>
      </w:pPr>
      <w:r>
        <w:t>Section 1.4C: Non-Use Guarantee for Routine Trade Policy</w:t>
      </w:r>
    </w:p>
    <w:p w14:paraId="137ADD13" w14:textId="77777777" w:rsidR="00A306EF" w:rsidRDefault="00000000">
      <w:pPr>
        <w:numPr>
          <w:ilvl w:val="0"/>
          <w:numId w:val="1"/>
        </w:numPr>
        <w:spacing w:after="80"/>
      </w:pPr>
      <w:r>
        <w:t>Section 3.2C: Founding Observer Track (Zero-Risk Entry)</w:t>
      </w:r>
    </w:p>
    <w:p w14:paraId="6B7FDB38" w14:textId="77777777" w:rsidR="00A306EF" w:rsidRDefault="00000000">
      <w:pPr>
        <w:numPr>
          <w:ilvl w:val="0"/>
          <w:numId w:val="1"/>
        </w:numPr>
        <w:spacing w:after="80"/>
      </w:pPr>
      <w:r>
        <w:t>Section 3.3B: Selective Participation Mode per Activation</w:t>
      </w:r>
    </w:p>
    <w:p w14:paraId="2309F1D3" w14:textId="77777777" w:rsidR="00A306EF" w:rsidRDefault="00000000">
      <w:pPr>
        <w:numPr>
          <w:ilvl w:val="0"/>
          <w:numId w:val="1"/>
        </w:numPr>
        <w:spacing w:after="80"/>
      </w:pPr>
      <w:r>
        <w:t>Section 4.3B: Public Legitimacy / Independent Case Review</w:t>
      </w:r>
    </w:p>
    <w:p w14:paraId="4F8EF681" w14:textId="77777777" w:rsidR="00A306EF" w:rsidRDefault="00000000">
      <w:pPr>
        <w:numPr>
          <w:ilvl w:val="0"/>
          <w:numId w:val="1"/>
        </w:numPr>
        <w:spacing w:after="80"/>
      </w:pPr>
      <w:r>
        <w:t>Section 5.0D: Pre-Activation Quiet Consultation Window</w:t>
      </w:r>
    </w:p>
    <w:p w14:paraId="3A939E50" w14:textId="77777777" w:rsidR="00A306EF" w:rsidRDefault="00000000">
      <w:pPr>
        <w:numPr>
          <w:ilvl w:val="0"/>
          <w:numId w:val="1"/>
        </w:numPr>
        <w:spacing w:after="80"/>
      </w:pPr>
      <w:r>
        <w:t>Section 5.4A: Rolling Review Horizon for Phase 2+ Measures</w:t>
      </w:r>
    </w:p>
    <w:p w14:paraId="4C2D28AC" w14:textId="77777777" w:rsidR="00A306EF" w:rsidRDefault="00000000">
      <w:pPr>
        <w:numPr>
          <w:ilvl w:val="0"/>
          <w:numId w:val="1"/>
        </w:numPr>
        <w:spacing w:after="80"/>
      </w:pPr>
      <w:r>
        <w:t>Section 6.12: Misuse Liability and Bad-Faith Claims</w:t>
      </w:r>
    </w:p>
    <w:p w14:paraId="7B7E1E81" w14:textId="77777777" w:rsidR="00A306EF" w:rsidRDefault="00000000">
      <w:pPr>
        <w:numPr>
          <w:ilvl w:val="0"/>
          <w:numId w:val="1"/>
        </w:numPr>
        <w:spacing w:after="80"/>
      </w:pPr>
      <w:r>
        <w:t>Section 8.10I: Financial Instruments, Graduated Use Protocol</w:t>
      </w:r>
    </w:p>
    <w:p w14:paraId="30653AC4" w14:textId="77777777" w:rsidR="00A306EF" w:rsidRDefault="00000000">
      <w:pPr>
        <w:numPr>
          <w:ilvl w:val="0"/>
          <w:numId w:val="1"/>
        </w:numPr>
        <w:spacing w:after="80"/>
      </w:pPr>
      <w:r>
        <w:t>Section 9.8: Private Sector Stabilization Channel</w:t>
      </w:r>
    </w:p>
    <w:p w14:paraId="368C4D71" w14:textId="77777777" w:rsidR="00A306EF" w:rsidRDefault="00000000">
      <w:pPr>
        <w:numPr>
          <w:ilvl w:val="0"/>
          <w:numId w:val="1"/>
        </w:numPr>
        <w:spacing w:after="80"/>
      </w:pPr>
      <w:r>
        <w:t>Annex 1 (Addendum): Compatibility Assurance Protocol</w:t>
      </w:r>
    </w:p>
    <w:p w14:paraId="3F83B288" w14:textId="77777777" w:rsidR="00A306EF" w:rsidRDefault="00000000">
      <w:pPr>
        <w:spacing w:after="80"/>
      </w:pPr>
      <w:r>
        <w:t>Institutional Maturity Provisions (20 provisions)</w:t>
      </w:r>
    </w:p>
    <w:p w14:paraId="3A64D403" w14:textId="77777777" w:rsidR="00A306EF" w:rsidRDefault="00000000">
      <w:pPr>
        <w:numPr>
          <w:ilvl w:val="0"/>
          <w:numId w:val="1"/>
        </w:numPr>
        <w:spacing w:after="80"/>
      </w:pPr>
      <w:r>
        <w:t>Section 1.0B: Plural Alignment Principle</w:t>
      </w:r>
    </w:p>
    <w:p w14:paraId="4926514E" w14:textId="77777777" w:rsidR="00A306EF" w:rsidRDefault="00000000">
      <w:pPr>
        <w:numPr>
          <w:ilvl w:val="0"/>
          <w:numId w:val="1"/>
        </w:numPr>
        <w:spacing w:after="80"/>
      </w:pPr>
      <w:r>
        <w:t>Section 1.0C: Domestic Sovereignty and Benefit Guarantee</w:t>
      </w:r>
    </w:p>
    <w:p w14:paraId="5E09EB7C" w14:textId="77777777" w:rsidR="00A306EF" w:rsidRDefault="00000000">
      <w:pPr>
        <w:numPr>
          <w:ilvl w:val="0"/>
          <w:numId w:val="1"/>
        </w:numPr>
        <w:spacing w:after="80"/>
      </w:pPr>
      <w:r>
        <w:t>Section 1.1A: Cross-Coalition Compatibility Clause</w:t>
      </w:r>
    </w:p>
    <w:p w14:paraId="3D9BDF32" w14:textId="77777777" w:rsidR="00A306EF" w:rsidRDefault="00000000">
      <w:pPr>
        <w:numPr>
          <w:ilvl w:val="0"/>
          <w:numId w:val="1"/>
        </w:numPr>
        <w:spacing w:after="80"/>
      </w:pPr>
      <w:r>
        <w:t>Section 1.4D: Systemic Disruption Safeguards (GSD/SND)</w:t>
      </w:r>
    </w:p>
    <w:p w14:paraId="1FCE5144" w14:textId="77777777" w:rsidR="00A306EF" w:rsidRDefault="00000000">
      <w:pPr>
        <w:numPr>
          <w:ilvl w:val="0"/>
          <w:numId w:val="1"/>
        </w:numPr>
        <w:spacing w:after="80"/>
      </w:pPr>
      <w:r>
        <w:t>Section 3.1D: No Retrospective Liability</w:t>
      </w:r>
    </w:p>
    <w:p w14:paraId="491057D9" w14:textId="77777777" w:rsidR="00A306EF" w:rsidRDefault="00000000">
      <w:pPr>
        <w:numPr>
          <w:ilvl w:val="0"/>
          <w:numId w:val="1"/>
        </w:numPr>
        <w:spacing w:after="80"/>
      </w:pPr>
      <w:r>
        <w:t>Section 3.1E: New Member Grace Period</w:t>
      </w:r>
    </w:p>
    <w:p w14:paraId="1306F7E0" w14:textId="77777777" w:rsidR="00A306EF" w:rsidRDefault="00000000">
      <w:pPr>
        <w:numPr>
          <w:ilvl w:val="0"/>
          <w:numId w:val="1"/>
        </w:numPr>
        <w:spacing w:after="80"/>
      </w:pPr>
      <w:r>
        <w:t>Section 3.3C: Silent Participation Option</w:t>
      </w:r>
    </w:p>
    <w:p w14:paraId="0D601043" w14:textId="77777777" w:rsidR="00A306EF" w:rsidRDefault="00000000">
      <w:pPr>
        <w:numPr>
          <w:ilvl w:val="0"/>
          <w:numId w:val="1"/>
        </w:numPr>
        <w:spacing w:after="80"/>
      </w:pPr>
      <w:r>
        <w:t>Section 3.4C: Minimum Action Floor per Tier</w:t>
      </w:r>
    </w:p>
    <w:p w14:paraId="395CA38C" w14:textId="77777777" w:rsidR="00A306EF" w:rsidRDefault="00000000">
      <w:pPr>
        <w:numPr>
          <w:ilvl w:val="0"/>
          <w:numId w:val="1"/>
        </w:numPr>
        <w:spacing w:after="80"/>
      </w:pPr>
      <w:r>
        <w:lastRenderedPageBreak/>
        <w:t>Section 4.2A: Reciprocity Transparency Rule</w:t>
      </w:r>
    </w:p>
    <w:p w14:paraId="31FAF718" w14:textId="77777777" w:rsidR="00A306EF" w:rsidRDefault="00000000">
      <w:pPr>
        <w:numPr>
          <w:ilvl w:val="0"/>
          <w:numId w:val="1"/>
        </w:numPr>
        <w:spacing w:after="80"/>
      </w:pPr>
      <w:r>
        <w:t>Section 4.2A: Success Recognition Mechanism</w:t>
      </w:r>
    </w:p>
    <w:p w14:paraId="03E62745" w14:textId="77777777" w:rsidR="00A306EF" w:rsidRDefault="00000000">
      <w:pPr>
        <w:numPr>
          <w:ilvl w:val="0"/>
          <w:numId w:val="1"/>
        </w:numPr>
        <w:spacing w:after="80"/>
      </w:pPr>
      <w:r>
        <w:t>Section 4.4A: Institutional Predictability Calendar</w:t>
      </w:r>
    </w:p>
    <w:p w14:paraId="2F7D237C" w14:textId="77777777" w:rsidR="00A306EF" w:rsidRDefault="00000000">
      <w:pPr>
        <w:numPr>
          <w:ilvl w:val="0"/>
          <w:numId w:val="1"/>
        </w:numPr>
        <w:spacing w:after="80"/>
      </w:pPr>
      <w:r>
        <w:t>Section 5.0E: Coalition-of-the-Willing Activation</w:t>
      </w:r>
    </w:p>
    <w:p w14:paraId="6EC72655" w14:textId="77777777" w:rsidR="00A306EF" w:rsidRDefault="00000000">
      <w:pPr>
        <w:numPr>
          <w:ilvl w:val="0"/>
          <w:numId w:val="1"/>
        </w:numPr>
        <w:spacing w:after="80"/>
      </w:pPr>
      <w:r>
        <w:t>Section 5.0F: Dual-Track Crisis Response Framework</w:t>
      </w:r>
    </w:p>
    <w:p w14:paraId="6916865C" w14:textId="77777777" w:rsidR="00A306EF" w:rsidRDefault="00000000">
      <w:pPr>
        <w:numPr>
          <w:ilvl w:val="0"/>
          <w:numId w:val="1"/>
        </w:numPr>
        <w:spacing w:after="80"/>
      </w:pPr>
      <w:r>
        <w:t>Section 5.1B: No Surprise Escalation Rule</w:t>
      </w:r>
    </w:p>
    <w:p w14:paraId="202D5E73" w14:textId="77777777" w:rsidR="00A306EF" w:rsidRDefault="00000000">
      <w:pPr>
        <w:numPr>
          <w:ilvl w:val="0"/>
          <w:numId w:val="1"/>
        </w:numPr>
        <w:spacing w:after="80"/>
      </w:pPr>
      <w:r>
        <w:t>Section 5.3G: Third-Party Mediation Fast Track</w:t>
      </w:r>
    </w:p>
    <w:p w14:paraId="078D3241" w14:textId="77777777" w:rsidR="00A306EF" w:rsidRDefault="00000000">
      <w:pPr>
        <w:numPr>
          <w:ilvl w:val="0"/>
          <w:numId w:val="1"/>
        </w:numPr>
        <w:spacing w:after="80"/>
      </w:pPr>
      <w:r>
        <w:t>Section 5.4A: Automatic Sunset for Phase 2+ (also in Adoption)</w:t>
      </w:r>
    </w:p>
    <w:p w14:paraId="4ECD9E3C" w14:textId="77777777" w:rsidR="00A306EF" w:rsidRDefault="00000000">
      <w:pPr>
        <w:numPr>
          <w:ilvl w:val="0"/>
          <w:numId w:val="1"/>
        </w:numPr>
        <w:spacing w:after="80"/>
      </w:pPr>
      <w:r>
        <w:t>Section 7.4A: Domestic Industry Safeguard Trigger</w:t>
      </w:r>
    </w:p>
    <w:p w14:paraId="413C4D99" w14:textId="77777777" w:rsidR="00A306EF" w:rsidRDefault="00000000">
      <w:pPr>
        <w:numPr>
          <w:ilvl w:val="0"/>
          <w:numId w:val="1"/>
        </w:numPr>
        <w:spacing w:after="80"/>
      </w:pPr>
      <w:r>
        <w:t>Section 7.5: Symmetric Restraint for Systemic Economies</w:t>
      </w:r>
    </w:p>
    <w:p w14:paraId="4179AC57" w14:textId="77777777" w:rsidR="00A306EF" w:rsidRDefault="00000000">
      <w:pPr>
        <w:numPr>
          <w:ilvl w:val="0"/>
          <w:numId w:val="1"/>
        </w:numPr>
        <w:spacing w:after="80"/>
      </w:pPr>
      <w:r>
        <w:t>Annex 16 (Addendum): Narrative Neutrality Rule</w:t>
      </w:r>
    </w:p>
    <w:p w14:paraId="73D56390" w14:textId="77777777" w:rsidR="00A306EF" w:rsidRDefault="00000000">
      <w:pPr>
        <w:spacing w:after="80"/>
      </w:pPr>
      <w:r>
        <w:t>Operational Accessibility (12 provisions)</w:t>
      </w:r>
    </w:p>
    <w:p w14:paraId="5C5982F9" w14:textId="77777777" w:rsidR="00A306EF" w:rsidRDefault="00000000">
      <w:pPr>
        <w:numPr>
          <w:ilvl w:val="0"/>
          <w:numId w:val="1"/>
        </w:numPr>
        <w:spacing w:after="80"/>
      </w:pPr>
      <w:r>
        <w:t>How IMESI Works in Practice (3-scenario operational flow)</w:t>
      </w:r>
    </w:p>
    <w:p w14:paraId="71026771" w14:textId="77777777" w:rsidR="00A306EF" w:rsidRDefault="00000000">
      <w:pPr>
        <w:numPr>
          <w:ilvl w:val="0"/>
          <w:numId w:val="1"/>
        </w:numPr>
        <w:spacing w:after="80"/>
      </w:pPr>
      <w:r>
        <w:t>Governance Safeguards at a Glance</w:t>
      </w:r>
    </w:p>
    <w:p w14:paraId="044743DA" w14:textId="77777777" w:rsidR="00A306EF" w:rsidRDefault="00000000">
      <w:pPr>
        <w:numPr>
          <w:ilvl w:val="0"/>
          <w:numId w:val="1"/>
        </w:numPr>
        <w:spacing w:after="80"/>
      </w:pPr>
      <w:r>
        <w:t>Complexity Risks and Built-In Safeguards</w:t>
      </w:r>
    </w:p>
    <w:p w14:paraId="3D02C7F4" w14:textId="77777777" w:rsidR="00A306EF" w:rsidRDefault="00000000">
      <w:pPr>
        <w:numPr>
          <w:ilvl w:val="0"/>
          <w:numId w:val="1"/>
        </w:numPr>
        <w:spacing w:after="80"/>
      </w:pPr>
      <w:r>
        <w:t>Section 4.2T: IEWC Dissent and Borderline Case Review</w:t>
      </w:r>
    </w:p>
    <w:p w14:paraId="2EBDB99A" w14:textId="77777777" w:rsidR="00A306EF" w:rsidRDefault="00000000">
      <w:pPr>
        <w:numPr>
          <w:ilvl w:val="0"/>
          <w:numId w:val="1"/>
        </w:numPr>
        <w:spacing w:after="80"/>
      </w:pPr>
      <w:r>
        <w:t>Section 8.0A: Indicative Capitalization and Funding Model</w:t>
      </w:r>
    </w:p>
    <w:p w14:paraId="3F861A3E" w14:textId="77777777" w:rsidR="00A306EF" w:rsidRDefault="00000000">
      <w:pPr>
        <w:numPr>
          <w:ilvl w:val="0"/>
          <w:numId w:val="1"/>
        </w:numPr>
        <w:spacing w:after="80"/>
      </w:pPr>
      <w:r>
        <w:t>What IMESI Means for Firms and Financial Institutions</w:t>
      </w:r>
    </w:p>
    <w:p w14:paraId="16A99970" w14:textId="77777777" w:rsidR="00A306EF" w:rsidRDefault="00000000">
      <w:pPr>
        <w:numPr>
          <w:ilvl w:val="0"/>
          <w:numId w:val="1"/>
        </w:numPr>
        <w:spacing w:after="80"/>
      </w:pPr>
      <w:r>
        <w:t>Minimum Viable Scenario (tariff shock walk-through)</w:t>
      </w:r>
    </w:p>
    <w:p w14:paraId="03701A29" w14:textId="77777777" w:rsidR="00A306EF" w:rsidRDefault="00000000">
      <w:pPr>
        <w:numPr>
          <w:ilvl w:val="0"/>
          <w:numId w:val="1"/>
        </w:numPr>
        <w:spacing w:after="80"/>
      </w:pPr>
      <w:r>
        <w:t>Annex 1: IMESI-International Framework Compatibility Matrix</w:t>
      </w:r>
    </w:p>
    <w:p w14:paraId="7EA83A68" w14:textId="77777777" w:rsidR="00A306EF" w:rsidRDefault="00000000">
      <w:pPr>
        <w:spacing w:after="80"/>
      </w:pPr>
      <w:r>
        <w:t>Political Roadmap (8 provisions)</w:t>
      </w:r>
    </w:p>
    <w:p w14:paraId="16D5ABBC" w14:textId="77777777" w:rsidR="00A306EF" w:rsidRDefault="00000000">
      <w:pPr>
        <w:numPr>
          <w:ilvl w:val="0"/>
          <w:numId w:val="1"/>
        </w:numPr>
        <w:spacing w:after="80"/>
      </w:pPr>
      <w:r>
        <w:t>Founding Political Roadmap (3 anchor paths + sequence)</w:t>
      </w:r>
    </w:p>
    <w:p w14:paraId="1E29F9D4" w14:textId="77777777" w:rsidR="00A306EF" w:rsidRDefault="00000000">
      <w:pPr>
        <w:numPr>
          <w:ilvl w:val="0"/>
          <w:numId w:val="1"/>
        </w:numPr>
        <w:spacing w:after="80"/>
      </w:pPr>
      <w:r>
        <w:t>Section 3.1F: First-Mover Protection Package</w:t>
      </w:r>
    </w:p>
    <w:p w14:paraId="4B620C23" w14:textId="77777777" w:rsidR="00A306EF" w:rsidRDefault="00000000">
      <w:pPr>
        <w:numPr>
          <w:ilvl w:val="0"/>
          <w:numId w:val="1"/>
        </w:numPr>
        <w:spacing w:after="80"/>
      </w:pPr>
      <w:r>
        <w:t>Section 10A.2B: Minimum Viable Coalition</w:t>
      </w:r>
    </w:p>
    <w:p w14:paraId="0B78778E" w14:textId="77777777" w:rsidR="00A306EF" w:rsidRDefault="00000000">
      <w:pPr>
        <w:numPr>
          <w:ilvl w:val="0"/>
          <w:numId w:val="1"/>
        </w:numPr>
        <w:spacing w:after="80"/>
      </w:pPr>
      <w:r>
        <w:t>Section 10A.2C: Founding Phase Operational Scope</w:t>
      </w:r>
    </w:p>
    <w:p w14:paraId="278F3816" w14:textId="77777777" w:rsidR="00A306EF" w:rsidRDefault="00000000">
      <w:pPr>
        <w:numPr>
          <w:ilvl w:val="0"/>
          <w:numId w:val="1"/>
        </w:numPr>
        <w:spacing w:after="80"/>
      </w:pPr>
      <w:r>
        <w:t>Annex 8A: Illustrative Capitalization Model</w:t>
      </w:r>
    </w:p>
    <w:p w14:paraId="3C6771FE" w14:textId="77777777" w:rsidR="00A306EF" w:rsidRDefault="00000000">
      <w:pPr>
        <w:numPr>
          <w:ilvl w:val="0"/>
          <w:numId w:val="1"/>
        </w:numPr>
        <w:spacing w:after="80"/>
      </w:pPr>
      <w:r>
        <w:t>Section 8.4E: Multi-Crisis Stress Envelope</w:t>
      </w:r>
    </w:p>
    <w:p w14:paraId="678CFA7B" w14:textId="77777777" w:rsidR="00A306EF" w:rsidRDefault="00000000">
      <w:pPr>
        <w:numPr>
          <w:ilvl w:val="0"/>
          <w:numId w:val="1"/>
        </w:numPr>
        <w:spacing w:after="80"/>
      </w:pPr>
      <w:r>
        <w:t>Annex 23: Institutional Hosting Options</w:t>
      </w:r>
    </w:p>
    <w:p w14:paraId="26723F64" w14:textId="77777777" w:rsidR="00A306EF" w:rsidRDefault="00000000">
      <w:pPr>
        <w:numPr>
          <w:ilvl w:val="0"/>
          <w:numId w:val="1"/>
        </w:numPr>
        <w:spacing w:after="80"/>
      </w:pPr>
      <w:r>
        <w:t>Pilot Scenario Proposal (agricultural exporters)</w:t>
      </w:r>
    </w:p>
    <w:p w14:paraId="07F698BA" w14:textId="77777777" w:rsidR="00A306EF" w:rsidRDefault="00000000">
      <w:pPr>
        <w:spacing w:after="80"/>
      </w:pPr>
      <w:r>
        <w:t>v10.0 Final Architecture (11 provisions)</w:t>
      </w:r>
    </w:p>
    <w:p w14:paraId="1A4DD04B" w14:textId="77777777" w:rsidR="00A306EF" w:rsidRDefault="00000000">
      <w:pPr>
        <w:numPr>
          <w:ilvl w:val="0"/>
          <w:numId w:val="1"/>
        </w:numPr>
        <w:spacing w:after="80"/>
      </w:pPr>
      <w:r>
        <w:t>Section 2.0A: Universal Applicability Principle</w:t>
      </w:r>
    </w:p>
    <w:p w14:paraId="363C93FB" w14:textId="77777777" w:rsidR="00A306EF" w:rsidRDefault="00000000">
      <w:pPr>
        <w:numPr>
          <w:ilvl w:val="0"/>
          <w:numId w:val="1"/>
        </w:numPr>
        <w:spacing w:after="80"/>
      </w:pPr>
      <w:r>
        <w:t>Section 3.1G: Systemic Economy Founding Sponsor Option</w:t>
      </w:r>
    </w:p>
    <w:p w14:paraId="4D05C9A4" w14:textId="77777777" w:rsidR="00A306EF" w:rsidRDefault="00000000">
      <w:pPr>
        <w:numPr>
          <w:ilvl w:val="0"/>
          <w:numId w:val="1"/>
        </w:numPr>
        <w:spacing w:after="80"/>
      </w:pPr>
      <w:r>
        <w:t>Section 4.5A: IMESI Leaders' Meeting (biennial)</w:t>
      </w:r>
    </w:p>
    <w:p w14:paraId="72158107" w14:textId="77777777" w:rsidR="00A306EF" w:rsidRDefault="00000000">
      <w:pPr>
        <w:numPr>
          <w:ilvl w:val="0"/>
          <w:numId w:val="1"/>
        </w:numPr>
        <w:spacing w:after="80"/>
      </w:pPr>
      <w:r>
        <w:lastRenderedPageBreak/>
        <w:t>Section 8.9D: First-Mover Protection Window</w:t>
      </w:r>
    </w:p>
    <w:p w14:paraId="3E03CB53" w14:textId="77777777" w:rsidR="00A306EF" w:rsidRDefault="00000000">
      <w:pPr>
        <w:numPr>
          <w:ilvl w:val="0"/>
          <w:numId w:val="1"/>
        </w:numPr>
        <w:spacing w:after="80"/>
      </w:pPr>
      <w:r>
        <w:t>Section 9.6A: Open Architecture for Partial Accession</w:t>
      </w:r>
    </w:p>
    <w:p w14:paraId="329C0AA4" w14:textId="77777777" w:rsidR="00A306EF" w:rsidRDefault="00000000">
      <w:pPr>
        <w:numPr>
          <w:ilvl w:val="0"/>
          <w:numId w:val="1"/>
        </w:numPr>
        <w:spacing w:after="80"/>
      </w:pPr>
      <w:r>
        <w:t>Section 9.8A: IMESI Business Council</w:t>
      </w:r>
    </w:p>
    <w:p w14:paraId="2751071A" w14:textId="77777777" w:rsidR="00A306EF" w:rsidRDefault="00000000">
      <w:pPr>
        <w:numPr>
          <w:ilvl w:val="0"/>
          <w:numId w:val="1"/>
        </w:numPr>
        <w:spacing w:after="80"/>
      </w:pPr>
      <w:r>
        <w:t>Section 10A.2D: Pre-Activated Core (Standing Cooperation)</w:t>
      </w:r>
    </w:p>
    <w:p w14:paraId="6A8A3BE5" w14:textId="77777777" w:rsidR="00A306EF" w:rsidRDefault="00000000">
      <w:pPr>
        <w:numPr>
          <w:ilvl w:val="0"/>
          <w:numId w:val="1"/>
        </w:numPr>
        <w:spacing w:after="80"/>
      </w:pPr>
      <w:r>
        <w:t>Section 10A.5A: Mandatory Renewal and Performance Audit</w:t>
      </w:r>
    </w:p>
    <w:p w14:paraId="5428BD05" w14:textId="77777777" w:rsidR="00A306EF" w:rsidRDefault="00000000">
      <w:pPr>
        <w:numPr>
          <w:ilvl w:val="0"/>
          <w:numId w:val="1"/>
        </w:numPr>
        <w:spacing w:after="80"/>
      </w:pPr>
      <w:r>
        <w:t>Annex 5A (Addendum): Parliamentary Readiness Protocol</w:t>
      </w:r>
    </w:p>
    <w:p w14:paraId="39E85A2F" w14:textId="77777777" w:rsidR="00A306EF" w:rsidRDefault="00000000">
      <w:pPr>
        <w:numPr>
          <w:ilvl w:val="0"/>
          <w:numId w:val="1"/>
        </w:numPr>
        <w:spacing w:after="80"/>
      </w:pPr>
      <w:r>
        <w:t>Scenario F: Non-Military Pressure on a Frontline State</w:t>
      </w:r>
    </w:p>
    <w:p w14:paraId="21D89019" w14:textId="77777777" w:rsidR="00A306EF" w:rsidRDefault="00000000">
      <w:pPr>
        <w:numPr>
          <w:ilvl w:val="0"/>
          <w:numId w:val="1"/>
        </w:numPr>
        <w:spacing w:after="80"/>
      </w:pPr>
      <w:r>
        <w:t>Section 4.2U: Rapid Legitimacy Signal Mechanism (RLSM)</w:t>
      </w:r>
    </w:p>
    <w:p w14:paraId="0C1CCC74" w14:textId="77777777" w:rsidR="00A306EF" w:rsidRDefault="00000000">
      <w:pPr>
        <w:spacing w:after="80"/>
      </w:pPr>
      <w:r>
        <w:t>Ministerial Accessibility and Real-World Grounding (12 provisions)</w:t>
      </w:r>
    </w:p>
    <w:p w14:paraId="47DC288D" w14:textId="77777777" w:rsidR="00A306EF" w:rsidRDefault="00000000">
      <w:pPr>
        <w:numPr>
          <w:ilvl w:val="0"/>
          <w:numId w:val="1"/>
        </w:numPr>
        <w:spacing w:after="80"/>
      </w:pPr>
      <w:r>
        <w:t>Financial Snapshot for Ministers (contribution bands, caps, case costs)</w:t>
      </w:r>
    </w:p>
    <w:p w14:paraId="640C7BB8" w14:textId="77777777" w:rsidR="00A306EF" w:rsidRDefault="00000000">
      <w:pPr>
        <w:numPr>
          <w:ilvl w:val="0"/>
          <w:numId w:val="1"/>
        </w:numPr>
        <w:spacing w:after="80"/>
      </w:pPr>
      <w:r>
        <w:t>Patterns IMESI Is Built For (real-world anchoring)</w:t>
      </w:r>
    </w:p>
    <w:p w14:paraId="4DF31B28" w14:textId="77777777" w:rsidR="00A306EF" w:rsidRDefault="00000000">
      <w:pPr>
        <w:numPr>
          <w:ilvl w:val="0"/>
          <w:numId w:val="1"/>
        </w:numPr>
        <w:spacing w:after="80"/>
      </w:pPr>
      <w:r>
        <w:t>Banks and Financial Institutions: What Changes by Phase (table)</w:t>
      </w:r>
    </w:p>
    <w:p w14:paraId="0265BB28" w14:textId="77777777" w:rsidR="00A306EF" w:rsidRDefault="00000000">
      <w:pPr>
        <w:numPr>
          <w:ilvl w:val="0"/>
          <w:numId w:val="1"/>
        </w:numPr>
        <w:spacing w:after="80"/>
      </w:pPr>
      <w:r>
        <w:t>Exporters, Importers, and Platforms: What Changes by Phase (table)</w:t>
      </w:r>
    </w:p>
    <w:p w14:paraId="13C9970B" w14:textId="77777777" w:rsidR="00A306EF" w:rsidRDefault="00000000">
      <w:pPr>
        <w:numPr>
          <w:ilvl w:val="0"/>
          <w:numId w:val="1"/>
        </w:numPr>
        <w:spacing w:after="80"/>
      </w:pPr>
      <w:r>
        <w:t>Section 9.8B: Private-Sector Compliance Principles</w:t>
      </w:r>
    </w:p>
    <w:p w14:paraId="37B44C9A" w14:textId="77777777" w:rsidR="00A306EF" w:rsidRDefault="00000000">
      <w:pPr>
        <w:numPr>
          <w:ilvl w:val="0"/>
          <w:numId w:val="1"/>
        </w:numPr>
        <w:spacing w:after="80"/>
      </w:pPr>
      <w:r>
        <w:t>Section 9.8A+: Corporate Early Warning Role</w:t>
      </w:r>
    </w:p>
    <w:p w14:paraId="1AEB84FE" w14:textId="77777777" w:rsidR="00A306EF" w:rsidRDefault="00000000">
      <w:pPr>
        <w:numPr>
          <w:ilvl w:val="0"/>
          <w:numId w:val="1"/>
        </w:numPr>
        <w:spacing w:after="80"/>
      </w:pPr>
      <w:r>
        <w:t>Full Walkthrough: Discriminatory Tariffs (Day 0-75)</w:t>
      </w:r>
    </w:p>
    <w:p w14:paraId="5859BDF8" w14:textId="77777777" w:rsidR="00A306EF" w:rsidRDefault="00000000">
      <w:pPr>
        <w:numPr>
          <w:ilvl w:val="0"/>
          <w:numId w:val="1"/>
        </w:numPr>
        <w:spacing w:after="80"/>
      </w:pPr>
      <w:r>
        <w:t>Section 4.1+: Anti-Weaponization Guarantee</w:t>
      </w:r>
    </w:p>
    <w:p w14:paraId="05D9A7B1" w14:textId="77777777" w:rsidR="00A306EF" w:rsidRDefault="00000000">
      <w:pPr>
        <w:numPr>
          <w:ilvl w:val="0"/>
          <w:numId w:val="1"/>
        </w:numPr>
        <w:spacing w:after="80"/>
      </w:pPr>
      <w:r>
        <w:t>FAQ: Members Disagree on Third-State Coercion</w:t>
      </w:r>
    </w:p>
    <w:p w14:paraId="0A02E78D" w14:textId="77777777" w:rsidR="00A306EF" w:rsidRDefault="00000000">
      <w:pPr>
        <w:numPr>
          <w:ilvl w:val="0"/>
          <w:numId w:val="1"/>
        </w:numPr>
        <w:spacing w:after="80"/>
      </w:pPr>
      <w:r>
        <w:t>FAQ: Coercing State Is an IMESI Member</w:t>
      </w:r>
    </w:p>
    <w:p w14:paraId="2C79D32E" w14:textId="77777777" w:rsidR="00A306EF" w:rsidRDefault="00000000">
      <w:pPr>
        <w:numPr>
          <w:ilvl w:val="0"/>
          <w:numId w:val="1"/>
        </w:numPr>
        <w:spacing w:after="80"/>
      </w:pPr>
      <w:r>
        <w:t>FAQ: Interaction with Existing Sanctions</w:t>
      </w:r>
    </w:p>
    <w:p w14:paraId="58A76613" w14:textId="77777777" w:rsidR="00A306EF" w:rsidRDefault="00000000">
      <w:pPr>
        <w:numPr>
          <w:ilvl w:val="0"/>
          <w:numId w:val="1"/>
        </w:numPr>
        <w:spacing w:after="80"/>
      </w:pPr>
      <w:r>
        <w:t>Who Moves First (convening signal)</w:t>
      </w:r>
    </w:p>
    <w:p w14:paraId="2903C2FE" w14:textId="77777777" w:rsidR="00A306EF" w:rsidRDefault="00000000">
      <w:pPr>
        <w:spacing w:after="80"/>
      </w:pPr>
      <w:r>
        <w:t>Structural Simplification (5 provisions)</w:t>
      </w:r>
    </w:p>
    <w:p w14:paraId="105C46D2" w14:textId="77777777" w:rsidR="00A306EF" w:rsidRDefault="00000000">
      <w:pPr>
        <w:numPr>
          <w:ilvl w:val="0"/>
          <w:numId w:val="1"/>
        </w:numPr>
        <w:spacing w:after="80"/>
      </w:pPr>
      <w:r>
        <w:t>Timeframes and Threshold Bands (4 standard bands)</w:t>
      </w:r>
    </w:p>
    <w:p w14:paraId="3F1590C6" w14:textId="77777777" w:rsidR="00A306EF" w:rsidRDefault="00000000">
      <w:pPr>
        <w:numPr>
          <w:ilvl w:val="0"/>
          <w:numId w:val="1"/>
        </w:numPr>
        <w:spacing w:after="80"/>
      </w:pPr>
      <w:r>
        <w:t>How the Clock Works (Hours / Days / Months framing)</w:t>
      </w:r>
    </w:p>
    <w:p w14:paraId="395FD565" w14:textId="77777777" w:rsidR="00A306EF" w:rsidRDefault="00000000">
      <w:pPr>
        <w:numPr>
          <w:ilvl w:val="0"/>
          <w:numId w:val="1"/>
        </w:numPr>
        <w:spacing w:after="80"/>
      </w:pPr>
      <w:r>
        <w:t>Section 5.0G: Harmonized Review Cycles (30 / 90 / 180 days)</w:t>
      </w:r>
    </w:p>
    <w:p w14:paraId="2C8A58E3" w14:textId="77777777" w:rsidR="00A306EF" w:rsidRDefault="00000000">
      <w:pPr>
        <w:numPr>
          <w:ilvl w:val="0"/>
          <w:numId w:val="1"/>
        </w:numPr>
        <w:spacing w:after="80"/>
      </w:pPr>
      <w:r>
        <w:t>Section 5.5A: Unified Existential Speed Protocol (ESP)</w:t>
      </w:r>
    </w:p>
    <w:p w14:paraId="5280C418" w14:textId="77777777" w:rsidR="00A306EF" w:rsidRDefault="00000000">
      <w:pPr>
        <w:numPr>
          <w:ilvl w:val="0"/>
          <w:numId w:val="1"/>
        </w:numPr>
        <w:spacing w:after="80"/>
      </w:pPr>
      <w:r>
        <w:t>Annex 24: Operational Thresholds and Calibration Bands</w:t>
      </w:r>
    </w:p>
    <w:p w14:paraId="30EFBF6F" w14:textId="77777777" w:rsidR="00A306EF" w:rsidRDefault="00000000">
      <w:pPr>
        <w:spacing w:after="80"/>
      </w:pPr>
      <w:r>
        <w:t>v10.0 Final Polish (5 provisions)</w:t>
      </w:r>
    </w:p>
    <w:p w14:paraId="788FE2AF" w14:textId="77777777" w:rsidR="00A306EF" w:rsidRDefault="00000000">
      <w:pPr>
        <w:numPr>
          <w:ilvl w:val="0"/>
          <w:numId w:val="1"/>
        </w:numPr>
        <w:spacing w:after="80"/>
      </w:pPr>
      <w:r>
        <w:t>Operational Simplicity Principle (three anchors framing)</w:t>
      </w:r>
    </w:p>
    <w:p w14:paraId="42F839DA" w14:textId="77777777" w:rsidR="00A306EF" w:rsidRDefault="00000000">
      <w:pPr>
        <w:numPr>
          <w:ilvl w:val="0"/>
          <w:numId w:val="1"/>
        </w:numPr>
        <w:spacing w:after="80"/>
      </w:pPr>
      <w:r>
        <w:t>Non-Defense Character (Reinforced) (Philosophical Preamble)</w:t>
      </w:r>
    </w:p>
    <w:p w14:paraId="47D037C9" w14:textId="77777777" w:rsidR="00A306EF" w:rsidRDefault="00000000">
      <w:pPr>
        <w:numPr>
          <w:ilvl w:val="0"/>
          <w:numId w:val="1"/>
        </w:numPr>
        <w:spacing w:after="80"/>
      </w:pPr>
      <w:r>
        <w:t>Section 6.0A: Solidarity-First Anti-Fragmentation Principle</w:t>
      </w:r>
    </w:p>
    <w:p w14:paraId="19F900D3" w14:textId="77777777" w:rsidR="00A306EF" w:rsidRDefault="00000000">
      <w:pPr>
        <w:numPr>
          <w:ilvl w:val="0"/>
          <w:numId w:val="1"/>
        </w:numPr>
        <w:spacing w:after="80"/>
      </w:pPr>
      <w:r>
        <w:t>Section 4.3C: Implementation Proportionality</w:t>
      </w:r>
    </w:p>
    <w:p w14:paraId="00A15A39" w14:textId="77777777" w:rsidR="00A306EF" w:rsidRDefault="00000000">
      <w:pPr>
        <w:numPr>
          <w:ilvl w:val="0"/>
          <w:numId w:val="1"/>
        </w:numPr>
        <w:spacing w:after="80"/>
      </w:pPr>
      <w:r>
        <w:t>Section 6.6 (Amended): Sub-National Protection, National Coordination</w:t>
      </w:r>
    </w:p>
    <w:p w14:paraId="490EFFB1" w14:textId="77777777" w:rsidR="00A306EF" w:rsidRDefault="00000000">
      <w:pPr>
        <w:numPr>
          <w:ilvl w:val="0"/>
          <w:numId w:val="1"/>
        </w:numPr>
        <w:spacing w:after="80"/>
      </w:pPr>
      <w:r>
        <w:lastRenderedPageBreak/>
        <w:t>Section 6.1(h): Corrupt Inducements and Off-Book Benefits</w:t>
      </w:r>
    </w:p>
    <w:p w14:paraId="5F7411FA" w14:textId="77777777" w:rsidR="00A306EF" w:rsidRDefault="00000000">
      <w:pPr>
        <w:numPr>
          <w:ilvl w:val="0"/>
          <w:numId w:val="1"/>
        </w:numPr>
        <w:spacing w:after="80"/>
      </w:pPr>
      <w:r>
        <w:t>Section 6.11(d): Corruption-Related Misconduct and Response Sequence</w:t>
      </w:r>
    </w:p>
    <w:p w14:paraId="02E27F9D" w14:textId="77777777" w:rsidR="00A306EF" w:rsidRDefault="00000000">
      <w:pPr>
        <w:spacing w:after="80"/>
      </w:pPr>
      <w:r>
        <w:t>Attribution and Biological Security (4 provisions)</w:t>
      </w:r>
    </w:p>
    <w:p w14:paraId="46464AB4" w14:textId="77777777" w:rsidR="00A306EF" w:rsidRDefault="00000000">
      <w:pPr>
        <w:numPr>
          <w:ilvl w:val="0"/>
          <w:numId w:val="1"/>
        </w:numPr>
        <w:spacing w:after="80"/>
      </w:pPr>
      <w:r>
        <w:t>Section 2.5D(f): Functional State-Adjoining Status</w:t>
      </w:r>
    </w:p>
    <w:p w14:paraId="11ACBCBA" w14:textId="77777777" w:rsidR="00A306EF" w:rsidRDefault="00000000">
      <w:pPr>
        <w:numPr>
          <w:ilvl w:val="0"/>
          <w:numId w:val="1"/>
        </w:numPr>
        <w:spacing w:after="80"/>
      </w:pPr>
      <w:r>
        <w:t>Section 2.5(g): Systemic Forbearance, Experimental Pathway</w:t>
      </w:r>
    </w:p>
    <w:p w14:paraId="2AD0F42D" w14:textId="77777777" w:rsidR="00A306EF" w:rsidRDefault="00000000">
      <w:pPr>
        <w:numPr>
          <w:ilvl w:val="0"/>
          <w:numId w:val="1"/>
        </w:numPr>
        <w:spacing w:after="80"/>
      </w:pPr>
      <w:r>
        <w:t>Annex 2A: Functional State-Adjoining Sector List</w:t>
      </w:r>
    </w:p>
    <w:p w14:paraId="2D343C90" w14:textId="77777777" w:rsidR="00A306EF" w:rsidRDefault="00000000">
      <w:pPr>
        <w:numPr>
          <w:ilvl w:val="0"/>
          <w:numId w:val="1"/>
        </w:numPr>
        <w:spacing w:after="80"/>
      </w:pPr>
      <w:r>
        <w:t>Annex 2B: Biological Security Information Coercion Protocol [Pilot]</w:t>
      </w:r>
    </w:p>
    <w:p w14:paraId="48042E76" w14:textId="77777777" w:rsidR="00A306EF" w:rsidRDefault="00000000">
      <w:pPr>
        <w:spacing w:after="80"/>
      </w:pPr>
      <w:r>
        <w:t>Emerging Threat Vectors (11 provisions)</w:t>
      </w:r>
    </w:p>
    <w:p w14:paraId="63775003" w14:textId="77777777" w:rsidR="00A306EF" w:rsidRDefault="00000000">
      <w:pPr>
        <w:numPr>
          <w:ilvl w:val="0"/>
          <w:numId w:val="1"/>
        </w:numPr>
        <w:spacing w:after="80"/>
      </w:pPr>
      <w:r>
        <w:t>Section 8.10X: CBDC Monitoring</w:t>
      </w:r>
    </w:p>
    <w:p w14:paraId="7345798C" w14:textId="77777777" w:rsidR="00A306EF" w:rsidRDefault="00000000">
      <w:pPr>
        <w:numPr>
          <w:ilvl w:val="0"/>
          <w:numId w:val="1"/>
        </w:numPr>
        <w:spacing w:after="80"/>
      </w:pPr>
      <w:r>
        <w:t>Section 2.2+: CBDC-Based Financial Exclusion Precursor</w:t>
      </w:r>
    </w:p>
    <w:p w14:paraId="4B54F6BB" w14:textId="77777777" w:rsidR="00A306EF" w:rsidRDefault="00000000">
      <w:pPr>
        <w:numPr>
          <w:ilvl w:val="0"/>
          <w:numId w:val="1"/>
        </w:numPr>
        <w:spacing w:after="80"/>
      </w:pPr>
      <w:r>
        <w:t>Section 8.10+: SFI Coverage of Emerging Payment Channels</w:t>
      </w:r>
    </w:p>
    <w:p w14:paraId="158A3BFA" w14:textId="77777777" w:rsidR="00A306EF" w:rsidRDefault="00000000">
      <w:pPr>
        <w:numPr>
          <w:ilvl w:val="0"/>
          <w:numId w:val="1"/>
        </w:numPr>
        <w:spacing w:after="80"/>
      </w:pPr>
      <w:r>
        <w:t>Section 2.10+: Automated Regulatory Measures in Gradual Pressure</w:t>
      </w:r>
    </w:p>
    <w:p w14:paraId="732BA9B4" w14:textId="77777777" w:rsidR="00A306EF" w:rsidRDefault="00000000">
      <w:pPr>
        <w:numPr>
          <w:ilvl w:val="0"/>
          <w:numId w:val="1"/>
        </w:numPr>
        <w:spacing w:after="80"/>
      </w:pPr>
      <w:r>
        <w:t>Patterns+: Algorithmic Regulatory Harassment</w:t>
      </w:r>
    </w:p>
    <w:p w14:paraId="6D1A4DF5" w14:textId="77777777" w:rsidR="00A306EF" w:rsidRDefault="00000000">
      <w:pPr>
        <w:numPr>
          <w:ilvl w:val="0"/>
          <w:numId w:val="1"/>
        </w:numPr>
        <w:spacing w:after="80"/>
      </w:pPr>
      <w:r>
        <w:t>Section 4.2P+: IEWC Automated Pattern Tracking</w:t>
      </w:r>
    </w:p>
    <w:p w14:paraId="252D9BAE" w14:textId="77777777" w:rsidR="00A306EF" w:rsidRDefault="00000000">
      <w:pPr>
        <w:numPr>
          <w:ilvl w:val="0"/>
          <w:numId w:val="1"/>
        </w:numPr>
        <w:spacing w:after="80"/>
      </w:pPr>
      <w:r>
        <w:t>Section 2.7+: Climate Ambition Non-Adjudication</w:t>
      </w:r>
    </w:p>
    <w:p w14:paraId="61BA166F" w14:textId="77777777" w:rsidR="00A306EF" w:rsidRDefault="00000000">
      <w:pPr>
        <w:numPr>
          <w:ilvl w:val="0"/>
          <w:numId w:val="1"/>
        </w:numPr>
        <w:spacing w:after="80"/>
      </w:pPr>
      <w:r>
        <w:t>Section 2.7+: Paris-Aligned Policy Safeguard</w:t>
      </w:r>
    </w:p>
    <w:p w14:paraId="3AFB9151" w14:textId="77777777" w:rsidR="00A306EF" w:rsidRDefault="00000000">
      <w:pPr>
        <w:numPr>
          <w:ilvl w:val="0"/>
          <w:numId w:val="1"/>
        </w:numPr>
        <w:spacing w:after="80"/>
      </w:pPr>
      <w:r>
        <w:t>Annex 11B+: Standards-Body Manipulation</w:t>
      </w:r>
    </w:p>
    <w:p w14:paraId="6002A6F7" w14:textId="77777777" w:rsidR="00A306EF" w:rsidRDefault="00000000">
      <w:pPr>
        <w:numPr>
          <w:ilvl w:val="0"/>
          <w:numId w:val="1"/>
        </w:numPr>
        <w:spacing w:after="80"/>
      </w:pPr>
      <w:r>
        <w:t>Annex 16+: IMESI-Targeted Disinformation Response</w:t>
      </w:r>
    </w:p>
    <w:p w14:paraId="60CC4A10" w14:textId="77777777" w:rsidR="00A306EF" w:rsidRDefault="00000000">
      <w:pPr>
        <w:numPr>
          <w:ilvl w:val="0"/>
          <w:numId w:val="1"/>
        </w:numPr>
        <w:spacing w:after="80"/>
      </w:pPr>
      <w:r>
        <w:t>Section 2.9+: Coalition-Targeted Information Operations</w:t>
      </w:r>
    </w:p>
    <w:p w14:paraId="18423D14" w14:textId="77777777" w:rsidR="00A306EF" w:rsidRDefault="00000000">
      <w:pPr>
        <w:spacing w:after="80"/>
      </w:pPr>
      <w:r>
        <w:t>Adoption Hardening (7 provisions)</w:t>
      </w:r>
    </w:p>
    <w:p w14:paraId="402DE602" w14:textId="77777777" w:rsidR="00A306EF" w:rsidRDefault="00000000">
      <w:pPr>
        <w:numPr>
          <w:ilvl w:val="0"/>
          <w:numId w:val="1"/>
        </w:numPr>
        <w:spacing w:after="80"/>
      </w:pPr>
      <w:r>
        <w:t>Section 1.0D: Regulatory Sovereignty Firewall</w:t>
      </w:r>
    </w:p>
    <w:p w14:paraId="3BDDA7FA" w14:textId="77777777" w:rsidR="00A306EF" w:rsidRDefault="00000000">
      <w:pPr>
        <w:numPr>
          <w:ilvl w:val="0"/>
          <w:numId w:val="1"/>
        </w:numPr>
        <w:spacing w:after="80"/>
      </w:pPr>
      <w:r>
        <w:t>Section 1.4D+: GSD/SND Routine Policy Exclusions</w:t>
      </w:r>
    </w:p>
    <w:p w14:paraId="41820613" w14:textId="77777777" w:rsidR="00A306EF" w:rsidRDefault="00000000">
      <w:pPr>
        <w:numPr>
          <w:ilvl w:val="0"/>
          <w:numId w:val="1"/>
        </w:numPr>
        <w:spacing w:after="80"/>
      </w:pPr>
      <w:r>
        <w:t>Section 3.3D: Minimum Viable Implementation Layer (MVIL)</w:t>
      </w:r>
    </w:p>
    <w:p w14:paraId="342FE217" w14:textId="77777777" w:rsidR="00A306EF" w:rsidRDefault="00000000">
      <w:pPr>
        <w:numPr>
          <w:ilvl w:val="0"/>
          <w:numId w:val="1"/>
        </w:numPr>
        <w:spacing w:after="80"/>
      </w:pPr>
      <w:r>
        <w:t>Section 5.0H: Non-Coordination Implementation Safe Harbour</w:t>
      </w:r>
    </w:p>
    <w:p w14:paraId="2C01685E" w14:textId="77777777" w:rsidR="00A306EF" w:rsidRDefault="00000000">
      <w:pPr>
        <w:numPr>
          <w:ilvl w:val="0"/>
          <w:numId w:val="1"/>
        </w:numPr>
        <w:spacing w:after="80"/>
      </w:pPr>
      <w:r>
        <w:t>Section 5.0I: Implementation Flexibility Menu</w:t>
      </w:r>
    </w:p>
    <w:p w14:paraId="4D0DBA16" w14:textId="77777777" w:rsidR="00A306EF" w:rsidRDefault="00000000">
      <w:pPr>
        <w:numPr>
          <w:ilvl w:val="0"/>
          <w:numId w:val="1"/>
        </w:numPr>
        <w:spacing w:after="80"/>
      </w:pPr>
      <w:r>
        <w:t>Section 5.2B: Enhanced Consultation for Systemic Economies</w:t>
      </w:r>
    </w:p>
    <w:p w14:paraId="22A8B2F7" w14:textId="77777777" w:rsidR="00A306EF" w:rsidRDefault="00000000">
      <w:pPr>
        <w:numPr>
          <w:ilvl w:val="0"/>
          <w:numId w:val="1"/>
        </w:numPr>
        <w:spacing w:after="80"/>
      </w:pPr>
      <w:r>
        <w:t>Section 8.11B: Track A Spillover Support for Non-Members</w:t>
      </w:r>
    </w:p>
    <w:p w14:paraId="3CE66075" w14:textId="77777777" w:rsidR="00A306EF" w:rsidRDefault="00000000">
      <w:pPr>
        <w:spacing w:after="80"/>
      </w:pPr>
      <w:r>
        <w:t>v10.0 Provisions (7 provisions)</w:t>
      </w:r>
    </w:p>
    <w:p w14:paraId="6D0F4137" w14:textId="77777777" w:rsidR="00A306EF" w:rsidRDefault="00000000">
      <w:pPr>
        <w:numPr>
          <w:ilvl w:val="0"/>
          <w:numId w:val="1"/>
        </w:numPr>
        <w:spacing w:after="80"/>
      </w:pPr>
      <w:r>
        <w:t>Section 4.3D: Impact and Deterrence Note</w:t>
      </w:r>
    </w:p>
    <w:p w14:paraId="7D45DD94" w14:textId="77777777" w:rsidR="00A306EF" w:rsidRDefault="00000000">
      <w:pPr>
        <w:numPr>
          <w:ilvl w:val="0"/>
          <w:numId w:val="1"/>
        </w:numPr>
        <w:spacing w:after="80"/>
      </w:pPr>
      <w:r>
        <w:t>Section 5.0J: Standard Response Templates</w:t>
      </w:r>
    </w:p>
    <w:p w14:paraId="7C5267AE" w14:textId="77777777" w:rsidR="00A306EF" w:rsidRDefault="00000000">
      <w:pPr>
        <w:numPr>
          <w:ilvl w:val="0"/>
          <w:numId w:val="1"/>
        </w:numPr>
        <w:spacing w:after="80"/>
      </w:pPr>
      <w:r>
        <w:t>Section 4.1B: National IMESI Authority</w:t>
      </w:r>
    </w:p>
    <w:p w14:paraId="0060743A" w14:textId="77777777" w:rsidR="00A306EF" w:rsidRDefault="00000000">
      <w:pPr>
        <w:numPr>
          <w:ilvl w:val="0"/>
          <w:numId w:val="1"/>
        </w:numPr>
        <w:spacing w:after="80"/>
      </w:pPr>
      <w:r>
        <w:t>Section 4.2V: IEWC Determination Transparency</w:t>
      </w:r>
    </w:p>
    <w:p w14:paraId="0F578BD9" w14:textId="77777777" w:rsidR="00A306EF" w:rsidRDefault="00000000">
      <w:pPr>
        <w:numPr>
          <w:ilvl w:val="0"/>
          <w:numId w:val="1"/>
        </w:numPr>
        <w:spacing w:after="80"/>
      </w:pPr>
      <w:r>
        <w:t>Annex 1A.1+: WTO Defensive Framing</w:t>
      </w:r>
    </w:p>
    <w:p w14:paraId="2C9CAED8" w14:textId="77777777" w:rsidR="00A306EF" w:rsidRDefault="00000000">
      <w:pPr>
        <w:numPr>
          <w:ilvl w:val="0"/>
          <w:numId w:val="1"/>
        </w:numPr>
        <w:spacing w:after="80"/>
      </w:pPr>
      <w:r>
        <w:lastRenderedPageBreak/>
        <w:t>Section 6.0B: Temporary Crisis Deviation Allowance</w:t>
      </w:r>
    </w:p>
    <w:p w14:paraId="11EC605B" w14:textId="77777777" w:rsidR="00A306EF" w:rsidRDefault="00000000">
      <w:pPr>
        <w:numPr>
          <w:ilvl w:val="0"/>
          <w:numId w:val="1"/>
        </w:numPr>
        <w:spacing w:after="80"/>
      </w:pPr>
      <w:r>
        <w:t>Section 2.9+: Cognitive Coercion Strict Scope Limitation</w:t>
      </w:r>
    </w:p>
    <w:p w14:paraId="34393E7A" w14:textId="77777777" w:rsidR="00A306EF" w:rsidRDefault="00000000">
      <w:pPr>
        <w:pStyle w:val="Heading1"/>
        <w:pageBreakBefore/>
        <w:spacing w:after="100"/>
      </w:pPr>
      <w:bookmarkStart w:id="13" w:name="_Toc237918132"/>
      <w:r>
        <w:lastRenderedPageBreak/>
        <w:t>PART B: OPERATIONAL ANNEXES</w:t>
      </w:r>
      <w:bookmarkStart w:id="14" w:name="_Toc000025"/>
      <w:bookmarkEnd w:id="13"/>
      <w:bookmarkEnd w:id="14"/>
    </w:p>
    <w:p w14:paraId="131EA9BC" w14:textId="77777777" w:rsidR="00A306EF" w:rsidRDefault="00000000">
      <w:pPr>
        <w:pStyle w:val="Heading1"/>
        <w:spacing w:after="100"/>
      </w:pPr>
      <w:bookmarkStart w:id="15" w:name="_Toc237918133"/>
      <w:r>
        <w:rPr>
          <w:rFonts w:cs="Calibri"/>
          <w:szCs w:val="30"/>
        </w:rPr>
        <w:t>ANNEX 1A.1: WTO DEFENCE-IN-DEPTH PROTOCOL</w:t>
      </w:r>
      <w:bookmarkStart w:id="16" w:name="_Toc000028"/>
      <w:bookmarkEnd w:id="15"/>
      <w:bookmarkEnd w:id="16"/>
    </w:p>
    <w:p w14:paraId="1A625BDA" w14:textId="77777777" w:rsidR="00A306EF" w:rsidRDefault="00000000">
      <w:pPr>
        <w:pStyle w:val="Heading3"/>
      </w:pPr>
      <w:r>
        <w:rPr>
          <w:rFonts w:cs="Calibri"/>
          <w:szCs w:val="22"/>
        </w:rPr>
        <w:t>Annex 1A.1 (Second Addendum): Emergency in International Relations Certification</w:t>
      </w:r>
    </w:p>
    <w:p w14:paraId="4A6A89C5" w14:textId="77777777" w:rsidR="00A306EF" w:rsidRDefault="00000000">
      <w:pPr>
        <w:spacing w:after="140"/>
      </w:pPr>
      <w:r>
        <w:rPr>
          <w:rFonts w:cs="Calibri"/>
          <w:szCs w:val="21"/>
        </w:rPr>
        <w:t>For purposes of GATT Article XXI(b)(iii), an emergency in international relations exists where the IEWC certifies economic coercion meeting the Article II definition and that coercion threatens the economic security or essential interests of one or more Members. This certification creates a rebuttable presumption of emergency.</w:t>
      </w:r>
    </w:p>
    <w:p w14:paraId="743420A8" w14:textId="77777777" w:rsidR="00A306EF" w:rsidRDefault="00000000">
      <w:pPr>
        <w:pStyle w:val="Heading3"/>
      </w:pPr>
      <w:r>
        <w:rPr>
          <w:rFonts w:cs="Calibri"/>
          <w:szCs w:val="22"/>
        </w:rPr>
        <w:t>Annex 1A.1 (Third Addendum): Pre-WTO Statute Tariffs</w:t>
      </w:r>
    </w:p>
    <w:p w14:paraId="0ED5C1EC" w14:textId="77777777" w:rsidR="00A306EF" w:rsidRDefault="00000000">
      <w:pPr>
        <w:spacing w:after="140"/>
      </w:pPr>
      <w:r>
        <w:rPr>
          <w:rFonts w:cs="Calibri"/>
          <w:szCs w:val="21"/>
        </w:rPr>
        <w:t>Tariffs imposed under Section 338 of the Smoot-Hawley Tariff Act, or any similar statute predating the WTO Agreement, carry a presumption of coercion under IMESI doctrine. IMESI Members coordinate a collective WTO challenge and treat such tariffs as an automatic Phase 2 trigger under the compressed consultation track.</w:t>
      </w:r>
    </w:p>
    <w:p w14:paraId="397D3BFF" w14:textId="77777777" w:rsidR="00A306EF" w:rsidRDefault="00000000">
      <w:pPr>
        <w:pStyle w:val="Heading3"/>
      </w:pPr>
      <w:r>
        <w:rPr>
          <w:rFonts w:cs="Calibri"/>
          <w:szCs w:val="22"/>
        </w:rPr>
        <w:t>Annex 1A.1 (Fourth Addendum): Third-State Trade Rebuttal</w:t>
      </w:r>
    </w:p>
    <w:p w14:paraId="1473877F" w14:textId="77777777" w:rsidR="00A306EF" w:rsidRDefault="00000000">
      <w:pPr>
        <w:spacing w:after="140"/>
      </w:pPr>
      <w:r>
        <w:rPr>
          <w:rFonts w:cs="Calibri"/>
          <w:szCs w:val="21"/>
        </w:rPr>
        <w:t>Under IMESI doctrine, the unilateral designation of a third state as a national security threat provides no legitimate basis for tariffs on IMESI Members that trade with that state. Claims that IMESI Members trade with an enemy carry a rebuttable presumption of coercive pretext and trigger the Systemic-Economy Fast-Track (Section 5.1A).</w:t>
      </w:r>
    </w:p>
    <w:p w14:paraId="2F21CF28" w14:textId="77777777" w:rsidR="00A306EF" w:rsidRDefault="00000000">
      <w:pPr>
        <w:pStyle w:val="Heading3"/>
      </w:pPr>
      <w:r>
        <w:rPr>
          <w:rFonts w:cs="Calibri"/>
          <w:szCs w:val="22"/>
        </w:rPr>
        <w:t>Annex 1A.1 (Fifth Addendum): National Security Claim Review</w:t>
      </w:r>
    </w:p>
    <w:p w14:paraId="3F14F7F7" w14:textId="77777777" w:rsidR="00A306EF" w:rsidRDefault="00000000">
      <w:pPr>
        <w:spacing w:after="140"/>
      </w:pPr>
      <w:r>
        <w:rPr>
          <w:rFonts w:cs="Calibri"/>
          <w:szCs w:val="21"/>
        </w:rPr>
        <w:t>Claims of national security to justify tariffs on IMESI Members undergo mandatory IEWC review. Where the IEWC determines the claim: (a) lacks credible evidence; (b) applies discriminatorily; (c) correlates temporally with a policy dispute; or (d) stands disproportionate to the stated security concern, the claim carries a rebuttable presumption of pretext. Tariffs based on pretextual national security claims constitute coercion.</w:t>
      </w:r>
    </w:p>
    <w:p w14:paraId="22798EAE" w14:textId="77777777" w:rsidR="00A306EF" w:rsidRDefault="00000000">
      <w:pPr>
        <w:spacing w:after="140"/>
      </w:pPr>
      <w:r>
        <w:t xml:space="preserve">Layer A, Primary Defense (GATT Article XXI): IMESI stabilization measures defended as measures taken in time of emergency in international relations under GATT Article XXI(c), with qualifying elements pre-certified by IEWC: documented economic coercion constituting threat to international peace and economic security; proportionality not exceeding 8% GDP cumulative impact on coercer state; reversibility upon cessation; non-discrimination among IMESI members. Layer B, Secondary Defense (GATT Article XX): Where Article XXI(c) is unavailable or contested: Article XX(g), conservation of exhaustible resources, for supply chain diversification; Article XX(b), protection of human life or health, for pharmaceutical and food security; Article XX(a), public morals, for measures responding to coercion against democratic institutions. Layer C, Tertiary Defense (Plurilateral Mutual Insurance): Pending WTO </w:t>
      </w:r>
      <w:r>
        <w:lastRenderedPageBreak/>
        <w:t>reform, IMESI proposes at MC14 a new GATS Article V bis 'Plurilateral Mutual Insurance' permitting defensive economic security cooperation.</w:t>
      </w:r>
    </w:p>
    <w:p w14:paraId="2C637BC9" w14:textId="77777777" w:rsidR="00A306EF" w:rsidRDefault="00000000">
      <w:pPr>
        <w:spacing w:after="140"/>
      </w:pPr>
      <w:r>
        <w:t>Until adoption, this layer operates as 'best endeavours' compatibility pledge without prejudice to third-party rights. IEWC Findings and Deference: IEWC findings on economic coercion existence and proportionality are entitled to respect and good-faith consideration in WTO proceedings. IMESI respondent requests panel consultation with IEWC technical experts. Panel/AB retains full independent judgment. Without Prejudice (v9.1): IEWC and IAC findings are without prejudice to WTO panels' ultimate legal interpretation of GATT provisions. IMESI asserts its own technical assessments as probative evidence, not binding authority, thereby respecting the multilateral system while preserving analytical independence. Model Pleadings Repository: Secretariat maintains model WTO defense pleadings for five scenario types: broad-based tariff response; strategic supply disruption; financial system exclusion; technology weaponization;</w:t>
      </w:r>
    </w:p>
    <w:p w14:paraId="7F9087F0" w14:textId="77777777" w:rsidR="00A306EF" w:rsidRDefault="00000000">
      <w:pPr>
        <w:spacing w:after="80"/>
      </w:pPr>
      <w:r>
        <w:rPr>
          <w:rFonts w:cs="Calibri"/>
          <w:szCs w:val="21"/>
        </w:rPr>
        <w:t>climate-trade coercion. Without Prejudice: Nothing in this Protocol authorises discrimination against non-coercing states. IMESI measures apply exclusively to documented coercers and their instrumentalities.</w:t>
      </w:r>
    </w:p>
    <w:p w14:paraId="66BBEBAF" w14:textId="77777777" w:rsidR="00A306EF" w:rsidRDefault="00000000">
      <w:pPr>
        <w:spacing w:after="80"/>
      </w:pPr>
      <w:r>
        <w:rPr>
          <w:rFonts w:cs="Calibri"/>
          <w:szCs w:val="21"/>
        </w:rPr>
        <w:t>Layer D, Pre-Certified Security-Exception Defense Module:</w:t>
      </w:r>
    </w:p>
    <w:p w14:paraId="524D8F2F" w14:textId="77777777" w:rsidR="00A306EF" w:rsidRDefault="00000000">
      <w:pPr>
        <w:spacing w:after="140"/>
      </w:pPr>
      <w:r>
        <w:rPr>
          <w:rFonts w:cs="Calibri"/>
          <w:szCs w:val="21"/>
        </w:rPr>
        <w:t>The Proportionality Certification Memo (Section 5.3A.2), where feasible, maps each response package to WTO security-exception elements: (a) IEWC coercion/AESI finding as emergency in international relations under GATT XXI(b)(iii); (b) bounded escalation bands as evidence of necessity; (c) reversibility and de-escalation commitments as evidence of temporariness; (d) non-discrimination safeguards as evidence of WTO consistency. This mapping is evidentiary only; it does not interpret WTO law or bind panels. Negotiation status: Tier 2 bargaining chip. Core: secure GATT Article XXI(c) primary defense. Expendable: Article 2 deference language, Layer C binding framing.</w:t>
      </w:r>
    </w:p>
    <w:p w14:paraId="047AEC86" w14:textId="77777777" w:rsidR="00A306EF" w:rsidRDefault="00000000">
      <w:pPr>
        <w:spacing w:after="80"/>
      </w:pPr>
      <w:r>
        <w:rPr>
          <w:rFonts w:cs="Calibri"/>
          <w:szCs w:val="21"/>
        </w:rPr>
        <w:t>Layer A.3, WTO-Compatibility Presumption:</w:t>
      </w:r>
    </w:p>
    <w:p w14:paraId="7AD07A1D" w14:textId="77777777" w:rsidR="00A306EF" w:rsidRDefault="00000000">
      <w:pPr>
        <w:spacing w:after="140"/>
      </w:pPr>
      <w:r>
        <w:rPr>
          <w:rFonts w:cs="Calibri"/>
          <w:szCs w:val="21"/>
        </w:rPr>
        <w:t>IEWC prepares a non-binding compatibility note for each response package: primary WTO justifications (XX/XXI); steps to preserve bound tariffs; plan to support WTO dispute settlement. The note attaches to the Proportionality Memo and is used as evidence but does not interpret WTO law or bind adjudicators.</w:t>
      </w:r>
    </w:p>
    <w:p w14:paraId="2AE99589" w14:textId="77777777" w:rsidR="00A306EF" w:rsidRDefault="00000000">
      <w:pPr>
        <w:pStyle w:val="Heading1"/>
        <w:spacing w:after="100"/>
      </w:pPr>
      <w:bookmarkStart w:id="17" w:name="_Toc237918134"/>
      <w:r>
        <w:t>ANNEX 1A.1A: PRE-AUTHORISED SECURITY EXCEPTION BRIEFS</w:t>
      </w:r>
      <w:bookmarkEnd w:id="17"/>
    </w:p>
    <w:p w14:paraId="5E1A6AEE" w14:textId="77777777" w:rsidR="00A306EF" w:rsidRDefault="00000000">
      <w:pPr>
        <w:spacing w:after="140"/>
      </w:pPr>
      <w:r>
        <w:t>(a) The Secretariat maintains a library of Pre-Authorized Security Exception Briefs, covering the five most common forms of economic coercion: (i) broad-based tariff shock; (ii) strategic supply disruption; (iii) financial system exclusion; (iv) technology weaponization; and (v) hybrid climate-trade coercion.</w:t>
      </w:r>
    </w:p>
    <w:p w14:paraId="36851536" w14:textId="77777777" w:rsidR="00A306EF" w:rsidRDefault="00000000">
      <w:pPr>
        <w:spacing w:after="140"/>
      </w:pPr>
      <w:r>
        <w:t>(b) Each Brief: (i) cites GATT Article XXI as the primary legal basis; (ii) incorporates the IEWC certification as evidence of the emergency in international relations; (iii) demonstrates the proportionality and temporariness of the response; and (iv) includes model WTO dispute settlement filings.</w:t>
      </w:r>
    </w:p>
    <w:p w14:paraId="2A8B8FE9" w14:textId="77777777" w:rsidR="00A306EF" w:rsidRDefault="00000000">
      <w:pPr>
        <w:spacing w:after="80"/>
      </w:pPr>
      <w:r>
        <w:t>(c) Members use the Briefs in any WTO proceeding challenging IMESI measures, and the Briefs are admissible as evidence of the Members' good-faith interpretation of their treaty obligations.</w:t>
      </w:r>
    </w:p>
    <w:p w14:paraId="471CA893" w14:textId="77777777" w:rsidR="00A306EF" w:rsidRDefault="00000000">
      <w:pPr>
        <w:spacing w:after="80"/>
      </w:pPr>
      <w:r>
        <w:t>Rationale: This ensures that even small or developing members hold a credible legal defense, raising the cost and risk for anyone attempting a WTO challenge.</w:t>
      </w:r>
    </w:p>
    <w:p w14:paraId="317BDB75" w14:textId="77777777" w:rsidR="00A306EF" w:rsidRDefault="00000000">
      <w:pPr>
        <w:pStyle w:val="Heading1"/>
        <w:spacing w:after="100"/>
      </w:pPr>
      <w:bookmarkStart w:id="18" w:name="_Toc237918135"/>
      <w:r>
        <w:rPr>
          <w:rFonts w:cs="Calibri"/>
          <w:szCs w:val="30"/>
        </w:rPr>
        <w:lastRenderedPageBreak/>
        <w:t>ANNEX 1B: INVESTMENT TREATY COORDINATION</w:t>
      </w:r>
      <w:bookmarkStart w:id="19" w:name="_Toc000030"/>
      <w:bookmarkEnd w:id="18"/>
      <w:bookmarkEnd w:id="19"/>
    </w:p>
    <w:p w14:paraId="779ED8FD" w14:textId="77777777" w:rsidR="00A306EF" w:rsidRDefault="00000000">
      <w:pPr>
        <w:pStyle w:val="Heading3"/>
      </w:pPr>
      <w:r>
        <w:rPr>
          <w:rFonts w:cs="Calibri"/>
          <w:szCs w:val="22"/>
        </w:rPr>
        <w:t>Annex 1B.1: Investment Treaty Coordination Protocol</w:t>
      </w:r>
    </w:p>
    <w:p w14:paraId="23F758AC" w14:textId="77777777" w:rsidR="00A306EF" w:rsidRDefault="00000000">
      <w:pPr>
        <w:spacing w:after="140"/>
      </w:pPr>
      <w:r>
        <w:rPr>
          <w:rFonts w:cs="Calibri"/>
          <w:szCs w:val="21"/>
        </w:rPr>
        <w:t>Members include in all new bilateral investment treaties and free trade agreements a clause recognizing IMESI stabilization measures as essential security measures. For existing treaties, Members deposit interpretive notes within 24 months.</w:t>
      </w:r>
    </w:p>
    <w:p w14:paraId="63119493" w14:textId="77777777" w:rsidR="00A306EF" w:rsidRDefault="00000000">
      <w:pPr>
        <w:spacing w:after="140"/>
      </w:pPr>
      <w:r>
        <w:rPr>
          <w:rFonts w:cs="Calibri"/>
          <w:szCs w:val="21"/>
        </w:rPr>
        <w:t>Common Defense: IMESI members coordinate ISDS defense through the Secretariat; unified legal argument: stabilization measures constitute essential security measures per Article II, Section 2.1. Model Clause: For new BITs/IIAs: Economic coercion stabilization measures taken pursuant to multilateral mutual insurance obligations constitute essential security measures exempt from ISDS jurisdiction. Existing Treaty Protocol: Members deposit side letters to existing treaties within 24 months, clarifying IMESI stabilization measures as excluded measures. Compensation Pool: Defection Penalty Fund (Section 8.6) allocates to members paying ISDS awards for IMESI-authorized stabilization measures.</w:t>
      </w:r>
    </w:p>
    <w:p w14:paraId="347DC04B" w14:textId="77777777" w:rsidR="00A306EF" w:rsidRDefault="00000000">
      <w:pPr>
        <w:pStyle w:val="Heading3"/>
      </w:pPr>
      <w:r>
        <w:rPr>
          <w:rFonts w:cs="Calibri"/>
          <w:szCs w:val="22"/>
        </w:rPr>
        <w:t>Annex 1B (Addendum): ISDS Defense Cost-Sharing Protocol</w:t>
      </w:r>
    </w:p>
    <w:p w14:paraId="5746BE82" w14:textId="77777777" w:rsidR="00A306EF" w:rsidRDefault="00000000">
      <w:pPr>
        <w:spacing w:after="140"/>
      </w:pPr>
      <w:r>
        <w:t>The Defection Penalty Fund (Section 8.6) covers ISDS defense costs for Members facing claims related to IMESI-authorized measures, up to 50% of documented legal expenses. The IEWC maintains an ISDS Threat Assessment identifying investors with a pattern of filing claims linked to diplomatic disputes with Member states; such investors receive enhanced monitoring, and their home states receive notification through the Quiet Consultation Window (Section 5.0D).</w:t>
      </w:r>
    </w:p>
    <w:p w14:paraId="50076315" w14:textId="77777777" w:rsidR="00A306EF" w:rsidRDefault="00000000">
      <w:pPr>
        <w:spacing w:after="140"/>
      </w:pPr>
      <w:r>
        <w:t>A coercing state that funds or encourages ISDS claims against a Member implementing IMESI measures engages in Constructive Coercion under Section 2.1A, and the affected Member receives automatic eligibility for enhanced Fund support under Section 8.32. Nothing in this Addendum prejudges the merits of any claim, restricts any investor's access to treaty-based dispute settlement, or creates any measure inconsistent with Members' investment treaty obligations.</w:t>
      </w:r>
    </w:p>
    <w:p w14:paraId="4670FF02" w14:textId="77777777" w:rsidR="00A306EF" w:rsidRDefault="00000000">
      <w:pPr>
        <w:pStyle w:val="Heading1"/>
        <w:spacing w:after="100"/>
      </w:pPr>
      <w:bookmarkStart w:id="20" w:name="_Toc237918136"/>
      <w:r>
        <w:rPr>
          <w:rFonts w:cs="Calibri"/>
          <w:szCs w:val="30"/>
        </w:rPr>
        <w:t>ANNEX 1C: SOVEREIGN DEBT COERCION PROTOCOL</w:t>
      </w:r>
      <w:bookmarkStart w:id="21" w:name="_Toc000031"/>
      <w:bookmarkEnd w:id="20"/>
      <w:bookmarkEnd w:id="21"/>
    </w:p>
    <w:p w14:paraId="77F3DC85" w14:textId="77777777" w:rsidR="00A306EF" w:rsidRDefault="00000000">
      <w:pPr>
        <w:spacing w:after="80"/>
      </w:pPr>
      <w:r>
        <w:rPr>
          <w:rFonts w:cs="Calibri"/>
          <w:szCs w:val="21"/>
        </w:rPr>
        <w:t>Definition: Coercion through: accelerated debt repayment demands; withholding of Paris Club relief; manipulation of credit ratings; or blocking of market access.</w:t>
      </w:r>
    </w:p>
    <w:p w14:paraId="615FD0A0" w14:textId="77777777" w:rsidR="00A306EF" w:rsidRDefault="00000000">
      <w:pPr>
        <w:spacing w:after="80"/>
      </w:pPr>
      <w:r>
        <w:rPr>
          <w:rFonts w:cs="Calibri"/>
          <w:szCs w:val="21"/>
        </w:rPr>
        <w:t>Response:</w:t>
      </w:r>
    </w:p>
    <w:p w14:paraId="33D38323" w14:textId="77777777" w:rsidR="00A306EF" w:rsidRDefault="00000000">
      <w:pPr>
        <w:spacing w:after="140"/>
      </w:pPr>
      <w:r>
        <w:rPr>
          <w:rFonts w:cs="Calibri"/>
          <w:szCs w:val="21"/>
        </w:rPr>
        <w:t>(a) Coordinated debt service suspension among IMESI members (b) Joint G20 Common Framework invocation (c) Credit rating agency challenge through coordinated legal and analytical action (d) Alternative creditor coordination through Resilience Fund Commitment: Members agree not to hold out against coordinated standstills authorized under this Protocol. Holdout constitutes a Tier 2 anti-fragmentation violation (Section 6.4).</w:t>
      </w:r>
    </w:p>
    <w:p w14:paraId="545A969A" w14:textId="77777777" w:rsidR="00A306EF" w:rsidRDefault="00000000">
      <w:pPr>
        <w:pStyle w:val="Heading1"/>
        <w:spacing w:after="100"/>
      </w:pPr>
      <w:bookmarkStart w:id="22" w:name="_Toc237918137"/>
      <w:r>
        <w:lastRenderedPageBreak/>
        <w:t>ANNEX 2A: FUNCTIONAL STATE-ADJOINING SECTOR LIST</w:t>
      </w:r>
      <w:bookmarkStart w:id="23" w:name="_Toc000033"/>
      <w:bookmarkEnd w:id="22"/>
      <w:bookmarkEnd w:id="23"/>
    </w:p>
    <w:p w14:paraId="32507753" w14:textId="77777777" w:rsidR="00A306EF" w:rsidRDefault="00000000">
      <w:pPr>
        <w:pStyle w:val="Heading3"/>
      </w:pPr>
      <w:r>
        <w:t>Annex 2A (Addendum): Sectoral Proportionality Matrix</w:t>
      </w:r>
    </w:p>
    <w:p w14:paraId="53FE7BC6" w14:textId="77777777" w:rsidR="00A306EF" w:rsidRDefault="00000000">
      <w:pPr>
        <w:spacing w:after="140"/>
      </w:pPr>
      <w:r>
        <w:t>Agricultural measures target only identified coercive products. Industrial measures exclude essential inputs for humanitarian goods. Financial measures preserve humanitarian payment channels. Services measures preserve access to essential services. The Matrix demonstrates calibrated design consistent with WTO exceptions.</w:t>
      </w:r>
    </w:p>
    <w:p w14:paraId="64DF45DA" w14:textId="77777777" w:rsidR="00A306EF" w:rsidRDefault="00000000">
      <w:pPr>
        <w:spacing w:after="80"/>
      </w:pPr>
      <w:r>
        <w:t>Initial Sector Coverage</w:t>
      </w:r>
    </w:p>
    <w:p w14:paraId="64879DC0" w14:textId="77777777" w:rsidR="00A306EF" w:rsidRDefault="00000000">
      <w:pPr>
        <w:spacing w:after="140"/>
      </w:pPr>
      <w:r>
        <w:t>The following sectors are, at a minimum, eligible for Functional State-Adjoining Status under Section 2.5D(f): (a) digital payment and settlement infrastructure supporting cross-border transactions at scale; (b) commercial satellite imagery providers constituting more than 50 per cent of global high-resolution capacity in any major vertical (including agriculture, maritime, and infrastructure monitoring).</w:t>
      </w:r>
    </w:p>
    <w:p w14:paraId="41BBBB9F" w14:textId="77777777" w:rsidR="00A306EF" w:rsidRDefault="00000000">
      <w:pPr>
        <w:spacing w:after="80"/>
      </w:pPr>
      <w:r>
        <w:t>Amendment Procedure</w:t>
      </w:r>
    </w:p>
    <w:p w14:paraId="5A1999AD" w14:textId="77777777" w:rsidR="00A306EF" w:rsidRDefault="00000000">
      <w:pPr>
        <w:spacing w:after="140"/>
      </w:pPr>
      <w:r>
        <w:t>The Coordination Committee, by 55 per cent weighted vote, adds additional sectors or sub-sectors, or remove sectors, from this Annex. In doing so, it considers objective indicators including, but not limited to: market concentration, dependency of Members, and availability of alternative suppliers.</w:t>
      </w:r>
    </w:p>
    <w:p w14:paraId="232976AA" w14:textId="77777777" w:rsidR="00A306EF" w:rsidRDefault="00000000">
      <w:pPr>
        <w:spacing w:after="80"/>
      </w:pPr>
      <w:r>
        <w:t>Review Clause</w:t>
      </w:r>
    </w:p>
    <w:p w14:paraId="08BA120E" w14:textId="77777777" w:rsidR="00A306EF" w:rsidRDefault="00000000">
      <w:pPr>
        <w:spacing w:after="140"/>
      </w:pPr>
      <w:r>
        <w:t>This Annex is subject to a mandatory review at least every 24 months. The Secretariat provides, ahead of each review, a short analytical note on sectoral concentration trends and implications for Functional State-Adjoining Status.</w:t>
      </w:r>
    </w:p>
    <w:p w14:paraId="655362B3" w14:textId="77777777" w:rsidR="00A306EF" w:rsidRDefault="00000000">
      <w:pPr>
        <w:pStyle w:val="Heading1"/>
        <w:spacing w:after="100"/>
      </w:pPr>
      <w:bookmarkStart w:id="24" w:name="_Toc237918138"/>
      <w:r>
        <w:t>ANNEX 2B: BIOLOGICAL SECURITY INFORMATION COERCION PROTOCOL [PILOT]</w:t>
      </w:r>
      <w:bookmarkStart w:id="25" w:name="_Toc000034"/>
      <w:bookmarkEnd w:id="24"/>
      <w:bookmarkEnd w:id="25"/>
    </w:p>
    <w:p w14:paraId="4AFE4F09" w14:textId="77777777" w:rsidR="00A306EF" w:rsidRDefault="00000000">
      <w:pPr>
        <w:spacing w:after="80"/>
      </w:pPr>
      <w:r>
        <w:t>Pilot Status (36 months)</w:t>
      </w:r>
    </w:p>
    <w:p w14:paraId="192AD63A" w14:textId="77777777" w:rsidR="00A306EF" w:rsidRDefault="00000000">
      <w:pPr>
        <w:spacing w:after="80"/>
      </w:pPr>
      <w:r>
        <w:t>This Protocol operates on a pilot basis for an initial period of 36 months from entry into force. It is reviewed at the first Grand Review following that period.</w:t>
      </w:r>
    </w:p>
    <w:p w14:paraId="1B692D43" w14:textId="77777777" w:rsidR="00A306EF" w:rsidRDefault="00000000">
      <w:pPr>
        <w:spacing w:after="80"/>
      </w:pPr>
      <w:r>
        <w:t>Scope</w:t>
      </w:r>
    </w:p>
    <w:p w14:paraId="2CFA340A" w14:textId="77777777" w:rsidR="00A306EF" w:rsidRDefault="00000000">
      <w:pPr>
        <w:spacing w:after="140"/>
      </w:pPr>
      <w:r>
        <w:t>This Protocol establishes provisional procedures for responding where a state or state-adjoining entity withholds, delays, or materially degrades sharing of: (a) pathogen genomic sequence data; (b) vaccine or therapeutic efficacy data; or (c) pandemic preparedness assessments; in circumstances where: (i) international notification obligations under the International Health Regulations (2005), or any successor framework, have been triggered; and (ii) such withholding causes, or is credibly assessed to cause, an impact exceeding 0.1 per cent of GDP for one or more Members, through market anticipation, supply-chain disruption, or healthcare system preparation costs.</w:t>
      </w:r>
    </w:p>
    <w:p w14:paraId="15AB2F2A" w14:textId="77777777" w:rsidR="00A306EF" w:rsidRDefault="00000000">
      <w:pPr>
        <w:spacing w:after="80"/>
      </w:pPr>
      <w:r>
        <w:t>Severity Classification</w:t>
      </w:r>
    </w:p>
    <w:p w14:paraId="633D1554" w14:textId="77777777" w:rsidR="00A306EF" w:rsidRDefault="00000000">
      <w:pPr>
        <w:spacing w:after="140"/>
      </w:pPr>
      <w:r>
        <w:lastRenderedPageBreak/>
        <w:t>Cases handled under this Protocol is classified as follows: (a) Moderate: automatic minimum classification for all certified cases; (b) Severe: where cumulative impact exceeds 0.5 per cent of GDP or credible evidence indicates avoidable harm to more than 100,000 persons; (c) Critical: where cumulative impact exceeds 1.0 per cent of GDP or credible evidence indicates avoidable harm to more than 500,000 persons.</w:t>
      </w:r>
    </w:p>
    <w:p w14:paraId="396824C3" w14:textId="77777777" w:rsidR="00A306EF" w:rsidRDefault="00000000">
      <w:pPr>
        <w:spacing w:after="80"/>
      </w:pPr>
      <w:r>
        <w:t>Response Measures</w:t>
      </w:r>
    </w:p>
    <w:p w14:paraId="6B57203C" w14:textId="77777777" w:rsidR="00A306EF" w:rsidRDefault="00000000">
      <w:pPr>
        <w:spacing w:after="140"/>
      </w:pPr>
      <w:r>
        <w:t>Certification under this Protocol authorises Phase 0+ automatic stabilization, using existing Phase 0 mechanisms, including in particular: (i) accelerated support for alternative vaccine and therapeutic platform development; (ii) supply-chain rerouting for medical stabilization measures and essential health inputs; and (iii) activation or expansion of SFI humanitarian settlement windows for health-related transactions. Phase 1 and Phase 2 stabilization measures, where considered, respects the Humanitarian Floor and excludes new trade restrictions on medical goods, vaccines, and essential health supplies.</w:t>
      </w:r>
    </w:p>
    <w:p w14:paraId="087C7E02" w14:textId="77777777" w:rsidR="00A306EF" w:rsidRDefault="00000000">
      <w:pPr>
        <w:spacing w:after="80"/>
      </w:pPr>
      <w:r>
        <w:t>Review and Renewal</w:t>
      </w:r>
    </w:p>
    <w:p w14:paraId="2AFACEE5" w14:textId="77777777" w:rsidR="00A306EF" w:rsidRDefault="00000000">
      <w:pPr>
        <w:spacing w:after="140"/>
      </w:pPr>
      <w:r>
        <w:t>This Protocol is reviewed at the first Grand Review occurring after 36 months of operation. Renewal, amendment, or elevation into the core text requires a 60 per cent weighted vote of the Coordination Committee, supported by a published effectiveness and safeguards assessment prepared by the Secretariat in consultation with the IEWC and relevant international health bodies. In the absence of renewal or amendment at that Review, this Protocol lapses automatically, without prejudice to any ongoing cases already certified under it.</w:t>
      </w:r>
    </w:p>
    <w:p w14:paraId="72DFFB8F" w14:textId="77777777" w:rsidR="00A306EF" w:rsidRDefault="00000000">
      <w:pPr>
        <w:pStyle w:val="Heading1"/>
        <w:spacing w:after="100"/>
      </w:pPr>
      <w:bookmarkStart w:id="26" w:name="_Toc237918139"/>
      <w:r>
        <w:t>Annex 6: Burden-Sharing Calculation Methodologies, Comprehensive formulas, data sources, adjustment</w:t>
      </w:r>
      <w:bookmarkStart w:id="27" w:name="_Toc000041"/>
      <w:bookmarkEnd w:id="26"/>
      <w:bookmarkEnd w:id="27"/>
    </w:p>
    <w:p w14:paraId="15C28B06" w14:textId="77777777" w:rsidR="00A306EF" w:rsidRDefault="00000000">
      <w:pPr>
        <w:spacing w:after="80"/>
      </w:pPr>
      <w:r>
        <w:t>procedures, audit requirements, and dispute resolution for burden-sharing.</w:t>
      </w:r>
    </w:p>
    <w:p w14:paraId="635C1236" w14:textId="77777777" w:rsidR="00A306EF" w:rsidRDefault="00000000">
      <w:pPr>
        <w:pStyle w:val="Heading1"/>
        <w:spacing w:after="100"/>
      </w:pPr>
      <w:bookmarkStart w:id="28" w:name="_Toc237918140"/>
      <w:r>
        <w:t>Annex 7: Anti-Fragmentation Enforcement Mechanisms</w:t>
      </w:r>
      <w:bookmarkStart w:id="29" w:name="_Toc000042"/>
      <w:bookmarkEnd w:id="28"/>
      <w:bookmarkEnd w:id="29"/>
    </w:p>
    <w:p w14:paraId="5E3381D3" w14:textId="77777777" w:rsidR="00A306EF" w:rsidRDefault="00000000">
      <w:pPr>
        <w:spacing w:after="80"/>
      </w:pPr>
      <w:r>
        <w:t>Procedures for detecting bilateral deals, investigating violations, imposing penalties, and restoring coalition integrity.</w:t>
      </w:r>
    </w:p>
    <w:p w14:paraId="79085E2E" w14:textId="77777777" w:rsidR="00A306EF" w:rsidRDefault="00000000">
      <w:pPr>
        <w:pStyle w:val="Heading1"/>
        <w:spacing w:after="100"/>
      </w:pPr>
      <w:bookmarkStart w:id="30" w:name="_Toc237918141"/>
      <w:r>
        <w:t>ANNEX 5A: CONSTITUTIONAL CONFLICT PROCEDURES</w:t>
      </w:r>
      <w:bookmarkStart w:id="31" w:name="_Toc000043"/>
      <w:bookmarkEnd w:id="30"/>
      <w:bookmarkEnd w:id="31"/>
    </w:p>
    <w:p w14:paraId="51120571" w14:textId="77777777" w:rsidR="00A306EF" w:rsidRDefault="00000000">
      <w:pPr>
        <w:spacing w:after="140"/>
      </w:pPr>
      <w:r>
        <w:t>Suspension with Substitution: Upon constitutional court order blocking IMESI-mandated measure: other members automatically accelerate measures to cover implementation gap; burden-sharing recalculated excluding blocked member for duration; no penalty if good-faith constitutional process. Blocked member posts 150% of standard burden as contribution (not punitive; funds substitution measures); released upon case closure. Constitutional Dialogue: Secretariat-facilitated expert testimony to blocking court within 7 days: panel of 3 experts (international law specialist, IEWC economist, foreign constitutional court judge from non-involved state). Non-binding; court retains full independence. Public record unless court orders sealed.</w:t>
      </w:r>
    </w:p>
    <w:p w14:paraId="3B67AE45" w14:textId="77777777" w:rsidR="00A306EF" w:rsidRDefault="00000000">
      <w:pPr>
        <w:spacing w:after="140"/>
      </w:pPr>
      <w:r>
        <w:lastRenderedPageBreak/>
        <w:t>Federal Workaround: If blockage persists &gt;30 days: automatic authorization for sub-national implementation (where constitutional); private entity implementation through Strategic Entities (Section 3.12); regulatory rather than tariff measures where federal authority clearer. Managed Case-Specific Withdrawal: If blockage persists &gt;90 days with no viable workaround: 12-month phase-out with no stigma; fast-track re-entry (90-day accelerated accession upon constitutional resolution); no financial penalty; previous contributions credited. Public statement: 'Constitutional accommodation, not coalition defection.' Negotiation status: Tier 3 protected secondary priority. Contribution rates and timelines negotiable; core: substitution mechanism and no-stigma withdrawal pathway.</w:t>
      </w:r>
    </w:p>
    <w:p w14:paraId="13956E54" w14:textId="77777777" w:rsidR="00A306EF" w:rsidRDefault="00000000">
      <w:pPr>
        <w:spacing w:after="80"/>
      </w:pPr>
      <w:r>
        <w:t>Annex 5A (Addendum): Parliamentary Readiness Protocol</w:t>
      </w:r>
    </w:p>
    <w:p w14:paraId="66B63726" w14:textId="77777777" w:rsidR="00A306EF" w:rsidRDefault="00000000">
      <w:pPr>
        <w:spacing w:after="80"/>
      </w:pPr>
      <w:r>
        <w:t>Member parliaments, on a voluntary basis and prior to or upon ratification, adopt an "IMESI Readiness Protocol" consisting of:</w:t>
      </w:r>
    </w:p>
    <w:p w14:paraId="776E9434" w14:textId="77777777" w:rsidR="00A306EF" w:rsidRDefault="00000000">
      <w:pPr>
        <w:spacing w:after="140"/>
      </w:pPr>
      <w:r>
        <w:t>(a) Fast-track legislative procedures: pre-approved parliamentary pathways for reviewing and authorizing IMESI stabilization measure packages within 48-72 hours of CC notification, without requiring full plenary debate for Phase 1 measures;</w:t>
      </w:r>
    </w:p>
    <w:p w14:paraId="68388234" w14:textId="77777777" w:rsidR="00A306EF" w:rsidRDefault="00000000">
      <w:pPr>
        <w:spacing w:after="80"/>
      </w:pPr>
      <w:r>
        <w:t>(b) Decision templates: standardised parliamentary motion templates for approving, modifying, or rejecting IMESI packages, reducing drafting time and ensuring legal consistency;</w:t>
      </w:r>
    </w:p>
    <w:p w14:paraId="5AE7F3B5" w14:textId="77777777" w:rsidR="00A306EF" w:rsidRDefault="00000000">
      <w:pPr>
        <w:spacing w:after="80"/>
      </w:pPr>
      <w:r>
        <w:t>(c) Standing committee designation: a designated parliamentary committee (trade, foreign affairs, or economic security) with standing authority to receive IEWC briefings and recommend implementation pathways.</w:t>
      </w:r>
    </w:p>
    <w:p w14:paraId="0F7D5966" w14:textId="77777777" w:rsidR="00A306EF" w:rsidRDefault="00000000">
      <w:pPr>
        <w:spacing w:after="80"/>
      </w:pPr>
      <w:r>
        <w:t>The Readiness Protocol is an implementation aid, not a new obligation. It does not constrain parliamentary sovereignty, any parliament retains the right to reject any measure through standard legislative processes</w:t>
      </w:r>
    </w:p>
    <w:p w14:paraId="56DB4E15" w14:textId="77777777" w:rsidR="00A306EF" w:rsidRDefault="00000000">
      <w:pPr>
        <w:spacing w:after="80"/>
      </w:pPr>
      <w:r>
        <w:t>(Section 1.0A Democratic Override). The Secretariat provides model Readiness Protocol templates adapted to common parliamentary systems (Westminster, continental European, presidential).</w:t>
      </w:r>
    </w:p>
    <w:p w14:paraId="364F6607" w14:textId="77777777" w:rsidR="00A306EF" w:rsidRDefault="00000000">
      <w:pPr>
        <w:pStyle w:val="Heading1"/>
        <w:spacing w:after="100"/>
      </w:pPr>
      <w:bookmarkStart w:id="32" w:name="_Toc237918142"/>
      <w:r>
        <w:t>ANNEX 6B: INTERNAL ADJUDICATION CHARTER</w:t>
      </w:r>
      <w:bookmarkStart w:id="33" w:name="_Toc000044"/>
      <w:bookmarkEnd w:id="32"/>
      <w:bookmarkEnd w:id="33"/>
    </w:p>
    <w:p w14:paraId="1F09F1B0" w14:textId="77777777" w:rsidR="00A306EF" w:rsidRDefault="00000000">
      <w:pPr>
        <w:pStyle w:val="Heading3"/>
      </w:pPr>
      <w:r>
        <w:t>Annex 6B (Addendum): Expedited Judicial Review</w:t>
      </w:r>
    </w:p>
    <w:p w14:paraId="5B89A9EE" w14:textId="77777777" w:rsidR="00A306EF" w:rsidRDefault="00000000">
      <w:pPr>
        <w:spacing w:after="80"/>
      </w:pPr>
      <w:r>
        <w:t>Any Member whose measures face challenge under this Instrument seeks an expedited ruling from the Internal Adjudication Chamber within 30 days. The IAC issues a preliminary ruling within 21 days of filing.</w:t>
      </w:r>
    </w:p>
    <w:p w14:paraId="4B48E3C1" w14:textId="77777777" w:rsidR="00A306EF" w:rsidRDefault="00000000">
      <w:pPr>
        <w:spacing w:after="140"/>
      </w:pPr>
      <w:r>
        <w:t>Mandate: The Internal Adjudication Chamber (IAC) is established as a permanent standing body for resolution of: disputes between members concerning burden-sharing calculations; allegations of intra-coalition economic coercion (Section 6.9); tier downgrade disputes; challenges to IEWC coercion findings by affected members; review of regional court conflicts per Section 9.4.</w:t>
      </w:r>
    </w:p>
    <w:p w14:paraId="46564A37" w14:textId="77777777" w:rsidR="00A306EF" w:rsidRDefault="00000000">
      <w:pPr>
        <w:spacing w:after="140"/>
      </w:pPr>
      <w:r>
        <w:t>Composition: Standing Panel of 7 members serving 4-year staggered terms. Regional quota: 2 Europe, 2 Americas, 2 Asia-Pacific/Africa-Middle East, 1 rotating small economy. Qualification: former judges, senior trade officials, or academic specialists with 15+ years experience. Removal by 75% CC vote. Appellate Chamber of 3 drawn from Standing Panel for each appeal.</w:t>
      </w:r>
    </w:p>
    <w:p w14:paraId="7769F76B" w14:textId="77777777" w:rsidR="00A306EF" w:rsidRDefault="00000000">
      <w:pPr>
        <w:spacing w:after="80"/>
      </w:pPr>
      <w:r>
        <w:lastRenderedPageBreak/>
        <w:t>Standards of Review:</w:t>
      </w:r>
    </w:p>
    <w:p w14:paraId="3745C31A" w14:textId="77777777" w:rsidR="00A306EF" w:rsidRDefault="00000000">
      <w:pPr>
        <w:spacing w:after="80"/>
      </w:pPr>
      <w:r>
        <w:t>Dispute Type</w:t>
      </w:r>
    </w:p>
    <w:p w14:paraId="0A5A8069" w14:textId="77777777" w:rsidR="00A306EF" w:rsidRDefault="00000000">
      <w:pPr>
        <w:spacing w:after="80"/>
      </w:pPr>
      <w:r>
        <w:t>Standard</w:t>
      </w:r>
    </w:p>
    <w:p w14:paraId="4CFCE5F4" w14:textId="77777777" w:rsidR="00A306EF" w:rsidRDefault="00000000">
      <w:pPr>
        <w:spacing w:after="80"/>
      </w:pPr>
      <w:r>
        <w:t>Deference</w:t>
      </w:r>
    </w:p>
    <w:p w14:paraId="1D0EA91E" w14:textId="77777777" w:rsidR="00A306EF" w:rsidRDefault="00000000">
      <w:pPr>
        <w:spacing w:after="80"/>
      </w:pPr>
      <w:r>
        <w:t>Burden-sharing</w:t>
      </w:r>
    </w:p>
    <w:p w14:paraId="567AB7D1" w14:textId="77777777" w:rsidR="00A306EF" w:rsidRDefault="00000000">
      <w:pPr>
        <w:spacing w:after="80"/>
      </w:pPr>
      <w:r>
        <w:t>Correctness</w:t>
      </w:r>
    </w:p>
    <w:p w14:paraId="3CEAB78D" w14:textId="77777777" w:rsidR="00A306EF" w:rsidRDefault="00000000">
      <w:pPr>
        <w:spacing w:after="80"/>
      </w:pPr>
      <w:r>
        <w:t>IEWC calculations reviewed de novo</w:t>
      </w:r>
    </w:p>
    <w:p w14:paraId="139061E9" w14:textId="77777777" w:rsidR="00A306EF" w:rsidRDefault="00000000">
      <w:pPr>
        <w:spacing w:after="80"/>
      </w:pPr>
      <w:r>
        <w:t>Intra-coalition coercion</w:t>
      </w:r>
    </w:p>
    <w:p w14:paraId="2508D846" w14:textId="77777777" w:rsidR="00A306EF" w:rsidRDefault="00000000">
      <w:pPr>
        <w:spacing w:after="80"/>
      </w:pPr>
      <w:r>
        <w:t>Preponderance</w:t>
      </w:r>
    </w:p>
    <w:p w14:paraId="5F5DCAD9" w14:textId="77777777" w:rsidR="00A306EF" w:rsidRDefault="00000000">
      <w:pPr>
        <w:spacing w:after="80"/>
      </w:pPr>
      <w:r>
        <w:t>Factual findings: 'clear error' review</w:t>
      </w:r>
    </w:p>
    <w:p w14:paraId="2C3BC35F" w14:textId="77777777" w:rsidR="00A306EF" w:rsidRDefault="00000000">
      <w:pPr>
        <w:spacing w:after="80"/>
      </w:pPr>
      <w:r>
        <w:t>Regional court conflict</w:t>
      </w:r>
    </w:p>
    <w:p w14:paraId="0BC2D381" w14:textId="77777777" w:rsidR="00A306EF" w:rsidRDefault="00000000">
      <w:pPr>
        <w:spacing w:after="80"/>
      </w:pPr>
      <w:r>
        <w:t>Comity</w:t>
      </w:r>
    </w:p>
    <w:p w14:paraId="4C38B3FC" w14:textId="77777777" w:rsidR="00A306EF" w:rsidRDefault="00000000">
      <w:pPr>
        <w:spacing w:after="80"/>
      </w:pPr>
      <w:r>
        <w:t>Procedural fundamental fairness</w:t>
      </w:r>
    </w:p>
    <w:p w14:paraId="365DA643" w14:textId="77777777" w:rsidR="00A306EF" w:rsidRDefault="00000000">
      <w:pPr>
        <w:spacing w:after="80"/>
      </w:pPr>
      <w:r>
        <w:t>IEWC finding challenge</w:t>
      </w:r>
    </w:p>
    <w:p w14:paraId="41C01867" w14:textId="77777777" w:rsidR="00A306EF" w:rsidRDefault="00000000">
      <w:pPr>
        <w:spacing w:after="80"/>
      </w:pPr>
      <w:r>
        <w:t>Abuse of discretion</w:t>
      </w:r>
    </w:p>
    <w:p w14:paraId="01750CE0" w14:textId="77777777" w:rsidR="00A306EF" w:rsidRDefault="00000000">
      <w:pPr>
        <w:spacing w:after="80"/>
      </w:pPr>
      <w:r>
        <w:t>Methodology reviewed</w:t>
      </w:r>
    </w:p>
    <w:p w14:paraId="027B9E9B" w14:textId="77777777" w:rsidR="00A306EF" w:rsidRDefault="00000000">
      <w:pPr>
        <w:spacing w:after="80"/>
      </w:pPr>
      <w:r>
        <w:t>presumed</w:t>
      </w:r>
    </w:p>
    <w:p w14:paraId="5B8060BF" w14:textId="77777777" w:rsidR="00A306EF" w:rsidRDefault="00000000">
      <w:pPr>
        <w:spacing w:after="80"/>
      </w:pPr>
      <w:r>
        <w:t>valid;</w:t>
      </w:r>
    </w:p>
    <w:p w14:paraId="670C6CD1" w14:textId="77777777" w:rsidR="00A306EF" w:rsidRDefault="00000000">
      <w:pPr>
        <w:spacing w:after="80"/>
      </w:pPr>
      <w:r>
        <w:t>data</w:t>
      </w:r>
    </w:p>
    <w:p w14:paraId="62B76EF5" w14:textId="77777777" w:rsidR="00A306EF" w:rsidRDefault="00000000">
      <w:pPr>
        <w:spacing w:after="140"/>
      </w:pPr>
      <w:r>
        <w:t>Timelines: Standard: 90 days from panel constitution to award. Emergency: 30 days for disputes during active coercion cases. Appeal: 60 days. Remedies: Declaratory findings; burden-sharing recalculation with retroactive adjustment; cease-and-desist orders; 30-day suspension of measures pending compliance; compensation from Defection Penalty Fund. Political Override: CC overrides any IAC finding by 75% weighted vote or unanimous Tier 3 consent.</w:t>
      </w:r>
    </w:p>
    <w:p w14:paraId="32288F76" w14:textId="77777777" w:rsidR="00A306EF" w:rsidRDefault="00000000">
      <w:pPr>
        <w:spacing w:after="140"/>
      </w:pPr>
      <w:r>
        <w:t>Override requires published legal justification addressing why IAC interpretation would undermine collective security, alternative compliance pathway, and temporal limitation. Strategic Partner Access: Strategic Partners per Section 3.9(b) accesses IAC with same standing as Tier 1 members, burden-sharing limited to complaint-related costs, no voting rights. Negotiation status: Tier 3 protected secondary priority. Panel size and override threshold negotiable; core: standing body with binding authority and political override safety valve.</w:t>
      </w:r>
    </w:p>
    <w:p w14:paraId="59146F44" w14:textId="77777777" w:rsidR="00A306EF" w:rsidRDefault="00000000">
      <w:pPr>
        <w:pStyle w:val="Heading1"/>
        <w:spacing w:after="100"/>
      </w:pPr>
      <w:bookmarkStart w:id="34" w:name="_Toc237918143"/>
      <w:r>
        <w:t>ANNEX 11B: OPEN STANDARDS PROTOCOL</w:t>
      </w:r>
      <w:bookmarkStart w:id="35" w:name="_Toc000051"/>
      <w:bookmarkEnd w:id="34"/>
      <w:bookmarkEnd w:id="35"/>
    </w:p>
    <w:p w14:paraId="7FFD75E4" w14:textId="77777777" w:rsidR="00A306EF" w:rsidRDefault="00000000">
      <w:pPr>
        <w:spacing w:after="80"/>
      </w:pPr>
      <w:r>
        <w:t>Purpose: Ensure technological resilience against platform and infrastructure coercion through collective transition to vendor-neutral, interoperable standards.</w:t>
      </w:r>
    </w:p>
    <w:p w14:paraId="39A0A523" w14:textId="77777777" w:rsidR="00A306EF" w:rsidRDefault="00000000">
      <w:pPr>
        <w:pStyle w:val="Heading2"/>
        <w:spacing w:after="100"/>
      </w:pPr>
      <w:bookmarkStart w:id="36" w:name="_Toc237918144"/>
      <w:r>
        <w:lastRenderedPageBreak/>
        <w:t>Section 11B.1: Trigger Conditions</w:t>
      </w:r>
      <w:bookmarkEnd w:id="36"/>
    </w:p>
    <w:p w14:paraId="62EC0C8D" w14:textId="77777777" w:rsidR="00A306EF" w:rsidRDefault="00000000">
      <w:pPr>
        <w:spacing w:after="80"/>
      </w:pPr>
      <w:r>
        <w:t>The Open Standards Protocol activates upon any of:</w:t>
      </w:r>
    </w:p>
    <w:p w14:paraId="14AA5916" w14:textId="77777777" w:rsidR="00A306EF" w:rsidRDefault="00000000">
      <w:pPr>
        <w:spacing w:after="80"/>
      </w:pPr>
      <w:r>
        <w:t>(a) IEWC certification of technology coercion under Section 2.12 (Hybrid Coercion) or Section 2.14 (Private Economic Coercion Protocol);</w:t>
      </w:r>
    </w:p>
    <w:p w14:paraId="66286EFE" w14:textId="77777777" w:rsidR="00A306EF" w:rsidRDefault="00000000">
      <w:pPr>
        <w:spacing w:after="80"/>
      </w:pPr>
      <w:r>
        <w:rPr>
          <w:rFonts w:cs="Calibri"/>
          <w:szCs w:val="21"/>
        </w:rPr>
        <w:t>(b) Service denial to a Strategic Entity Pre-Certified under Section 3.12;</w:t>
      </w:r>
    </w:p>
    <w:p w14:paraId="3836E37C" w14:textId="77777777" w:rsidR="00A306EF" w:rsidRDefault="00000000">
      <w:pPr>
        <w:spacing w:after="80"/>
      </w:pPr>
      <w:r>
        <w:rPr>
          <w:rFonts w:cs="Calibri"/>
          <w:szCs w:val="21"/>
        </w:rPr>
        <w:t>(c) IEWC assessment of &gt;60% market concentration in critical infrastructure services from a single non-member provider coupled with documented policy linkage.</w:t>
      </w:r>
    </w:p>
    <w:p w14:paraId="2CC1E464" w14:textId="77777777" w:rsidR="00A306EF" w:rsidRDefault="00000000">
      <w:pPr>
        <w:pStyle w:val="Heading2"/>
        <w:spacing w:after="100"/>
      </w:pPr>
      <w:bookmarkStart w:id="37" w:name="_Toc237918145"/>
      <w:r>
        <w:rPr>
          <w:rFonts w:cs="Calibri"/>
          <w:szCs w:val="25"/>
        </w:rPr>
        <w:t>Section 11B.2: Mandatory Response</w:t>
      </w:r>
      <w:bookmarkEnd w:id="37"/>
    </w:p>
    <w:p w14:paraId="256389BA" w14:textId="77777777" w:rsidR="00A306EF" w:rsidRDefault="00000000">
      <w:pPr>
        <w:spacing w:after="80"/>
      </w:pPr>
      <w:r>
        <w:rPr>
          <w:rFonts w:cs="Calibri"/>
          <w:szCs w:val="21"/>
        </w:rPr>
        <w:t>Upon activation:</w:t>
      </w:r>
    </w:p>
    <w:p w14:paraId="76A75D4A" w14:textId="77777777" w:rsidR="00A306EF" w:rsidRDefault="00000000">
      <w:pPr>
        <w:spacing w:after="80"/>
      </w:pPr>
      <w:r>
        <w:rPr>
          <w:rFonts w:cs="Calibri"/>
          <w:szCs w:val="21"/>
        </w:rPr>
        <w:t>(a) Joint Procurement Consortium (Section 3.13) immediately solicits open-standard alternatives in affected sectors;</w:t>
      </w:r>
    </w:p>
    <w:p w14:paraId="0DB2CCFB" w14:textId="77777777" w:rsidR="00A306EF" w:rsidRDefault="00000000">
      <w:pPr>
        <w:spacing w:after="80"/>
      </w:pPr>
      <w:r>
        <w:rPr>
          <w:rFonts w:cs="Calibri"/>
          <w:szCs w:val="21"/>
        </w:rPr>
        <w:t>(b) Digital Infrastructure Resilience Fund (Section 8.8) releases up to 20% of allocated capital for transition cost subsidies;</w:t>
      </w:r>
    </w:p>
    <w:p w14:paraId="1F6E7EA5" w14:textId="77777777" w:rsidR="00A306EF" w:rsidRDefault="00000000">
      <w:pPr>
        <w:spacing w:after="80"/>
      </w:pPr>
      <w:r>
        <w:rPr>
          <w:rFonts w:cs="Calibri"/>
          <w:szCs w:val="21"/>
        </w:rPr>
        <w:t>(c) Technology Solidarity Pledge (Section 3.14) extends to open-source implementation support;</w:t>
      </w:r>
    </w:p>
    <w:p w14:paraId="6CFD4207" w14:textId="77777777" w:rsidR="00A306EF" w:rsidRDefault="00000000">
      <w:pPr>
        <w:spacing w:after="80"/>
      </w:pPr>
      <w:r>
        <w:rPr>
          <w:rFonts w:cs="Calibri"/>
          <w:szCs w:val="21"/>
        </w:rPr>
        <w:t>(d) Members incorporate interoperability mandates with API access and data portability standards in all new procurements in affected sectors.</w:t>
      </w:r>
    </w:p>
    <w:p w14:paraId="4ADAE853" w14:textId="77777777" w:rsidR="00A306EF" w:rsidRDefault="00000000">
      <w:pPr>
        <w:pStyle w:val="Heading2"/>
        <w:spacing w:after="100"/>
      </w:pPr>
      <w:bookmarkStart w:id="38" w:name="_Toc237918146"/>
      <w:r>
        <w:rPr>
          <w:rFonts w:cs="Calibri"/>
          <w:szCs w:val="25"/>
        </w:rPr>
        <w:t>Section 11B.3: Non-Aggressor Framing</w:t>
      </w:r>
      <w:bookmarkEnd w:id="38"/>
    </w:p>
    <w:p w14:paraId="4B0F93A4" w14:textId="77777777" w:rsidR="00A306EF" w:rsidRDefault="00000000">
      <w:pPr>
        <w:spacing w:after="140"/>
      </w:pPr>
      <w:r>
        <w:rPr>
          <w:rFonts w:cs="Calibri"/>
          <w:szCs w:val="21"/>
        </w:rPr>
        <w:t>All Open Standards Protocol measures are publicly justified as: "Systemic de-risking" to reduce single-point-of-failure vulnerabilities; "Technical resilience upgrading" consistent with national infrastructure security; "Market diversification" to preserve competitive procurement options.</w:t>
      </w:r>
    </w:p>
    <w:p w14:paraId="2F9FCC1A" w14:textId="77777777" w:rsidR="00A306EF" w:rsidRDefault="00000000">
      <w:pPr>
        <w:spacing w:after="80"/>
      </w:pPr>
      <w:r>
        <w:rPr>
          <w:rFonts w:cs="Calibri"/>
          <w:szCs w:val="21"/>
        </w:rPr>
        <w:t>Proprietary technology from any source remains permissible where no coercion risk is certified.</w:t>
      </w:r>
    </w:p>
    <w:p w14:paraId="2065CCE6" w14:textId="77777777" w:rsidR="00A306EF" w:rsidRDefault="00000000">
      <w:pPr>
        <w:pStyle w:val="Heading2"/>
        <w:spacing w:after="100"/>
      </w:pPr>
      <w:bookmarkStart w:id="39" w:name="_Toc237918147"/>
      <w:r>
        <w:rPr>
          <w:rFonts w:cs="Calibri"/>
          <w:szCs w:val="25"/>
        </w:rPr>
        <w:t>Section 11B.4: Standards Neutrality Commitment</w:t>
      </w:r>
      <w:bookmarkEnd w:id="39"/>
    </w:p>
    <w:p w14:paraId="7C726A05" w14:textId="77777777" w:rsidR="00A306EF" w:rsidRDefault="00000000">
      <w:pPr>
        <w:spacing w:after="140"/>
      </w:pPr>
      <w:r>
        <w:rPr>
          <w:rFonts w:cs="Calibri"/>
          <w:szCs w:val="21"/>
        </w:rPr>
        <w:t>IMESI is prohibited from mandating specific technical standards. The Secretariat maintains a Neutral Standards Repository cataloguing: open-source implementations with documented security audits; multi-vendor interoperable architectures; vendor-agnostic procurement specifications. Members select from Repository options based on national technical assessments.</w:t>
      </w:r>
    </w:p>
    <w:p w14:paraId="4C5A332F" w14:textId="77777777" w:rsidR="00A306EF" w:rsidRDefault="00000000">
      <w:pPr>
        <w:pStyle w:val="Heading2"/>
        <w:spacing w:after="100"/>
      </w:pPr>
      <w:bookmarkStart w:id="40" w:name="_Toc237918148"/>
      <w:r>
        <w:rPr>
          <w:rFonts w:cs="Calibri"/>
          <w:szCs w:val="25"/>
        </w:rPr>
        <w:t>Section 11B.5: Certification and Dispute Resolution [Clarifying Rule]</w:t>
      </w:r>
      <w:bookmarkEnd w:id="40"/>
    </w:p>
    <w:p w14:paraId="3B6A652C" w14:textId="77777777" w:rsidR="00A306EF" w:rsidRDefault="00000000">
      <w:pPr>
        <w:spacing w:after="140"/>
      </w:pPr>
      <w:r>
        <w:rPr>
          <w:rFonts w:cs="Calibri"/>
          <w:szCs w:val="21"/>
        </w:rPr>
        <w:t>Market Concentration Assessment: IEWC certifies market concentration figures using: (a) Published analyst reports (Gartner, IDC, Forrester, equivalent) covering prior 24 months; (b) Public SEC/regulatory filings (10-K, annual reports) by major providers; (c) Member-provided proprietary data (if disclosed in confidence to IEWC only); (d) Secretariat survey of member critical infrastructure procurement (anonymized).</w:t>
      </w:r>
    </w:p>
    <w:p w14:paraId="7BB80D51" w14:textId="77777777" w:rsidR="00A306EF" w:rsidRDefault="00000000">
      <w:pPr>
        <w:spacing w:after="80"/>
      </w:pPr>
      <w:r>
        <w:rPr>
          <w:rFonts w:cs="Calibri"/>
          <w:szCs w:val="21"/>
        </w:rPr>
        <w:lastRenderedPageBreak/>
        <w:t>Threshold: &gt;60% market concentration is measured as share of critical infrastructure installations in Tier 1 sectors (communications, power, water, finance clearing, healthcare IT) within IMESI member territories.</w:t>
      </w:r>
    </w:p>
    <w:p w14:paraId="5EE3CF70" w14:textId="77777777" w:rsidR="00A306EF" w:rsidRDefault="00000000">
      <w:pPr>
        <w:spacing w:after="140"/>
      </w:pPr>
      <w:r>
        <w:rPr>
          <w:rFonts w:cs="Calibri"/>
          <w:szCs w:val="21"/>
        </w:rPr>
        <w:t>Dispute Process: If alleged non-member provider challenges IEWC concentration finding: Provider submits detailed counter-analysis within 30 days; IEWC re-examines and publishes revised or reaffirmed assessment within 14 days; If provider disputes reaffirmed finding, matter goes to IAC (Section 10.1) for</w:t>
      </w:r>
    </w:p>
    <w:p w14:paraId="6499F4FF" w14:textId="77777777" w:rsidR="00A306EF" w:rsidRDefault="00000000">
      <w:pPr>
        <w:spacing w:after="140"/>
      </w:pPr>
      <w:r>
        <w:rPr>
          <w:rFonts w:cs="Calibri"/>
          <w:szCs w:val="21"/>
        </w:rPr>
        <w:t>expedited review (30-day turnaround); IAC decision is binding; IEWC implements corrected assessment if IAC so determines. Erroneous certification does not invalidate prior Open Standards Protocol activations that occurred in good faith.</w:t>
      </w:r>
    </w:p>
    <w:p w14:paraId="0158B767" w14:textId="77777777" w:rsidR="00A306EF" w:rsidRDefault="00000000">
      <w:pPr>
        <w:spacing w:after="140"/>
      </w:pPr>
      <w:r>
        <w:rPr>
          <w:rFonts w:cs="Calibri"/>
          <w:szCs w:val="21"/>
        </w:rPr>
        <w:t>Cross-Reference (Annex 1A, WTO Compatibility Protocol): "Open Standards Protocol measures comply with GATT Article XX (General Exceptions, Security Exceptions) as legitimate technical regulations to prevent critical infrastructure vulnerability, not as concealed protectionism; standards remain technology-neutral and non-discriminatory by application."</w:t>
      </w:r>
    </w:p>
    <w:p w14:paraId="438098F3" w14:textId="77777777" w:rsidR="00A306EF" w:rsidRDefault="00000000">
      <w:pPr>
        <w:spacing w:after="80"/>
      </w:pPr>
      <w:r>
        <w:rPr>
          <w:rFonts w:cs="Calibri"/>
          <w:szCs w:val="21"/>
        </w:rPr>
        <w:t>Annex 11B (Addendum): Standards-Body Manipulation</w:t>
      </w:r>
    </w:p>
    <w:p w14:paraId="37787467" w14:textId="77777777" w:rsidR="00A306EF" w:rsidRDefault="00000000">
      <w:pPr>
        <w:spacing w:after="140"/>
      </w:pPr>
      <w:r>
        <w:rPr>
          <w:rFonts w:cs="Calibri"/>
          <w:szCs w:val="21"/>
        </w:rPr>
        <w:t>Where a state or state-adjoined actor systematically abuses voting rules, procedural obstacles, or certification processes in international standard-setting bodies or technical consortia, with the effect and apparent intent of excluding a Member's firms or technologies in a manner meeting the Article II coercion criteria, IEWC treats such conduct as an economic measure for attribution and proportionality purposes. Nothing in this provision diminishes the autonomy of those bodies.</w:t>
      </w:r>
    </w:p>
    <w:p w14:paraId="2316555B" w14:textId="77777777" w:rsidR="00A306EF" w:rsidRDefault="00000000">
      <w:pPr>
        <w:pStyle w:val="Heading1"/>
        <w:spacing w:after="100"/>
      </w:pPr>
      <w:bookmarkStart w:id="41" w:name="_Toc237918149"/>
      <w:r>
        <w:rPr>
          <w:rFonts w:cs="Calibri"/>
          <w:szCs w:val="30"/>
        </w:rPr>
        <w:t>ANNEX 11C: ALTERNATIVE PAYMENT SYSTEM COORDINATION PROTOCOL</w:t>
      </w:r>
      <w:bookmarkStart w:id="42" w:name="_Toc000052"/>
      <w:bookmarkEnd w:id="41"/>
      <w:bookmarkEnd w:id="42"/>
    </w:p>
    <w:p w14:paraId="2AD557E8" w14:textId="77777777" w:rsidR="00A306EF" w:rsidRDefault="00000000">
      <w:pPr>
        <w:spacing w:after="80"/>
      </w:pPr>
      <w:r>
        <w:rPr>
          <w:rFonts w:cs="Calibri"/>
          <w:szCs w:val="21"/>
        </w:rPr>
        <w:t>Purpose: Prevent coercion circumvention through parallel payment infrastructure. Scope: Applies to all members with operational central banks and SFI clearing participation.</w:t>
      </w:r>
    </w:p>
    <w:p w14:paraId="559A1C92" w14:textId="77777777" w:rsidR="00A306EF" w:rsidRDefault="00000000">
      <w:pPr>
        <w:pStyle w:val="Heading2"/>
        <w:spacing w:after="100"/>
      </w:pPr>
      <w:bookmarkStart w:id="43" w:name="_Toc237918150"/>
      <w:r>
        <w:rPr>
          <w:rFonts w:cs="Calibri"/>
          <w:szCs w:val="25"/>
        </w:rPr>
        <w:t>Section 11C.1: Parallel System Monitoring</w:t>
      </w:r>
      <w:bookmarkEnd w:id="43"/>
    </w:p>
    <w:p w14:paraId="1446FD36" w14:textId="77777777" w:rsidR="00A306EF" w:rsidRDefault="00000000">
      <w:pPr>
        <w:spacing w:after="140"/>
      </w:pPr>
      <w:r>
        <w:rPr>
          <w:rFonts w:cs="Calibri"/>
          <w:szCs w:val="21"/>
        </w:rPr>
        <w:t>Upon Phase 1+ activation, Secretariat requests voluntary cooperation from member central banks for: (a) Identifying swap-line activity and alternative-system settlements involving coercer state (aggregate data only); (b) Publishing quarterly summaries to Dashboard (redacted; pattern analysis only). Central banks participate or decline (entirely voluntary).</w:t>
      </w:r>
    </w:p>
    <w:p w14:paraId="026CB0E0" w14:textId="77777777" w:rsidR="00A306EF" w:rsidRDefault="00000000">
      <w:pPr>
        <w:pStyle w:val="Heading2"/>
        <w:spacing w:after="100"/>
      </w:pPr>
      <w:bookmarkStart w:id="44" w:name="_Toc237918151"/>
      <w:r>
        <w:rPr>
          <w:rFonts w:cs="Calibri"/>
          <w:szCs w:val="25"/>
        </w:rPr>
        <w:t>Section 11C.2: Substitution Measures (Carrot, Not Stick)</w:t>
      </w:r>
      <w:bookmarkEnd w:id="44"/>
    </w:p>
    <w:p w14:paraId="1ECA33F4" w14:textId="77777777" w:rsidR="00A306EF" w:rsidRDefault="00000000">
      <w:pPr>
        <w:spacing w:after="140"/>
      </w:pPr>
      <w:r>
        <w:rPr>
          <w:rFonts w:cs="Calibri"/>
          <w:szCs w:val="21"/>
        </w:rPr>
        <w:t>If member central bank identifies coercer state routing &gt;50% of trade through non-IMESI payment systems: Affected member applies for "Trade Friction Assistance" from Resilience Fund (Section 8.9); Assistance funds supply-chain diversification; Assistance is automatic upon certification.</w:t>
      </w:r>
    </w:p>
    <w:p w14:paraId="4E37E26C" w14:textId="77777777" w:rsidR="00A306EF" w:rsidRDefault="00000000">
      <w:pPr>
        <w:pStyle w:val="Heading2"/>
        <w:spacing w:after="100"/>
      </w:pPr>
      <w:bookmarkStart w:id="45" w:name="_Toc237918152"/>
      <w:r>
        <w:rPr>
          <w:rFonts w:cs="Calibri"/>
          <w:szCs w:val="25"/>
        </w:rPr>
        <w:lastRenderedPageBreak/>
        <w:t>Section 11C.3: Coordinated Opacity Reduction (Optional)</w:t>
      </w:r>
      <w:bookmarkEnd w:id="45"/>
    </w:p>
    <w:p w14:paraId="50F61E5A" w14:textId="77777777" w:rsidR="00A306EF" w:rsidRDefault="00000000">
      <w:pPr>
        <w:spacing w:after="140"/>
      </w:pPr>
      <w:r>
        <w:rPr>
          <w:rFonts w:cs="Calibri"/>
          <w:szCs w:val="21"/>
        </w:rPr>
        <w:t>Any 5+ member coalition petitions CC for authorization to publish anonymized transaction-pattern analysis, framed as "systemic payment infrastructure resilience assessment." Not a restriction or penalty; creates market transparency pressure.</w:t>
      </w:r>
    </w:p>
    <w:p w14:paraId="0CF749BA" w14:textId="77777777" w:rsidR="00A306EF" w:rsidRDefault="00000000">
      <w:pPr>
        <w:pStyle w:val="Heading2"/>
        <w:spacing w:after="100"/>
      </w:pPr>
      <w:bookmarkStart w:id="46" w:name="_Toc237918153"/>
      <w:r>
        <w:rPr>
          <w:rFonts w:cs="Calibri"/>
          <w:szCs w:val="25"/>
        </w:rPr>
        <w:t>Section 11C.4: Explicit Non-Coercion Clause</w:t>
      </w:r>
      <w:bookmarkEnd w:id="46"/>
    </w:p>
    <w:p w14:paraId="05D40EAF" w14:textId="77777777" w:rsidR="00A306EF" w:rsidRDefault="00000000">
      <w:pPr>
        <w:spacing w:after="140"/>
      </w:pPr>
      <w:r>
        <w:rPr>
          <w:rFonts w:cs="Calibri"/>
          <w:szCs w:val="21"/>
        </w:rPr>
        <w:t>No IMESI body requires, demand, or incentivize any member to shut down swap lines, exclude non-members from CIPS or alternative systems, restrict central bank cooperation, or impose unilateral sanctions on alternative payment infrastructure. This Protocol preserves full sovereign control over monetary instruments.</w:t>
      </w:r>
    </w:p>
    <w:p w14:paraId="33440633" w14:textId="77777777" w:rsidR="00A306EF" w:rsidRDefault="00000000">
      <w:pPr>
        <w:pStyle w:val="Heading2"/>
        <w:spacing w:after="100"/>
      </w:pPr>
      <w:bookmarkStart w:id="47" w:name="_Toc237918154"/>
      <w:r>
        <w:rPr>
          <w:rFonts w:cs="Calibri"/>
          <w:szCs w:val="25"/>
        </w:rPr>
        <w:t>Section 11C.5: Alternative Payment System Resilience Protocol</w:t>
      </w:r>
      <w:bookmarkEnd w:id="47"/>
    </w:p>
    <w:p w14:paraId="53AE95F6" w14:textId="77777777" w:rsidR="00A306EF" w:rsidRDefault="00000000">
      <w:pPr>
        <w:spacing w:after="140"/>
      </w:pPr>
      <w:r>
        <w:t>The Secretariat maintains a standing multi-jurisdictional contingency plan for alternative payment system operation, with pre-negotiated agreements with at least four neutral financial centers. Where the IEWC certifies that a coercer is coordinating pressure on an alternative payment system, the affected Member receives automatic Trade Friction Assistance under Section 11C.2, and the alternative system activates distributed failover to the backup centers within 24 hours.</w:t>
      </w:r>
    </w:p>
    <w:p w14:paraId="6BBBEA7D" w14:textId="77777777" w:rsidR="00A306EF" w:rsidRDefault="00000000">
      <w:pPr>
        <w:spacing w:after="140"/>
      </w:pPr>
      <w:r>
        <w:t>A documented coordination effort of this kind constitutes Institutional Coercion (Red-Line I-1), triggering the full SFI standalone emergency protocol under Section 8.10D and a 75% Coordination Committee vote on additional financial countermeasures. This Section operates on a voluntary-cooperation basis with member central banks and creates no obligation inconsistent with central bank independence.</w:t>
      </w:r>
    </w:p>
    <w:p w14:paraId="231F9B5F" w14:textId="77777777" w:rsidR="00A306EF" w:rsidRDefault="00000000">
      <w:pPr>
        <w:pStyle w:val="Heading1"/>
        <w:spacing w:after="100"/>
      </w:pPr>
      <w:bookmarkStart w:id="48" w:name="_Toc237918155"/>
      <w:r>
        <w:rPr>
          <w:rFonts w:cs="Calibri"/>
          <w:szCs w:val="30"/>
        </w:rPr>
        <w:t>ANNEX 12: DIGITAL AND AI GOVERNANCE PROTOCOL</w:t>
      </w:r>
      <w:bookmarkStart w:id="49" w:name="_Toc000053"/>
      <w:bookmarkEnd w:id="48"/>
      <w:bookmarkEnd w:id="49"/>
    </w:p>
    <w:p w14:paraId="0E985CF6" w14:textId="77777777" w:rsidR="00A306EF" w:rsidRDefault="00000000">
      <w:pPr>
        <w:spacing w:after="80"/>
      </w:pPr>
      <w:r>
        <w:rPr>
          <w:rFonts w:cs="Calibri"/>
          <w:szCs w:val="21"/>
        </w:rPr>
        <w:t>Non-binding coordination mechanism preserving sovereignty while reducing digital coercion vulnerability: Area</w:t>
      </w:r>
    </w:p>
    <w:p w14:paraId="06330DDB" w14:textId="77777777" w:rsidR="00A306EF" w:rsidRDefault="00000000">
      <w:pPr>
        <w:spacing w:after="80"/>
      </w:pPr>
      <w:r>
        <w:rPr>
          <w:rFonts w:cs="Calibri"/>
          <w:szCs w:val="21"/>
        </w:rPr>
        <w:t>Coordination Mechanism</w:t>
      </w:r>
    </w:p>
    <w:p w14:paraId="6FA73EC8" w14:textId="77777777" w:rsidR="00A306EF" w:rsidRDefault="00000000">
      <w:pPr>
        <w:spacing w:after="80"/>
      </w:pPr>
      <w:r>
        <w:rPr>
          <w:rFonts w:cs="Calibri"/>
          <w:szCs w:val="21"/>
        </w:rPr>
        <w:t>AI safety standards</w:t>
      </w:r>
    </w:p>
    <w:p w14:paraId="7E206FA5" w14:textId="77777777" w:rsidR="00A306EF" w:rsidRDefault="00000000">
      <w:pPr>
        <w:spacing w:after="80"/>
      </w:pPr>
      <w:r>
        <w:rPr>
          <w:rFonts w:cs="Calibri"/>
          <w:szCs w:val="21"/>
        </w:rPr>
        <w:t>Mutual recognition of national certifications; joint rapid-alert for safety failures</w:t>
      </w:r>
    </w:p>
    <w:p w14:paraId="3D6809D9" w14:textId="77777777" w:rsidR="00A306EF" w:rsidRDefault="00000000">
      <w:pPr>
        <w:spacing w:after="80"/>
      </w:pPr>
      <w:r>
        <w:rPr>
          <w:rFonts w:cs="Calibri"/>
          <w:szCs w:val="21"/>
        </w:rPr>
        <w:t>Data protection</w:t>
      </w:r>
    </w:p>
    <w:p w14:paraId="5B4E9BE1" w14:textId="77777777" w:rsidR="00A306EF" w:rsidRDefault="00000000">
      <w:pPr>
        <w:spacing w:after="80"/>
      </w:pPr>
      <w:r>
        <w:rPr>
          <w:rFonts w:cs="Calibri"/>
          <w:szCs w:val="21"/>
        </w:rPr>
        <w:t>Core compatibility requirements preventing 'data hostage' coercion</w:t>
      </w:r>
    </w:p>
    <w:p w14:paraId="71BEDC9A" w14:textId="77777777" w:rsidR="00A306EF" w:rsidRDefault="00000000">
      <w:pPr>
        <w:spacing w:after="80"/>
      </w:pPr>
      <w:r>
        <w:rPr>
          <w:rFonts w:cs="Calibri"/>
          <w:szCs w:val="21"/>
        </w:rPr>
        <w:t>Algorithmic transparency</w:t>
      </w:r>
    </w:p>
    <w:p w14:paraId="4222064B" w14:textId="77777777" w:rsidR="00A306EF" w:rsidRDefault="00000000">
      <w:pPr>
        <w:spacing w:after="80"/>
      </w:pPr>
      <w:r>
        <w:rPr>
          <w:rFonts w:cs="Calibri"/>
          <w:szCs w:val="21"/>
        </w:rPr>
        <w:t>Coordinated disclosure standards for high-risk AI in critical infrastructure</w:t>
      </w:r>
    </w:p>
    <w:p w14:paraId="2E5838F3" w14:textId="77777777" w:rsidR="00A306EF" w:rsidRDefault="00000000">
      <w:pPr>
        <w:spacing w:after="80"/>
      </w:pPr>
      <w:r>
        <w:rPr>
          <w:rFonts w:cs="Calibri"/>
          <w:szCs w:val="21"/>
        </w:rPr>
        <w:t>Export controls on AI</w:t>
      </w:r>
    </w:p>
    <w:p w14:paraId="098D839E" w14:textId="77777777" w:rsidR="00A306EF" w:rsidRDefault="00000000">
      <w:pPr>
        <w:spacing w:after="80"/>
      </w:pPr>
      <w:r>
        <w:rPr>
          <w:rFonts w:cs="Calibri"/>
          <w:szCs w:val="21"/>
        </w:rPr>
        <w:t>Joint list of dual-use AI capabilities requiring multilateral notification</w:t>
      </w:r>
    </w:p>
    <w:p w14:paraId="14FF06DD" w14:textId="77777777" w:rsidR="00A306EF" w:rsidRDefault="00000000">
      <w:pPr>
        <w:spacing w:after="80"/>
      </w:pPr>
      <w:r>
        <w:rPr>
          <w:rFonts w:cs="Calibri"/>
          <w:szCs w:val="21"/>
        </w:rPr>
        <w:lastRenderedPageBreak/>
        <w:t>Key clause: Members maintain divergent regulatory approaches (preserving the Non-Alignment Protection Clause), but commit to non-discriminatory application, preventing national AI standards from becoming coercion tools.</w:t>
      </w:r>
    </w:p>
    <w:p w14:paraId="16B7042F" w14:textId="77777777" w:rsidR="00A306EF" w:rsidRDefault="00000000">
      <w:pPr>
        <w:pStyle w:val="Heading1"/>
        <w:spacing w:after="100"/>
      </w:pPr>
      <w:bookmarkStart w:id="50" w:name="_Toc237918156"/>
      <w:r>
        <w:t>ANNEX 13A: VERIFIED CAPABILITY INDEX (VCI) AND LIVE-FIRE</w:t>
      </w:r>
      <w:bookmarkStart w:id="51" w:name="_Toc000055"/>
      <w:bookmarkEnd w:id="50"/>
      <w:bookmarkEnd w:id="51"/>
    </w:p>
    <w:p w14:paraId="062845E3" w14:textId="77777777" w:rsidR="00A306EF" w:rsidRDefault="00000000">
      <w:pPr>
        <w:spacing w:after="140"/>
      </w:pPr>
      <w:r>
        <w:t>MICRO-EXERCISE PROGRAMME Institutional capability atrophies without use. The Verified Capability Index replaces simple pass/fail exercise evaluation with cumulative capability scoring that determines actual institutional privileges.</w:t>
      </w:r>
    </w:p>
    <w:p w14:paraId="520DBB87" w14:textId="77777777" w:rsidR="00A306EF" w:rsidRDefault="00000000">
      <w:pPr>
        <w:spacing w:after="80"/>
      </w:pPr>
      <w:r>
        <w:t>Micro-Exercise Architecture:</w:t>
      </w:r>
    </w:p>
    <w:p w14:paraId="73E00E5E" w14:textId="77777777" w:rsidR="00A306EF" w:rsidRDefault="00000000">
      <w:pPr>
        <w:spacing w:after="140"/>
      </w:pPr>
      <w:r>
        <w:t>Quarterly unannounced exercises, 48–72 hour duration, involving 3–5 randomly selected members. Real (not simulated) implementation of: SFI settlement for USD 10 million test volume; strategic stockpile release of physical commodities (rotated post-exercise); customs system flagging of designated HS codes; investment screening decision on pre-designated entity.</w:t>
      </w:r>
    </w:p>
    <w:p w14:paraId="759434AA" w14:textId="77777777" w:rsidR="00A306EF" w:rsidRDefault="00000000">
      <w:pPr>
        <w:spacing w:after="80"/>
      </w:pPr>
      <w:r>
        <w:t>VCI Scoring Components:</w:t>
      </w:r>
    </w:p>
    <w:p w14:paraId="51B55C29" w14:textId="77777777" w:rsidR="00A306EF" w:rsidRDefault="00000000">
      <w:pPr>
        <w:spacing w:after="80"/>
      </w:pPr>
      <w:r>
        <w:t>Component</w:t>
      </w:r>
    </w:p>
    <w:p w14:paraId="359D7B38" w14:textId="77777777" w:rsidR="00A306EF" w:rsidRDefault="00000000">
      <w:pPr>
        <w:spacing w:after="80"/>
      </w:pPr>
      <w:r>
        <w:t>Measurement</w:t>
      </w:r>
    </w:p>
    <w:p w14:paraId="758CE384" w14:textId="77777777" w:rsidR="00A306EF" w:rsidRDefault="00000000">
      <w:pPr>
        <w:spacing w:after="80"/>
      </w:pPr>
      <w:r>
        <w:t>Exercise performance</w:t>
      </w:r>
    </w:p>
    <w:p w14:paraId="3901266E" w14:textId="77777777" w:rsidR="00A306EF" w:rsidRDefault="00000000">
      <w:pPr>
        <w:spacing w:after="80"/>
      </w:pPr>
      <w:r>
        <w:t>6-hour implementation measure completion rate</w:t>
      </w:r>
    </w:p>
    <w:p w14:paraId="7C2C1DF4" w14:textId="77777777" w:rsidR="00A306EF" w:rsidRDefault="00000000">
      <w:pPr>
        <w:spacing w:after="80"/>
      </w:pPr>
      <w:r>
        <w:t>Micro-exercise participation</w:t>
      </w:r>
    </w:p>
    <w:p w14:paraId="43860B3B" w14:textId="77777777" w:rsidR="00A306EF" w:rsidRDefault="00000000">
      <w:pPr>
        <w:spacing w:after="80"/>
      </w:pPr>
      <w:r>
        <w:t>Quarterly unannounced drills</w:t>
      </w:r>
    </w:p>
    <w:p w14:paraId="0869BE5D" w14:textId="77777777" w:rsidR="00A306EF" w:rsidRDefault="00000000">
      <w:pPr>
        <w:spacing w:after="80"/>
      </w:pPr>
      <w:r>
        <w:t>Missing &gt;1 per 12 months = automatic surcharge per</w:t>
      </w:r>
    </w:p>
    <w:p w14:paraId="5BB8A6C9" w14:textId="77777777" w:rsidR="00A306EF" w:rsidRDefault="00000000">
      <w:pPr>
        <w:spacing w:after="80"/>
      </w:pPr>
      <w:r>
        <w:t>Section 8.3A</w:t>
      </w:r>
    </w:p>
    <w:p w14:paraId="55E36547" w14:textId="77777777" w:rsidR="00A306EF" w:rsidRDefault="00000000">
      <w:pPr>
        <w:spacing w:after="80"/>
      </w:pPr>
      <w:r>
        <w:t>cost</w:t>
      </w:r>
    </w:p>
    <w:p w14:paraId="0FB14317" w14:textId="77777777" w:rsidR="00A306EF" w:rsidRDefault="00000000">
      <w:pPr>
        <w:spacing w:after="80"/>
      </w:pPr>
      <w:r>
        <w:t>Annual pain tolerance exercise:</w:t>
      </w:r>
    </w:p>
    <w:p w14:paraId="1E678B38" w14:textId="77777777" w:rsidR="00A306EF" w:rsidRDefault="00000000">
      <w:pPr>
        <w:spacing w:after="80"/>
      </w:pPr>
      <w:r>
        <w:t>members commit to hypothetical stabilization measure costs, verified by legislative appropriation or executive bond</w:t>
      </w:r>
    </w:p>
    <w:p w14:paraId="0554B039" w14:textId="77777777" w:rsidR="00A306EF" w:rsidRDefault="00000000">
      <w:pPr>
        <w:spacing w:after="80"/>
      </w:pPr>
      <w:r>
        <w:t>Failure to commit = VCI reduction; success = enhanced voting weight in burden-sharing disputes</w:t>
      </w:r>
    </w:p>
    <w:p w14:paraId="1CF93C1F" w14:textId="77777777" w:rsidR="00A306EF" w:rsidRDefault="00000000">
      <w:pPr>
        <w:spacing w:after="80"/>
      </w:pPr>
      <w:r>
        <w:t>Case participation (when available)</w:t>
      </w:r>
    </w:p>
    <w:p w14:paraId="20843AB2" w14:textId="77777777" w:rsidR="00A306EF" w:rsidRDefault="00000000">
      <w:pPr>
        <w:spacing w:after="80"/>
      </w:pPr>
      <w:r>
        <w:t>Actual implementation speed, coalition cohesion maintenance during live cases</w:t>
      </w:r>
    </w:p>
    <w:p w14:paraId="0BCC7271" w14:textId="77777777" w:rsidR="00A306EF" w:rsidRDefault="00000000">
      <w:pPr>
        <w:spacing w:after="80"/>
      </w:pPr>
      <w:r>
        <w:t>Automatic VCI recalculation post-case</w:t>
      </w:r>
    </w:p>
    <w:p w14:paraId="3D4F203C" w14:textId="77777777" w:rsidR="00A306EF" w:rsidRDefault="00000000">
      <w:pPr>
        <w:spacing w:after="80"/>
      </w:pPr>
      <w:r>
        <w:t>Simulated absorption</w:t>
      </w:r>
    </w:p>
    <w:p w14:paraId="1F9466B4" w14:textId="77777777" w:rsidR="00A306EF" w:rsidRDefault="00000000">
      <w:pPr>
        <w:spacing w:after="80"/>
      </w:pPr>
      <w:r>
        <w:t>VCI Effect window,</w:t>
      </w:r>
    </w:p>
    <w:p w14:paraId="1B34D71E" w14:textId="77777777" w:rsidR="00A306EF" w:rsidRDefault="00000000">
      <w:pPr>
        <w:spacing w:after="80"/>
      </w:pPr>
      <w:r>
        <w:t>&lt;80% completion = VCI penalty; &gt;95% = VCI bonus</w:t>
      </w:r>
    </w:p>
    <w:p w14:paraId="552D5790" w14:textId="77777777" w:rsidR="00A306EF" w:rsidRDefault="00000000">
      <w:pPr>
        <w:spacing w:after="80"/>
      </w:pPr>
      <w:r>
        <w:t>VCI Tier Privileges:</w:t>
      </w:r>
    </w:p>
    <w:p w14:paraId="47851BF5" w14:textId="77777777" w:rsidR="00A306EF" w:rsidRDefault="00000000">
      <w:pPr>
        <w:spacing w:after="80"/>
      </w:pPr>
      <w:r>
        <w:t>VCI Tier</w:t>
      </w:r>
    </w:p>
    <w:p w14:paraId="588E6E61" w14:textId="77777777" w:rsidR="00A306EF" w:rsidRDefault="00000000">
      <w:pPr>
        <w:spacing w:after="80"/>
      </w:pPr>
      <w:r>
        <w:lastRenderedPageBreak/>
        <w:t>Criteria</w:t>
      </w:r>
    </w:p>
    <w:p w14:paraId="6B2D5A0D" w14:textId="77777777" w:rsidR="00A306EF" w:rsidRDefault="00000000">
      <w:pPr>
        <w:spacing w:after="80"/>
      </w:pPr>
      <w:r>
        <w:t>Privileges</w:t>
      </w:r>
    </w:p>
    <w:p w14:paraId="45E48442" w14:textId="77777777" w:rsidR="00A306EF" w:rsidRDefault="00000000">
      <w:pPr>
        <w:spacing w:after="80"/>
      </w:pPr>
      <w:r>
        <w:t>VCI-A (top 20%)</w:t>
      </w:r>
    </w:p>
    <w:p w14:paraId="6AB2A23A" w14:textId="77777777" w:rsidR="00A306EF" w:rsidRDefault="00000000">
      <w:pPr>
        <w:spacing w:after="80"/>
      </w:pPr>
      <w:r>
        <w:t>Consistent &gt;95% exercise completion; case participation or 3+ successful cost absorption drills</w:t>
      </w:r>
    </w:p>
    <w:p w14:paraId="62068B7F" w14:textId="77777777" w:rsidR="00A306EF" w:rsidRDefault="00000000">
      <w:pPr>
        <w:spacing w:after="80"/>
      </w:pPr>
      <w:r>
        <w:t>Eligible for Enhanced Solidarity regardless of GDP; priority SFI access; enhanced Fund disbursement rates</w:t>
      </w:r>
    </w:p>
    <w:p w14:paraId="30226DB7" w14:textId="77777777" w:rsidR="00A306EF" w:rsidRDefault="00000000">
      <w:pPr>
        <w:pStyle w:val="Heading3"/>
      </w:pPr>
      <w:r>
        <w:t>VCI-B 60%)</w:t>
      </w:r>
    </w:p>
    <w:p w14:paraId="33D7D282" w14:textId="77777777" w:rsidR="00A306EF" w:rsidRDefault="00000000">
      <w:pPr>
        <w:spacing w:after="80"/>
      </w:pPr>
      <w:r>
        <w:t>(middle</w:t>
      </w:r>
    </w:p>
    <w:p w14:paraId="79B39493" w14:textId="77777777" w:rsidR="00A306EF" w:rsidRDefault="00000000">
      <w:pPr>
        <w:spacing w:after="80"/>
      </w:pPr>
      <w:r>
        <w:t>Standard performance; consecutive failures</w:t>
      </w:r>
    </w:p>
    <w:p w14:paraId="7957B2F3" w14:textId="77777777" w:rsidR="00A306EF" w:rsidRDefault="00000000">
      <w:pPr>
        <w:spacing w:after="80"/>
      </w:pPr>
      <w:r>
        <w:rPr>
          <w:rFonts w:cs="Calibri"/>
          <w:szCs w:val="21"/>
        </w:rPr>
        <w:t>Standard tier rights</w:t>
      </w:r>
    </w:p>
    <w:p w14:paraId="347915AE" w14:textId="77777777" w:rsidR="00A306EF" w:rsidRDefault="00000000">
      <w:pPr>
        <w:pStyle w:val="Heading3"/>
      </w:pPr>
      <w:r>
        <w:rPr>
          <w:rFonts w:cs="Calibri"/>
          <w:szCs w:val="22"/>
        </w:rPr>
        <w:t>VCI-C 20%)</w:t>
      </w:r>
    </w:p>
    <w:p w14:paraId="2441825D" w14:textId="77777777" w:rsidR="00A306EF" w:rsidRDefault="00000000">
      <w:pPr>
        <w:spacing w:after="80"/>
      </w:pPr>
      <w:r>
        <w:rPr>
          <w:rFonts w:cs="Calibri"/>
          <w:szCs w:val="21"/>
        </w:rPr>
        <w:t>(bottom</w:t>
      </w:r>
    </w:p>
    <w:p w14:paraId="0032EE93" w14:textId="77777777" w:rsidR="00A306EF" w:rsidRDefault="00000000">
      <w:pPr>
        <w:spacing w:after="80"/>
      </w:pPr>
      <w:r>
        <w:rPr>
          <w:rFonts w:cs="Calibri"/>
          <w:szCs w:val="21"/>
        </w:rPr>
        <w:t>Consecutive failures, low participation, or failed cost absorption</w:t>
      </w:r>
    </w:p>
    <w:p w14:paraId="3CF72723" w14:textId="77777777" w:rsidR="00A306EF" w:rsidRDefault="00000000">
      <w:pPr>
        <w:spacing w:after="80"/>
      </w:pPr>
      <w:r>
        <w:rPr>
          <w:rFonts w:cs="Calibri"/>
          <w:szCs w:val="21"/>
        </w:rPr>
        <w:t>no</w:t>
      </w:r>
    </w:p>
    <w:p w14:paraId="70A54A39" w14:textId="77777777" w:rsidR="00A306EF" w:rsidRDefault="00000000">
      <w:pPr>
        <w:spacing w:after="80"/>
      </w:pPr>
      <w:r>
        <w:rPr>
          <w:rFonts w:cs="Calibri"/>
          <w:szCs w:val="21"/>
        </w:rPr>
        <w:t>Mandatory tier review per Section 3.4; exclusion from Enhanced Solidarity benefits; 25% Fund surcharge until improvement</w:t>
      </w:r>
    </w:p>
    <w:p w14:paraId="101D5323" w14:textId="77777777" w:rsidR="00A306EF" w:rsidRDefault="00000000">
      <w:pPr>
        <w:spacing w:after="140"/>
      </w:pPr>
      <w:r>
        <w:rPr>
          <w:rFonts w:cs="Calibri"/>
          <w:szCs w:val="21"/>
        </w:rPr>
        <w:t>Tier Renewal Integration: VCI scoring feeds into Section 3.7 renewal: Tier 2/3 renewal at Year 7 requires VCI-B or above plus participation in at least 1 actual case or 3 successful micro-exercises with simulated cost absorption. Cost: Fund reimburses direct costs (stockpile rotation losses, system reconfiguration). Estimated annual cost: USD 50–75 million, approximately 0.1% of insured exposure capacity. Costs reimbursed from Peacetime Fund per Section 8.3A; protected allocation requires 75% vote to reduce.</w:t>
      </w:r>
    </w:p>
    <w:p w14:paraId="500B24E1" w14:textId="77777777" w:rsidR="00A306EF" w:rsidRDefault="00000000">
      <w:pPr>
        <w:spacing w:after="80"/>
      </w:pPr>
      <w:r>
        <w:rPr>
          <w:rFonts w:cs="Calibri"/>
          <w:szCs w:val="21"/>
        </w:rPr>
        <w:t>Amber Alert Live-Fire Protocol (AALP):</w:t>
      </w:r>
    </w:p>
    <w:p w14:paraId="5692AA4C" w14:textId="77777777" w:rsidR="00A306EF" w:rsidRDefault="00000000">
      <w:pPr>
        <w:spacing w:after="140"/>
      </w:pPr>
      <w:r>
        <w:rPr>
          <w:rFonts w:cs="Calibri"/>
          <w:szCs w:val="21"/>
        </w:rPr>
        <w:t>Gap Addressed: VCI micro-exercises measure process compliance, not coalition-wide stress under uncertainty. Between activations, members face no unannounced collective test of ambiguity tolerance or burden-sharing under fiscal pressure. Trigger: The Director-General declares up to 2 Amber Alert exercises annually (unannounced, 48-hour</w:t>
      </w:r>
    </w:p>
    <w:p w14:paraId="539C084A" w14:textId="77777777" w:rsidR="00A306EF" w:rsidRDefault="00000000">
      <w:pPr>
        <w:spacing w:after="80"/>
      </w:pPr>
      <w:r>
        <w:rPr>
          <w:rFonts w:cs="Calibri"/>
          <w:szCs w:val="21"/>
        </w:rPr>
        <w:t>duration) when:</w:t>
      </w:r>
    </w:p>
    <w:p w14:paraId="23F6E131" w14:textId="77777777" w:rsidR="00A306EF" w:rsidRDefault="00000000">
      <w:pPr>
        <w:spacing w:after="80"/>
      </w:pPr>
      <w:r>
        <w:rPr>
          <w:rFonts w:cs="Calibri"/>
          <w:szCs w:val="21"/>
        </w:rPr>
        <w:t>(a) IEWC assesses &gt;40% Event Market probability for any member-sector within 90 days (b) 12 months have elapsed since any member's last VCI-scored participation (c) Coordination Committee votes (55%) for readiness test</w:t>
      </w:r>
    </w:p>
    <w:p w14:paraId="5129D444" w14:textId="77777777" w:rsidR="00A306EF" w:rsidRDefault="00000000">
      <w:pPr>
        <w:spacing w:after="80"/>
      </w:pPr>
      <w:r>
        <w:rPr>
          <w:rFonts w:cs="Calibri"/>
          <w:szCs w:val="21"/>
        </w:rPr>
        <w:t>Scope, real implementation at limited scale:</w:t>
      </w:r>
    </w:p>
    <w:p w14:paraId="4CC108C6" w14:textId="77777777" w:rsidR="00A306EF" w:rsidRDefault="00000000">
      <w:pPr>
        <w:spacing w:after="140"/>
      </w:pPr>
      <w:r>
        <w:rPr>
          <w:rFonts w:cs="Calibri"/>
          <w:szCs w:val="21"/>
        </w:rPr>
        <w:t xml:space="preserve">(a) Actual SFI settlement of USD 10 million test volume (b) Actual customs system flagging of designated HS codes (on non-sensitive trade categories) (c) Actual 72-hour procurement acceleration letters issued (d) Real burden-sharing pre-calculation and Fund liquidity draw test Coalition Standard: Minimum 60% of Tier 2+ members achieve full implementation within 6 hours; failure triggers automatic VCI recalculation and public Dashboard update. Mandatory Exercise: If no live coercion case occurs within 24 months of </w:t>
      </w:r>
      <w:r>
        <w:rPr>
          <w:rFonts w:cs="Calibri"/>
          <w:szCs w:val="21"/>
        </w:rPr>
        <w:lastRenderedPageBreak/>
        <w:t>founding, a third AALP is mandatory regardless of other triggers. Safeguards: Maximum 2/year (plus mandatory third if dormant) prevents fatigue; USD 10M SFI volume and non-sensitive trade flags limit economic disruption; results are pass/fail at coalition level, not individual naming unless VCI recalculation required.</w:t>
      </w:r>
    </w:p>
    <w:p w14:paraId="247A6621" w14:textId="77777777" w:rsidR="00A306EF" w:rsidRDefault="00000000">
      <w:pPr>
        <w:pStyle w:val="Heading3"/>
      </w:pPr>
      <w:r>
        <w:rPr>
          <w:rFonts w:cs="Calibri"/>
          <w:szCs w:val="22"/>
        </w:rPr>
        <w:t>Annex 13A (Addendum): Micro-Exercise Independence Protocol</w:t>
      </w:r>
    </w:p>
    <w:p w14:paraId="06ACBD6F" w14:textId="77777777" w:rsidR="00A306EF" w:rsidRDefault="00000000">
      <w:pPr>
        <w:spacing w:after="140"/>
      </w:pPr>
      <w:r>
        <w:t>No micro-exercise is scheduled within 14 days of a known major economic announcement, including a G7 summit, a WTO ministerial, or a coercer's scheduled tariff review date, preventing a coercer from leveraging an exercise as a false-flag distraction.</w:t>
      </w:r>
    </w:p>
    <w:p w14:paraId="2BEBFCB4" w14:textId="77777777" w:rsidR="00A306EF" w:rsidRDefault="00000000">
      <w:pPr>
        <w:spacing w:after="140"/>
      </w:pPr>
      <w:r>
        <w:t>Where a micro-exercise and a real coercion case coincide, the micro-exercise suspends automatically and reschedules for the next quarter; the VCI credit for that exercise is held in abeyance and granted upon completion of the rescheduled exercise. A Member that fails to participate in rescheduled exercises more than twice in a 12-month period faces a 10% Fund surcharge under Section 8.3A and a mandatory tier review under Section 3.4, regardless of the reason for the original suspension.</w:t>
      </w:r>
    </w:p>
    <w:p w14:paraId="174A53C5" w14:textId="77777777" w:rsidR="00A306EF" w:rsidRDefault="00000000">
      <w:pPr>
        <w:spacing w:after="80"/>
      </w:pPr>
      <w:r>
        <w:rPr>
          <w:rFonts w:cs="Calibri"/>
          <w:szCs w:val="21"/>
        </w:rPr>
        <w:t>Annex 13 (Addendum): Small-State Cluster Stress Test</w:t>
      </w:r>
    </w:p>
    <w:p w14:paraId="197C5FE5" w14:textId="77777777" w:rsidR="00A306EF" w:rsidRDefault="00000000">
      <w:pPr>
        <w:spacing w:after="140"/>
      </w:pPr>
      <w:r>
        <w:rPr>
          <w:rFonts w:cs="Calibri"/>
          <w:szCs w:val="21"/>
        </w:rPr>
        <w:t>The Secretariat conducts at least one "Small-State Cluster Stress Test" annually, simulating a scenario where only small-state Members are the primary targets of coercion. At least one pre-authorized scenario in the Scenario Library (Annex 4) is designed for small-state cluster cases, calibrated to trigger strong collective responses even where individual state GDP impact falls below standard thresholds. Results inform pre-positioned response packages tailored to small-state vulnerability profiles.</w:t>
      </w:r>
    </w:p>
    <w:p w14:paraId="537797ED" w14:textId="77777777" w:rsidR="00A306EF" w:rsidRDefault="00000000">
      <w:pPr>
        <w:pStyle w:val="Heading1"/>
        <w:spacing w:after="100"/>
      </w:pPr>
      <w:bookmarkStart w:id="52" w:name="_Toc237918157"/>
      <w:r>
        <w:rPr>
          <w:rFonts w:cs="Calibri"/>
          <w:szCs w:val="30"/>
        </w:rPr>
        <w:t>ANNEX 14: COERCION FORECAST MARKET PROTOCOLS</w:t>
      </w:r>
      <w:bookmarkStart w:id="53" w:name="_Toc000056"/>
      <w:bookmarkEnd w:id="52"/>
      <w:bookmarkEnd w:id="53"/>
    </w:p>
    <w:p w14:paraId="2E0C40BB" w14:textId="77777777" w:rsidR="00A306EF" w:rsidRDefault="00000000">
      <w:pPr>
        <w:spacing w:after="80"/>
      </w:pPr>
      <w:r>
        <w:rPr>
          <w:rFonts w:cs="Calibri"/>
          <w:szCs w:val="21"/>
        </w:rPr>
        <w:t>Operational protocols for the CFM established under Article IV, Section 4.2C.</w:t>
      </w:r>
    </w:p>
    <w:p w14:paraId="271C1369" w14:textId="77777777" w:rsidR="00A306EF" w:rsidRDefault="00000000">
      <w:pPr>
        <w:spacing w:after="80"/>
      </w:pPr>
      <w:r>
        <w:rPr>
          <w:rFonts w:cs="Calibri"/>
          <w:szCs w:val="21"/>
        </w:rPr>
        <w:t>Market Architecture:</w:t>
      </w:r>
    </w:p>
    <w:p w14:paraId="7B2175F0" w14:textId="77777777" w:rsidR="00A306EF" w:rsidRDefault="00000000">
      <w:pPr>
        <w:numPr>
          <w:ilvl w:val="0"/>
          <w:numId w:val="1"/>
        </w:numPr>
        <w:spacing w:after="80"/>
      </w:pPr>
      <w:r>
        <w:rPr>
          <w:rFonts w:cs="Calibri"/>
          <w:szCs w:val="21"/>
        </w:rPr>
        <w:t>Blockchain-settled, IMU-denominated contracts with T+1 settlement through IMESI clearing banks (SFI infrastructure)</w:t>
      </w:r>
    </w:p>
    <w:p w14:paraId="4DB66D60" w14:textId="77777777" w:rsidR="00A306EF" w:rsidRDefault="00000000">
      <w:pPr>
        <w:numPr>
          <w:ilvl w:val="0"/>
          <w:numId w:val="1"/>
        </w:numPr>
        <w:spacing w:after="80"/>
      </w:pPr>
      <w:r>
        <w:rPr>
          <w:rFonts w:cs="Calibri"/>
          <w:szCs w:val="21"/>
        </w:rPr>
        <w:t>Three market categories: Event Markets (coercion probability), Response Markets (coalition activation probability), Resolution Markets (de-escalation probability)</w:t>
      </w:r>
    </w:p>
    <w:p w14:paraId="6A8ED902" w14:textId="77777777" w:rsidR="00A306EF" w:rsidRDefault="00000000">
      <w:pPr>
        <w:numPr>
          <w:ilvl w:val="0"/>
          <w:numId w:val="1"/>
        </w:numPr>
        <w:spacing w:after="80"/>
      </w:pPr>
      <w:r>
        <w:rPr>
          <w:rFonts w:cs="Calibri"/>
          <w:szCs w:val="21"/>
        </w:rPr>
        <w:t>Contract durations: 30, 90, and 180 days rolling, with continuous market-making by Secretariat-designated liquidity providers</w:t>
      </w:r>
    </w:p>
    <w:p w14:paraId="05281977" w14:textId="77777777" w:rsidR="00A306EF" w:rsidRDefault="00000000">
      <w:pPr>
        <w:spacing w:after="80"/>
      </w:pPr>
      <w:r>
        <w:rPr>
          <w:rFonts w:cs="Calibri"/>
          <w:szCs w:val="21"/>
        </w:rPr>
        <w:t>Permissioning and Access:</w:t>
      </w:r>
    </w:p>
    <w:p w14:paraId="6E65A7BE" w14:textId="77777777" w:rsidR="00A306EF" w:rsidRDefault="00000000">
      <w:pPr>
        <w:numPr>
          <w:ilvl w:val="0"/>
          <w:numId w:val="1"/>
        </w:numPr>
        <w:spacing w:after="80"/>
      </w:pPr>
      <w:r>
        <w:rPr>
          <w:rFonts w:cs="Calibri"/>
          <w:szCs w:val="21"/>
        </w:rPr>
        <w:t>Accredited participants: designated analysts from each member state (maximum 5 per member), IEWC staff, ADAI system (algorithmic participation with transparency), and approved academic researchers</w:t>
      </w:r>
    </w:p>
    <w:p w14:paraId="4CE12918" w14:textId="77777777" w:rsidR="00A306EF" w:rsidRDefault="00000000">
      <w:pPr>
        <w:numPr>
          <w:ilvl w:val="0"/>
          <w:numId w:val="1"/>
        </w:numPr>
        <w:spacing w:after="80"/>
      </w:pPr>
      <w:r>
        <w:rPr>
          <w:rFonts w:cs="Calibri"/>
          <w:szCs w:val="21"/>
        </w:rPr>
        <w:t>Non-member states and their agents are permanently excluded, participation by proxy triggers Tier 2 anti-fragmentation investigation</w:t>
      </w:r>
    </w:p>
    <w:p w14:paraId="74F26E55" w14:textId="77777777" w:rsidR="00A306EF" w:rsidRDefault="00000000">
      <w:pPr>
        <w:numPr>
          <w:ilvl w:val="0"/>
          <w:numId w:val="1"/>
        </w:numPr>
        <w:spacing w:after="80"/>
      </w:pPr>
      <w:r>
        <w:rPr>
          <w:rFonts w:cs="Calibri"/>
          <w:szCs w:val="21"/>
        </w:rPr>
        <w:lastRenderedPageBreak/>
        <w:t>All trades logged with full audit trail; quarterly manipulation review by independent compliance officer</w:t>
      </w:r>
    </w:p>
    <w:p w14:paraId="137FB34F" w14:textId="77777777" w:rsidR="00A306EF" w:rsidRDefault="00000000">
      <w:pPr>
        <w:spacing w:after="80"/>
      </w:pPr>
      <w:r>
        <w:rPr>
          <w:rFonts w:cs="Calibri"/>
          <w:szCs w:val="21"/>
        </w:rPr>
        <w:t>Trigger Integration:</w:t>
      </w:r>
    </w:p>
    <w:p w14:paraId="250E9E11" w14:textId="77777777" w:rsidR="00A306EF" w:rsidRDefault="00000000">
      <w:pPr>
        <w:spacing w:after="80"/>
      </w:pPr>
      <w:r>
        <w:rPr>
          <w:rFonts w:cs="Calibri"/>
          <w:szCs w:val="21"/>
        </w:rPr>
        <w:t>Market Signal</w:t>
      </w:r>
    </w:p>
    <w:p w14:paraId="3CD2A6C7" w14:textId="77777777" w:rsidR="00A306EF" w:rsidRDefault="00000000">
      <w:pPr>
        <w:spacing w:after="80"/>
      </w:pPr>
      <w:r>
        <w:rPr>
          <w:rFonts w:cs="Calibri"/>
          <w:szCs w:val="21"/>
        </w:rPr>
        <w:t>Automatic Effect</w:t>
      </w:r>
    </w:p>
    <w:p w14:paraId="7854E766" w14:textId="77777777" w:rsidR="00A306EF" w:rsidRDefault="00000000">
      <w:pPr>
        <w:spacing w:after="80"/>
      </w:pPr>
      <w:r>
        <w:rPr>
          <w:rFonts w:cs="Calibri"/>
          <w:szCs w:val="21"/>
        </w:rPr>
        <w:t>Event Market &gt;60% for any member</w:t>
      </w:r>
    </w:p>
    <w:p w14:paraId="6C3E1C5A" w14:textId="77777777" w:rsidR="00A306EF" w:rsidRDefault="00000000">
      <w:pPr>
        <w:spacing w:after="80"/>
      </w:pPr>
      <w:r>
        <w:rPr>
          <w:rFonts w:cs="Calibri"/>
          <w:szCs w:val="21"/>
        </w:rPr>
        <w:t>IEWC initiates enhanced monitoring; diplomatic outreach authorized</w:t>
      </w:r>
    </w:p>
    <w:p w14:paraId="25D2A2E8" w14:textId="77777777" w:rsidR="00A306EF" w:rsidRDefault="00000000">
      <w:pPr>
        <w:spacing w:after="80"/>
      </w:pPr>
      <w:r>
        <w:rPr>
          <w:rFonts w:cs="Calibri"/>
          <w:szCs w:val="21"/>
        </w:rPr>
        <w:t>Response Market &gt;70% for specific scenario</w:t>
      </w:r>
    </w:p>
    <w:p w14:paraId="1CC05BA6" w14:textId="77777777" w:rsidR="00A306EF" w:rsidRDefault="00000000">
      <w:pPr>
        <w:spacing w:after="80"/>
      </w:pPr>
      <w:r>
        <w:rPr>
          <w:rFonts w:cs="Calibri"/>
          <w:szCs w:val="21"/>
        </w:rPr>
        <w:t>Pre-activation procedures: stockpile burden-sharing pre-calculation</w:t>
      </w:r>
    </w:p>
    <w:p w14:paraId="1A88C014" w14:textId="77777777" w:rsidR="00A306EF" w:rsidRDefault="00000000">
      <w:pPr>
        <w:spacing w:after="80"/>
      </w:pPr>
      <w:r>
        <w:rPr>
          <w:rFonts w:cs="Calibri"/>
          <w:szCs w:val="21"/>
        </w:rPr>
        <w:t>positioning,</w:t>
      </w:r>
    </w:p>
    <w:p w14:paraId="0B3D91C4" w14:textId="77777777" w:rsidR="00A306EF" w:rsidRDefault="00000000">
      <w:pPr>
        <w:spacing w:after="100"/>
      </w:pPr>
      <w:r>
        <w:rPr>
          <w:rFonts w:cs="Calibri"/>
          <w:szCs w:val="21"/>
        </w:rPr>
        <w:t>SFI</w:t>
      </w:r>
    </w:p>
    <w:p w14:paraId="540DBF27" w14:textId="77777777" w:rsidR="00A306EF" w:rsidRDefault="00000000">
      <w:pPr>
        <w:spacing w:after="80"/>
      </w:pPr>
      <w:r>
        <w:rPr>
          <w:rFonts w:cs="Calibri"/>
          <w:szCs w:val="21"/>
        </w:rPr>
        <w:t>settlement</w:t>
      </w:r>
    </w:p>
    <w:p w14:paraId="2E6B28CA" w14:textId="77777777" w:rsidR="00A306EF" w:rsidRDefault="00000000">
      <w:pPr>
        <w:spacing w:after="80"/>
      </w:pPr>
      <w:r>
        <w:rPr>
          <w:rFonts w:cs="Calibri"/>
          <w:szCs w:val="21"/>
        </w:rPr>
        <w:t>drill,</w:t>
      </w:r>
    </w:p>
    <w:p w14:paraId="60089D41" w14:textId="77777777" w:rsidR="00A306EF" w:rsidRDefault="00000000">
      <w:pPr>
        <w:spacing w:after="80"/>
      </w:pPr>
      <w:r>
        <w:rPr>
          <w:rFonts w:cs="Calibri"/>
          <w:szCs w:val="21"/>
        </w:rPr>
        <w:t>Response Market authorized case Resolution Market &gt;80%</w:t>
      </w:r>
    </w:p>
    <w:p w14:paraId="4585B894" w14:textId="77777777" w:rsidR="00A306EF" w:rsidRDefault="00000000">
      <w:pPr>
        <w:spacing w:after="100"/>
      </w:pPr>
      <w:r>
        <w:rPr>
          <w:rFonts w:cs="Calibri"/>
          <w:szCs w:val="21"/>
        </w:rPr>
        <w:t>&lt;40%</w:t>
      </w:r>
    </w:p>
    <w:p w14:paraId="3606EA2C" w14:textId="77777777" w:rsidR="00A306EF" w:rsidRDefault="00000000">
      <w:pPr>
        <w:spacing w:after="80"/>
      </w:pPr>
      <w:r>
        <w:rPr>
          <w:rFonts w:cs="Calibri"/>
          <w:szCs w:val="21"/>
        </w:rPr>
        <w:t>for</w:t>
      </w:r>
    </w:p>
    <w:p w14:paraId="42525CBF" w14:textId="77777777" w:rsidR="00A306EF" w:rsidRDefault="00000000">
      <w:pPr>
        <w:spacing w:after="80"/>
      </w:pPr>
      <w:r>
        <w:rPr>
          <w:rFonts w:cs="Calibri"/>
          <w:szCs w:val="21"/>
        </w:rPr>
        <w:t>Coalition credibility alert: Coordination Committee emergency session within 24 hours De-escalation protocols fast-tracked; mediator deployment authorized</w:t>
      </w:r>
    </w:p>
    <w:p w14:paraId="6CBCDF27" w14:textId="77777777" w:rsidR="00A306EF" w:rsidRDefault="00000000">
      <w:pPr>
        <w:spacing w:after="140"/>
      </w:pPr>
      <w:r>
        <w:rPr>
          <w:rFonts w:cs="Calibri"/>
          <w:szCs w:val="21"/>
        </w:rPr>
        <w:t>Credibility Scoring: Members whose response predictions consistently diverge from actual coalition behavior (measured over 12-month rolling window) face reputational penalties: reduced voting weight in burden-sharing disputes (Section 4.5) and lower priority in Unified Investment Auction bids (Section 8.4). Conversely, consistently accurate forecasters gain enhanced credibility scores feeding into IEWC analytical</w:t>
      </w:r>
    </w:p>
    <w:p w14:paraId="24C9DE38" w14:textId="77777777" w:rsidR="00A306EF" w:rsidRDefault="00000000">
      <w:pPr>
        <w:spacing w:after="140"/>
      </w:pPr>
      <w:r>
        <w:rPr>
          <w:rFonts w:cs="Calibri"/>
          <w:szCs w:val="21"/>
        </w:rPr>
        <w:t>weighting. Anti-Manipulation Safeguards: Position limits (no single participant &gt;5% of any contract's open interest, with a 15% coalition-bloc cap, per Annex 14 (Addendum)); circuit breakers (trading halted for 2 hours if price moves &gt;10% in 1 hour); annual red-team manipulation exercises, including a dedicated CFM Manipulation Scenario, coordinated with ADAI red-team (Section 4.2B); criminal referral protocol for confirmed market manipulation.</w:t>
      </w:r>
    </w:p>
    <w:p w14:paraId="6F5ED857" w14:textId="77777777" w:rsidR="00A306EF" w:rsidRDefault="00000000">
      <w:pPr>
        <w:pStyle w:val="Heading3"/>
      </w:pPr>
      <w:r>
        <w:rPr>
          <w:rFonts w:cs="Calibri"/>
          <w:szCs w:val="22"/>
        </w:rPr>
        <w:t>Annex 14 (Addendum): Coercion Forecast Market Integrity Hardening Protocol</w:t>
      </w:r>
    </w:p>
    <w:p w14:paraId="249E852E" w14:textId="77777777" w:rsidR="00A306EF" w:rsidRDefault="00000000">
      <w:pPr>
        <w:spacing w:after="140"/>
      </w:pPr>
      <w:r>
        <w:rPr>
          <w:rFonts w:cs="Calibri"/>
          <w:szCs w:val="21"/>
        </w:rPr>
        <w:t>(a) Multi-Source Oracle Consensus: The CFM resolves contracts only upon triple-confirmation from three independent, mutually untrusted data oracles: the IEWC Certification Feed, comprising official IEWC preliminary or final coercion findings; an Independent Economic Data Feed, comprising contracted private-sector data providers supplying objective trade-flow, tariff-rate, and financial-contagion indicators; and a Member-State Consensus Feed, comprising a weighted vote of designated National IMESI Authorities confirming that observable conditions match the market's prediction. All three sources agree within a tolerance band of plus or minus 5% for a contract to resolve; disagreement places the contract in a 72-hour Adjudication Hold for human IEWC review, and any discrepancy above 10% triggers the data-</w:t>
      </w:r>
      <w:r>
        <w:rPr>
          <w:rFonts w:cs="Calibri"/>
          <w:szCs w:val="21"/>
        </w:rPr>
        <w:lastRenderedPageBreak/>
        <w:t>auditing safeguard of Section 8.18C, suspending CFM-based recommendations until reconciliation. The IEWC publishes the resolution methodology and any discrepancies in a quarterly CFM Transparency Report.</w:t>
      </w:r>
    </w:p>
    <w:p w14:paraId="70680E0C" w14:textId="77777777" w:rsidR="00A306EF" w:rsidRDefault="00000000">
      <w:pPr>
        <w:spacing w:after="140"/>
      </w:pPr>
      <w:r>
        <w:rPr>
          <w:rFonts w:cs="Calibri"/>
          <w:szCs w:val="21"/>
        </w:rPr>
        <w:t>(b) Dynamic Position Limits and Circuit Breakers: No single participant, including a Member-state's designated analysts in aggregate, holds more than 5% of open interest in any single contract, and no group of participants from the same geopolitical bloc or alliance, as defined by the IEWC's objective alliance-neutrality criteria, collectively holds more than 15% of open interest in any contract. A price movement exceeding 10% in a 1-hour window halts trading automatically for 2 hours, during which the IEWC publishes a Market Stability Note assessing whether a genuine signal or a manipulation attempt is suspected. Two such halts in a single 24-hour period trigger a 24-hour full market freeze and a mandatory Internal Adjudication Chamber investigation. The CFM Governance Body reviews all circuit breaker activations monthly and recommends adjustments to the Coordination Committee.</w:t>
      </w:r>
    </w:p>
    <w:p w14:paraId="62EFE87B" w14:textId="77777777" w:rsidR="00A306EF" w:rsidRDefault="00000000">
      <w:pPr>
        <w:spacing w:after="140"/>
      </w:pPr>
      <w:r>
        <w:rPr>
          <w:rFonts w:cs="Calibri"/>
          <w:szCs w:val="21"/>
        </w:rPr>
        <w:t>(c) Cooling-Off Periods for Market Signals: An Event Market reading above 60% triggers a 6-hour Confirmation Window rather than immediate enhanced monitoring; enhanced monitoring activates only where the price remains above 60% for 6 consecutive hours or spikes above 70% within the window, filtering out short-lived manipulative spoofs. A Resolution Market reading above 80% delays the automatic de-escalation trigger by 4 hours of sustained price action, with a mandatory IEWC check-in at the 2-hour mark. A contract that triggers a circuit breaker sustains its level for 2 hours after the market reopens before the signal is considered valid for any institutional response. The CFM Governance Body adjusts cooling-off periods based on observed market behavior, subject to 60% Committee approval.</w:t>
      </w:r>
    </w:p>
    <w:p w14:paraId="28B695EB" w14:textId="77777777" w:rsidR="00A306EF" w:rsidRDefault="00000000">
      <w:pPr>
        <w:spacing w:after="140"/>
      </w:pPr>
      <w:r>
        <w:rPr>
          <w:rFonts w:cs="Calibri"/>
          <w:szCs w:val="21"/>
        </w:rPr>
        <w:t>(d) Reputation-Weighted Credibility Scoring: Each participant starts with a baseline credibility score of 1.0, adjusted after each contract resolution: plus 0.1 for correctly predicting the outcome within the contract's time window; minus 0.1 for a significant miss; and minus 0.2 for a miss exceeding 20 percentage points from the final outcome. Credibility scores publish anonymously on the Dashboard as an aggregate distribution, and the CFM signal weights by these scores, so a low-credibility participant's trade moves the market price less than a high-credibility participant's trade. Ten consecutive losing predictions trigger a mandatory IEWC credibility review, which includes the option of a 30-day trading suspension; participants appeal credibility adjustments to the CFM Governance Body within 14 days.</w:t>
      </w:r>
    </w:p>
    <w:p w14:paraId="7FA22D09" w14:textId="77777777" w:rsidR="00A306EF" w:rsidRDefault="00000000">
      <w:pPr>
        <w:spacing w:after="140"/>
      </w:pPr>
      <w:r>
        <w:rPr>
          <w:rFonts w:cs="Calibri"/>
          <w:szCs w:val="21"/>
        </w:rPr>
        <w:t>(e) Data-Auditing Safeguard for Oracle Feeds: The Secretariat maintains parallel independent data feeds for every primary CFM indicator, covering trade flows, tariff announcements, currency movements, sovereign yield changes, and IEWC certification status. Discrepancies exceeding 3% between primary and secondary feeds suspend CFM-based price movement triggers automatically pending technical reconciliation. A discrepancy exceeding 5% triggers a mandatory 72-hour CFM stand-down, during which no market signals feed into IEWC dashboards and human analysts make all risk assessments using the backup feeds. The CFM Governance Body publishes an annual Data Integrity Report summarising all discrepancies and resolutions.</w:t>
      </w:r>
    </w:p>
    <w:p w14:paraId="0BA6BC37" w14:textId="77777777" w:rsidR="00A306EF" w:rsidRDefault="00000000">
      <w:pPr>
        <w:spacing w:after="140"/>
      </w:pPr>
      <w:r>
        <w:rPr>
          <w:rFonts w:cs="Calibri"/>
          <w:szCs w:val="21"/>
        </w:rPr>
        <w:t xml:space="preserve">(f) Sybil-Resistant Permissioning and Verified Identity: All participants undergo independent identity verification by the Secretariat, comprising government-issued identification verification for named individuals, organisational authentication through official institutional affiliation, and two-factor authentication for all logins and trade executions. Any entity participating through a corporate or </w:t>
      </w:r>
      <w:r>
        <w:rPr>
          <w:rFonts w:cs="Calibri"/>
          <w:szCs w:val="21"/>
        </w:rPr>
        <w:lastRenderedPageBreak/>
        <w:t>academic proxy publicly discloses its ultimate beneficial ownership or institutional affiliation; anonymous shell entities are permanently excluded. All credentials re-verify every 6 months, and a single verified breach of identity, such as a participant acting as proxy for a non-member state, triggers a Tier 1 anti-fragmentation investigation for the associated Member state, including immediate 5-year exclusion from the CFM for that Member's entire analyst cohort upon confirmation.</w:t>
      </w:r>
    </w:p>
    <w:p w14:paraId="168F4CE5" w14:textId="77777777" w:rsidR="00A306EF" w:rsidRDefault="00000000">
      <w:pPr>
        <w:spacing w:after="140"/>
      </w:pPr>
      <w:r>
        <w:rPr>
          <w:rFonts w:cs="Calibri"/>
          <w:szCs w:val="21"/>
        </w:rPr>
        <w:t>(g) Human-in-the-Loop for Borderline Signals: For market signals between 55% and 65%, the Borderline Zone, the automatic effect delays for 12 hours, during which the Rapid Legitimacy Signal Mechanism Panel (Section 4.2U) issues a preliminary advisory note on whether the signal appears consistent with observable economic data. Where the Panel flags potential manipulation or inconsistency with external indicators, the automatic effect does not trigger and the case elevates to a full IEWC Borderline Market Review with a 7-day investigation window; where the signal sustains above 65% during the delay, the normal automatic effect proceeds. The Panel's advisory note publishes on the Dashboard within 24 hours of issuance.</w:t>
      </w:r>
    </w:p>
    <w:p w14:paraId="1285A88A" w14:textId="77777777" w:rsidR="00A306EF" w:rsidRDefault="00000000">
      <w:pPr>
        <w:spacing w:after="140"/>
      </w:pPr>
      <w:r>
        <w:rPr>
          <w:rFonts w:cs="Calibri"/>
          <w:szCs w:val="21"/>
        </w:rPr>
        <w:t>(h) Canary Trap for CFM Internal Data: The IEWC periodically injects variant false indicators into the CFM's data environment: subtle, plausible-looking signals not visible to all participants simultaneously. Where a variant false indicator suddenly appears in market prices or trading patterns, the IEWC identifies which participant or data channel leaked the information. A confirmed leak of a canary indicator triggers an immediate 48-hour CFM suspension and a mandatory investigation under the Intelligence Leakage Response Protocol (Section 4.2N); the responsible Member state faces a 12-month suspension from the CFM and a 25% Fund surcharge under Section 8.4A. The canary indicators are pre-authorized by the IEWC, updated quarterly, and classified at Locked Tier under Section 4.2N.</w:t>
      </w:r>
    </w:p>
    <w:p w14:paraId="2C9F6437" w14:textId="77777777" w:rsidR="00A306EF" w:rsidRDefault="00000000">
      <w:pPr>
        <w:spacing w:after="140"/>
      </w:pPr>
      <w:r>
        <w:rPr>
          <w:rFonts w:cs="Calibri"/>
          <w:szCs w:val="21"/>
        </w:rPr>
        <w:t>(i) Signal Fading for Stale Contracts: The signal relevant for institutional responses is a weighted moving average over the last 7 days of a contract's life rather than a point-in-time price. An automatic effect triggers only where the 7-day weighted average exceeds the threshold for at least 3 consecutive days; a single-day spike triggers only an alert to the IEWC. For contracts with fewer than 7 days remaining, the trigger suspends entirely, the market being too close to expiry for reliable institutional signaling. The CFM Governance Body publishes the weighted average methodology and applies it consistently to all contracts.</w:t>
      </w:r>
    </w:p>
    <w:p w14:paraId="79D460A7" w14:textId="77777777" w:rsidR="00A306EF" w:rsidRDefault="00000000">
      <w:pPr>
        <w:spacing w:after="140"/>
      </w:pPr>
      <w:r>
        <w:rPr>
          <w:rFonts w:cs="Calibri"/>
          <w:szCs w:val="21"/>
        </w:rPr>
        <w:t>(j) CFM Stress-Test and Red-Team Integration: At least once every 12 months, the red-team exercise under Section 4.6I includes a dedicated CFM Manipulation Scenario in which external experts simulate a sophisticated attack on the market, including sybil attacks, oracle poisoning, data-feed compromise, and coordinated market cornering. The exercise tests detection speed for each manipulation type, the effectiveness of the circuit breakers, the data-auditing safeguard's response time, and the human-in-the-loop confirmation process. Results are presented to the Coordination Committee within 30 days, and any identified failure mode triggers a mandatory CFM Hardening Amendment under the Adaptive Institutional Mutation procedure (Section 10A.4). A successful red-team exploit, defined as a manipulation undetected for more than 12 hours, triggers an automatic 90-day CFM suspension and a mandatory external audit by non-member experts, mirroring the ADAI Circuit Breaker (Section 4.2B); the CFM Governance Body implements all audit recommendations within 60 days.</w:t>
      </w:r>
    </w:p>
    <w:p w14:paraId="638CDC3B" w14:textId="77777777" w:rsidR="00A306EF" w:rsidRDefault="00000000">
      <w:pPr>
        <w:pStyle w:val="Heading1"/>
        <w:spacing w:after="100"/>
      </w:pPr>
      <w:bookmarkStart w:id="54" w:name="_Toc237918158"/>
      <w:r>
        <w:lastRenderedPageBreak/>
        <w:t>ANNEX 20: CONTINGENCY ARCHITECTURE FOR FUTURE REVIEW</w:t>
      </w:r>
      <w:bookmarkStart w:id="55" w:name="_Toc000061"/>
      <w:bookmarkEnd w:id="54"/>
      <w:bookmarkEnd w:id="55"/>
    </w:p>
    <w:p w14:paraId="2DE99D20" w14:textId="77777777" w:rsidR="00A306EF" w:rsidRDefault="00000000">
      <w:pPr>
        <w:spacing w:after="80"/>
      </w:pPr>
      <w:r>
        <w:t>The modules contained herein are exploratory design considerations and are not construed as institutional objectives, policy commitments, or anticipatory governance structures.</w:t>
      </w:r>
    </w:p>
    <w:p w14:paraId="763D985B" w14:textId="77777777" w:rsidR="00A306EF" w:rsidRDefault="00000000">
      <w:pPr>
        <w:spacing w:after="80"/>
      </w:pPr>
      <w:r>
        <w:t>Module G: Monetary Resilience Options Paper [Secretariat Working Paper] Status: Working paper for Grand Review Convention consideration. No Charter amendments. Non-binding guidance for future institutional evolution.</w:t>
      </w:r>
    </w:p>
    <w:p w14:paraId="340AE30E" w14:textId="77777777" w:rsidR="00A306EF" w:rsidRDefault="00000000">
      <w:pPr>
        <w:spacing w:after="80"/>
      </w:pPr>
      <w:r>
        <w:t>Contents:</w:t>
      </w:r>
    </w:p>
    <w:p w14:paraId="20B55DA4" w14:textId="77777777" w:rsidR="00A306EF" w:rsidRDefault="00000000">
      <w:pPr>
        <w:numPr>
          <w:ilvl w:val="0"/>
          <w:numId w:val="1"/>
        </w:numPr>
        <w:spacing w:after="80"/>
      </w:pPr>
      <w:r>
        <w:t>Contingency IMU valuation mechanisms: Options for IMU basket composition, rebalancing triggers, and stress-scenario valuation protocols</w:t>
      </w:r>
    </w:p>
    <w:p w14:paraId="68D60FFA" w14:textId="77777777" w:rsidR="00A306EF" w:rsidRDefault="00000000">
      <w:pPr>
        <w:spacing w:after="80"/>
      </w:pPr>
      <w:r>
        <w:t>Reserve diversification best-practice guidelines: Voluntary guidance for member central banks on gradual FX reserve diversification consistent with financial stability</w:t>
      </w:r>
    </w:p>
    <w:p w14:paraId="772FDAE2" w14:textId="77777777" w:rsidR="00A306EF" w:rsidRDefault="00000000">
      <w:pPr>
        <w:numPr>
          <w:ilvl w:val="0"/>
          <w:numId w:val="1"/>
        </w:numPr>
        <w:spacing w:after="80"/>
      </w:pPr>
      <w:r>
        <w:t>CBDC interoperability feasibility assessment: Technical evaluation of cross-border CBDC settlement for intra-IMESI trade; compatibility with existing SFI architecture</w:t>
      </w:r>
    </w:p>
    <w:p w14:paraId="01ED13FB" w14:textId="77777777" w:rsidR="00A306EF" w:rsidRDefault="00000000">
      <w:pPr>
        <w:numPr>
          <w:ilvl w:val="0"/>
          <w:numId w:val="1"/>
        </w:numPr>
        <w:spacing w:after="140"/>
      </w:pPr>
      <w:r>
        <w:t>IMF Article XIV standby notification templates: Pre-drafted notification formats for IMESI-authorized capital controls consistent with IMF obligations This module contains no binding commitments. It provides analytical foundations for future Grand Review Convention deliberations on monetary resilience.</w:t>
      </w:r>
    </w:p>
    <w:p w14:paraId="7F242BAB" w14:textId="77777777" w:rsidR="00A306EF" w:rsidRDefault="00000000">
      <w:pPr>
        <w:spacing w:after="140"/>
      </w:pPr>
      <w:r>
        <w:t>Module A: Institutional Resilience Scenarios Status: Planning framework for Grand Review Convention consideration (Section 10A.1). Not operational. Purpose: Explore response options if IMESI institutional functions are targeted.</w:t>
      </w:r>
    </w:p>
    <w:p w14:paraId="29AC34C3" w14:textId="77777777" w:rsidR="00A306EF" w:rsidRDefault="00000000">
      <w:pPr>
        <w:spacing w:after="80"/>
      </w:pPr>
      <w:r>
        <w:t>Preliminary Concepts:</w:t>
      </w:r>
    </w:p>
    <w:p w14:paraId="4E70EE23" w14:textId="77777777" w:rsidR="00A306EF" w:rsidRDefault="00000000">
      <w:pPr>
        <w:numPr>
          <w:ilvl w:val="0"/>
          <w:numId w:val="1"/>
        </w:numPr>
        <w:spacing w:after="80"/>
      </w:pPr>
      <w:r>
        <w:t>SFI operational continuity protocols (distributed node architecture, backup clearing)</w:t>
      </w:r>
    </w:p>
    <w:p w14:paraId="5D6C91A0" w14:textId="77777777" w:rsidR="00A306EF" w:rsidRDefault="00000000">
      <w:pPr>
        <w:numPr>
          <w:ilvl w:val="0"/>
          <w:numId w:val="1"/>
        </w:numPr>
        <w:spacing w:after="80"/>
      </w:pPr>
      <w:r>
        <w:t>Secretariat relocation contingency (pre-agreed alternative hosting arrangements)</w:t>
      </w:r>
    </w:p>
    <w:p w14:paraId="291B89F5" w14:textId="77777777" w:rsidR="00A306EF" w:rsidRDefault="00000000">
      <w:pPr>
        <w:numPr>
          <w:ilvl w:val="0"/>
          <w:numId w:val="1"/>
        </w:numPr>
        <w:spacing w:after="80"/>
      </w:pPr>
      <w:r>
        <w:t>Membership protection communication frameworks (public messaging during institutional disruption) Activation: Requires 70% Grand Review adoption and 24-month implementation period.</w:t>
      </w:r>
    </w:p>
    <w:p w14:paraId="208845E3" w14:textId="77777777" w:rsidR="00A306EF" w:rsidRDefault="00000000">
      <w:pPr>
        <w:spacing w:after="140"/>
      </w:pPr>
      <w:r>
        <w:t>Module B: Major Economy Integration, Design Options Status: Conceptual framework for potential future accession scenarios. No current applicability. Background: Economieses exceeding 10% global GDP seek accession, governance architecture requires adaptation to preserve: coalition decision-making integrity; burden-sharing equity; non-alignment principles.</w:t>
      </w:r>
    </w:p>
    <w:p w14:paraId="26EDCCB0" w14:textId="77777777" w:rsidR="00A306EF" w:rsidRDefault="00000000">
      <w:pPr>
        <w:spacing w:after="80"/>
      </w:pPr>
      <w:r>
        <w:t>Preliminary Design Elements for Future Consideration:</w:t>
      </w:r>
    </w:p>
    <w:p w14:paraId="0BD250C3" w14:textId="77777777" w:rsidR="00A306EF" w:rsidRDefault="00000000">
      <w:pPr>
        <w:numPr>
          <w:ilvl w:val="0"/>
          <w:numId w:val="1"/>
        </w:numPr>
        <w:spacing w:after="80"/>
      </w:pPr>
      <w:r>
        <w:t>Modified voting weight caps to prevent single-member dominance</w:t>
      </w:r>
    </w:p>
    <w:p w14:paraId="1E70EDA2" w14:textId="77777777" w:rsidR="00A306EF" w:rsidRDefault="00000000">
      <w:pPr>
        <w:numPr>
          <w:ilvl w:val="0"/>
          <w:numId w:val="1"/>
        </w:numPr>
        <w:spacing w:after="80"/>
      </w:pPr>
      <w:r>
        <w:t>Extended consultation periods for measures affecting acceding major economy</w:t>
      </w:r>
    </w:p>
    <w:p w14:paraId="6D591A71" w14:textId="77777777" w:rsidR="00A306EF" w:rsidRDefault="00000000">
      <w:pPr>
        <w:numPr>
          <w:ilvl w:val="0"/>
          <w:numId w:val="1"/>
        </w:numPr>
        <w:spacing w:after="80"/>
      </w:pPr>
      <w:r>
        <w:t>Enhanced contribution requirements with directed development support No Precedent: This module creates no expectation of major economy accession and no obligation to adopt these elements.</w:t>
      </w:r>
    </w:p>
    <w:p w14:paraId="0E5862E8" w14:textId="77777777" w:rsidR="00A306EF" w:rsidRDefault="00000000">
      <w:pPr>
        <w:spacing w:after="80"/>
      </w:pPr>
      <w:r>
        <w:lastRenderedPageBreak/>
        <w:t>Module C: Federal System Implementation, Cooperative Practices Status: Voluntary guidance for federal member states. Not enforceable. Purpose: Share practices for coordinating national and sub-national implementation.</w:t>
      </w:r>
    </w:p>
    <w:p w14:paraId="6FD70983" w14:textId="77777777" w:rsidR="00A306EF" w:rsidRDefault="00000000">
      <w:pPr>
        <w:spacing w:after="80"/>
      </w:pPr>
      <w:r>
        <w:t>Illustrative Practices:</w:t>
      </w:r>
    </w:p>
    <w:p w14:paraId="2794DF60" w14:textId="77777777" w:rsidR="00A306EF" w:rsidRDefault="00000000">
      <w:pPr>
        <w:numPr>
          <w:ilvl w:val="0"/>
          <w:numId w:val="1"/>
        </w:numPr>
        <w:spacing w:after="80"/>
      </w:pPr>
      <w:r>
        <w:t>Early notification to affected sub-national governments</w:t>
      </w:r>
    </w:p>
    <w:p w14:paraId="154A3839" w14:textId="77777777" w:rsidR="00A306EF" w:rsidRDefault="00000000">
      <w:pPr>
        <w:numPr>
          <w:ilvl w:val="0"/>
          <w:numId w:val="1"/>
        </w:numPr>
        <w:spacing w:after="80"/>
      </w:pPr>
      <w:r>
        <w:t>Technical assistance for sub-national compliance capacity</w:t>
      </w:r>
    </w:p>
    <w:p w14:paraId="5B5BAE15" w14:textId="77777777" w:rsidR="00A306EF" w:rsidRDefault="00000000">
      <w:pPr>
        <w:numPr>
          <w:ilvl w:val="0"/>
          <w:numId w:val="1"/>
        </w:numPr>
        <w:spacing w:after="80"/>
      </w:pPr>
      <w:r>
        <w:t>Dispute resolution through national political processes No Override: Nothing in this module authorises direct IEWC-sub-national engagement bypassing national government.</w:t>
      </w:r>
    </w:p>
    <w:p w14:paraId="6732517D" w14:textId="77777777" w:rsidR="00A306EF" w:rsidRDefault="00000000">
      <w:pPr>
        <w:spacing w:after="140"/>
      </w:pPr>
      <w:r>
        <w:t>Module D: Corporate Coercion Response, Scenario Development Status: Analytical preparation for potential future case types. Not operational. Purpose: Explore whether standard stabilization measure architecture is adequate for state-instrumentalised corporate coercion.</w:t>
      </w:r>
    </w:p>
    <w:p w14:paraId="106D1DE7" w14:textId="77777777" w:rsidR="00A306EF" w:rsidRDefault="00000000">
      <w:pPr>
        <w:spacing w:after="80"/>
      </w:pPr>
      <w:r>
        <w:t>Preliminary Scenario Types:</w:t>
      </w:r>
    </w:p>
    <w:p w14:paraId="4520D333" w14:textId="77777777" w:rsidR="00A306EF" w:rsidRDefault="00000000">
      <w:pPr>
        <w:numPr>
          <w:ilvl w:val="0"/>
          <w:numId w:val="1"/>
        </w:numPr>
        <w:spacing w:after="80"/>
      </w:pPr>
      <w:r>
        <w:t>Cloud service denial with apparent state coordination</w:t>
      </w:r>
    </w:p>
    <w:p w14:paraId="175332C8" w14:textId="77777777" w:rsidR="00A306EF" w:rsidRDefault="00000000">
      <w:pPr>
        <w:numPr>
          <w:ilvl w:val="0"/>
          <w:numId w:val="1"/>
        </w:numPr>
        <w:spacing w:after="80"/>
      </w:pPr>
      <w:r>
        <w:t>Contract manufacturer exclusion following diplomatic friction</w:t>
      </w:r>
    </w:p>
    <w:p w14:paraId="6DCFE1AB" w14:textId="77777777" w:rsidR="00A306EF" w:rsidRDefault="00000000">
      <w:pPr>
        <w:numPr>
          <w:ilvl w:val="0"/>
          <w:numId w:val="1"/>
        </w:numPr>
        <w:spacing w:after="140"/>
      </w:pPr>
      <w:r>
        <w:t>Financial correspondent banking restrictions by state-influenced institutions No Authorization: This module does not authorize any specific response. Case-by-case authorization required through standard Article V procedures.</w:t>
      </w:r>
    </w:p>
    <w:p w14:paraId="5B11541B" w14:textId="77777777" w:rsidR="00A306EF" w:rsidRDefault="00000000">
      <w:pPr>
        <w:spacing w:after="140"/>
      </w:pPr>
      <w:r>
        <w:t>Module E: Sub-National Economic Security Cooperation Status: Framework for voluntary municipal engagement. Not operational. Scope: Cities with independent procurement authority seeks: information on IMESI supply chain opportunities; technical assistance for resilience planning (upon national government notification). No Standing: No direct IEWC-municipal relationship. All engagement through national government or with explicit national consent. Future Consideration: Grand Review evaluates whether Protective Association-equivalent status is appropriate for sub-national units in specific federal systems.</w:t>
      </w:r>
    </w:p>
    <w:p w14:paraId="42D47ABB" w14:textId="77777777" w:rsidR="00A306EF" w:rsidRDefault="00000000">
      <w:pPr>
        <w:spacing w:after="140"/>
      </w:pPr>
      <w:r>
        <w:t>Module F: Inter-Institutional Concordat Pathway [Year 3–5 Review] Status: Contingency architecture for future review; not operational until Year 3–5 per Section 10A.2. Immediate Phase (Year 0–2): Non-Binding Consultation Protocol: WTO Secretariat quarterly DG-level meetings with automatic notification of stabilization measures; IMF Staff 48-hour notification of financial stability implications; ICSID Secretariat information sharing on pending ISDS cases affecting members. Deferred Phase (Year 3–5): Binding Concordat: If Grand Review Convention determines by 60% vote: binding coordination with WTO</w:t>
      </w:r>
    </w:p>
    <w:p w14:paraId="6C75397D" w14:textId="77777777" w:rsidR="00A306EF" w:rsidRDefault="00000000">
      <w:pPr>
        <w:spacing w:after="80"/>
      </w:pPr>
      <w:r>
        <w:t>(complementarity and non-duplication principles); IMF (Article XIV-compatible capital controls, conditionality firewall); ICSID (consolidated ISDS defense, compensation pool for adverse awards).</w:t>
      </w:r>
    </w:p>
    <w:p w14:paraId="682B5D47" w14:textId="77777777" w:rsidR="00A306EF" w:rsidRDefault="00000000">
      <w:pPr>
        <w:spacing w:after="140"/>
      </w:pPr>
      <w:r>
        <w:t>Functional Allocation: Not 'IMESI supremacy' but 'competence allocation': IMESI prevails on coercion-specific defensive measures, proportionality, burden-sharing. International organizations prevail on general economic governance, macroeconomic conditionality, standard trade disputes. Dispute Resolution: Jurisdictional conflicts resolved by binding arbitration with Permanent Court of Arbitration; 90-day timeline; 'functional necessity' standard.</w:t>
      </w:r>
    </w:p>
    <w:p w14:paraId="62A66A25" w14:textId="77777777" w:rsidR="00A306EF" w:rsidRDefault="00000000">
      <w:pPr>
        <w:pStyle w:val="Heading1"/>
        <w:spacing w:after="100"/>
      </w:pPr>
      <w:bookmarkStart w:id="56" w:name="_Toc237918159"/>
      <w:r>
        <w:rPr>
          <w:rFonts w:cs="Calibri"/>
          <w:szCs w:val="30"/>
        </w:rPr>
        <w:lastRenderedPageBreak/>
        <w:t>Annex 8A: Illustrative Capitalization Model</w:t>
      </w:r>
      <w:bookmarkStart w:id="57" w:name="_Toc000066"/>
      <w:bookmarkEnd w:id="56"/>
      <w:bookmarkEnd w:id="57"/>
    </w:p>
    <w:p w14:paraId="2543093A" w14:textId="77777777" w:rsidR="00A306EF" w:rsidRDefault="00000000">
      <w:pPr>
        <w:spacing w:after="80"/>
      </w:pPr>
      <w:r>
        <w:rPr>
          <w:rFonts w:cs="Calibri"/>
          <w:szCs w:val="21"/>
        </w:rPr>
        <w:t>For negotiation purposes only. All figures are indicative.</w:t>
      </w:r>
    </w:p>
    <w:p w14:paraId="17C5AC3F" w14:textId="77777777" w:rsidR="00A306EF" w:rsidRDefault="00000000">
      <w:pPr>
        <w:spacing w:after="80"/>
      </w:pPr>
      <w:r>
        <w:rPr>
          <w:rFonts w:cs="Calibri"/>
          <w:szCs w:val="21"/>
        </w:rPr>
        <w:t>Core Fund</w:t>
      </w:r>
    </w:p>
    <w:p w14:paraId="156DACE1" w14:textId="77777777" w:rsidR="00A306EF" w:rsidRDefault="00000000">
      <w:pPr>
        <w:spacing w:after="80"/>
      </w:pPr>
      <w:r>
        <w:rPr>
          <w:rFonts w:cs="Calibri"/>
          <w:szCs w:val="21"/>
        </w:rPr>
        <w:t>Target: 0.05-0.10% of combined GDP over 5-year capitalization. For a 12-member founding coalition (combined GDP ~USD 45 trillion): annual aggregate contribution USD 2.25-4.5 billion; 5-year Fund target USD 11-22 billion.</w:t>
      </w:r>
    </w:p>
    <w:p w14:paraId="2B8DEBDC" w14:textId="77777777" w:rsidR="00A306EF" w:rsidRDefault="00000000">
      <w:pPr>
        <w:spacing w:after="80"/>
      </w:pPr>
      <w:r>
        <w:rPr>
          <w:rFonts w:cs="Calibri"/>
          <w:szCs w:val="21"/>
        </w:rPr>
        <w:t>Per-Member Contribution Bands</w:t>
      </w:r>
    </w:p>
    <w:p w14:paraId="7E9E32A1" w14:textId="77777777" w:rsidR="00A306EF" w:rsidRDefault="00000000">
      <w:pPr>
        <w:spacing w:after="140"/>
      </w:pPr>
      <w:r>
        <w:rPr>
          <w:rFonts w:cs="Calibri"/>
          <w:szCs w:val="21"/>
        </w:rPr>
        <w:t>G7-equivalent (GDP &gt; USD 5 trillion): 0.08% GDP/year = ~USD 1.2-4.0 billion/year each. Major economy (GDP USD 1-5 trillion): 0.06% = USD 600 million - 3 billion/year. Mid-size (GDP USD 200 billion - 1 trillion): 0.04% = USD 80-400 million/year. Small state (GDP &lt; USD 200 billion): 0.02% = USD 10-40 million/year. LDC/micro-state: 0.01% = under USD 10 million/year.</w:t>
      </w:r>
    </w:p>
    <w:p w14:paraId="16095748" w14:textId="77777777" w:rsidR="00A306EF" w:rsidRDefault="00000000">
      <w:pPr>
        <w:spacing w:after="80"/>
      </w:pPr>
      <w:r>
        <w:rPr>
          <w:rFonts w:cs="Calibri"/>
          <w:szCs w:val="21"/>
        </w:rPr>
        <w:t>Maximum Exposure</w:t>
      </w:r>
    </w:p>
    <w:p w14:paraId="7F662451" w14:textId="77777777" w:rsidR="00A306EF" w:rsidRDefault="00000000">
      <w:pPr>
        <w:spacing w:after="80"/>
      </w:pPr>
      <w:r>
        <w:rPr>
          <w:rFonts w:cs="Calibri"/>
          <w:szCs w:val="21"/>
        </w:rPr>
        <w:t>Annual cap: 0.25% of GDP per member (regular + emergency contributions combined). No single activation draws more than 15% of total Fund without 75% CC vote.</w:t>
      </w:r>
    </w:p>
    <w:p w14:paraId="0C8C3C5A" w14:textId="77777777" w:rsidR="00A306EF" w:rsidRDefault="00000000">
      <w:pPr>
        <w:pStyle w:val="Heading2"/>
        <w:spacing w:after="100"/>
      </w:pPr>
      <w:bookmarkStart w:id="58" w:name="_Toc237918160"/>
      <w:r>
        <w:rPr>
          <w:rFonts w:cs="Calibri"/>
          <w:szCs w:val="25"/>
        </w:rPr>
        <w:t>Section 10.15: Predictability Restoration Protocol</w:t>
      </w:r>
      <w:bookmarkEnd w:id="58"/>
    </w:p>
    <w:p w14:paraId="7AF40529" w14:textId="77777777" w:rsidR="00A306EF" w:rsidRDefault="00000000">
      <w:pPr>
        <w:spacing w:after="140"/>
      </w:pPr>
      <w:r>
        <w:t>Where a state has been the subject of two or more IEWC coercion findings within a 36-month period, the Coordination Committee, by 60% weighted vote, offers a Predictability Restoration Pathway comprising: (a) a 24-month Stability Period during which the state agrees to impose no new economic measures on any Member without at least 90 days' advance notification and consultation; (b) a commitment to restore withdrawn measures to their pre-coercion baseline without re-imposition or equivalent substitution; and (c) acceptance of independent IEWC monitoring of its trade policy announcements.</w:t>
      </w:r>
    </w:p>
    <w:p w14:paraId="7E76E622" w14:textId="77777777" w:rsidR="00A306EF" w:rsidRDefault="00000000">
      <w:pPr>
        <w:spacing w:after="140"/>
      </w:pPr>
      <w:r>
        <w:t>In exchange the state receives suspension of the Pattern-of-Conduct presumption (Section 1.4I) for the Stability Period, a positive entry in the Repeat Coercer Registry (Section 5.3C), and eligibility for accelerated re-integration into IMESI supply-chain and procurement mechanisms. Violation of the Stability Period terminates the Pathway immediately, reinstates all suspended presumptions with retroactive effect, and imposes a mandatory 24-month enhanced monitoring period with no further Pathway offers. This Protocol operates without prejudice to WTO dispute settlement proceedings or other legal remedies.</w:t>
      </w:r>
    </w:p>
    <w:p w14:paraId="3267AA74" w14:textId="77777777" w:rsidR="00A306EF" w:rsidRDefault="00000000">
      <w:pPr>
        <w:pStyle w:val="Heading2"/>
        <w:spacing w:after="100"/>
      </w:pPr>
      <w:bookmarkStart w:id="59" w:name="_Toc237918161"/>
      <w:r>
        <w:rPr>
          <w:rFonts w:cs="Calibri"/>
          <w:szCs w:val="25"/>
        </w:rPr>
        <w:t>Section 10.16: Enhanced Domestic Political Cost Disclosure</w:t>
      </w:r>
      <w:bookmarkEnd w:id="59"/>
    </w:p>
    <w:p w14:paraId="4E02E09B" w14:textId="77777777" w:rsidR="00A306EF" w:rsidRDefault="00000000">
      <w:pPr>
        <w:spacing w:after="140"/>
      </w:pPr>
      <w:r>
        <w:t>Where the IEWC certifies Unilateral Tariff Regime Disruption (Section 2.2B) or Unannounced Trade Action (Section 5.0O) by a systemic economy, the Secretariat publishes, within 14 days, an Enhanced Domestic Political Cost Assessment (EDPCA) on the Dashboard, covering: (a) a factual summary of the estimated electoral, regional, and sectoral impacts of the stabilization measures; (b) the documented positions of relevant legislative committees, industry associations, and sub-national governments regarding the coercive measures; and (c) a comparison of the cost of the coercive measures to the coercer's domestic economy against the cost of the policy concessions demanded.</w:t>
      </w:r>
    </w:p>
    <w:p w14:paraId="5F6F8A8D" w14:textId="77777777" w:rsidR="00A306EF" w:rsidRDefault="00000000">
      <w:pPr>
        <w:spacing w:after="140"/>
      </w:pPr>
      <w:r>
        <w:lastRenderedPageBreak/>
        <w:t>The EDPCA draws exclusively on publicly available data and IEWC-certified findings, complies with the Narrative Neutrality Rule (Annex 16), appears in the coercer's official languages, and reaches relevant legislative committees and stakeholders through Section 10.2. The EDPCA assesses no domestic political stability, electoral outcome, or leadership succession.</w:t>
      </w:r>
    </w:p>
    <w:p w14:paraId="552320CF" w14:textId="77777777" w:rsidR="00A306EF" w:rsidRDefault="00000000">
      <w:pPr>
        <w:pStyle w:val="Heading2"/>
        <w:spacing w:after="100"/>
      </w:pPr>
      <w:bookmarkStart w:id="60" w:name="_Toc237918162"/>
      <w:r>
        <w:rPr>
          <w:rFonts w:cs="Calibri"/>
          <w:szCs w:val="25"/>
        </w:rPr>
        <w:t>Section 10.17: Policy Reversal Penalty Protocol</w:t>
      </w:r>
      <w:bookmarkEnd w:id="60"/>
    </w:p>
    <w:p w14:paraId="3FAE7A05" w14:textId="77777777" w:rsidR="00A306EF" w:rsidRDefault="00000000">
      <w:pPr>
        <w:spacing w:after="140"/>
      </w:pPr>
      <w:r>
        <w:t>Where a state has maintained a consistent trade policy for at least 24 months and then imposes a tariff increase exceeding 10 percentage points on goods from one or more Members, or imposes export restrictions on critical goods, without 90 days' prior notice, such action constitutes a Policy Reversal. Upon IEWC certification the affected Member gains automatic eligibility for the Anticipatory Damage Facility at the enhanced Tier 1 strategic sector coverage rate and for supply-chain diversification grants at 150% of standard Resilience Fund rates; and the action receives Category 4 Red-Line treatment regardless of rate.</w:t>
      </w:r>
    </w:p>
    <w:p w14:paraId="238BDCF9" w14:textId="77777777" w:rsidR="00A306EF" w:rsidRDefault="00000000">
      <w:pPr>
        <w:spacing w:after="140"/>
      </w:pPr>
      <w:r>
        <w:t>The imposing state bears the burden of demonstrating that the reversal addresses a genuine, documented, and imminent threat and that no less trade-restrictive alternative was reasonably available. This Section does not apply to measures authorized by the United Nations Security Council, responding to a documented threat to human, animal, or plant life or health, or responding to a documented material breach of international obligations by the affected Member. The Secretariat maintains a Policy Reversal Registry for use in Pattern-of-Conduct findings (Section 1.4I) and repeat-coercer designations (Section 5.3C).</w:t>
      </w:r>
    </w:p>
    <w:p w14:paraId="47A8F70D" w14:textId="77777777" w:rsidR="00A306EF" w:rsidRDefault="00000000">
      <w:pPr>
        <w:pStyle w:val="Heading1"/>
        <w:spacing w:after="100"/>
      </w:pPr>
      <w:bookmarkStart w:id="61" w:name="_Toc237918163"/>
      <w:r>
        <w:rPr>
          <w:rFonts w:cs="Calibri"/>
          <w:szCs w:val="30"/>
        </w:rPr>
        <w:t>ANNEX 24: OPERATIONAL THRESHOLDS AND CALIBRATION BANDS</w:t>
      </w:r>
      <w:bookmarkStart w:id="62" w:name="_Toc000067"/>
      <w:bookmarkEnd w:id="61"/>
      <w:bookmarkEnd w:id="62"/>
    </w:p>
    <w:p w14:paraId="381A8936" w14:textId="77777777" w:rsidR="00A306EF" w:rsidRDefault="00000000">
      <w:pPr>
        <w:spacing w:after="140"/>
      </w:pPr>
      <w:r>
        <w:rPr>
          <w:rFonts w:cs="Calibri"/>
          <w:szCs w:val="21"/>
        </w:rPr>
        <w:t>This annex consolidates all fine-grained numerical thresholds referenced in the main text. The articles set the structure; this table carries the micro-calibration and is adjusted by 60% CC vote without reopening core doctrine.</w:t>
      </w:r>
    </w:p>
    <w:p w14:paraId="6D0EAE23" w14:textId="77777777" w:rsidR="00A306EF" w:rsidRDefault="00000000">
      <w:pPr>
        <w:spacing w:after="80"/>
      </w:pPr>
      <w:r>
        <w:rPr>
          <w:rFonts w:cs="Calibri"/>
          <w:szCs w:val="21"/>
        </w:rPr>
        <w:t>Headline Thresholds (in Main Text)</w:t>
      </w:r>
    </w:p>
    <w:p w14:paraId="673B6687" w14:textId="77777777" w:rsidR="00A306EF" w:rsidRDefault="00000000">
      <w:pPr>
        <w:spacing w:after="140"/>
      </w:pPr>
      <w:r>
        <w:rPr>
          <w:rFonts w:cs="Calibri"/>
          <w:szCs w:val="21"/>
        </w:rPr>
        <w:t>0.25% GDP: maximum annual member exposure cap (Section 8.0A). 0.1% GDP: minimum economic impact for coercion certification (Section 2.15). 0.3% GDP: cumulative threshold for Chronic Coercion certification (Section 2.10). 15% of Fund: maximum single-case draw without 75% vote (Section 8.0A). 55%/60%/70%/75%: CC voting thresholds for Phase 1 / Phase 2 / scope expansion / systemic-economy measures respectively.</w:t>
      </w:r>
    </w:p>
    <w:p w14:paraId="6CD945F2" w14:textId="77777777" w:rsidR="00A306EF" w:rsidRDefault="00000000">
      <w:pPr>
        <w:spacing w:after="80"/>
      </w:pPr>
      <w:r>
        <w:rPr>
          <w:rFonts w:cs="Calibri"/>
          <w:szCs w:val="21"/>
        </w:rPr>
        <w:t>Escalation Calibration Bands</w:t>
      </w:r>
    </w:p>
    <w:p w14:paraId="665D4D3F" w14:textId="77777777" w:rsidR="00A306EF" w:rsidRDefault="00000000">
      <w:pPr>
        <w:spacing w:after="140"/>
      </w:pPr>
      <w:r>
        <w:rPr>
          <w:rFonts w:cs="Calibri"/>
          <w:szCs w:val="21"/>
        </w:rPr>
        <w:t>Phase 1 intensity: 15-30% of standard stabilization measure package (Section 5.1A). Phase 2 intensity: 30-60%. Phase 3 intensity: 60-100%. Tariff Escalation Ceiling: 60 cumulative percentage-points before mandatory pause (Section 5.3E). GDP ceiling on stabilization measures: 8% standard; 12% military-adjacent (75% supermajority, Section 1.1+).</w:t>
      </w:r>
    </w:p>
    <w:p w14:paraId="24695F4D" w14:textId="77777777" w:rsidR="00A306EF" w:rsidRDefault="00000000">
      <w:pPr>
        <w:spacing w:after="80"/>
      </w:pPr>
      <w:r>
        <w:rPr>
          <w:rFonts w:cs="Calibri"/>
          <w:szCs w:val="21"/>
        </w:rPr>
        <w:t>Burden-Sharing Surcharge Bands</w:t>
      </w:r>
    </w:p>
    <w:p w14:paraId="7979D8A6" w14:textId="77777777" w:rsidR="00A306EF" w:rsidRDefault="00000000">
      <w:pPr>
        <w:spacing w:after="80"/>
      </w:pPr>
      <w:r>
        <w:rPr>
          <w:rFonts w:cs="Calibri"/>
          <w:szCs w:val="21"/>
        </w:rPr>
        <w:t>Shortfall &lt;10% below floor: +15% surcharge. 10-25%: +50%. &gt;25%: +100%. 50% of surcharge revenue to overperformers as Solidarity Bonus (Section 8.4A).</w:t>
      </w:r>
    </w:p>
    <w:p w14:paraId="527943AD" w14:textId="77777777" w:rsidR="00A306EF" w:rsidRDefault="00000000">
      <w:pPr>
        <w:spacing w:after="80"/>
      </w:pPr>
      <w:r>
        <w:rPr>
          <w:rFonts w:cs="Calibri"/>
          <w:szCs w:val="21"/>
        </w:rPr>
        <w:lastRenderedPageBreak/>
        <w:t>Fund Solvency Triggers</w:t>
      </w:r>
    </w:p>
    <w:p w14:paraId="112628EE" w14:textId="77777777" w:rsidR="00A306EF" w:rsidRDefault="00000000">
      <w:pPr>
        <w:spacing w:after="80"/>
      </w:pPr>
      <w:r>
        <w:rPr>
          <w:rFonts w:cs="Calibri"/>
          <w:szCs w:val="21"/>
        </w:rPr>
        <w:t>&lt;30% liquidity: 55% CC vote for 0.25% GDP emergency call. &lt;20%: automatic 0.5% GDP call. &lt;5%: insolvency protocol (7-day standstill). Borrowing ceiling: 50% of paid-in capital (Section 8.4D).</w:t>
      </w:r>
    </w:p>
    <w:p w14:paraId="7FFCE735" w14:textId="77777777" w:rsidR="00A306EF" w:rsidRDefault="00000000">
      <w:pPr>
        <w:spacing w:after="80"/>
      </w:pPr>
      <w:r>
        <w:rPr>
          <w:rFonts w:cs="Calibri"/>
          <w:szCs w:val="21"/>
        </w:rPr>
        <w:t>Contribution Bands</w:t>
      </w:r>
    </w:p>
    <w:p w14:paraId="243ED7AA" w14:textId="77777777" w:rsidR="00A306EF" w:rsidRDefault="00000000">
      <w:pPr>
        <w:spacing w:after="80"/>
      </w:pPr>
      <w:r>
        <w:rPr>
          <w:rFonts w:cs="Calibri"/>
          <w:szCs w:val="21"/>
        </w:rPr>
        <w:t>Systemic economy (GDP &gt;USD 2T): 0.08% GDP/year. Major (USD 500B-2T): 0.06%. Mid-size (USD 100-500B): 0.04%. Small (&lt;USD 100B): 0.02%. LDC/micro-state: 0.01%. Annual cap: 0.25% GDP (Section 8.0A, Annex 8A).</w:t>
      </w:r>
    </w:p>
    <w:p w14:paraId="19E44E88" w14:textId="77777777" w:rsidR="00A306EF" w:rsidRDefault="00000000">
      <w:pPr>
        <w:spacing w:after="80"/>
      </w:pPr>
      <w:r>
        <w:rPr>
          <w:rFonts w:cs="Calibri"/>
          <w:szCs w:val="21"/>
        </w:rPr>
        <w:t>Timeline Calibration</w:t>
      </w:r>
    </w:p>
    <w:p w14:paraId="66A56C9A" w14:textId="77777777" w:rsidR="00A306EF" w:rsidRDefault="00000000">
      <w:pPr>
        <w:spacing w:after="140"/>
      </w:pPr>
      <w:r>
        <w:rPr>
          <w:rFonts w:cs="Calibri"/>
          <w:szCs w:val="21"/>
        </w:rPr>
        <w:t>Immediate band: Track A stabilization (0-6hr); IEWC Critical triage (2hr); emergency notification (4hr); node failover (48hr). Rapid band: IEWC preliminary certification (48hr); RLSM Legitimacy Note (72hr); Quiet Consultation (48-72hr); Phase 1 CC vote (24-72hr); judicial panel review (48hr). Expedited band: full IEWC investigation (7-14 days); Rapid Evidence Panel (7 days + 5 days supplementary); borderline external review (7 days); compliance consultation (7 days). Standard band: mediation mandate (30 days); Phase 2+ deliberation (14-30 days); diplomatic consultation window (30-90 days); de-escalation verification (30-60 days).</w:t>
      </w:r>
    </w:p>
    <w:p w14:paraId="73444ECC" w14:textId="77777777" w:rsidR="00A306EF" w:rsidRDefault="00000000">
      <w:pPr>
        <w:pStyle w:val="Heading1"/>
        <w:pageBreakBefore/>
        <w:spacing w:after="100"/>
      </w:pPr>
      <w:bookmarkStart w:id="63" w:name="_Toc237918164"/>
      <w:r>
        <w:rPr>
          <w:rFonts w:cs="Calibri"/>
          <w:szCs w:val="30"/>
        </w:rPr>
        <w:lastRenderedPageBreak/>
        <w:t>APPENDIX</w:t>
      </w:r>
      <w:bookmarkStart w:id="64" w:name="_Toc000087"/>
      <w:bookmarkEnd w:id="63"/>
      <w:bookmarkEnd w:id="64"/>
    </w:p>
    <w:p w14:paraId="1E8FD5CF" w14:textId="77777777" w:rsidR="00A306EF" w:rsidRDefault="00000000">
      <w:pPr>
        <w:spacing w:after="140"/>
      </w:pPr>
      <w:r>
        <w:t>A. Glossary of Key Terms IMESI, International Mutual Economic Security Instrument Economic Coercion, The use of trade, investment, or financial measures to compel sovereign policy changes, meeting all five elements defined in Article II, Section 2.1 Constructive Abstention, Mechanism allowing a member to refrain from voting on a specific stabilization measure without blocking coalition action, subject to compensatory contributions Enhanced Solidarity Mechanism, Tier 3 membership level involving the highest coordination commitments for major economies Resilience Fund, The Mutual Economic Security Fund's operational arm, structured as mutual insurance capacity (paid-in base, callable capital, market backstop) rather than standing cash pool.</w:t>
      </w:r>
    </w:p>
    <w:p w14:paraId="0F0A16AE" w14:textId="77777777" w:rsidR="00A306EF" w:rsidRDefault="00000000">
      <w:pPr>
        <w:spacing w:after="140"/>
      </w:pPr>
      <w:r>
        <w:t>Used for burden-sharing, emergency disbursement, and compensation during coercion cases Reinstatement Mechanism, Automatic reactivation of previously authorized stabilization measures when a coercing state violates resolution terms Strategic Multiplier, Clause that upgrades the severity classification of coercion targeting Tier 1 or Tier 2 strategic sectors Serial Coercer, Designation applied upon a third violation within 10 years, triggering permanent enhanced monitoring and reduced activation thresholds</w:t>
      </w:r>
    </w:p>
    <w:p w14:paraId="1114D8B2" w14:textId="77777777" w:rsidR="00A306EF" w:rsidRDefault="00000000">
      <w:pPr>
        <w:spacing w:after="140"/>
      </w:pPr>
      <w:r>
        <w:rPr>
          <w:rFonts w:cs="Calibri"/>
          <w:szCs w:val="21"/>
        </w:rPr>
        <w:t>Reinstatement, Automatic reactivation of previously authorized stabilization measures at 100% intensity within 48 hours of a verified Tier 3 violation, Resolution Voidance, or earn-back failure, with an additional 25% escalatory surcharge; the exception, not the default, operating as backstop to the Step-Back/Earn-Back Protocol Step-Back, Graduated reduction in non-humanitarian benefits scaling with the severity and duration of a compliance event; reversible upon compliance restoration Earn-Back, Automatic, defined pathway by which a Member restores full benefits after demonstrating sustained compliance; every step-back consequence carries an earn-back route, and no violation creates permanent exclusion Tier 1 (Technical Dispute), Minor administrative delays or technical reporting issues; no benefit reduction and no earn-back required Tier 2 (Material Disruption), Significant non-implementation, contribution default, or systematic non-compliance; 10-25% benefit reduction with a 14-day earn-back pathway Tier 3 (Deliberate Hostile Violation), Falsified data, sabotage of verification architecture, collusion with a certified coercer, or systematic bad faith; 25-50% benefit reduction with a 90-day earn-back pathway, failure of which triggers reinstatement Positive-Teeth Enforcement, Enforcement philosophy operating through the loss of earned benefits rather than the imposition of punishment</w:t>
      </w:r>
    </w:p>
    <w:p w14:paraId="67C9E314" w14:textId="77777777" w:rsidR="00A306EF" w:rsidRDefault="00000000">
      <w:pPr>
        <w:spacing w:after="140"/>
      </w:pPr>
      <w:r>
        <w:rPr>
          <w:rFonts w:cs="Calibri"/>
          <w:szCs w:val="21"/>
        </w:rPr>
        <w:t>IEWC, Integrated Early Warning Cell, permanent analytical unit within the Secretariat providing coercive signal monitoring, risk dashboards, and quarterly threat reports; staffed at 6–8 analysts for launch, scaling to 20–25 by Year 5 Horizontal Escalation, Cross-domain escalation of stabilization measures, targeting coercer's strategic vulnerabilities beyond the affected sector Systemic-Economy Protocol, Enhanced procedural safeguards (dual/triple majority, heightened evidence, mandatory diplomacy) for cases involving G7 members, China, or states exceeding 15% of global GDP Minimum Response Floor, Binding obligation for</w:t>
      </w:r>
    </w:p>
    <w:p w14:paraId="47195BDE" w14:textId="77777777" w:rsidR="00A306EF" w:rsidRDefault="00000000">
      <w:pPr>
        <w:spacing w:after="140"/>
      </w:pPr>
      <w:r>
        <w:rPr>
          <w:rFonts w:cs="Calibri"/>
          <w:szCs w:val="21"/>
        </w:rPr>
        <w:t xml:space="preserve">Tier 2+ members to implement specified percentages of authorized stabilization measures Burden-Sharing Equalisation, GDP-weighted mechanism ensuring all members bear approximately equal proportional economic burden from stabilization measures Face-Saving Off-Ramp, Resolution pathway </w:t>
      </w:r>
      <w:r>
        <w:rPr>
          <w:rFonts w:cs="Calibri"/>
          <w:szCs w:val="21"/>
        </w:rPr>
        <w:lastRenderedPageBreak/>
        <w:t>designed to allow coercing states to withdraw measures without domestic political humiliation Observer+, Tier 0 low-commitment entry status providing intelligence sharing and supply chain cooperation without stabilization measure obligations Anti-Fragmentation, Enforcement provisions preventing members from undermining collective responses through side deals, substitute trade, or circumvention Coordination Committee, The principal decision-making body, operating under weighted voting with 15% cap and regional balance requirements Provisional Membership, 6-month trial entry with full intelligence and supply chain access, no obligations, automatic graduation to Associate unless opt-out filed Reverse Accession, Pathway for states to join as protection recipients only for up to 24 months, with obligations triggered by reciprocity or time Sector-Specific Opt-Ins, Mechanism allowing Associate/Full members to select 2–3 sectors for binding protection while other sectors receive diplomatic coordination only Rolling Review Clause, Review points by tier (1/3/5 years) with renewal by silence under the Nofade rule to reduce perceived lock-in risk Coalition of the Willing, Activation rule allowing stabilization measure implementation by 60% of affected members even if others abstain, with surcharge for non-participants Side Letters, Confidential pre-negotiated red lines deposited by individual members, specifying measures they cannot implement regardless of authorization Automatic De-Escalation, Mechanism reducing stabilization measures 10% monthly during certified good-faith dialogue, demonstrating defensive intent Peacetime Fund, 20% Resilience Fund reserve for non-coercion emergencies including pandemic, climate, and financial contagion support Coercion Risk Dashboard, Real-time IEWC platform displaying active cases, developing situations, risk indicators by sector and state, member vulnerability assessments, and stabilization measure preparedness status (Tier 2+ access) Regional Sub-Committee, Delegated authority body (Americas, Europe, Asia-Pacific, Africa/Middle East) handling procedural decisions with 15% voting weight</w:t>
      </w:r>
    </w:p>
    <w:p w14:paraId="32E6392D" w14:textId="77777777" w:rsidR="00A306EF" w:rsidRDefault="00000000">
      <w:pPr>
        <w:spacing w:after="140"/>
      </w:pPr>
      <w:r>
        <w:rPr>
          <w:rFonts w:cs="Calibri"/>
          <w:szCs w:val="21"/>
        </w:rPr>
        <w:t xml:space="preserve">Sub-National Political-Economy Targeting, Stabilization measure prioritization protocol selecting products from politically sensitive geographic regions within the coercing state Legislative and Stakeholder Consultation Protocol, Automatic distribution of impact assessments to the coercing state's legislature and industry associations before each escalation phase Reciprocal but Delayed, Staggered stabilization measure implementation (25%/50%/100% at 30/60/90 days) creating a negotiating window while maintaining credible threat Commercial Stakeholder Mitigation Credit, Exemptions for companies in the coercing state that publicly oppose tariff policy or invest in IMESI member supply chains Substitution Acceleration, Dedicated USD 5 billion facility subsidising permanent structural shift from coercing-state suppliers to alternatives Regulatory Friction, Parallel non-tariff measures (customs delays, safety reviews, licensing delays) that are WTO-compliant and harder to respond to symmetrically Global Payment Diversification Module, Central bank swap line activation and reserve diversification among IMESI members to reduce dependence on the coercing state's reserve currency Reinstatement Plus, Enhanced reinstatement adding 25% penalty tariff above previously authorized levels if coercion is reimposed within 24 months of withdrawal WTO Article XXIII Coalition Case, Coordinated non-violation complaint preserving legal high ground and creating international forum for coercer isolation Escalation Ceiling, Binding principle that all collective measures remain proportional and reversible, with the objective of restoring equilibrium rather than escalating confrontation Phase 0 Consultation, Mandatory confirmation window with Provisional Phase 0 parallel processing: 72-hour quiet confirmation for Minor/Moderate (mobilisation begins in parallel), 48-hour rapid verification for Severe, 48 hours for Critical/Red-Line Modular Response Architecture, Four independent response modules (Trade, Financial, Technology, </w:t>
      </w:r>
      <w:r>
        <w:rPr>
          <w:rFonts w:cs="Calibri"/>
          <w:szCs w:val="21"/>
        </w:rPr>
        <w:lastRenderedPageBreak/>
        <w:t>Strategic Materials) to which members pre-commit at accession, allowing scaled participation Founding Contribution Band, Collectively agreed contribution range proportional to GDP exposure, replacing fixed capitalization targets for early-stage political palatability Insured Exposure Capacity, Maximum crisis response capacity across concurrent events, structured as paid-in base, callable capital, and market backstop, not standing liquid capital Non-Alignment Declaration, Explicit statement that IMESI is not directed at any specific state or alliance and does not preclude</w:t>
      </w:r>
    </w:p>
    <w:p w14:paraId="452C51E8" w14:textId="77777777" w:rsidR="00A306EF" w:rsidRDefault="00000000">
      <w:pPr>
        <w:spacing w:after="140"/>
      </w:pPr>
      <w:r>
        <w:rPr>
          <w:rFonts w:cs="Calibri"/>
          <w:szCs w:val="21"/>
        </w:rPr>
        <w:t>engagement with non-members Quiet Diplomatic Channel, Permanent confidential back-channel maintained by the Director-General to any coercing state's representative throughout active cases Presumptive Escalation, Phase 2 activation presumed within 24 hours upon IEWC-certified trigger (&gt;25% escalation, &gt;1 member targeted, Tier 1 sector threatened); mandatory human confirmation for Phase 2+; any member blocks with 24-hour notice and 5% surcharge Decoupling Acceleration Reserve, USD 15–20 billion pre-positioned fund enabling irreversible structural supply chain shifts through long-term procurement contracts and joint ventures Shadow Financial Infrastructure, Fully operational alternative settlement system including permanent swap lines, IMESI unit of account (IMU), dedicated clearing banks, and quarterly settlement drills</w:t>
      </w:r>
    </w:p>
    <w:p w14:paraId="504F13F6" w14:textId="77777777" w:rsidR="00A306EF" w:rsidRDefault="00000000">
      <w:pPr>
        <w:spacing w:after="140"/>
      </w:pPr>
      <w:r>
        <w:rPr>
          <w:rFonts w:cs="Calibri"/>
          <w:szCs w:val="21"/>
        </w:rPr>
        <w:t xml:space="preserve">Domestic Continuity Mechanisms, Recommended institutional safeguards (pre-commitment legislation, sub-national declarations, withdrawal referenda, cross-party briefings) preventing electoral-cycle exploitation ADAI, Adaptive Early Warning System, machine-learning augmentation of the IEWC with circuit breakers (suspend if confidence &lt;85%, anomalous data, or human/AI discrepancy); no auto-approval; silence maintains current phase Automatic Coalition Expansion, Mechanism triggering automatic expansion of stabilization response to all members with &gt;5% trade exposure upon detection of bilateral offers or anomalous trade flows; reduces authorization thresholds by 10 percentage points for 90 days Transparency Sanctions Regime, Mandatory annual disclosure system requiring deposit of trade agreements and investment screening decisions; IEWC pattern analysis; whistleblower protections; public naming protocol with safe harbour provisions Irreversible Commitment Bond, Optional 10-year financial instrument signaling credible commitment; reduces Fund contributions 15% for Tier 2; mandatory for Tier 3; penalty coupon and principal recall upon Tier 1 violation Pattern Presumption, Accelerated evidence standard for repeat coercers, where IEWC certifies prior coercion finding within 36 months, pattern analysis and expert validation elements are presumed satisfied Dual-Use Neutrality, Structural distinction between systemic (&gt;10% GDP) and non-systemic coercers with differentiated voting thresholds and scenario libraries Burden-Sharing Formula, Transparent 3-factor formula: 50% GDP share, 30% bilateral trade exposure, 20% tier level; optional relief capped at 25% for debt-stressed, trade-exposed, or crisis-affected members Coalition Integrity Trigger, Automatic tier review activated when &gt;30% of members abstain on a single case; members abstaining without severe domestic constraint certification face mandatory opt-down Rebuttable Presumption, In TSR context, a Tier 1 violation finding that is challenged by the member before the Coordination Committee, triggered when a member proceeds to signature on a flagged negotiation without clearance Coalition Stress Test, Annual live-fire exercise with real voting, small-scale stabilization measures, and simulated defection; mandatory founding condition before first conference Graduated Crisis Response, Section 8.12 mechanism for existential-level coercion (&gt;5% GDP impact); members opt out with escalating surcharges rather than being forced to implement or withdraw; 10-year rolling review horizon Graduated Crisis Opt-Out, Mechanism allowing members to opt out of </w:t>
      </w:r>
      <w:r>
        <w:rPr>
          <w:rFonts w:cs="Calibri"/>
          <w:szCs w:val="21"/>
        </w:rPr>
        <w:lastRenderedPageBreak/>
        <w:t>existential-level response with escalating surcharges (50/100/150%) and automatic tier downgrade for repeated non-participation Coercion Forecast Market, Permissioned prediction market (blockchain-settled, IMU-denominated) aggregating collective intelligence on geopolitical coercion risk; prices feed IEWC dashboards as advisory input Hard Cost Ceiling, 5% GDP cap on stabilization measure cost to any single member regardless of tier level; exceeding threshold triggers automatic Tier 1 reclassification for that case Inter-Member Dispute Resolution, Binding arbitration mechanism for conflicts between IMESI members, with mandatory mediation cascade as prerequisite Green Strategic Reserves, Expanded stockpiling targets covering battery minerals, solar/wind components, green hydrogen, and grid-scale storage alongside traditional energy reserves</w:t>
      </w:r>
    </w:p>
    <w:p w14:paraId="04BDA6AD" w14:textId="77777777" w:rsidR="00A306EF" w:rsidRDefault="00000000">
      <w:pPr>
        <w:spacing w:after="140"/>
      </w:pPr>
      <w:r>
        <w:rPr>
          <w:rFonts w:cs="Calibri"/>
          <w:szCs w:val="21"/>
        </w:rPr>
        <w:t>AI Sovereignty Shield, Dedicated framework (Annex 11) for AI and digital coercion including cloud service denial, data flow restrictions, compute embargoes, and algorithmic trade barriers Green Transition Coercion, Element 6 of the coercion definition, economic measures explicitly weaponising climate or energy transition dependencies Digital Infrastructure Resilience Fund, USD 5–8 billion specialised sub-fund for sovereign cloud development, AI compute capacity, undersea cable diversification, and quantum-resistant cryptography Stabilization Fund, Dedicated 80% pool of the Mutual Economic Security Fund for coercion</w:t>
      </w:r>
    </w:p>
    <w:p w14:paraId="7AAFFA4F" w14:textId="77777777" w:rsidR="00A306EF" w:rsidRDefault="00000000">
      <w:pPr>
        <w:spacing w:after="140"/>
      </w:pPr>
      <w:r>
        <w:rPr>
          <w:rFonts w:cs="Calibri"/>
          <w:szCs w:val="21"/>
        </w:rPr>
        <w:t xml:space="preserve">cases only; ring-fenced from peacetime uses; max 40% annual draw-down De-Escalation Default, Section 1.3 principle requiring symmetry between automatic escalation and de-escalation triggers; standstill presumption when conflicting triggers activate simultaneously Documentation Hierarchy, Two-tier evidence standard: Tier 1 (primary source, sufficient for activation); Tier 2 (supplementary, insufficient alone); prevents activation based on correlation without documented state intent State-Adjoining Entity Doctrine, Section 2.5 presumption that entities meeting 2+ criteria (state ownership, board control, revenue dependence, coordination, pattern correlation) are state-directed for coercion purposes Protective Association, Section 3.9 status for non-member states supplying &gt;5% of Tier 1 strategic sectors; provides IEWC intelligence, SFI access, and optional stabilization measure coverage at 25% rate; max 8 at any time Fast-Track Activation Override, Section 5.0A emergency clause compressing any severity tier by two levels when IEWC certifies irreversible harm; 55% weighted vote with 4-hour block window Provisional Phase 0, Parallel processing allowing IEWC mobilisation (stockpile positioning, SFI drills, burden-sharing pre-calculation) during formal consultation phase Pre-Positioned Tier 1 Authority, Section 4.2D authorizing IEWC to deploy defensive positioning measures unilaterally for 72 hours upon detecting financial exclusion, tech weaponization, or major supply disruption Cumulative Escalation Pause, Section 5.6 automatic 48-hour pause when stabilization measures cross two or more domains; mandatory IEWC impact assessment before Coordination Committee proceeds Live Implementation Dashboard, Section 6.5 real-time verification of member stabilization measure implementation through mandatory telemetry; discrepancy &gt;15% triggers inquiry; confirmed lag constitutes violation Live-Fire Micro-Exercise, Annex 13A quarterly unannounced 48–72 hour exercises with real implementation (SFI settlement, stockpile release, customs flagging); pass/fail on 6-hour window Institutional Memory Protocol, Section 4.6 continuity safeguards including knowledge codification, personnel alumni network, scenario persistence, minimum viable coalition hibernation protocol, and accession fast-track for rejoining states ADAI Circuit Breaker, Hard stop suspending ADAI recommendations when confidence &lt;85%, anomalous data detected, or human/AI assessment discrepancy; successful red-team exploit triggers 90-day suspension Climate-Trade </w:t>
      </w:r>
      <w:r>
        <w:rPr>
          <w:rFonts w:cs="Calibri"/>
          <w:szCs w:val="21"/>
        </w:rPr>
        <w:lastRenderedPageBreak/>
        <w:t>Coercion, Section 2.7, economic measures weaponising climate or energy transition dependencies; auto-upgraded one severity tier; pre-authorized Scenario Kappa response ESG Standards Coercion, Section 2.8, discriminatory ESG measures linked to non-trade policy demands; response through Due Process Coalition and mutual certification recognition</w:t>
      </w:r>
    </w:p>
    <w:p w14:paraId="4C22A322" w14:textId="77777777" w:rsidR="00A306EF" w:rsidRDefault="00000000">
      <w:pPr>
        <w:spacing w:after="140"/>
      </w:pPr>
      <w:r>
        <w:rPr>
          <w:rFonts w:cs="Calibri"/>
          <w:szCs w:val="21"/>
        </w:rPr>
        <w:t>Cognitive Coercion, Section 2.9, AI-generated financial disinformation, algorithmic manipulation, deepfake communications; defensive response only, no offensive cognitive stabilization measures Tiered Verification, Section 2.6, protocol for compressed timelines when intelligence is ambiguous; Preliminary Activation for 72 hours with automatic reversion if Tier 1 documentation is not confirmed Mandatory Democratic Safeguards, Section 3.8A, Tier 2+ implements 2 of 4 domestic legitimacy mechanisms by Year 3; 15% surcharge for non-compliance Due Diligence Passport, Section 3.10, IMESI mutual recognition of supply chain due diligence certifications; harmonized standard; anti-coercion shield for certified suppliers Emergency Flexibility, Section 4.1C, 45% weighted vote for provisional emergency measures (stockpile, SFI, procurement) for 30 days; 60% for extension Development Balance, Section 4.1D, 1.5x voting weight for LDC/developing members on measures &gt;1% GDP; development veto on tech transfer and climate adaptation; 30% IEWC representation by Year 3 Anticipatory Prevention, Section 4.2E, IEWC prevention authority when Event Market &gt;70% plus Tier 1 sector vulnerability; 90-day review point; no coercion finding required Continuous Review, Section 4.3A, annual thematic review with external validation panel; emergency reform by 30% petition Sub-National Protection, Section 6.6, IMESI protection extended to sub-national governments, universities, civil society, and strategic firms; petition-based activation; national co-authorization required for tariffs Strategic Stalemate, Section 7.5, four declared options when Phase 3 at 100% intensity for &gt;90 days fails to resolve; default to Negotiated Standstill if no 60% vote achieved Development Status Adjustment, Section 8.2 addition, 25% contribution reduction for LDC/developing members with 40% cap on total relief; WTO S&amp;DT; alignment Exercise Accountability, Section 8.3A, micro-exercise participation counts toward 20% of Minimum Response Floor; protected Peacetime Fund</w:t>
      </w:r>
    </w:p>
    <w:p w14:paraId="67D921B2" w14:textId="77777777" w:rsidR="00A306EF" w:rsidRDefault="00000000">
      <w:pPr>
        <w:spacing w:after="140"/>
      </w:pPr>
      <w:r>
        <w:rPr>
          <w:rFonts w:cs="Calibri"/>
          <w:szCs w:val="21"/>
        </w:rPr>
        <w:t>allocation; 75% vote to modify Financial Interoperability, Section 8.10C, IMF/BIS automatic notification for Category 2 Red-Line; IMF-compatible swap lines; SDR-linked liquidity injection; debt standstill coordination Displacement Response, Section 8.13, automatic Peacetime Fund release when coercion displaces &gt;50,000 across borders or &gt;500,000 internally; UN coordination; burden-sharing adjustment for receiving states WTO Compatibility Protocol, Annex 1A, automatic WTO notification of stabilization measures; dispute settlement firewall; Ministerial Conference alignment review Investment Treaty Coordination, Annex 1B, common ISDS defense; model BIT clause; existing treaty side letters; compensation pool for ISDS awards Technological Sovereignty Pooling, Annex 11 addition, pooled R&amp;D; in coercion-critical technologies; non-exclusive IP sharing; non-member access at premium cost; anti-fragmentation on member tech controls Strategic Stalemate Doctrine, Annex 15, published doctrine declaring four stalemate options (Structural Decoupling, Negotiated Standstill, Coalition Expansion Surge, Graduated Withdrawal); deterrence through transparency Differentiated Review, Section 3.7A, Core provisions permanent (80% to amend); Operational renews by silence at 10-year review points (60% to modify); Experimental provisions carry rolling review with mandatory evaluation</w:t>
      </w:r>
    </w:p>
    <w:p w14:paraId="0FEE9B69" w14:textId="77777777" w:rsidR="00A306EF" w:rsidRDefault="00000000">
      <w:pPr>
        <w:spacing w:after="140"/>
      </w:pPr>
      <w:r>
        <w:rPr>
          <w:rFonts w:cs="Calibri"/>
          <w:szCs w:val="21"/>
        </w:rPr>
        <w:t xml:space="preserve">Existential Speed Protocol, Section 5.5C, standing pre-authorization for Phase 2 measures by 65% peacetime vote; Director-General deploys within 2 hours of IEWC certification; human confirmation </w:t>
      </w:r>
      <w:r>
        <w:rPr>
          <w:rFonts w:cs="Calibri"/>
          <w:szCs w:val="21"/>
        </w:rPr>
        <w:lastRenderedPageBreak/>
        <w:t>required only for Phase 3; 12-month rolling authority with review point Climate-Trade Coercion Protocol, Section 2.7 full protocol, discriminatory CBAMs, critical mineral weaponization, green subsidy coercion; two-tier severity upgrade; Scenario Kappa pre-authorized response; 40% automatic burden-sharing relief for developing members; mandatory climate dependency audit Defection Cascade Circuit Breaker, Section 6.7, automatic institutional stabilization when &gt;30% members face simultaneous coercion offers; three-effect escalation: 72-hour freeze, Phase 3 auto-authorization if &gt;2 defect, hibernation protocol if &gt;4 defect Verified Capability Index, Annex 13A, cumulative scoring replacing pass/fail exercises; VCI-A (top 20%) gains Enhanced Solidarity eligibility and priority SFI access; VCI-C (bottom 20%) faces mandatory tier review and 25% surcharge; feeds tier renewal threshold Recursive Review Mandate, Section 4.3B, automatic mandatory redesign when performance thresholds breached: &gt;20% Preliminary Activation failures, first defection, CNI cascade, CFM divergence, SFI target miss; makes IMESI self-correcting under specified conditions Reciprocal Transparency Ledger, Section 6.4A, mandatory disclosure of negotiations &gt;USD 250M or touching Tier 1 sectors within 14 days; safe harbour for proactive disclosure; public naming only for concealment; preventive complement to punitive TSR Preferred Alternative Status, Section 3.11, non-binding recognition rewarding &gt;15% increase in IMESI-internal trade; benefits include priority Fund disbursement, enhanced voting weight, procurement priority; creates positive loyalty incentive Strategic Entity Pre-Certification, Section 3.12, pre-crisis IEWC certification of up to 50 critical entities per member; automatic Phase 1 activation within 48 hours if certified entity faces coercion; free for Tier 0/1 Observer+ Fast-Track Procurement, Section 3.13, Tier 0 members access joint IMESI procurement at 8–15% below market for green tech, strategic minerals, pharma APIs, semiconductor equipment; 24-month duration; no obligation Resilience Dividend Program, Section 8.14, annual cash-equivalent distribution (0.02% GDP base + 0.01% per additional diversified sector) from Peacetime Fund for verified supply chain diversification; paid regardless of crisis Sovereign Cloud Sovereignty Credit, Section 8.15, USD 50–200M technical assistance package for members with &gt;60% non-member cloud/AI provider dependence; subsidised sovereign cloud infrastructure at 50% cost; 36-month duration Coercion Risk Insurance, Section 8.16, standalone commercially tradable insurance backed by Fund guarantee; 30–50% export loss coverage; 60% reconfiguration cost coverage; 40% premium subsidy for Tier 0/1; pays regardless of coalition activation Pre-Launch Binding Commitment, Section 8.17, 0.1% GDP activation bond deposited at founding conference; released to Stabilization Fund upon pilot exercise completion; forfeits if member withdraws before pilot Systemic-Economy Fast-Track, Section 5.1A, 4-hour Phase 2 deployment against systemic coercers (&gt;10% global GDP) for Category 2 Red-Line; triple-lock (65% vote + 4 regions + 3 Tier 3) required only for Phase 3; 72-hour post-hoc review</w:t>
      </w:r>
    </w:p>
    <w:p w14:paraId="4FCCB448" w14:textId="77777777" w:rsidR="00A306EF" w:rsidRDefault="00000000">
      <w:pPr>
        <w:spacing w:after="140"/>
      </w:pPr>
      <w:r>
        <w:rPr>
          <w:rFonts w:cs="Calibri"/>
          <w:szCs w:val="21"/>
        </w:rPr>
        <w:t>Deterrence Signaling Protocol, Section 4.2F, public amber alert when Event Market &gt;80% for specific member-sector; pre-announced scenario activates automatically if coercion materialises; 90-day review point with accountability review Existential Burden Cap, Section 8.4A, member burden capped at 2% GDP when IEWC certifies &gt;3% GDP impact; excess distributed to Tier 3 members and Fund; once per 5-year cycle; alternative to Graduated Opt-Out Standalone Financial Emergency Protocol, Section 8.10D, automatic SFI full capacity and IMU settlement when IMF non-responsive within 8 hours of Category 2 Red-Line; 180-day duration; pre-negotiated post-crisis IMF reconciliation Active Cognitive Defense, Section 2.9, permitted active measures including 1-hour market circuit breakers, mandatory algorithmic trading disclosure, rapid fact-checking coalition; no offensive disinformation; ADAI &gt;90% confidence trigger Technology Solidarity Pledge, Section 3.14, Tier 2+ mandatory licensing of Annex 11 coercion-</w:t>
      </w:r>
      <w:r>
        <w:rPr>
          <w:rFonts w:cs="Calibri"/>
          <w:szCs w:val="21"/>
        </w:rPr>
        <w:lastRenderedPageBreak/>
        <w:t>critical technologies to members facing denial; 150% cost-recovery from Fund; refusal triggers VCI downgrade and Tier 2 violation Strategic Supplier Partnership, Section 3.9 SSP tier, non-members supplying &gt;10% global supply of Tier 1 sectors; no numerical cap; 75% member Fund rates; joint procurement access; automatic Tier 0 pathway Emergency Accession Protocol, Section 3.15, 72-hour expedited accession during active Phase 2+ cases; Tier 0 immediate, Tier 1 upon 0.05% GDP deposit; new members implement stabilization measures within 7 days; max 5 per case Distributed Institutional Memory, Section 4.6 DIM, encrypted replication of IEWC methodologies across 5+ member nodes; 3-of-5 multi-signature for write access; auto-activation if headquarters non-operational &gt;72 hours; blockchain integrity verification Coalition Fracture Reinsurance, Section 6.8, external credit line (IMF/BIS/private) providing 50% of lapsed members' obligations when DCCB activates and &gt;2 members defect; 150% burden-share rate for remaining members; winds down when membership exceeds 12 states or 25% global GDP Systemic-Economy Asymmetry Adjustment, Section 8.4B, automatic adjustments when coercer meets systemic-economy classification under objective exposure and systemic-impact metrics: cost ceiling rises to 8% GDP, relief cap rises to 40%, automatic Tier 3 solidarity, 50% non-financial obligation reduction for &gt;30% trade-exposed members; suspends EBC cycle limit Anticipatory Damage Facility, Section 8.18, 0.5% GDP immediate liquidity injection when Event Market &gt;80% and &gt;15% stock decline in affected sectors; no IEWC certification required; converts to Fund disbursement if coercion materialises or low-interest loan if not; 10% Stabilization Fund cap Enhanced CRI, Section 8.16 v8.2, Tier 1 strategic sectors receive 70–90% export loss and 90% reconfiguration coverage with 72-hour payout; Insurance Guarantee Layer expanded to 15% of Paid-In Base (~USD 3–4.5B) Graduated Solidarity Entry, Section 3.1A, Tier 0.5 Protected Observer with zero obligations, zero contributions for 12 months; automatic Observer+ graduation at 12 months or after receiving protection twice; funded by 0.5% levy on Tier 2+ members Modular Opt-Out with Automatic Re-engagement, Section 3.5 MOAR, up to 3 sector-specific 6-month opt-outs per case at 25% surcharge; confidential notification; automatic re-engagement at 120% intensity; third opt-out triggers standard CNI penalties</w:t>
      </w:r>
    </w:p>
    <w:p w14:paraId="7B2CFD47" w14:textId="77777777" w:rsidR="00A306EF" w:rsidRDefault="00000000">
      <w:pPr>
        <w:spacing w:after="140"/>
      </w:pPr>
      <w:r>
        <w:rPr>
          <w:rFonts w:cs="Calibri"/>
          <w:szCs w:val="21"/>
        </w:rPr>
        <w:t>Domestic Ratification Flexibility, Section 3.8A v8.3, 9-option compliance menu including judicial review, fiscal council certification, ombudsman oversight; constitutional court certification of equivalent mechanism accepted as full compliance Asymmetric Burden-Sharing with Visibility, Section 8.4C, 4 participation tiers (Core 100%, Contributing 75%, Protected 25%, Supporting 10%) delinking contribution from control; self-selection per case; aggregate capacity preserved Pre-Positioned Bilateral Safeguards, Section 5.3B v8.3, 5 weighted exemption categories with mandatory substitution (150–200% in alternative domains); mutual recognition; 5% surcharge per exemption; substitution not elimination Success-Contingent Deepening, Section 3.2A SCD, tier progression tied to demonstrated value: Provisional to Associate requires case observation or exercise; Reverse Accession accelerated to 12 months if protected; Tier 2/3 renewal requires VCI-B or case participation Cumulative Pressure Protocol, Section 2.10 CPP, 24-month rolling pressure ledger tracking sub-threshold measures; chronic coercion certification when cumulative impact &gt;0.5% GDP or 3+ measures target same policy demand; expedited 14-day investigation Crisis-Tested Supplier Certification, Section 3.16, formal recognition for companies maintaining &gt;90% supply volume during Phase 2+ cases; 3-year joint procurement eligibility, expedited customs, public</w:t>
      </w:r>
    </w:p>
    <w:p w14:paraId="07FD85CE" w14:textId="77777777" w:rsidR="00A306EF" w:rsidRDefault="00000000">
      <w:pPr>
        <w:spacing w:after="140"/>
      </w:pPr>
      <w:r>
        <w:rPr>
          <w:rFonts w:cs="Calibri"/>
          <w:szCs w:val="21"/>
        </w:rPr>
        <w:lastRenderedPageBreak/>
        <w:t>Dashboard recognition Peer Learning Exchange Program, Section 4.6A, VCI-A members host 2-week immersion programs for lower-tier officials; Fund-covered travel; spreads best practices and builds cross-member networks Effectiveness Verification Audit, Section 6.5A EVA, randomised outcome-based spot audits of 20% of implementing members; Green/Amber/Red finding tiers; safe harbour for self-reporting within 14 days Amber Alert Live-Fire Protocol, Annex 13A AALP, up to 2 unannounced 48-hour coalition-wide exercises annually with real SFI settlement, customs flagging, and burden-sharing pre-calculation; 60% Tier 2+ implementation within 6 hours Coercion Resilience Rating, Section 8.14A, annual advisory rating for member sovereign debt incorporating diversification progress, VCI scores, and Fund liquidity; structured for ESG integration; not a credit rating Automatic Trade Data Sharing Incentive, Section 3.2B, Observer+ members submitting complete quarterly data receive aggregated IMESI analytics, early IEWC vulnerability reports, and 10% graduation contribution reduction Coalition Procurement Preference Points, Section 3.11/PAS, members achieving Preferred Alternative Status gain 5% price advantage in IMESI joint procurement competitive bidding Post-Case Recovery Fast-Track, Section 8.19, clean case closure earns 12-month SFI fee waiver, priority Resilience Fund project finance, and public Reliable Partner designation 72-Hour Diplomatic Window, Section 5.5C v8.5, tiered temporal architecture: 72 hours for non-systemic coercers, 24 hours for systemic coercers; mandatory confidential dialogue before ESP deployment; overridable by 60% vote if irreversible harm certified Monthly Strategic Pulse, Section 5.7, mandatory 48-hour pause every 30 days during active cases; suspends new authorisations; leaders assess continuation, shifts, and off-ramps; prevents procedural momentum from outrunning political judgment</w:t>
      </w:r>
    </w:p>
    <w:p w14:paraId="2402F0CD" w14:textId="77777777" w:rsidR="00A306EF" w:rsidRDefault="00000000">
      <w:pPr>
        <w:spacing w:after="140"/>
      </w:pPr>
      <w:r>
        <w:rPr>
          <w:rFonts w:cs="Calibri"/>
          <w:szCs w:val="21"/>
        </w:rPr>
        <w:t xml:space="preserve">Mediation-First Mandate, Section 5.0 v8.5, 14-day mandatory mediation window before Phase 1 for Minor/Moderate cases; independent mediator certifies absence of constructive engagement; mutual consent mediator selection Environmental Force Majeure, Section 2.11, automatic 180-day suspension of coercion triggers during UNFCCC-certified extreme weather or FAO/WFP acute food insecurity affecting coercer state; overridable by 60% vote if coercion continues Grand Review Convention, Article X, mandatory constituent assembly every 6 years; all members and external observers; 70% threshold for Core amendments; penalty-free withdrawal if proposed amendments rejected Constructive Alternative, Section 3.5 v8.5, abstaining members propose alternative stabilization measure packages; if adopted by 55% vote, proposer participates at 75% burden share with full benefits; transforms dissent into contribution Sub-National Democratic Safeguard, Section 3.8B, federal systems consult affected sub-national governments; formal opposition triggers 15% burden-sharing relief; respects constitutional diversity without creating veto Reversible Diversification, Section 10.5 v8.5, 5-year re-evaluation windows for substitution subsidies; firms return to original suppliers without penalty if coercer meets compliance milestones DAR Re-engagement Clauses, Section 8.9 v8.5, 30% of DAR funding reserved for supply chain re-linking if coercer withdraws measures, accepts monitoring, and contributes 0.1% GDP; requires affected member consent Bounded Escalation Bands, Section 1.1 v8.6, hard caps replaced with ranges and presumptive midpoints (sector: 40-60% with 50% presumptive; cumulative: 6-10% GDP with 8% presumptive); deviation requires 75% supermajority with 12-month rolling review Best Efforts Review Panel, Section 3.4 v8.6, three-member panel (IEWC, affected member, independent) assessing good faith for Tier 2 underperformance; good-faith finding reduces surcharge by 50% Treaty Compatibility Mechanism, Section 9.3 v8.6, pre-authorization non-binding compatibility opinions from WTO, IMF, OHCHR; overridable by 60% weighted vote with published justification Constitutional Protection Clause, </w:t>
      </w:r>
      <w:r>
        <w:rPr>
          <w:rFonts w:cs="Calibri"/>
          <w:szCs w:val="21"/>
        </w:rPr>
        <w:lastRenderedPageBreak/>
        <w:t>Section 3.8C v8.6, explicit protection for domestic constitutional requirements; 30-day alternative timeline; 150% burden-sharing for delay; Constitutional Compliance Panel of 3 jurists Data Governance Protocol, Section 4.2G v8.6, IEWC data governance with 5-year retention limit, independent Data Protection Officer, whistleblower protection, annual data impact assessments Financial Toolbox, Article VIII v8.6, separation of Binding Core (SFI, swaps, IMU) from opt-in Financial Toolbox instruments (CRI, Digital Infrastructure, cognitive/climate measures); Tier 2+ adopts at least one by Year 3 Staged Entry into Force, Section 10A.2 v8.6, Year 0 core charter immediate; Year 3 review for advanced protocols; Year 5 review for</w:t>
      </w:r>
    </w:p>
    <w:p w14:paraId="1FDCAE75" w14:textId="77777777" w:rsidR="00A306EF" w:rsidRDefault="00000000">
      <w:pPr>
        <w:spacing w:after="140"/>
      </w:pPr>
      <w:r>
        <w:rPr>
          <w:rFonts w:cs="Calibri"/>
          <w:szCs w:val="21"/>
        </w:rPr>
        <w:t>complex financial instruments; each requiring stress test plus 60% vote plus 10 member opt-ins Global Systemic Disruption, Section 1.4 v8.8, non-discriminatory measures causing &gt;2% aggregate GDP impact across &gt;30% members, or &gt;40% trade disruption in Tier 1 sectors, or cascade failure in payment systems; triggers 72-hour automatic response without Phase 0 consultation</w:t>
      </w:r>
    </w:p>
    <w:p w14:paraId="701D8B01" w14:textId="77777777" w:rsidR="00A306EF" w:rsidRDefault="00000000">
      <w:pPr>
        <w:spacing w:after="140"/>
      </w:pPr>
      <w:r>
        <w:rPr>
          <w:rFonts w:cs="Calibri"/>
          <w:szCs w:val="21"/>
        </w:rPr>
        <w:t xml:space="preserve">Internal Adjudication Chamber, Section 6.9 v8.8, five-jurist panel for intra-coalition economic coercion disputes; restitution-based remedies; sealed proceedings; no stabilization measures authorized Hybrid Coercion Doctrine, Section 2.12 v8.8, economic measures combined with cyber, data, platform, or infrastructure pressure; Hybrid Threat Cell provides integrated assessment; lowered attribution thresholds for non-economic vectors Gradual Pressure Register, Section 2.10(b) v8.8, IEWC tracking of regulatory changes, administrative delays, standards demands, and death-by-a-thousand-cuts patterns over 36 months; triggers consultation at 0.3% GDP and presumptive classification at 0.5% GDP Capital Account Defense, Section 8.10E v8.8, pre-negotiated currency swaps, emergency bond purchase program, and reserve diversification framework; activates on &gt;200bps spread widening or &gt;10% currency depreciation within 30 days of coercion event Sovereign Liquidity Insurance, Section 8.16(b) v8.8, standalone product guaranteeing 90-day debt rollover, FX intervention support, and emergency budget financing; backed by 20% of Paid-In Base plus callable IMF resources Multilateral Safety Net Integration, Section 8.20 v8.8, binding IMF/BIS coordination with conditionality firewall, crisis bridging facility, and phased liquidity triggers from Phase 2 through Category 2 Red-Line Systemic Monitoring Unit, Section 4.2H v8.8, dedicated IEWC capacity tracking aggregate trade policy, capital flow anomalies, and commodity concentration; quarterly Systemic Risk Reports; recommend GSD activation by 55% vote Rolling Baseline Recalculation, Section 4.2J v8.8, annual trade/investment baseline update per member-coercer relationship; &gt;10% deviation sustained &gt;12 months triggers automatic Gradual Pressure Register entry Southern Partnership Track, Section 3.1B v8.9, enhanced technical assistance for AU members, LDCs, and SIDS: 24-month fee waiver, supply chain mapping, early RDP eligibility; same obligations upon graduation; voluntary Tier 3 funding Professional Standards and Data Stewardship, Section 4.2K v8.9, IEWC intelligence classification tiers (Public/Coalition/Restricted); 5-year data retention; annual audit; no domestic operations without host authorization Shared Analysis Protection, Section 4.2L v8.9, good-faith shield for members sharing information with IEWC; no source attribution without consent; correction protocol for material errors Voluntary Implementation Commitment, Section 8.21 v8.9, optional 0.02% GDP deposit as visible commitment instrument; priority assistance and enhanced voting weight for participants; no penalty for non-participation Systemic Non-Coercive Disruption, Section 1.4B v9.3, response for non-discriminatory trade measures causing systemic harm regardless of intent; triggers stabilization tools not stabilization measures Tariff Shock Pathway, Section 1.4(a)(iv) v9.3, GSD trigger for </w:t>
      </w:r>
      <w:r>
        <w:rPr>
          <w:rFonts w:cs="Calibri"/>
          <w:szCs w:val="21"/>
        </w:rPr>
        <w:lastRenderedPageBreak/>
        <w:t>non-discriminatory tariffs &gt;10% ad valorem affecting &gt;25% IMESI trade Scenario Theta-Tariff, Section 5.4 v9.3, pre-authorized 3-phase tariff shock response: procurement/SFI, alternative sourcing/DAR, comprehensive stabilization measures Tariff Stabilization Sub-Fund, Section 8.6 v9.3, USD 10-15B for export revenue bridging, supply chain reconfiguration, inventory costs, customs harmonization</w:t>
      </w:r>
    </w:p>
    <w:p w14:paraId="386A90A9" w14:textId="77777777" w:rsidR="00A306EF" w:rsidRDefault="00000000">
      <w:pPr>
        <w:spacing w:after="140"/>
      </w:pPr>
      <w:r>
        <w:rPr>
          <w:rFonts w:cs="Calibri"/>
          <w:szCs w:val="21"/>
        </w:rPr>
        <w:t>Tariff Stability Compact, Annex 21 v9.3, voluntary 90-day notice, 30-day consultation, automatic response for violations; non-Compact members retain full protection WTO Notification Protocol, Annex 1A v9.8, 4-phase structured notification: Phase 0 informal 24hr, Phase 1 formal 48hr, Phase 2+ technical assessment 72hr, major measures advisory 14 days WTO Dispute Sequencing, Annex 1A v9.8, intra-IMESI WTO dispute restraint, common defense for non-member challenges, settlement notification WTO Integration Roadmap, Annex 1A.2, aspirational plurilateral framework within WTO; Year 10 review WTO Joint Working Group, Section 9.2A, standing IMESI-WTO working group; non-binding; annual coherence review Escalation Justification Memo, Section 5.5A, mandatory Phase 2+ justification with redacted public summary within 24 hours Integrated De-Escalation Pathway, Section 5.5A.1, mandatory Phase 1 de-escalation plan identifying rollback conditions Reinstatement Suspension, Section 5.2E, CC suspends reinstatement for up to 12 months by 60% vote Third-Country Protection, Article I, measures target coercer only; spillover &gt;5% requires mitigation plan Restraint Indicators, Section 4.2A.3, public</w:t>
      </w:r>
    </w:p>
    <w:p w14:paraId="6B3C816D" w14:textId="77777777" w:rsidR="00A306EF" w:rsidRDefault="00000000">
      <w:pPr>
        <w:spacing w:after="140"/>
      </w:pPr>
      <w:r>
        <w:rPr>
          <w:rFonts w:cs="Calibri"/>
          <w:szCs w:val="21"/>
        </w:rPr>
        <w:t>dashboard metrics showing activation deliberateness Automation Review, Section 4.3C, periodic review of automatic triggers; triggers continue by silence under the Nofade rule and adjust only by written determination Narrow Automation Principle, Article I, automatic activation reserved for irreversible-harm scenarios only Emergency Protection Facility, Section 3.1D, 90-day limited support for non-members under coercion; bridging loans up to 0.1% GDP Crisis Accession Fast-Track, Section 3.15A, 24-hour DG certification + 55% CC vote for Critical/Red-Line cases Coercer Rehabilitation Protocol, Section 3.9A, phased path from coercer to member: cessation, confidence-building, integration Private Economic Coercion (PECP), Section 2.14, regulatory response to dominant private entities denying critical services Climate Policy Coordination, Section 2.15 (CPCC), 90-day notification, consultation, and IAC referral for member-on-member climate measures Platform Neutrality Certification, Annex 11A, voluntary certification for non-discriminatory platform behavior Green Transition Solidarity, Section 8.3(b), 25% grants for supply-chain reconfiguration when climate measures cause &gt;2% GDP impact Proportionality Certification, Section 5.3A.2 -- concise memo documenting AESI nature, legal basis, proportionality, and de-escalatory character of activated measures; published summary; full text available to Members and IAC Sectoral Pilot Participation, Section 3.4A -- accession limited to specified policy domains (critical minerals, digital trade, food security, etc.); pathway to full membership after 24 months Supply-Chain Resilience Pre-Investment Facility, Section 8.28 -- preventative Fund facility for supply chain diversification; concessional loans, equity, guarantees; 10% of Peacetime Fund</w:t>
      </w:r>
    </w:p>
    <w:p w14:paraId="0B3E313B" w14:textId="77777777" w:rsidR="00A306EF" w:rsidRDefault="00000000">
      <w:pPr>
        <w:spacing w:after="140"/>
      </w:pPr>
      <w:r>
        <w:rPr>
          <w:rFonts w:cs="Calibri"/>
          <w:szCs w:val="21"/>
        </w:rPr>
        <w:t xml:space="preserve">Automatic Diversification Trigger, Section 8.29 -- automatic Facility prioritization when tariff increase exceeds 10pp on 15%+ of bilateral exports Coordinated Procurement Shield, Section 6.5C -- CC-activated mechanism for preferential intra-IMESI sourcing of critical goods during systemic barriers Financial Market Notification Protocol, Section 8 -- advance notice to central banks and regulators before major measures; 12-hour presumptive minimum AESI Scale-Down Obligation, Section 5.3A.0 -- mandatory 30-day review and scale-down when AESI is withdrawn or substantially modified Dispute Mediation Mechanism, Section 4.5 -- mandatory mediation before arbitration or withdrawal; 45-day facilitation period Adverse Economic </w:t>
      </w:r>
      <w:r>
        <w:rPr>
          <w:rFonts w:cs="Calibri"/>
          <w:szCs w:val="21"/>
        </w:rPr>
        <w:lastRenderedPageBreak/>
        <w:t>Security Incident (AESI), Section 2.1B, any measure or pattern of measures by a non-member materially impairing trade flows, financial stability, or essential supply needs of a Member; classified Precursor/Active/Systemic Essential Security Interests Clause, Article I, measures under IMESI applied strictly as necessary to protect essential security interests in conformity with international obligations Stability Solidarity Contributions, Section 8.23, predictable contribution system to the Fund linked to intra-coalition transactions or reserve holdings Resilience Support Framework, Section 8.24, financial support, market-access advantages, and technical assistance for Members with verified AESI losses Resilience Investment Credits, Section 8.25, tax, financing, or regulatory advantages for investments relocating critical production from high-risk jurisdictions Essential Imports Safeguard, Section 8.26, maintains affected Member's access to essential goods basket during currency-crisis AESI Pre-Arranged Liquidity Network, Section 8.27, pre-negotiated swap lines and trade credit guarantees activated upon systemic AESI certification Trade Facilitation Corridors, Annex 3B, temporary enhanced customs clearance and simplified procedures for AESI-affected trade Re-Routing Advisories, Annex 3C, non-binding Secretariat advisories on trade diversification away from AESI risk points Resilience Partner, Section 9.6, non-member status for economic security cooperation without full IMESI obligations Public-Private Liaison Forum, Section 4.5A, structured dialogue between public authorities and private sector for AESI preparation and response Early-Warning and Transparency Platform, Section 4.2A.1, voluntary anonymised data-sharing for AESI detection Exit Adjustment Mechanism, Section 3.7, financial adjustment upon withdrawal to preserve Fund integrity; capped at 50% of net benefits Non-Bloc Declaration, Preamble v9.5, IMESI is prohibited from constituting a geopolitical alignment, defense pact, or exclusive economic bloc</w:t>
      </w:r>
    </w:p>
    <w:p w14:paraId="6BF35702" w14:textId="77777777" w:rsidR="00A306EF" w:rsidRDefault="00000000">
      <w:pPr>
        <w:spacing w:after="140"/>
      </w:pPr>
      <w:r>
        <w:rPr>
          <w:rFonts w:cs="Calibri"/>
          <w:szCs w:val="21"/>
        </w:rPr>
        <w:t>Systemic-Economy Identification, Section 1.1 v9.5, objective exposure and systemic-impact metrics determined by Secretariat and endorsed by CC; replaces fixed GDP-share thresholds Independent Review Commission, Section 4.3 v9.5, external expert body convened at Year 5 to assess proportionality,</w:t>
      </w:r>
    </w:p>
    <w:p w14:paraId="715DD8DE" w14:textId="77777777" w:rsidR="00A306EF" w:rsidRDefault="00000000">
      <w:pPr>
        <w:spacing w:after="140"/>
      </w:pPr>
      <w:r>
        <w:rPr>
          <w:rFonts w:cs="Calibri"/>
          <w:szCs w:val="21"/>
        </w:rPr>
        <w:t xml:space="preserve">effectiveness, systemic risk, and governance; reports to Grand Review Convention SFI Financial Black Start, Section 1.5/4.6D v9.4, annual 72-hour simulation of total reserve-currency clearing incapacitation; tests IMU valuation, failover, and swap line activation Yield Stabilization Window, Section 8.20A v9.4, temporary sovereign debt backstop for members with &gt;150bps yield spike during certified coercion/GSD/SND case; capped at 1% member GDP with a 12-month rolling review point Regulatory Calibration Option, Section 10.12 v9.4, illustrative Phase 2+ non-tariff instrument mirroring coercer's own standards; requires GATT XX defensibility and IEWC equivalence assessment Regulatory Integrity Safeguard, Section 1.1 v9.4, prohibition on coordinating disguised trade restrictions as technical regulation; all regulatory instruments meet independent legitimacy standards Persistent Opt-Out Review, Section 3.5 v9.4, automatic CC review when member invokes MOAR in same sector for &gt;2 consecutive periods; increase surcharge or reclassify obligations Phase-0 Core, Section 10A.2 v9.4, 6 mandatory modules for minimal-overhead founding: IEWC Core, Minimal SFI, Small Fund, 5 Core Scenarios, Anti-Fragmentation Core, Communications Framework Non-Bloc Declaration, Preamble v9.5, IMESI is prohibited from constituting a geopolitical alignment, defense pact, or exclusive economic bloc No Automatic Sanctions, Section 1.0A v9.5, nothing in this Instrument obliges any member to adopt sanctions without domestic legal authorization Withdrawal Procedure, Section 3.7 v9.5, 12-month written notice to Depositary; no financial or legal penalties; pro rata Fund return; 24-month SFI transition; 5-year </w:t>
      </w:r>
      <w:r>
        <w:rPr>
          <w:rFonts w:cs="Calibri"/>
          <w:szCs w:val="21"/>
        </w:rPr>
        <w:lastRenderedPageBreak/>
        <w:t>confidentiality survival Independent Review Commission, Section 10A.1 v9.5, 5-9 external experts convened at Year 5; assesses proportionality, effectiveness, systemic risk, governance; reports to Grand Review Convention Systemic-Economy Classification, Section 8.4B v9.5, objective exposure and systemic-impact metrics (trade share, financial centrality, supply chain dependency, reserve-currency role) replacing fixed GDP-share thresholds; methodology published by Secretariat Founding Coalition Pledge, Annex 22 v9.4, non-binding political declaration for founding conference signature; plain-language Tier 2 obligations; upgradeable to full Charter ratification Tariff Refugee Pathway, Section 3.1A v9.3A, 90-day zero-obligation Observer+ entry for states facing &gt;10% universal tariffs; automatic without CC vote; funded by 0.5% Tier 2+ levy MOAR-Tariff, Section 3.5 v9.3A, sector-specific 6-month opt-outs for tariff-sensitive industries at 25% surcharge with mandatory 120% re-engagement; preserves aggregate pressure Conditional Irreversibility, Sections 8.9/10.5 v9.3A, structural costs from DAR/Substitution that is reversed only if aggressor meets compliance milestones; re-linking requires affected member consent Constructive Tariff Coercion, Section 2.1 v9.3, rebuttable presumption of policy linkage from tariff/diplomatic friction correlation plus discriminatory targeting Domestic Sovereignty Safeguard, Section 1.0A v9.2, non-derogable safeguard confirming all IMESI implementation through existing national decision-making; no IMESI body imposes measures directly within</w:t>
      </w:r>
    </w:p>
    <w:p w14:paraId="3855A147" w14:textId="77777777" w:rsidR="00A306EF" w:rsidRDefault="00000000">
      <w:pPr>
        <w:spacing w:after="140"/>
      </w:pPr>
      <w:r>
        <w:rPr>
          <w:rFonts w:cs="Calibri"/>
          <w:szCs w:val="21"/>
        </w:rPr>
        <w:t>member states Systemic-Economy Cooperation Track, Section 9.5 v9.2, observer briefings, joint stress tests, shared resilience studies, and standing DG hotline for systemic economies; no obligations or voting rights Market Stabilization Reserve, Section 8.1 v9.2, 15% of Paid-In Base ring-fenced for member liquidity/FX support during activation; not for punishing third-country investors Founding Period Calibration, Section 5.3A.1 v9.2, 5-year window for CC to authorize narrower packages than scenario templates; expires at Year 5 or 3 successful cases Managed Learning Amnesty, Section 3.8 v9.2, one-time, one-tier penalty-free downgrade within 12 months of case closure during first 5 years Cooperation Incentive Window, Section 8.2 v9.1, 5% of Peacetime Fund earmarked for members exceeding diversification targets or running additional stress tests; competitive annual grants rewarding over-performance Early Reversal Incentive, Section 5.3A v9.1, technical cooperation and trade-facilitation gestures for coercers fully reversing within 30 days and accepting 24-month monitored non-repetition Institutional Sovereignty Doctrine, Section 1.5 v9.0, extension of coercion definition to IMESI infrastructure; three institutional Red-Line categories; distributed resilience mandate with 7-node architecture Compound Emergency Protocol, Section 1.6 v9.0, stacked crisis architecture for 2+ simultaneous emergencies; pure GDP burden-sharing; 12% hard cap; pre-authorized all-hazards packages Constructive Coercion Doctrine, Section 2.1A v9.0, pilot doctrine for implicit coercion by dominant suppliers without formal demands;</w:t>
      </w:r>
    </w:p>
    <w:p w14:paraId="4818F889" w14:textId="77777777" w:rsidR="00A306EF" w:rsidRDefault="00000000">
      <w:pPr>
        <w:spacing w:after="140"/>
      </w:pPr>
      <w:r>
        <w:rPr>
          <w:rFonts w:cs="Calibri"/>
          <w:szCs w:val="21"/>
        </w:rPr>
        <w:t xml:space="preserve">4-element test with 14-day commercial justification window; 36-month pilot Systemic Infrastructure Provider, Section 2.5D v9.0, framework for dominant private infrastructure providers; neutral service obligations; no new competition authority; coordinates existing national tools IMESI-LDC Protocol, Section 3.1C v9.0, enhanced protections for AU/LDC/SIDS: secondary sanctions shield, great power capture insurance, collateral damage fund, development voting enhancements Withdrawal Authenticity Test, Section 5.3D v9.0, 5-criteria verification before Phase 2 reduction; rebuttable dirty compliance presumption; cosmetic tariff change definition Protectionism Review Mechanism, Section 6.10 v9.0, 3-member PRP with no sua sponte authority; weighted factor review; advisory findings unless CC adopts </w:t>
      </w:r>
      <w:r>
        <w:rPr>
          <w:rFonts w:cs="Calibri"/>
          <w:szCs w:val="21"/>
        </w:rPr>
        <w:lastRenderedPageBreak/>
        <w:t>WTO Defense-in-Depth, Annex 1A.1 v9.0, three-layer litigation strategy: GATT XXI(c) primary, XX secondary, plurilateral mutual insurance tertiary; model pleadings repository Internal Adjudication Charter, Annex 6B v9.0, full IAC charter: 7-member standing panel, standards of review, 90-day timelines, political override by 75% CC vote, strategic partner access Future Architecture Compendium, Annex 20 v8.9, five non-operational planning modules (institutional resilience, major economy integration, federal coordination, corporate coercion scenarios, sub-national cooperation) for Grand Review consideration only</w:t>
      </w:r>
    </w:p>
    <w:sectPr w:rsidR="00A306EF">
      <w:headerReference w:type="default" r:id="rId13"/>
      <w:footerReference w:type="default" r:id="rId14"/>
      <w:pgSz w:w="11906" w:h="16838"/>
      <w:pgMar w:top="180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85EF5" w14:textId="77777777" w:rsidR="00D560C6" w:rsidRDefault="00D560C6">
      <w:pPr>
        <w:spacing w:after="0" w:line="240" w:lineRule="auto"/>
      </w:pPr>
      <w:r>
        <w:separator/>
      </w:r>
    </w:p>
  </w:endnote>
  <w:endnote w:type="continuationSeparator" w:id="0">
    <w:p w14:paraId="27D7EA8A" w14:textId="77777777" w:rsidR="00D560C6" w:rsidRDefault="00D56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2C66F" w14:textId="77777777" w:rsidR="00A306EF" w:rsidRDefault="00A306E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626BE" w14:textId="77777777" w:rsidR="00A306EF" w:rsidRDefault="00A306E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DAF7C" w14:textId="77777777" w:rsidR="00A306EF" w:rsidRDefault="00A306E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2E52A" w14:textId="77777777" w:rsidR="00A306EF" w:rsidRDefault="00000000">
    <w:pPr>
      <w:jc w:val="center"/>
    </w:pPr>
    <w:r>
      <w:rPr>
        <w:color w:val="78909C"/>
        <w:sz w:val="18"/>
      </w:rPr>
      <w:fldChar w:fldCharType="begin"/>
    </w:r>
    <w:r>
      <w:rPr>
        <w:color w:val="78909C"/>
        <w:sz w:val="18"/>
      </w:rPr>
      <w:instrText xml:space="preserve"> PAGE </w:instrText>
    </w:r>
    <w:r>
      <w:rPr>
        <w:color w:val="78909C"/>
        <w:sz w:val="18"/>
      </w:rPr>
      <w:fldChar w:fldCharType="separate"/>
    </w:r>
    <w:r>
      <w:rPr>
        <w:color w:val="78909C"/>
        <w:sz w:val="18"/>
      </w:rPr>
      <w:t>1</w:t>
    </w:r>
    <w:r>
      <w:rPr>
        <w:color w:val="78909C"/>
        <w:sz w:val="18"/>
      </w:rPr>
      <w:fldChar w:fldCharType="end"/>
    </w:r>
    <w:r>
      <w:rPr>
        <w:color w:val="78909C"/>
        <w:sz w:val="18"/>
      </w:rPr>
      <w:t xml:space="preserve"> / </w:t>
    </w:r>
    <w:r>
      <w:rPr>
        <w:color w:val="78909C"/>
        <w:sz w:val="18"/>
      </w:rPr>
      <w:fldChar w:fldCharType="begin"/>
    </w:r>
    <w:r>
      <w:rPr>
        <w:color w:val="78909C"/>
        <w:sz w:val="18"/>
      </w:rPr>
      <w:instrText xml:space="preserve"> NUMPAGES </w:instrText>
    </w:r>
    <w:r>
      <w:rPr>
        <w:color w:val="78909C"/>
        <w:sz w:val="18"/>
      </w:rPr>
      <w:fldChar w:fldCharType="separate"/>
    </w:r>
    <w:r>
      <w:rPr>
        <w:color w:val="78909C"/>
        <w:sz w:val="18"/>
      </w:rPr>
      <w:t>1</w:t>
    </w:r>
    <w:r>
      <w:rPr>
        <w:color w:val="78909C"/>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32AE9" w14:textId="77777777" w:rsidR="00D560C6" w:rsidRDefault="00D560C6">
      <w:pPr>
        <w:spacing w:after="0" w:line="240" w:lineRule="auto"/>
      </w:pPr>
      <w:r>
        <w:separator/>
      </w:r>
    </w:p>
  </w:footnote>
  <w:footnote w:type="continuationSeparator" w:id="0">
    <w:p w14:paraId="22873FD4" w14:textId="77777777" w:rsidR="00D560C6" w:rsidRDefault="00D56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7CFFA" w14:textId="77777777" w:rsidR="00A306EF" w:rsidRDefault="00A306E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E048C" w14:textId="77777777" w:rsidR="00A306EF" w:rsidRDefault="00A306E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E9449" w14:textId="77777777" w:rsidR="00A306EF" w:rsidRDefault="00A306E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43BE" w14:textId="77777777" w:rsidR="00A306EF" w:rsidRDefault="00000000">
    <w:pPr>
      <w:jc w:val="right"/>
    </w:pPr>
    <w:r>
      <w:rPr>
        <w:rFonts w:cs="Calibri"/>
        <w:color w:val="78909C"/>
        <w:sz w:val="16"/>
        <w:szCs w:val="16"/>
      </w:rPr>
      <w:t>INTERNATIONAL MUTUAL ECONOMIC SECURITY INSTRUMENT  |  Version 15.0  |  August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2F4968"/>
    <w:multiLevelType w:val="multilevel"/>
    <w:tmpl w:val="B450F0A8"/>
    <w:lvl w:ilvl="0">
      <w:numFmt w:val="bullet"/>
      <w:lvlText w:val="•"/>
      <w:lvlJc w:val="left"/>
      <w:pPr>
        <w:ind w:left="460" w:hanging="2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58001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306EF"/>
    <w:rsid w:val="009D4C1A"/>
    <w:rsid w:val="009E0ED2"/>
    <w:rsid w:val="00A306EF"/>
    <w:rsid w:val="00D560C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51414"/>
  <w15:docId w15:val="{7F595514-DAEC-48CC-AC82-116F05F63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00" w:lineRule="auto"/>
      <w:jc w:val="both"/>
    </w:pPr>
    <w:rPr>
      <w:rFonts w:ascii="Calibri" w:eastAsia="Microsoft YaHei" w:hAnsi="Calibri"/>
      <w:color w:val="263238"/>
      <w:sz w:val="21"/>
    </w:rPr>
  </w:style>
  <w:style w:type="paragraph" w:styleId="Heading1">
    <w:name w:val="heading 1"/>
    <w:basedOn w:val="Normal"/>
    <w:uiPriority w:val="9"/>
    <w:qFormat/>
    <w:pPr>
      <w:keepNext/>
      <w:keepLines/>
      <w:spacing w:before="480" w:after="200"/>
      <w:jc w:val="left"/>
      <w:outlineLvl w:val="0"/>
    </w:pPr>
    <w:rPr>
      <w:b/>
      <w:color w:val="455A64"/>
      <w:sz w:val="30"/>
    </w:rPr>
  </w:style>
  <w:style w:type="paragraph" w:styleId="Heading2">
    <w:name w:val="heading 2"/>
    <w:basedOn w:val="Normal"/>
    <w:uiPriority w:val="9"/>
    <w:unhideWhenUsed/>
    <w:qFormat/>
    <w:pPr>
      <w:keepNext/>
      <w:keepLines/>
      <w:spacing w:before="360" w:after="140"/>
      <w:jc w:val="left"/>
      <w:outlineLvl w:val="1"/>
    </w:pPr>
    <w:rPr>
      <w:b/>
      <w:sz w:val="25"/>
    </w:rPr>
  </w:style>
  <w:style w:type="paragraph" w:styleId="Heading3">
    <w:name w:val="heading 3"/>
    <w:basedOn w:val="Normal"/>
    <w:uiPriority w:val="9"/>
    <w:unhideWhenUsed/>
    <w:qFormat/>
    <w:pPr>
      <w:keepNext/>
      <w:keepLines/>
      <w:spacing w:before="260" w:after="100"/>
      <w:jc w:val="left"/>
      <w:outlineLvl w:val="2"/>
    </w:pPr>
    <w:rPr>
      <w:b/>
      <w:color w:val="546E7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60" w:after="320"/>
      <w:jc w:val="center"/>
    </w:pPr>
    <w:rPr>
      <w:color w:val="78909C"/>
      <w:sz w:val="20"/>
    </w:rPr>
  </w:style>
  <w:style w:type="paragraph" w:styleId="TOC1">
    <w:name w:val="toc 1"/>
    <w:basedOn w:val="Normal"/>
    <w:uiPriority w:val="39"/>
    <w:pPr>
      <w:tabs>
        <w:tab w:val="right" w:leader="dot" w:pos="9026"/>
      </w:tabs>
      <w:spacing w:before="120" w:after="40"/>
      <w:jc w:val="left"/>
    </w:pPr>
    <w:rPr>
      <w:b/>
      <w:color w:val="37474F"/>
    </w:rPr>
  </w:style>
  <w:style w:type="paragraph" w:styleId="TOC2">
    <w:name w:val="toc 2"/>
    <w:basedOn w:val="Normal"/>
    <w:uiPriority w:val="39"/>
    <w:pPr>
      <w:tabs>
        <w:tab w:val="right" w:leader="dot" w:pos="9026"/>
      </w:tabs>
      <w:spacing w:after="20"/>
      <w:ind w:left="360"/>
      <w:jc w:val="left"/>
    </w:pPr>
    <w:rPr>
      <w:color w:val="212121"/>
      <w:sz w:val="20"/>
    </w:rPr>
  </w:style>
  <w:style w:type="character" w:styleId="Hyperlink">
    <w:name w:val="Hyperlink"/>
    <w:basedOn w:val="DefaultParagraphFont"/>
    <w:uiPriority w:val="99"/>
    <w:unhideWhenUsed/>
    <w:rsid w:val="009E0ED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68</Pages>
  <Words>24834</Words>
  <Characters>141556</Characters>
  <Application>Microsoft Office Word</Application>
  <DocSecurity>0</DocSecurity>
  <Lines>1179</Lines>
  <Paragraphs>332</Paragraphs>
  <ScaleCrop>false</ScaleCrop>
  <Company/>
  <LinksUpToDate>false</LinksUpToDate>
  <CharactersWithSpaces>166058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2</cp:revision>
  <dcterms:created xsi:type="dcterms:W3CDTF">2026-08-18T08:01:00Z</dcterms:created>
  <dcterms:modified xsi:type="dcterms:W3CDTF">2026-08-18T08:01:00Z</dcterms:modified>
</cp:coreProperties>
</file>