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31BD3" w14:textId="77777777" w:rsidR="00A502D4" w:rsidRDefault="00000000">
      <w:pPr>
        <w:spacing w:before="4600" w:after="120"/>
        <w:ind w:left="1300" w:right="1300"/>
      </w:pPr>
      <w:proofErr w:type="gramStart"/>
      <w:r>
        <w:rPr>
          <w:rFonts w:cs="Calibri"/>
          <w:b/>
          <w:color w:val="A97E2F"/>
          <w:spacing w:val="30"/>
          <w:sz w:val="20"/>
          <w:szCs w:val="20"/>
        </w:rPr>
        <w:t>IMESI  ·</w:t>
      </w:r>
      <w:proofErr w:type="gramEnd"/>
      <w:r>
        <w:rPr>
          <w:rFonts w:cs="Calibri"/>
          <w:b/>
          <w:color w:val="A97E2F"/>
          <w:spacing w:val="30"/>
          <w:sz w:val="20"/>
          <w:szCs w:val="20"/>
        </w:rPr>
        <w:t xml:space="preserve">  INTERNATIONAL MUTUAL ECONOMIC SECURITY INSTRUMENT</w:t>
      </w:r>
    </w:p>
    <w:p w14:paraId="4A7F2E9D" w14:textId="77777777" w:rsidR="00A502D4" w:rsidRDefault="00A502D4">
      <w:pPr>
        <w:pBdr>
          <w:bottom w:val="single" w:sz="14" w:space="1" w:color="A97E2F"/>
        </w:pBdr>
        <w:spacing w:after="480"/>
        <w:ind w:left="1300" w:right="4800"/>
      </w:pPr>
    </w:p>
    <w:p w14:paraId="0C2C2963" w14:textId="77777777" w:rsidR="00A502D4" w:rsidRDefault="00000000">
      <w:pPr>
        <w:spacing w:after="0"/>
        <w:ind w:left="1300" w:right="1300"/>
      </w:pPr>
      <w:r>
        <w:rPr>
          <w:rFonts w:cs="Calibri"/>
          <w:b/>
          <w:color w:val="1F3A4D"/>
          <w:sz w:val="104"/>
          <w:szCs w:val="104"/>
        </w:rPr>
        <w:t>Canadian</w:t>
      </w:r>
    </w:p>
    <w:p w14:paraId="153C611B" w14:textId="77777777" w:rsidR="00A502D4" w:rsidRDefault="00000000">
      <w:pPr>
        <w:spacing w:after="360"/>
        <w:ind w:left="1300" w:right="1300"/>
      </w:pPr>
      <w:r>
        <w:rPr>
          <w:rFonts w:cs="Calibri"/>
          <w:b/>
          <w:color w:val="1F3A4D"/>
          <w:sz w:val="104"/>
          <w:szCs w:val="104"/>
        </w:rPr>
        <w:t>Founding Guide</w:t>
      </w:r>
    </w:p>
    <w:p w14:paraId="48660DBE" w14:textId="77777777" w:rsidR="00A502D4" w:rsidRDefault="00000000">
      <w:pPr>
        <w:spacing w:after="0"/>
        <w:ind w:left="1300" w:right="1300"/>
      </w:pPr>
      <w:r>
        <w:rPr>
          <w:rFonts w:cs="Calibri"/>
          <w:color w:val="4A6B7C"/>
          <w:sz w:val="27"/>
          <w:szCs w:val="27"/>
        </w:rPr>
        <w:t>Founding the First Coalition: Pathways, Partners, the WTO Track, and the August 19 Window</w:t>
      </w:r>
    </w:p>
    <w:p w14:paraId="0E2A1010" w14:textId="77777777" w:rsidR="00A502D4" w:rsidRDefault="00000000">
      <w:pPr>
        <w:spacing w:before="2400" w:after="80"/>
        <w:ind w:left="1300" w:right="1300"/>
      </w:pPr>
      <w:r>
        <w:rPr>
          <w:rFonts w:cs="Calibri"/>
          <w:color w:val="46565E"/>
          <w:sz w:val="22"/>
          <w:szCs w:val="22"/>
        </w:rPr>
        <w:t>Version 15.0 (Canadian Founding Edition)</w:t>
      </w:r>
    </w:p>
    <w:p w14:paraId="7EB6E7B6" w14:textId="77777777" w:rsidR="00A502D4" w:rsidRDefault="00000000">
      <w:pPr>
        <w:spacing w:after="80"/>
        <w:ind w:left="1300" w:right="1300"/>
      </w:pPr>
      <w:r>
        <w:rPr>
          <w:rFonts w:cs="Calibri"/>
          <w:color w:val="46565E"/>
          <w:sz w:val="22"/>
          <w:szCs w:val="22"/>
        </w:rPr>
        <w:t xml:space="preserve">August </w:t>
      </w:r>
      <w:proofErr w:type="gramStart"/>
      <w:r>
        <w:rPr>
          <w:rFonts w:cs="Calibri"/>
          <w:color w:val="46565E"/>
          <w:sz w:val="22"/>
          <w:szCs w:val="22"/>
        </w:rPr>
        <w:t>2026  |</w:t>
      </w:r>
      <w:proofErr w:type="gramEnd"/>
      <w:r>
        <w:rPr>
          <w:rFonts w:cs="Calibri"/>
          <w:color w:val="46565E"/>
          <w:sz w:val="22"/>
          <w:szCs w:val="22"/>
        </w:rPr>
        <w:t xml:space="preserve">  Open document</w:t>
      </w:r>
    </w:p>
    <w:p w14:paraId="49E43045" w14:textId="77777777" w:rsidR="00A502D4" w:rsidRDefault="00000000">
      <w:pPr>
        <w:spacing w:after="80"/>
        <w:ind w:left="1300" w:right="1300"/>
      </w:pPr>
      <w:r>
        <w:rPr>
          <w:rFonts w:cs="Calibri"/>
          <w:color w:val="46565E"/>
          <w:sz w:val="22"/>
          <w:szCs w:val="22"/>
        </w:rPr>
        <w:t>Companion to IMESI v15.0 (full consolidated text)</w:t>
      </w:r>
    </w:p>
    <w:p w14:paraId="521CAA58" w14:textId="77777777" w:rsidR="00A502D4" w:rsidRDefault="00000000">
      <w:pPr>
        <w:spacing w:after="0"/>
        <w:ind w:left="1300" w:right="1300"/>
      </w:pPr>
      <w:r>
        <w:rPr>
          <w:rFonts w:cs="Calibri"/>
          <w:color w:val="46565E"/>
          <w:sz w:val="22"/>
          <w:szCs w:val="22"/>
        </w:rPr>
        <w:t>Drafting standard: Immutable Present-Tense Matrix</w:t>
      </w:r>
    </w:p>
    <w:p w14:paraId="30BFE5A9" w14:textId="77777777" w:rsidR="00A502D4" w:rsidRDefault="00A502D4">
      <w:pPr>
        <w:sectPr w:rsidR="00A502D4">
          <w:headerReference w:type="even" r:id="rId7"/>
          <w:headerReference w:type="default" r:id="rId8"/>
          <w:footerReference w:type="even" r:id="rId9"/>
          <w:footerReference w:type="default" r:id="rId10"/>
          <w:headerReference w:type="first" r:id="rId11"/>
          <w:footerReference w:type="first" r:id="rId12"/>
          <w:pgSz w:w="11906" w:h="16838"/>
          <w:pgMar w:top="0" w:right="0" w:bottom="0" w:left="0" w:header="0" w:footer="0" w:gutter="0"/>
          <w:pgBorders w:offsetFrom="page">
            <w:top w:val="double" w:sz="6" w:space="28" w:color="1F3A4D"/>
            <w:left w:val="double" w:sz="6" w:space="28" w:color="1F3A4D"/>
            <w:bottom w:val="double" w:sz="6" w:space="28" w:color="1F3A4D"/>
            <w:right w:val="double" w:sz="6" w:space="28" w:color="1F3A4D"/>
          </w:pgBorders>
          <w:cols w:space="720"/>
          <w:titlePg/>
        </w:sectPr>
      </w:pPr>
    </w:p>
    <w:p w14:paraId="4CDA4941" w14:textId="77777777" w:rsidR="00A502D4" w:rsidRDefault="00000000">
      <w:pPr>
        <w:pStyle w:val="Heading1"/>
        <w:pageBreakBefore/>
      </w:pPr>
      <w:r>
        <w:rPr>
          <w:rFonts w:cs="Calibri"/>
          <w:szCs w:val="32"/>
        </w:rPr>
        <w:lastRenderedPageBreak/>
        <w:t>Table of Contents</w:t>
      </w:r>
    </w:p>
    <w:p w14:paraId="429B0499" w14:textId="77777777" w:rsidR="00A502D4" w:rsidRDefault="00000000">
      <w:r>
        <w:fldChar w:fldCharType="begin"/>
      </w:r>
      <w:r>
        <w:instrText xml:space="preserve"> TOC \o "1-2" \h \z \u </w:instrText>
      </w:r>
      <w:r>
        <w:fldChar w:fldCharType="separate"/>
      </w:r>
    </w:p>
    <w:p w14:paraId="500C3A12" w14:textId="77777777" w:rsidR="00A502D4" w:rsidRDefault="00000000">
      <w:pPr>
        <w:pStyle w:val="TOC1"/>
      </w:pPr>
      <w:r>
        <w:rPr>
          <w:rFonts w:cs="Calibri"/>
          <w:szCs w:val="21"/>
        </w:rPr>
        <w:t>Document Control and Reader's Note</w:t>
      </w:r>
      <w:r>
        <w:tab/>
      </w:r>
      <w:r>
        <w:rPr>
          <w:rFonts w:cs="Calibri"/>
          <w:szCs w:val="21"/>
        </w:rPr>
        <w:t>4</w:t>
      </w:r>
    </w:p>
    <w:p w14:paraId="001CB23D" w14:textId="77777777" w:rsidR="00A502D4" w:rsidRDefault="00000000">
      <w:pPr>
        <w:pStyle w:val="TOC2"/>
      </w:pPr>
      <w:r>
        <w:rPr>
          <w:rFonts w:cs="Calibri"/>
          <w:szCs w:val="21"/>
        </w:rPr>
        <w:t>Drafting Standard Note</w:t>
      </w:r>
      <w:r>
        <w:tab/>
      </w:r>
      <w:r>
        <w:rPr>
          <w:rFonts w:cs="Calibri"/>
          <w:szCs w:val="21"/>
        </w:rPr>
        <w:t>4</w:t>
      </w:r>
    </w:p>
    <w:p w14:paraId="67EE7EA3" w14:textId="77777777" w:rsidR="00A502D4" w:rsidRDefault="00000000">
      <w:pPr>
        <w:pStyle w:val="TOC2"/>
      </w:pPr>
      <w:r>
        <w:rPr>
          <w:rFonts w:cs="Calibri"/>
          <w:szCs w:val="21"/>
        </w:rPr>
        <w:t>Sourcing Standard Note</w:t>
      </w:r>
      <w:r>
        <w:tab/>
      </w:r>
      <w:r>
        <w:rPr>
          <w:rFonts w:cs="Calibri"/>
          <w:szCs w:val="21"/>
        </w:rPr>
        <w:t>4</w:t>
      </w:r>
    </w:p>
    <w:p w14:paraId="437D2110" w14:textId="77777777" w:rsidR="00A502D4" w:rsidRDefault="00000000">
      <w:pPr>
        <w:pStyle w:val="TOC1"/>
      </w:pPr>
      <w:r>
        <w:rPr>
          <w:rFonts w:cs="Calibri"/>
          <w:szCs w:val="21"/>
        </w:rPr>
        <w:t>Executive Summary</w:t>
      </w:r>
      <w:r>
        <w:tab/>
      </w:r>
      <w:r>
        <w:rPr>
          <w:rFonts w:cs="Calibri"/>
          <w:szCs w:val="21"/>
        </w:rPr>
        <w:t>5</w:t>
      </w:r>
    </w:p>
    <w:p w14:paraId="326A2F9D" w14:textId="77777777" w:rsidR="00A502D4" w:rsidRDefault="00000000">
      <w:pPr>
        <w:pStyle w:val="TOC2"/>
      </w:pPr>
      <w:r>
        <w:rPr>
          <w:rFonts w:cs="Calibri"/>
          <w:szCs w:val="21"/>
        </w:rPr>
        <w:t>The Situation in Brief</w:t>
      </w:r>
      <w:r>
        <w:tab/>
      </w:r>
      <w:r>
        <w:rPr>
          <w:rFonts w:cs="Calibri"/>
          <w:szCs w:val="21"/>
        </w:rPr>
        <w:t>5</w:t>
      </w:r>
    </w:p>
    <w:p w14:paraId="2EB17AD8" w14:textId="77777777" w:rsidR="00A502D4" w:rsidRDefault="00000000">
      <w:pPr>
        <w:pStyle w:val="TOC2"/>
      </w:pPr>
      <w:r>
        <w:rPr>
          <w:rFonts w:cs="Calibri"/>
          <w:szCs w:val="21"/>
        </w:rPr>
        <w:t>The Core Judgment</w:t>
      </w:r>
      <w:r>
        <w:tab/>
      </w:r>
      <w:r>
        <w:rPr>
          <w:rFonts w:cs="Calibri"/>
          <w:szCs w:val="21"/>
        </w:rPr>
        <w:t>5</w:t>
      </w:r>
    </w:p>
    <w:p w14:paraId="69C27E04" w14:textId="77777777" w:rsidR="00A502D4" w:rsidRDefault="00000000">
      <w:pPr>
        <w:pStyle w:val="TOC2"/>
      </w:pPr>
      <w:r>
        <w:rPr>
          <w:rFonts w:cs="Calibri"/>
          <w:szCs w:val="21"/>
        </w:rPr>
        <w:t>The Play in Brief</w:t>
      </w:r>
      <w:r>
        <w:tab/>
      </w:r>
      <w:r>
        <w:rPr>
          <w:rFonts w:cs="Calibri"/>
          <w:szCs w:val="21"/>
        </w:rPr>
        <w:t>5</w:t>
      </w:r>
    </w:p>
    <w:p w14:paraId="65695F94" w14:textId="77777777" w:rsidR="00A502D4" w:rsidRDefault="00000000">
      <w:pPr>
        <w:pStyle w:val="TOC2"/>
      </w:pPr>
      <w:r>
        <w:rPr>
          <w:rFonts w:cs="Calibri"/>
          <w:szCs w:val="21"/>
        </w:rPr>
        <w:t>What Success Looks Like</w:t>
      </w:r>
      <w:r>
        <w:tab/>
      </w:r>
      <w:r>
        <w:rPr>
          <w:rFonts w:cs="Calibri"/>
          <w:szCs w:val="21"/>
        </w:rPr>
        <w:t>6</w:t>
      </w:r>
    </w:p>
    <w:p w14:paraId="1684A1D6" w14:textId="77777777" w:rsidR="00A502D4" w:rsidRDefault="00000000">
      <w:pPr>
        <w:pStyle w:val="TOC1"/>
      </w:pPr>
      <w:r>
        <w:rPr>
          <w:rFonts w:cs="Calibri"/>
          <w:szCs w:val="21"/>
        </w:rPr>
        <w:t>Part I: Situation Assessment of the Tariff Campaign Against Canada</w:t>
      </w:r>
      <w:r>
        <w:tab/>
      </w:r>
      <w:r>
        <w:rPr>
          <w:rFonts w:cs="Calibri"/>
          <w:szCs w:val="21"/>
        </w:rPr>
        <w:t>6</w:t>
      </w:r>
    </w:p>
    <w:p w14:paraId="794145E3" w14:textId="77777777" w:rsidR="00A502D4" w:rsidRDefault="00000000">
      <w:pPr>
        <w:pStyle w:val="TOC2"/>
      </w:pPr>
      <w:r>
        <w:rPr>
          <w:rFonts w:cs="Calibri"/>
          <w:szCs w:val="21"/>
        </w:rPr>
        <w:t>1.1 The Instrument Stack as of August 11, 2026</w:t>
      </w:r>
      <w:r>
        <w:tab/>
      </w:r>
      <w:r>
        <w:rPr>
          <w:rFonts w:cs="Calibri"/>
          <w:szCs w:val="21"/>
        </w:rPr>
        <w:t>6</w:t>
      </w:r>
    </w:p>
    <w:p w14:paraId="582309AD" w14:textId="77777777" w:rsidR="00A502D4" w:rsidRDefault="00000000">
      <w:pPr>
        <w:pStyle w:val="TOC2"/>
      </w:pPr>
      <w:r>
        <w:rPr>
          <w:rFonts w:cs="Calibri"/>
          <w:szCs w:val="21"/>
        </w:rPr>
        <w:t>1.2 The August 19 Deadline and the Escalation Cycle</w:t>
      </w:r>
      <w:r>
        <w:tab/>
      </w:r>
      <w:r>
        <w:rPr>
          <w:rFonts w:cs="Calibri"/>
          <w:szCs w:val="21"/>
        </w:rPr>
        <w:t>7</w:t>
      </w:r>
    </w:p>
    <w:p w14:paraId="5337278F" w14:textId="77777777" w:rsidR="00A502D4" w:rsidRDefault="00000000">
      <w:pPr>
        <w:pStyle w:val="TOC2"/>
      </w:pPr>
      <w:r>
        <w:rPr>
          <w:rFonts w:cs="Calibri"/>
          <w:szCs w:val="21"/>
        </w:rPr>
        <w:t>1.3 The Political Rhetoric and the USMCA Endgame</w:t>
      </w:r>
      <w:r>
        <w:tab/>
      </w:r>
      <w:r>
        <w:rPr>
          <w:rFonts w:cs="Calibri"/>
          <w:szCs w:val="21"/>
        </w:rPr>
        <w:t>8</w:t>
      </w:r>
    </w:p>
    <w:p w14:paraId="05F58081" w14:textId="77777777" w:rsidR="00A502D4" w:rsidRDefault="00000000">
      <w:pPr>
        <w:pStyle w:val="TOC2"/>
      </w:pPr>
      <w:r>
        <w:rPr>
          <w:rFonts w:cs="Calibri"/>
          <w:szCs w:val="21"/>
        </w:rPr>
        <w:t>1.4 Economic Damage Assessment</w:t>
      </w:r>
      <w:r>
        <w:tab/>
      </w:r>
      <w:r>
        <w:rPr>
          <w:rFonts w:cs="Calibri"/>
          <w:szCs w:val="21"/>
        </w:rPr>
        <w:t>8</w:t>
      </w:r>
    </w:p>
    <w:p w14:paraId="364F8964" w14:textId="77777777" w:rsidR="00A502D4" w:rsidRDefault="00000000">
      <w:pPr>
        <w:pStyle w:val="TOC2"/>
      </w:pPr>
      <w:r>
        <w:rPr>
          <w:rFonts w:cs="Calibri"/>
          <w:szCs w:val="21"/>
        </w:rPr>
        <w:t>1.5 Severity Finding: Mapping the Facts onto the Certification Test</w:t>
      </w:r>
      <w:r>
        <w:tab/>
      </w:r>
      <w:r>
        <w:rPr>
          <w:rFonts w:cs="Calibri"/>
          <w:szCs w:val="21"/>
        </w:rPr>
        <w:t>9</w:t>
      </w:r>
    </w:p>
    <w:p w14:paraId="24568178" w14:textId="77777777" w:rsidR="00A502D4" w:rsidRDefault="00000000">
      <w:pPr>
        <w:pStyle w:val="TOC1"/>
      </w:pPr>
      <w:r>
        <w:rPr>
          <w:rFonts w:cs="Calibri"/>
          <w:szCs w:val="21"/>
        </w:rPr>
        <w:t>Part II: Building the Founding Coalition</w:t>
      </w:r>
      <w:r>
        <w:tab/>
      </w:r>
      <w:r>
        <w:rPr>
          <w:rFonts w:cs="Calibri"/>
          <w:szCs w:val="21"/>
        </w:rPr>
        <w:t>9</w:t>
      </w:r>
    </w:p>
    <w:p w14:paraId="25B19EA7" w14:textId="77777777" w:rsidR="00A502D4" w:rsidRDefault="00000000">
      <w:pPr>
        <w:pStyle w:val="TOC2"/>
      </w:pPr>
      <w:r>
        <w:rPr>
          <w:rFonts w:cs="Calibri"/>
          <w:szCs w:val="21"/>
        </w:rPr>
        <w:t>2.1 The Core Four</w:t>
      </w:r>
      <w:r>
        <w:tab/>
      </w:r>
      <w:r>
        <w:rPr>
          <w:rFonts w:cs="Calibri"/>
          <w:szCs w:val="21"/>
        </w:rPr>
        <w:t>9</w:t>
      </w:r>
    </w:p>
    <w:p w14:paraId="2A204024" w14:textId="77777777" w:rsidR="00A502D4" w:rsidRDefault="00000000">
      <w:pPr>
        <w:pStyle w:val="TOC2"/>
      </w:pPr>
      <w:r>
        <w:rPr>
          <w:rFonts w:cs="Calibri"/>
          <w:szCs w:val="21"/>
        </w:rPr>
        <w:t>2.2 The Expansion Map</w:t>
      </w:r>
      <w:r>
        <w:tab/>
      </w:r>
      <w:r>
        <w:rPr>
          <w:rFonts w:cs="Calibri"/>
          <w:szCs w:val="21"/>
        </w:rPr>
        <w:t>10</w:t>
      </w:r>
    </w:p>
    <w:p w14:paraId="324965E4" w14:textId="77777777" w:rsidR="00A502D4" w:rsidRDefault="00000000">
      <w:pPr>
        <w:pStyle w:val="TOC2"/>
      </w:pPr>
      <w:r>
        <w:rPr>
          <w:rFonts w:cs="Calibri"/>
          <w:szCs w:val="21"/>
        </w:rPr>
        <w:t>2.3 The MPEP Bridge</w:t>
      </w:r>
      <w:r>
        <w:tab/>
      </w:r>
      <w:r>
        <w:rPr>
          <w:rFonts w:cs="Calibri"/>
          <w:szCs w:val="21"/>
        </w:rPr>
        <w:t>11</w:t>
      </w:r>
    </w:p>
    <w:p w14:paraId="44D6BA3D" w14:textId="77777777" w:rsidR="00A502D4" w:rsidRDefault="00000000">
      <w:pPr>
        <w:pStyle w:val="TOC2"/>
      </w:pPr>
      <w:r>
        <w:rPr>
          <w:rFonts w:cs="Calibri"/>
          <w:szCs w:val="21"/>
        </w:rPr>
        <w:t>2.4 Entry Instruments: The Right Door for Each Partner</w:t>
      </w:r>
      <w:r>
        <w:tab/>
      </w:r>
      <w:r>
        <w:rPr>
          <w:rFonts w:cs="Calibri"/>
          <w:szCs w:val="21"/>
        </w:rPr>
        <w:t>11</w:t>
      </w:r>
    </w:p>
    <w:p w14:paraId="7CB38AE7" w14:textId="77777777" w:rsidR="00A502D4" w:rsidRDefault="00000000">
      <w:pPr>
        <w:pStyle w:val="TOC2"/>
      </w:pPr>
      <w:r>
        <w:rPr>
          <w:rFonts w:cs="Calibri"/>
          <w:szCs w:val="21"/>
        </w:rPr>
        <w:t>2.5 The Mexico File: Pre-Positioning the Solidarity Counter-Offer</w:t>
      </w:r>
      <w:r>
        <w:tab/>
      </w:r>
      <w:r>
        <w:rPr>
          <w:rFonts w:cs="Calibri"/>
          <w:szCs w:val="21"/>
        </w:rPr>
        <w:t>12</w:t>
      </w:r>
    </w:p>
    <w:p w14:paraId="0EE4AA78" w14:textId="77777777" w:rsidR="00A502D4" w:rsidRDefault="00000000">
      <w:pPr>
        <w:pStyle w:val="TOC2"/>
      </w:pPr>
      <w:r>
        <w:rPr>
          <w:rFonts w:cs="Calibri"/>
          <w:szCs w:val="21"/>
        </w:rPr>
        <w:t>2.6 The Partner Decline Protocol</w:t>
      </w:r>
      <w:r>
        <w:tab/>
      </w:r>
      <w:r>
        <w:rPr>
          <w:rFonts w:cs="Calibri"/>
          <w:szCs w:val="21"/>
        </w:rPr>
        <w:t>13</w:t>
      </w:r>
    </w:p>
    <w:p w14:paraId="756C7C75" w14:textId="77777777" w:rsidR="00A502D4" w:rsidRDefault="00000000">
      <w:pPr>
        <w:pStyle w:val="TOC1"/>
      </w:pPr>
      <w:r>
        <w:rPr>
          <w:rFonts w:cs="Calibri"/>
          <w:szCs w:val="21"/>
        </w:rPr>
        <w:t>Part III: Five Founding Pathways</w:t>
      </w:r>
      <w:r>
        <w:tab/>
      </w:r>
      <w:r>
        <w:rPr>
          <w:rFonts w:cs="Calibri"/>
          <w:szCs w:val="21"/>
        </w:rPr>
        <w:t>15</w:t>
      </w:r>
    </w:p>
    <w:p w14:paraId="5DEF7D8D" w14:textId="77777777" w:rsidR="00A502D4" w:rsidRDefault="00000000">
      <w:pPr>
        <w:pStyle w:val="TOC2"/>
      </w:pPr>
      <w:r>
        <w:rPr>
          <w:rFonts w:cs="Calibri"/>
          <w:szCs w:val="21"/>
        </w:rPr>
        <w:t>3.1 Pathway One: The Emergency Track (Fastest; Days)</w:t>
      </w:r>
      <w:r>
        <w:tab/>
      </w:r>
      <w:r>
        <w:rPr>
          <w:rFonts w:cs="Calibri"/>
          <w:szCs w:val="21"/>
        </w:rPr>
        <w:t>15</w:t>
      </w:r>
    </w:p>
    <w:p w14:paraId="47B07D8A" w14:textId="77777777" w:rsidR="00A502D4" w:rsidRDefault="00000000">
      <w:pPr>
        <w:pStyle w:val="TOC2"/>
      </w:pPr>
      <w:r>
        <w:rPr>
          <w:rFonts w:cs="Calibri"/>
          <w:szCs w:val="21"/>
        </w:rPr>
        <w:t>3.2 Pathway Two: The Pilot Track (12 to 18 Months)</w:t>
      </w:r>
      <w:r>
        <w:tab/>
      </w:r>
      <w:r>
        <w:rPr>
          <w:rFonts w:cs="Calibri"/>
          <w:szCs w:val="21"/>
        </w:rPr>
        <w:t>16</w:t>
      </w:r>
    </w:p>
    <w:p w14:paraId="58CCDF83" w14:textId="77777777" w:rsidR="00A502D4" w:rsidRDefault="00000000">
      <w:pPr>
        <w:pStyle w:val="TOC2"/>
      </w:pPr>
      <w:r>
        <w:rPr>
          <w:rFonts w:cs="Calibri"/>
          <w:szCs w:val="21"/>
        </w:rPr>
        <w:t>3.3 Pathway Three: The MPEP Conversion Track</w:t>
      </w:r>
      <w:r>
        <w:tab/>
      </w:r>
      <w:r>
        <w:rPr>
          <w:rFonts w:cs="Calibri"/>
          <w:szCs w:val="21"/>
        </w:rPr>
        <w:t>16</w:t>
      </w:r>
    </w:p>
    <w:p w14:paraId="46A79043" w14:textId="77777777" w:rsidR="00A502D4" w:rsidRDefault="00000000">
      <w:pPr>
        <w:pStyle w:val="TOC2"/>
      </w:pPr>
      <w:r>
        <w:rPr>
          <w:rFonts w:cs="Calibri"/>
          <w:szCs w:val="21"/>
        </w:rPr>
        <w:t>3.4 Pathway Four: The Multilateral Legitimacy Track (Path B)</w:t>
      </w:r>
      <w:r>
        <w:tab/>
      </w:r>
      <w:r>
        <w:rPr>
          <w:rFonts w:cs="Calibri"/>
          <w:szCs w:val="21"/>
        </w:rPr>
        <w:t>16</w:t>
      </w:r>
    </w:p>
    <w:p w14:paraId="255634DB" w14:textId="77777777" w:rsidR="00A502D4" w:rsidRDefault="00000000">
      <w:pPr>
        <w:pStyle w:val="TOC2"/>
      </w:pPr>
      <w:r>
        <w:rPr>
          <w:rFonts w:cs="Calibri"/>
          <w:szCs w:val="21"/>
        </w:rPr>
        <w:t>3.5 Pathway Five: The Brussels Track (EU ACI Alignment)</w:t>
      </w:r>
      <w:r>
        <w:tab/>
      </w:r>
      <w:r>
        <w:rPr>
          <w:rFonts w:cs="Calibri"/>
          <w:szCs w:val="21"/>
        </w:rPr>
        <w:t>17</w:t>
      </w:r>
    </w:p>
    <w:p w14:paraId="77367937" w14:textId="77777777" w:rsidR="00A502D4" w:rsidRDefault="00000000">
      <w:pPr>
        <w:pStyle w:val="TOC2"/>
      </w:pPr>
      <w:r>
        <w:rPr>
          <w:rFonts w:cs="Calibri"/>
          <w:szCs w:val="21"/>
        </w:rPr>
        <w:t>3.6 Sequence and Combination Logic</w:t>
      </w:r>
      <w:r>
        <w:tab/>
      </w:r>
      <w:r>
        <w:rPr>
          <w:rFonts w:cs="Calibri"/>
          <w:szCs w:val="21"/>
        </w:rPr>
        <w:t>17</w:t>
      </w:r>
    </w:p>
    <w:p w14:paraId="7FD53401" w14:textId="77777777" w:rsidR="00A502D4" w:rsidRDefault="00000000">
      <w:pPr>
        <w:pStyle w:val="TOC1"/>
      </w:pPr>
      <w:r>
        <w:rPr>
          <w:rFonts w:cs="Calibri"/>
          <w:szCs w:val="21"/>
        </w:rPr>
        <w:t>Part IV: The WTO Track for Heading Off Legal Challenges</w:t>
      </w:r>
      <w:r>
        <w:tab/>
      </w:r>
      <w:r>
        <w:rPr>
          <w:rFonts w:cs="Calibri"/>
          <w:szCs w:val="21"/>
        </w:rPr>
        <w:t>17</w:t>
      </w:r>
    </w:p>
    <w:p w14:paraId="31390279" w14:textId="77777777" w:rsidR="00A502D4" w:rsidRDefault="00000000">
      <w:pPr>
        <w:pStyle w:val="TOC2"/>
      </w:pPr>
      <w:r>
        <w:rPr>
          <w:rFonts w:cs="Calibri"/>
          <w:szCs w:val="21"/>
        </w:rPr>
        <w:t>4.1 The Legal Threat Map</w:t>
      </w:r>
      <w:r>
        <w:tab/>
      </w:r>
      <w:r>
        <w:rPr>
          <w:rFonts w:cs="Calibri"/>
          <w:szCs w:val="21"/>
        </w:rPr>
        <w:t>18</w:t>
      </w:r>
    </w:p>
    <w:p w14:paraId="7320BC63" w14:textId="77777777" w:rsidR="00A502D4" w:rsidRDefault="00000000">
      <w:pPr>
        <w:pStyle w:val="TOC2"/>
      </w:pPr>
      <w:r>
        <w:rPr>
          <w:rFonts w:cs="Calibri"/>
          <w:szCs w:val="21"/>
        </w:rPr>
        <w:lastRenderedPageBreak/>
        <w:t>4.2 The Article XXI Anchoring Strategy</w:t>
      </w:r>
      <w:r>
        <w:tab/>
      </w:r>
      <w:r>
        <w:rPr>
          <w:rFonts w:cs="Calibri"/>
          <w:szCs w:val="21"/>
        </w:rPr>
        <w:t>18</w:t>
      </w:r>
    </w:p>
    <w:p w14:paraId="49E81966" w14:textId="77777777" w:rsidR="00A502D4" w:rsidRDefault="00000000">
      <w:pPr>
        <w:pStyle w:val="TOC2"/>
      </w:pPr>
      <w:r>
        <w:rPr>
          <w:rFonts w:cs="Calibri"/>
          <w:szCs w:val="21"/>
        </w:rPr>
        <w:t>4.3 The Notification and Transparency Offensive</w:t>
      </w:r>
      <w:r>
        <w:tab/>
      </w:r>
      <w:r>
        <w:rPr>
          <w:rFonts w:cs="Calibri"/>
          <w:szCs w:val="21"/>
        </w:rPr>
        <w:t>19</w:t>
      </w:r>
    </w:p>
    <w:p w14:paraId="68234C92" w14:textId="77777777" w:rsidR="00A502D4" w:rsidRDefault="00000000">
      <w:pPr>
        <w:pStyle w:val="TOC2"/>
      </w:pPr>
      <w:r>
        <w:rPr>
          <w:rFonts w:cs="Calibri"/>
          <w:szCs w:val="21"/>
        </w:rPr>
        <w:t>4.4 The Dispute-Settlement Defence</w:t>
      </w:r>
      <w:r>
        <w:tab/>
      </w:r>
      <w:r>
        <w:rPr>
          <w:rFonts w:cs="Calibri"/>
          <w:szCs w:val="21"/>
        </w:rPr>
        <w:t>19</w:t>
      </w:r>
    </w:p>
    <w:p w14:paraId="2D3D7A2C" w14:textId="77777777" w:rsidR="00A502D4" w:rsidRDefault="00000000">
      <w:pPr>
        <w:pStyle w:val="TOC2"/>
      </w:pPr>
      <w:r>
        <w:rPr>
          <w:rFonts w:cs="Calibri"/>
          <w:szCs w:val="21"/>
        </w:rPr>
        <w:t>4.5 The Waiver Fallback</w:t>
      </w:r>
      <w:r>
        <w:tab/>
      </w:r>
      <w:r>
        <w:rPr>
          <w:rFonts w:cs="Calibri"/>
          <w:szCs w:val="21"/>
        </w:rPr>
        <w:t>20</w:t>
      </w:r>
    </w:p>
    <w:p w14:paraId="2A84AA80" w14:textId="77777777" w:rsidR="00A502D4" w:rsidRDefault="00000000">
      <w:pPr>
        <w:pStyle w:val="TOC2"/>
      </w:pPr>
      <w:r>
        <w:rPr>
          <w:rFonts w:cs="Calibri"/>
          <w:szCs w:val="21"/>
        </w:rPr>
        <w:t>4.6 Design Choices That Prevent Challenges</w:t>
      </w:r>
      <w:r>
        <w:tab/>
      </w:r>
      <w:r>
        <w:rPr>
          <w:rFonts w:cs="Calibri"/>
          <w:szCs w:val="21"/>
        </w:rPr>
        <w:t>20</w:t>
      </w:r>
    </w:p>
    <w:p w14:paraId="3E8DB309" w14:textId="77777777" w:rsidR="00A502D4" w:rsidRDefault="00000000">
      <w:pPr>
        <w:pStyle w:val="TOC1"/>
      </w:pPr>
      <w:r>
        <w:rPr>
          <w:rFonts w:cs="Calibri"/>
          <w:szCs w:val="21"/>
        </w:rPr>
        <w:t>Part V: Media and Strategic Communications</w:t>
      </w:r>
      <w:r>
        <w:tab/>
      </w:r>
      <w:r>
        <w:rPr>
          <w:rFonts w:cs="Calibri"/>
          <w:szCs w:val="21"/>
        </w:rPr>
        <w:t>21</w:t>
      </w:r>
    </w:p>
    <w:p w14:paraId="5D1A457F" w14:textId="77777777" w:rsidR="00A502D4" w:rsidRDefault="00000000">
      <w:pPr>
        <w:pStyle w:val="TOC2"/>
      </w:pPr>
      <w:r>
        <w:rPr>
          <w:rFonts w:cs="Calibri"/>
          <w:szCs w:val="21"/>
        </w:rPr>
        <w:t>5.1 The Narrative Frame</w:t>
      </w:r>
      <w:r>
        <w:tab/>
      </w:r>
      <w:r>
        <w:rPr>
          <w:rFonts w:cs="Calibri"/>
          <w:szCs w:val="21"/>
        </w:rPr>
        <w:t>21</w:t>
      </w:r>
    </w:p>
    <w:p w14:paraId="53E9022F" w14:textId="77777777" w:rsidR="00A502D4" w:rsidRDefault="00000000">
      <w:pPr>
        <w:pStyle w:val="TOC2"/>
      </w:pPr>
      <w:r>
        <w:rPr>
          <w:rFonts w:cs="Calibri"/>
          <w:szCs w:val="21"/>
        </w:rPr>
        <w:t>5.2 The Domestic Canadian Plan</w:t>
      </w:r>
      <w:r>
        <w:tab/>
      </w:r>
      <w:r>
        <w:rPr>
          <w:rFonts w:cs="Calibri"/>
          <w:szCs w:val="21"/>
        </w:rPr>
        <w:t>21</w:t>
      </w:r>
    </w:p>
    <w:p w14:paraId="2D05B83E" w14:textId="77777777" w:rsidR="00A502D4" w:rsidRDefault="00000000">
      <w:pPr>
        <w:pStyle w:val="TOC2"/>
      </w:pPr>
      <w:r>
        <w:rPr>
          <w:rFonts w:cs="Calibri"/>
          <w:szCs w:val="21"/>
        </w:rPr>
        <w:t>5.3 The International Plan</w:t>
      </w:r>
      <w:r>
        <w:tab/>
      </w:r>
      <w:r>
        <w:rPr>
          <w:rFonts w:cs="Calibri"/>
          <w:szCs w:val="21"/>
        </w:rPr>
        <w:t>22</w:t>
      </w:r>
    </w:p>
    <w:p w14:paraId="4F79DCF8" w14:textId="77777777" w:rsidR="00A502D4" w:rsidRDefault="00000000">
      <w:pPr>
        <w:pStyle w:val="TOC2"/>
      </w:pPr>
      <w:r>
        <w:rPr>
          <w:rFonts w:cs="Calibri"/>
          <w:szCs w:val="21"/>
        </w:rPr>
        <w:t>5.4 Counter-Narrative Table</w:t>
      </w:r>
      <w:r>
        <w:tab/>
      </w:r>
      <w:r>
        <w:rPr>
          <w:rFonts w:cs="Calibri"/>
          <w:szCs w:val="21"/>
        </w:rPr>
        <w:t>23</w:t>
      </w:r>
    </w:p>
    <w:p w14:paraId="111EE3A6" w14:textId="77777777" w:rsidR="00A502D4" w:rsidRDefault="00000000">
      <w:pPr>
        <w:pStyle w:val="TOC2"/>
      </w:pPr>
      <w:r>
        <w:rPr>
          <w:rFonts w:cs="Calibri"/>
          <w:szCs w:val="21"/>
        </w:rPr>
        <w:t>5.5 Sequencing: The Transparency Ladder</w:t>
      </w:r>
      <w:r>
        <w:tab/>
      </w:r>
      <w:r>
        <w:rPr>
          <w:rFonts w:cs="Calibri"/>
          <w:szCs w:val="21"/>
        </w:rPr>
        <w:t>23</w:t>
      </w:r>
    </w:p>
    <w:p w14:paraId="69100AB4" w14:textId="77777777" w:rsidR="00A502D4" w:rsidRDefault="00000000">
      <w:pPr>
        <w:pStyle w:val="TOC1"/>
      </w:pPr>
      <w:r>
        <w:rPr>
          <w:rFonts w:cs="Calibri"/>
          <w:szCs w:val="21"/>
        </w:rPr>
        <w:t>Part VI: Backchannel and Quiet Diplomacy</w:t>
      </w:r>
      <w:r>
        <w:tab/>
      </w:r>
      <w:r>
        <w:rPr>
          <w:rFonts w:cs="Calibri"/>
          <w:szCs w:val="21"/>
        </w:rPr>
        <w:t>23</w:t>
      </w:r>
    </w:p>
    <w:p w14:paraId="27778C76" w14:textId="77777777" w:rsidR="00A502D4" w:rsidRDefault="00000000">
      <w:pPr>
        <w:pStyle w:val="TOC2"/>
      </w:pPr>
      <w:r>
        <w:rPr>
          <w:rFonts w:cs="Calibri"/>
          <w:szCs w:val="21"/>
        </w:rPr>
        <w:t>6.1 The Washington Channel</w:t>
      </w:r>
      <w:r>
        <w:tab/>
      </w:r>
      <w:r>
        <w:rPr>
          <w:rFonts w:cs="Calibri"/>
          <w:szCs w:val="21"/>
        </w:rPr>
        <w:t>23</w:t>
      </w:r>
    </w:p>
    <w:p w14:paraId="30544204" w14:textId="77777777" w:rsidR="00A502D4" w:rsidRDefault="00000000">
      <w:pPr>
        <w:pStyle w:val="TOC2"/>
      </w:pPr>
      <w:r>
        <w:rPr>
          <w:rFonts w:cs="Calibri"/>
          <w:szCs w:val="21"/>
        </w:rPr>
        <w:t>6.2 The Partner Channels</w:t>
      </w:r>
      <w:r>
        <w:tab/>
      </w:r>
      <w:r>
        <w:rPr>
          <w:rFonts w:cs="Calibri"/>
          <w:szCs w:val="21"/>
        </w:rPr>
        <w:t>24</w:t>
      </w:r>
    </w:p>
    <w:p w14:paraId="2B75614E" w14:textId="77777777" w:rsidR="00A502D4" w:rsidRDefault="00000000">
      <w:pPr>
        <w:pStyle w:val="TOC2"/>
      </w:pPr>
      <w:r>
        <w:rPr>
          <w:rFonts w:cs="Calibri"/>
          <w:szCs w:val="21"/>
        </w:rPr>
        <w:t>6.3 The China Track</w:t>
      </w:r>
      <w:r>
        <w:tab/>
      </w:r>
      <w:r>
        <w:rPr>
          <w:rFonts w:cs="Calibri"/>
          <w:szCs w:val="21"/>
        </w:rPr>
        <w:t>24</w:t>
      </w:r>
    </w:p>
    <w:p w14:paraId="5122BC9C" w14:textId="77777777" w:rsidR="00A502D4" w:rsidRDefault="00000000">
      <w:pPr>
        <w:pStyle w:val="TOC2"/>
      </w:pPr>
      <w:r>
        <w:rPr>
          <w:rFonts w:cs="Calibri"/>
          <w:szCs w:val="21"/>
        </w:rPr>
        <w:t>6.4 Mediation and De-escalation Architecture</w:t>
      </w:r>
      <w:r>
        <w:tab/>
      </w:r>
      <w:r>
        <w:rPr>
          <w:rFonts w:cs="Calibri"/>
          <w:szCs w:val="21"/>
        </w:rPr>
        <w:t>25</w:t>
      </w:r>
    </w:p>
    <w:p w14:paraId="3CAA8D41" w14:textId="77777777" w:rsidR="00A502D4" w:rsidRDefault="00000000">
      <w:pPr>
        <w:pStyle w:val="TOC1"/>
      </w:pPr>
      <w:r>
        <w:rPr>
          <w:rFonts w:cs="Calibri"/>
          <w:szCs w:val="21"/>
        </w:rPr>
        <w:t>Part VII: Action Plans</w:t>
      </w:r>
      <w:r>
        <w:tab/>
      </w:r>
      <w:r>
        <w:rPr>
          <w:rFonts w:cs="Calibri"/>
          <w:szCs w:val="21"/>
        </w:rPr>
        <w:t>25</w:t>
      </w:r>
    </w:p>
    <w:p w14:paraId="75F9D59F" w14:textId="77777777" w:rsidR="00A502D4" w:rsidRDefault="00000000">
      <w:pPr>
        <w:pStyle w:val="TOC2"/>
      </w:pPr>
      <w:r>
        <w:rPr>
          <w:rFonts w:cs="Calibri"/>
          <w:szCs w:val="21"/>
        </w:rPr>
        <w:t>7.1 Immediate Actions: August 11 to August 19, 2026</w:t>
      </w:r>
      <w:r>
        <w:tab/>
      </w:r>
      <w:r>
        <w:rPr>
          <w:rFonts w:cs="Calibri"/>
          <w:szCs w:val="21"/>
        </w:rPr>
        <w:t>25</w:t>
      </w:r>
    </w:p>
    <w:p w14:paraId="0C851AE4" w14:textId="77777777" w:rsidR="00A502D4" w:rsidRDefault="00000000">
      <w:pPr>
        <w:pStyle w:val="TOC2"/>
      </w:pPr>
      <w:r>
        <w:rPr>
          <w:rFonts w:cs="Calibri"/>
          <w:szCs w:val="21"/>
        </w:rPr>
        <w:t>7.2 The 90-Day Plan</w:t>
      </w:r>
      <w:r>
        <w:tab/>
      </w:r>
      <w:r>
        <w:rPr>
          <w:rFonts w:cs="Calibri"/>
          <w:szCs w:val="21"/>
        </w:rPr>
        <w:t>26</w:t>
      </w:r>
    </w:p>
    <w:p w14:paraId="6965667B" w14:textId="77777777" w:rsidR="00A502D4" w:rsidRDefault="00000000">
      <w:pPr>
        <w:pStyle w:val="TOC2"/>
      </w:pPr>
      <w:r>
        <w:rPr>
          <w:rFonts w:cs="Calibri"/>
          <w:szCs w:val="21"/>
        </w:rPr>
        <w:t>7.3 The 12-Month Plan</w:t>
      </w:r>
      <w:r>
        <w:tab/>
      </w:r>
      <w:r>
        <w:rPr>
          <w:rFonts w:cs="Calibri"/>
          <w:szCs w:val="21"/>
        </w:rPr>
        <w:t>26</w:t>
      </w:r>
    </w:p>
    <w:p w14:paraId="72196BB9" w14:textId="77777777" w:rsidR="00A502D4" w:rsidRDefault="00000000">
      <w:pPr>
        <w:pStyle w:val="TOC2"/>
      </w:pPr>
      <w:r>
        <w:rPr>
          <w:rFonts w:cs="Calibri"/>
          <w:szCs w:val="21"/>
        </w:rPr>
        <w:t>7.4 Ownership Matrix</w:t>
      </w:r>
      <w:r>
        <w:tab/>
      </w:r>
      <w:r>
        <w:rPr>
          <w:rFonts w:cs="Calibri"/>
          <w:szCs w:val="21"/>
        </w:rPr>
        <w:t>27</w:t>
      </w:r>
    </w:p>
    <w:p w14:paraId="54469FC0" w14:textId="77777777" w:rsidR="00A502D4" w:rsidRDefault="00000000">
      <w:pPr>
        <w:pStyle w:val="TOC1"/>
      </w:pPr>
      <w:r>
        <w:rPr>
          <w:rFonts w:cs="Calibri"/>
          <w:szCs w:val="21"/>
        </w:rPr>
        <w:t>Part VIII: Risk Register and Red Team Answers</w:t>
      </w:r>
      <w:r>
        <w:tab/>
      </w:r>
      <w:r>
        <w:rPr>
          <w:rFonts w:cs="Calibri"/>
          <w:szCs w:val="21"/>
        </w:rPr>
        <w:t>27</w:t>
      </w:r>
    </w:p>
    <w:p w14:paraId="346B7938" w14:textId="77777777" w:rsidR="00A502D4" w:rsidRDefault="00000000">
      <w:pPr>
        <w:pStyle w:val="TOC1"/>
      </w:pPr>
      <w:r>
        <w:rPr>
          <w:rFonts w:cs="Calibri"/>
          <w:szCs w:val="21"/>
        </w:rPr>
        <w:t>Annex A: The Tariff Record in Key Dates</w:t>
      </w:r>
      <w:r>
        <w:tab/>
      </w:r>
      <w:r>
        <w:rPr>
          <w:rFonts w:cs="Calibri"/>
          <w:szCs w:val="21"/>
        </w:rPr>
        <w:t>28</w:t>
      </w:r>
    </w:p>
    <w:p w14:paraId="1A162579" w14:textId="77777777" w:rsidR="00A502D4" w:rsidRDefault="00000000">
      <w:pPr>
        <w:pStyle w:val="TOC1"/>
      </w:pPr>
      <w:r>
        <w:rPr>
          <w:rFonts w:cs="Calibri"/>
          <w:szCs w:val="21"/>
        </w:rPr>
        <w:t>Annex B: IMESI Provision Cross-Reference</w:t>
      </w:r>
      <w:r>
        <w:tab/>
      </w:r>
      <w:r>
        <w:rPr>
          <w:rFonts w:cs="Calibri"/>
          <w:szCs w:val="21"/>
        </w:rPr>
        <w:t>29</w:t>
      </w:r>
    </w:p>
    <w:p w14:paraId="5EA85B69" w14:textId="77777777" w:rsidR="00A502D4" w:rsidRDefault="00000000">
      <w:pPr>
        <w:pStyle w:val="TOC1"/>
      </w:pPr>
      <w:r>
        <w:rPr>
          <w:rFonts w:cs="Calibri"/>
          <w:szCs w:val="21"/>
        </w:rPr>
        <w:t>Annex C: Model Language</w:t>
      </w:r>
      <w:r>
        <w:tab/>
      </w:r>
      <w:r>
        <w:rPr>
          <w:rFonts w:cs="Calibri"/>
          <w:szCs w:val="21"/>
        </w:rPr>
        <w:t>30</w:t>
      </w:r>
    </w:p>
    <w:p w14:paraId="7BC7BDC8" w14:textId="77777777" w:rsidR="00A502D4" w:rsidRDefault="00000000">
      <w:pPr>
        <w:pStyle w:val="TOC2"/>
      </w:pPr>
      <w:r>
        <w:rPr>
          <w:rFonts w:cs="Calibri"/>
          <w:szCs w:val="21"/>
        </w:rPr>
        <w:t>C.1 Founding Communiqué Skeleton</w:t>
      </w:r>
      <w:r>
        <w:tab/>
      </w:r>
      <w:r>
        <w:rPr>
          <w:rFonts w:cs="Calibri"/>
          <w:szCs w:val="21"/>
        </w:rPr>
        <w:t>30</w:t>
      </w:r>
    </w:p>
    <w:p w14:paraId="38C89E6A" w14:textId="77777777" w:rsidR="00A502D4" w:rsidRDefault="00000000">
      <w:pPr>
        <w:pStyle w:val="TOC2"/>
      </w:pPr>
      <w:r>
        <w:rPr>
          <w:rFonts w:cs="Calibri"/>
          <w:szCs w:val="21"/>
        </w:rPr>
        <w:t>C.2 Leader Talking Points (adapted from Annex 16C)</w:t>
      </w:r>
      <w:r>
        <w:tab/>
      </w:r>
      <w:r>
        <w:rPr>
          <w:rFonts w:cs="Calibri"/>
          <w:szCs w:val="21"/>
        </w:rPr>
        <w:t>31</w:t>
      </w:r>
    </w:p>
    <w:p w14:paraId="03720C9F" w14:textId="77777777" w:rsidR="00A502D4" w:rsidRDefault="00000000">
      <w:pPr>
        <w:pStyle w:val="TOC2"/>
      </w:pPr>
      <w:r>
        <w:rPr>
          <w:rFonts w:cs="Calibri"/>
          <w:szCs w:val="21"/>
        </w:rPr>
        <w:t>C.3 The One-Paragraph Pitch for Partner Capitals</w:t>
      </w:r>
      <w:r>
        <w:tab/>
      </w:r>
      <w:r>
        <w:rPr>
          <w:rFonts w:cs="Calibri"/>
          <w:szCs w:val="21"/>
        </w:rPr>
        <w:t>31</w:t>
      </w:r>
    </w:p>
    <w:p w14:paraId="495AE782" w14:textId="77777777" w:rsidR="00A502D4" w:rsidRDefault="00000000">
      <w:pPr>
        <w:pStyle w:val="TOC1"/>
      </w:pPr>
      <w:r>
        <w:rPr>
          <w:rFonts w:cs="Calibri"/>
          <w:szCs w:val="21"/>
        </w:rPr>
        <w:t>Annex D: Source Register</w:t>
      </w:r>
      <w:r>
        <w:tab/>
      </w:r>
      <w:r>
        <w:rPr>
          <w:rFonts w:cs="Calibri"/>
          <w:szCs w:val="21"/>
        </w:rPr>
        <w:t>31</w:t>
      </w:r>
    </w:p>
    <w:p w14:paraId="3F704576" w14:textId="77777777" w:rsidR="00A502D4" w:rsidRDefault="00000000">
      <w:pPr>
        <w:pStyle w:val="TOC2"/>
      </w:pPr>
      <w:r>
        <w:rPr>
          <w:rFonts w:cs="Calibri"/>
          <w:szCs w:val="21"/>
        </w:rPr>
        <w:t>Verification Note</w:t>
      </w:r>
      <w:r>
        <w:tab/>
      </w:r>
      <w:r>
        <w:rPr>
          <w:rFonts w:cs="Calibri"/>
          <w:szCs w:val="21"/>
        </w:rPr>
        <w:t>32</w:t>
      </w:r>
    </w:p>
    <w:p w14:paraId="51259489" w14:textId="77777777" w:rsidR="00A502D4" w:rsidRDefault="00000000">
      <w:r>
        <w:fldChar w:fldCharType="end"/>
      </w:r>
    </w:p>
    <w:p w14:paraId="29C02F5A" w14:textId="77777777" w:rsidR="00A502D4" w:rsidRDefault="00A502D4">
      <w:pPr>
        <w:sectPr w:rsidR="00A502D4">
          <w:pgSz w:w="11906" w:h="16838"/>
          <w:pgMar w:top="1800" w:right="1440" w:bottom="1440" w:left="1440" w:header="720" w:footer="720" w:gutter="0"/>
          <w:cols w:space="720"/>
        </w:sectPr>
      </w:pPr>
    </w:p>
    <w:p w14:paraId="4CE55288" w14:textId="77777777" w:rsidR="00A502D4" w:rsidRDefault="00000000">
      <w:pPr>
        <w:pStyle w:val="Heading1"/>
      </w:pPr>
      <w:r>
        <w:rPr>
          <w:rFonts w:cs="Calibri"/>
          <w:szCs w:val="32"/>
        </w:rPr>
        <w:lastRenderedPageBreak/>
        <w:t>Document Control and Reader's Note</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2214"/>
        <w:gridCol w:w="7012"/>
      </w:tblGrid>
      <w:tr w:rsidR="00A502D4" w14:paraId="04822508" w14:textId="77777777">
        <w:trPr>
          <w:cantSplit/>
          <w:tblHeader/>
        </w:trPr>
        <w:tc>
          <w:tcPr>
            <w:tcW w:w="2166" w:type="dxa"/>
            <w:shd w:val="clear" w:color="auto" w:fill="EDF2F4"/>
          </w:tcPr>
          <w:p w14:paraId="149C0626" w14:textId="77777777" w:rsidR="00A502D4" w:rsidRDefault="00000000">
            <w:pPr>
              <w:spacing w:before="30" w:after="30" w:line="264" w:lineRule="auto"/>
              <w:jc w:val="left"/>
            </w:pPr>
            <w:r>
              <w:rPr>
                <w:rFonts w:cs="Calibri"/>
                <w:b/>
                <w:sz w:val="19"/>
                <w:szCs w:val="19"/>
              </w:rPr>
              <w:t>Field</w:t>
            </w:r>
          </w:p>
        </w:tc>
        <w:tc>
          <w:tcPr>
            <w:tcW w:w="6859" w:type="dxa"/>
            <w:shd w:val="clear" w:color="auto" w:fill="EDF2F4"/>
          </w:tcPr>
          <w:p w14:paraId="40A49202" w14:textId="77777777" w:rsidR="00A502D4" w:rsidRDefault="00000000">
            <w:pPr>
              <w:spacing w:before="30" w:after="30" w:line="264" w:lineRule="auto"/>
              <w:jc w:val="left"/>
            </w:pPr>
            <w:r>
              <w:rPr>
                <w:rFonts w:cs="Calibri"/>
                <w:b/>
                <w:sz w:val="19"/>
                <w:szCs w:val="19"/>
              </w:rPr>
              <w:t>Entry</w:t>
            </w:r>
          </w:p>
        </w:tc>
      </w:tr>
      <w:tr w:rsidR="00A502D4" w14:paraId="7A443734" w14:textId="77777777">
        <w:tc>
          <w:tcPr>
            <w:tcW w:w="2166" w:type="dxa"/>
          </w:tcPr>
          <w:p w14:paraId="0FD35044" w14:textId="77777777" w:rsidR="00A502D4" w:rsidRDefault="00000000">
            <w:pPr>
              <w:spacing w:before="30" w:after="30" w:line="264" w:lineRule="auto"/>
              <w:jc w:val="left"/>
            </w:pPr>
            <w:r>
              <w:rPr>
                <w:rFonts w:cs="Calibri"/>
                <w:color w:val="46565E"/>
                <w:sz w:val="19"/>
                <w:szCs w:val="19"/>
              </w:rPr>
              <w:t>Document title</w:t>
            </w:r>
          </w:p>
        </w:tc>
        <w:tc>
          <w:tcPr>
            <w:tcW w:w="6859" w:type="dxa"/>
          </w:tcPr>
          <w:p w14:paraId="38BB088F" w14:textId="77777777" w:rsidR="00A502D4" w:rsidRDefault="00000000">
            <w:pPr>
              <w:spacing w:before="30" w:after="30" w:line="264" w:lineRule="auto"/>
              <w:jc w:val="left"/>
            </w:pPr>
            <w:r>
              <w:rPr>
                <w:rFonts w:cs="Calibri"/>
                <w:color w:val="46565E"/>
                <w:sz w:val="19"/>
                <w:szCs w:val="19"/>
              </w:rPr>
              <w:t>IMESI v15.0 Canadian Founding Guide</w:t>
            </w:r>
          </w:p>
        </w:tc>
      </w:tr>
      <w:tr w:rsidR="00A502D4" w14:paraId="20DBDE7E" w14:textId="77777777">
        <w:tc>
          <w:tcPr>
            <w:tcW w:w="2166" w:type="dxa"/>
          </w:tcPr>
          <w:p w14:paraId="2606BD41" w14:textId="77777777" w:rsidR="00A502D4" w:rsidRDefault="00000000">
            <w:pPr>
              <w:spacing w:before="30" w:after="30" w:line="264" w:lineRule="auto"/>
              <w:jc w:val="left"/>
            </w:pPr>
            <w:r>
              <w:rPr>
                <w:rFonts w:cs="Calibri"/>
                <w:color w:val="46565E"/>
                <w:sz w:val="19"/>
                <w:szCs w:val="19"/>
              </w:rPr>
              <w:t>Full title</w:t>
            </w:r>
          </w:p>
        </w:tc>
        <w:tc>
          <w:tcPr>
            <w:tcW w:w="6859" w:type="dxa"/>
          </w:tcPr>
          <w:p w14:paraId="6B9727B9" w14:textId="77777777" w:rsidR="00A502D4" w:rsidRDefault="00000000">
            <w:pPr>
              <w:spacing w:before="30" w:after="30" w:line="264" w:lineRule="auto"/>
              <w:jc w:val="left"/>
            </w:pPr>
            <w:r>
              <w:rPr>
                <w:rFonts w:cs="Calibri"/>
                <w:color w:val="46565E"/>
                <w:sz w:val="19"/>
                <w:szCs w:val="19"/>
              </w:rPr>
              <w:t>International Mutual Economic Security Instrument: A Canadian Founding Guide for the First Coalition</w:t>
            </w:r>
          </w:p>
        </w:tc>
      </w:tr>
      <w:tr w:rsidR="00A502D4" w14:paraId="6EE8F9A1" w14:textId="77777777">
        <w:tc>
          <w:tcPr>
            <w:tcW w:w="2166" w:type="dxa"/>
          </w:tcPr>
          <w:p w14:paraId="2DF34C09" w14:textId="77777777" w:rsidR="00A502D4" w:rsidRDefault="00000000">
            <w:pPr>
              <w:spacing w:before="30" w:after="30" w:line="264" w:lineRule="auto"/>
              <w:jc w:val="left"/>
            </w:pPr>
            <w:r>
              <w:rPr>
                <w:rFonts w:cs="Calibri"/>
                <w:color w:val="46565E"/>
                <w:sz w:val="19"/>
                <w:szCs w:val="19"/>
              </w:rPr>
              <w:t>Version</w:t>
            </w:r>
          </w:p>
        </w:tc>
        <w:tc>
          <w:tcPr>
            <w:tcW w:w="6859" w:type="dxa"/>
          </w:tcPr>
          <w:p w14:paraId="69B8BAF3" w14:textId="77777777" w:rsidR="00A502D4" w:rsidRDefault="00000000">
            <w:pPr>
              <w:spacing w:before="30" w:after="30" w:line="264" w:lineRule="auto"/>
              <w:jc w:val="left"/>
            </w:pPr>
            <w:r>
              <w:rPr>
                <w:rFonts w:cs="Calibri"/>
                <w:color w:val="46565E"/>
                <w:sz w:val="19"/>
                <w:szCs w:val="19"/>
              </w:rPr>
              <w:t>15.0 (Canadian Founding Edition)</w:t>
            </w:r>
          </w:p>
        </w:tc>
      </w:tr>
      <w:tr w:rsidR="00A502D4" w14:paraId="66075A5F" w14:textId="77777777">
        <w:tc>
          <w:tcPr>
            <w:tcW w:w="2166" w:type="dxa"/>
          </w:tcPr>
          <w:p w14:paraId="7ABD9144" w14:textId="77777777" w:rsidR="00A502D4" w:rsidRDefault="00000000">
            <w:pPr>
              <w:spacing w:before="30" w:after="30" w:line="264" w:lineRule="auto"/>
              <w:jc w:val="left"/>
            </w:pPr>
            <w:r>
              <w:rPr>
                <w:rFonts w:cs="Calibri"/>
                <w:color w:val="46565E"/>
                <w:sz w:val="19"/>
                <w:szCs w:val="19"/>
              </w:rPr>
              <w:t>Status</w:t>
            </w:r>
          </w:p>
        </w:tc>
        <w:tc>
          <w:tcPr>
            <w:tcW w:w="6859" w:type="dxa"/>
          </w:tcPr>
          <w:p w14:paraId="557AE09A" w14:textId="77777777" w:rsidR="00A502D4" w:rsidRDefault="00000000">
            <w:pPr>
              <w:spacing w:before="30" w:after="30" w:line="264" w:lineRule="auto"/>
              <w:jc w:val="left"/>
            </w:pPr>
            <w:r>
              <w:rPr>
                <w:rFonts w:cs="Calibri"/>
                <w:color w:val="46565E"/>
                <w:sz w:val="19"/>
                <w:szCs w:val="19"/>
              </w:rPr>
              <w:t>Operational strategy guide, companion to IMESI v15.0</w:t>
            </w:r>
          </w:p>
        </w:tc>
      </w:tr>
      <w:tr w:rsidR="00A502D4" w14:paraId="3BD66A97" w14:textId="77777777">
        <w:tc>
          <w:tcPr>
            <w:tcW w:w="2166" w:type="dxa"/>
          </w:tcPr>
          <w:p w14:paraId="4322D3F7" w14:textId="77777777" w:rsidR="00A502D4" w:rsidRDefault="00000000">
            <w:pPr>
              <w:spacing w:before="30" w:after="30" w:line="264" w:lineRule="auto"/>
              <w:jc w:val="left"/>
            </w:pPr>
            <w:r>
              <w:rPr>
                <w:rFonts w:cs="Calibri"/>
                <w:color w:val="46565E"/>
                <w:sz w:val="19"/>
                <w:szCs w:val="19"/>
              </w:rPr>
              <w:t>Date of issue</w:t>
            </w:r>
          </w:p>
        </w:tc>
        <w:tc>
          <w:tcPr>
            <w:tcW w:w="6859" w:type="dxa"/>
          </w:tcPr>
          <w:p w14:paraId="2A2A8253" w14:textId="77777777" w:rsidR="00A502D4" w:rsidRDefault="00000000">
            <w:pPr>
              <w:spacing w:before="30" w:after="30" w:line="264" w:lineRule="auto"/>
              <w:jc w:val="left"/>
            </w:pPr>
            <w:r>
              <w:rPr>
                <w:rFonts w:cs="Calibri"/>
                <w:color w:val="46565E"/>
                <w:sz w:val="19"/>
                <w:szCs w:val="19"/>
              </w:rPr>
              <w:t>August 2026</w:t>
            </w:r>
          </w:p>
        </w:tc>
      </w:tr>
      <w:tr w:rsidR="00A502D4" w14:paraId="6CC80AD2" w14:textId="77777777">
        <w:tc>
          <w:tcPr>
            <w:tcW w:w="2166" w:type="dxa"/>
          </w:tcPr>
          <w:p w14:paraId="2BC404CA" w14:textId="77777777" w:rsidR="00A502D4" w:rsidRDefault="00000000">
            <w:pPr>
              <w:spacing w:before="30" w:after="30" w:line="264" w:lineRule="auto"/>
              <w:jc w:val="left"/>
            </w:pPr>
            <w:r>
              <w:rPr>
                <w:rFonts w:cs="Calibri"/>
                <w:color w:val="46565E"/>
                <w:sz w:val="19"/>
                <w:szCs w:val="19"/>
              </w:rPr>
              <w:t>Source documents</w:t>
            </w:r>
          </w:p>
        </w:tc>
        <w:tc>
          <w:tcPr>
            <w:tcW w:w="6859" w:type="dxa"/>
          </w:tcPr>
          <w:p w14:paraId="19F87C5F" w14:textId="77777777" w:rsidR="00A502D4" w:rsidRDefault="00000000">
            <w:pPr>
              <w:spacing w:before="30" w:after="30" w:line="264" w:lineRule="auto"/>
              <w:jc w:val="left"/>
            </w:pPr>
            <w:r>
              <w:rPr>
                <w:rFonts w:cs="Calibri"/>
                <w:color w:val="46565E"/>
                <w:sz w:val="19"/>
                <w:szCs w:val="19"/>
              </w:rPr>
              <w:t>IMESI v15.0 (full consolidated text); Canada Founding (coalition framework note); The Immutable Present-Tense Matrix</w:t>
            </w:r>
          </w:p>
        </w:tc>
      </w:tr>
      <w:tr w:rsidR="00A502D4" w14:paraId="4D7FD7B0" w14:textId="77777777">
        <w:tc>
          <w:tcPr>
            <w:tcW w:w="2166" w:type="dxa"/>
          </w:tcPr>
          <w:p w14:paraId="515410FA" w14:textId="77777777" w:rsidR="00A502D4" w:rsidRDefault="00000000">
            <w:pPr>
              <w:spacing w:before="30" w:after="30" w:line="264" w:lineRule="auto"/>
              <w:jc w:val="left"/>
            </w:pPr>
            <w:r>
              <w:rPr>
                <w:rFonts w:cs="Calibri"/>
                <w:color w:val="46565E"/>
                <w:sz w:val="19"/>
                <w:szCs w:val="19"/>
              </w:rPr>
              <w:t>Drafting standard</w:t>
            </w:r>
          </w:p>
        </w:tc>
        <w:tc>
          <w:tcPr>
            <w:tcW w:w="6859" w:type="dxa"/>
          </w:tcPr>
          <w:p w14:paraId="211C15DF" w14:textId="77777777" w:rsidR="00A502D4" w:rsidRDefault="00000000">
            <w:pPr>
              <w:spacing w:before="30" w:after="30" w:line="264" w:lineRule="auto"/>
              <w:jc w:val="left"/>
            </w:pPr>
            <w:r>
              <w:rPr>
                <w:rFonts w:cs="Calibri"/>
                <w:color w:val="46565E"/>
                <w:sz w:val="19"/>
                <w:szCs w:val="19"/>
              </w:rPr>
              <w:t>Immutable Present-Tense Matrix</w:t>
            </w:r>
          </w:p>
        </w:tc>
      </w:tr>
      <w:tr w:rsidR="00A502D4" w14:paraId="0095D28A" w14:textId="77777777">
        <w:tc>
          <w:tcPr>
            <w:tcW w:w="2166" w:type="dxa"/>
          </w:tcPr>
          <w:p w14:paraId="3C82664F" w14:textId="77777777" w:rsidR="00A502D4" w:rsidRDefault="00000000">
            <w:pPr>
              <w:spacing w:before="30" w:after="30" w:line="264" w:lineRule="auto"/>
              <w:jc w:val="left"/>
            </w:pPr>
            <w:r>
              <w:rPr>
                <w:rFonts w:cs="Calibri"/>
                <w:color w:val="46565E"/>
                <w:sz w:val="19"/>
                <w:szCs w:val="19"/>
              </w:rPr>
              <w:t>Classification</w:t>
            </w:r>
          </w:p>
        </w:tc>
        <w:tc>
          <w:tcPr>
            <w:tcW w:w="6859" w:type="dxa"/>
          </w:tcPr>
          <w:p w14:paraId="719BC9B3" w14:textId="77777777" w:rsidR="00A502D4" w:rsidRDefault="00000000">
            <w:pPr>
              <w:spacing w:before="30" w:after="30" w:line="264" w:lineRule="auto"/>
              <w:jc w:val="left"/>
            </w:pPr>
            <w:r>
              <w:rPr>
                <w:rFonts w:cs="Calibri"/>
                <w:color w:val="46565E"/>
                <w:sz w:val="19"/>
                <w:szCs w:val="19"/>
              </w:rPr>
              <w:t>Open document</w:t>
            </w:r>
          </w:p>
        </w:tc>
      </w:tr>
    </w:tbl>
    <w:p w14:paraId="0EBAAB03" w14:textId="77777777" w:rsidR="00A502D4" w:rsidRDefault="00A502D4">
      <w:pPr>
        <w:spacing w:after="160"/>
      </w:pPr>
    </w:p>
    <w:p w14:paraId="2A3F5262" w14:textId="77777777" w:rsidR="00A502D4" w:rsidRDefault="00000000">
      <w:r>
        <w:rPr>
          <w:rFonts w:cs="Calibri"/>
          <w:szCs w:val="21"/>
        </w:rPr>
        <w:t>This guide converts the IMESI v15.0 reference architecture into an executable Canadian founding plan. It presents the verified tariff situation as of August 11, 2026, maps the founding coalition, details five founding pathways, lays out the WTO engagement track that heads off legal challenges, and assigns concrete actions to named actors on defined dates.</w:t>
      </w:r>
    </w:p>
    <w:p w14:paraId="5A4832BC" w14:textId="77777777" w:rsidR="00A502D4" w:rsidRDefault="00000000">
      <w:pPr>
        <w:pStyle w:val="Heading2"/>
      </w:pPr>
      <w:r>
        <w:rPr>
          <w:rFonts w:cs="Calibri"/>
          <w:szCs w:val="26"/>
        </w:rPr>
        <w:t>Drafting Standard Note</w:t>
      </w:r>
    </w:p>
    <w:p w14:paraId="1ECF302D" w14:textId="77777777" w:rsidR="00A502D4" w:rsidRDefault="00000000">
      <w:r>
        <w:rPr>
          <w:rFonts w:cs="Calibri"/>
          <w:szCs w:val="21"/>
        </w:rPr>
        <w:t>Every sentence of this guide observes the Immutable Present-Tense Matrix: active present-tense drafting, no modal auxiliaries, no passive operational triggers, constraints attributed to framework architecture rather than to any single actor, and automatic logic stated as immediate reality. Direct quotations of external officials appear verbatim inside quotation marks as attributed historical record; quotations preserve the original wording of the speaker and stand outside the drafting rules that govern the guide's own operative text.</w:t>
      </w:r>
    </w:p>
    <w:p w14:paraId="0D77F04A" w14:textId="77777777" w:rsidR="00A502D4" w:rsidRDefault="00000000">
      <w:pPr>
        <w:pStyle w:val="Heading2"/>
      </w:pPr>
      <w:r>
        <w:rPr>
          <w:rFonts w:cs="Calibri"/>
          <w:szCs w:val="26"/>
        </w:rPr>
        <w:t>Sourcing Standard Note</w:t>
      </w:r>
    </w:p>
    <w:p w14:paraId="4D49F45D" w14:textId="77777777" w:rsidR="00A502D4" w:rsidRDefault="00000000">
      <w:r>
        <w:rPr>
          <w:rFonts w:cs="Calibri"/>
          <w:szCs w:val="21"/>
        </w:rPr>
        <w:t>Bracketed tags such as [S1] point to the source register in Annex D, which lists outlet, document, date, and locator for every external fact. Facts internal to the IMESI instrument cite the relevant article, section, or annex of IMESI v15.0 directly. Figures carry the date of their source; the tariff environment changes weekly, and every action owner re-verifies the cited fact before executing the associated step.</w:t>
      </w:r>
    </w:p>
    <w:p w14:paraId="29307771" w14:textId="77777777" w:rsidR="00A502D4" w:rsidRDefault="00000000">
      <w:pPr>
        <w:pStyle w:val="Heading1"/>
      </w:pPr>
      <w:r>
        <w:rPr>
          <w:rFonts w:cs="Calibri"/>
          <w:szCs w:val="32"/>
        </w:rPr>
        <w:lastRenderedPageBreak/>
        <w:t>Executive Summary</w:t>
      </w:r>
    </w:p>
    <w:p w14:paraId="4362F3DB" w14:textId="77777777" w:rsidR="00A502D4" w:rsidRDefault="00000000">
      <w:pPr>
        <w:pStyle w:val="Heading2"/>
      </w:pPr>
      <w:r>
        <w:rPr>
          <w:rFonts w:cs="Calibri"/>
          <w:szCs w:val="26"/>
        </w:rPr>
        <w:t>The Situation in Brief</w:t>
      </w:r>
    </w:p>
    <w:p w14:paraId="4631EF2D" w14:textId="77777777" w:rsidR="00A502D4" w:rsidRDefault="00000000">
      <w:r>
        <w:rPr>
          <w:rFonts w:cs="Calibri"/>
          <w:szCs w:val="21"/>
        </w:rPr>
        <w:t>Canada faces a layered, escalating tariff campaign from the United States. On July 20, 2026, President Trump signed three proclamations under Section 338 of the Tariff Act of 1930 imposing 50 percent tariffs on roughly USD 20 billion of Canadian goods, effective 12:01 a.m. Eastern on August 19, 2026 [S</w:t>
      </w:r>
      <w:proofErr w:type="gramStart"/>
      <w:r>
        <w:rPr>
          <w:rFonts w:cs="Calibri"/>
          <w:szCs w:val="21"/>
        </w:rPr>
        <w:t>1][</w:t>
      </w:r>
      <w:proofErr w:type="gramEnd"/>
      <w:r>
        <w:rPr>
          <w:rFonts w:cs="Calibri"/>
          <w:szCs w:val="21"/>
        </w:rPr>
        <w:t xml:space="preserve">S2]. These duties strike even goods that qualify under USMCA, and Section 338 has </w:t>
      </w:r>
      <w:proofErr w:type="gramStart"/>
      <w:r>
        <w:rPr>
          <w:rFonts w:cs="Calibri"/>
          <w:szCs w:val="21"/>
        </w:rPr>
        <w:t>never before</w:t>
      </w:r>
      <w:proofErr w:type="gramEnd"/>
      <w:r>
        <w:rPr>
          <w:rFonts w:cs="Calibri"/>
          <w:szCs w:val="21"/>
        </w:rPr>
        <w:t xml:space="preserve"> served to impose tariffs [S</w:t>
      </w:r>
      <w:proofErr w:type="gramStart"/>
      <w:r>
        <w:rPr>
          <w:rFonts w:cs="Calibri"/>
          <w:szCs w:val="21"/>
        </w:rPr>
        <w:t>2][</w:t>
      </w:r>
      <w:proofErr w:type="gramEnd"/>
      <w:r>
        <w:rPr>
          <w:rFonts w:cs="Calibri"/>
          <w:szCs w:val="21"/>
        </w:rPr>
        <w:t xml:space="preserve">S3]. They stack on top of 50 percent Section 232 tariffs on steel, aluminum, and copper, 25 percent Section 232 tariffs on derivative metal products and automobiles, and a 10 percent Section 301 forced-labor tariff that entered into force on July 24, </w:t>
      </w:r>
      <w:proofErr w:type="gramStart"/>
      <w:r>
        <w:rPr>
          <w:rFonts w:cs="Calibri"/>
          <w:szCs w:val="21"/>
        </w:rPr>
        <w:t>2026</w:t>
      </w:r>
      <w:proofErr w:type="gramEnd"/>
      <w:r>
        <w:rPr>
          <w:rFonts w:cs="Calibri"/>
          <w:szCs w:val="21"/>
        </w:rPr>
        <w:t xml:space="preserve"> across sixty economies [S</w:t>
      </w:r>
      <w:proofErr w:type="gramStart"/>
      <w:r>
        <w:rPr>
          <w:rFonts w:cs="Calibri"/>
          <w:szCs w:val="21"/>
        </w:rPr>
        <w:t>4][</w:t>
      </w:r>
      <w:proofErr w:type="gramEnd"/>
      <w:r>
        <w:rPr>
          <w:rFonts w:cs="Calibri"/>
          <w:szCs w:val="21"/>
        </w:rPr>
        <w:t>S</w:t>
      </w:r>
      <w:proofErr w:type="gramStart"/>
      <w:r>
        <w:rPr>
          <w:rFonts w:cs="Calibri"/>
          <w:szCs w:val="21"/>
        </w:rPr>
        <w:t>5][</w:t>
      </w:r>
      <w:proofErr w:type="gramEnd"/>
      <w:r>
        <w:rPr>
          <w:rFonts w:cs="Calibri"/>
          <w:szCs w:val="21"/>
        </w:rPr>
        <w:t>S6]. On July 1, 2026, the United States declined to renew USMCA, opening annual reviews through 2036, and proceeds with bilateral talks with Mexico while Canada remains outside substantive text negotiations [S</w:t>
      </w:r>
      <w:proofErr w:type="gramStart"/>
      <w:r>
        <w:rPr>
          <w:rFonts w:cs="Calibri"/>
          <w:szCs w:val="21"/>
        </w:rPr>
        <w:t>7][</w:t>
      </w:r>
      <w:proofErr w:type="gramEnd"/>
      <w:r>
        <w:rPr>
          <w:rFonts w:cs="Calibri"/>
          <w:szCs w:val="21"/>
        </w:rPr>
        <w:t>S8]. On July 21, 2026, the President defended the measures by stating of Canada: "Without us, there's no way they can survive" [S9].</w:t>
      </w:r>
    </w:p>
    <w:p w14:paraId="04B16A4B" w14:textId="77777777" w:rsidR="00A502D4" w:rsidRDefault="00000000">
      <w:pPr>
        <w:pStyle w:val="Heading2"/>
      </w:pPr>
      <w:r>
        <w:rPr>
          <w:rFonts w:cs="Calibri"/>
          <w:szCs w:val="26"/>
        </w:rPr>
        <w:t>The Core Judgment</w:t>
      </w:r>
    </w:p>
    <w:p w14:paraId="254763AA" w14:textId="77777777" w:rsidR="00A502D4" w:rsidRDefault="00000000">
      <w:r>
        <w:rPr>
          <w:rFonts w:cs="Calibri"/>
          <w:szCs w:val="21"/>
        </w:rPr>
        <w:t>This situation matches the precise contingency IMESI v15.0 exists to answer: economic coercion linked to policy demands, documented in the proclamations' own text, producing material harm well above the 0.1 percent of GDP certification threshold, against a target the coercer publicly frames as lacking any option but submission (Article II; Section 2.1). The coercion campaign against Canada runs in parallel with tariff pressure on the United Kingdom, the European Union, Mexico, Japan, Korea, Switzerland, India, Brazil, and dozens of other economies [S</w:t>
      </w:r>
      <w:proofErr w:type="gramStart"/>
      <w:r>
        <w:rPr>
          <w:rFonts w:cs="Calibri"/>
          <w:szCs w:val="21"/>
        </w:rPr>
        <w:t>5][</w:t>
      </w:r>
      <w:proofErr w:type="gramEnd"/>
      <w:r>
        <w:rPr>
          <w:rFonts w:cs="Calibri"/>
          <w:szCs w:val="21"/>
        </w:rPr>
        <w:t>S6]. Every one of those economies holds a live, immediate interest in collective shelter. The founding window peaks between today and August 19, 2026, the date the Section 338 duties take effect.</w:t>
      </w:r>
    </w:p>
    <w:p w14:paraId="3EC72EE0" w14:textId="77777777" w:rsidR="00A502D4" w:rsidRDefault="00000000">
      <w:pPr>
        <w:pStyle w:val="Heading2"/>
      </w:pPr>
      <w:r>
        <w:rPr>
          <w:rFonts w:cs="Calibri"/>
          <w:szCs w:val="26"/>
        </w:rPr>
        <w:t>The Play in Brief</w:t>
      </w:r>
    </w:p>
    <w:p w14:paraId="7A5E111A" w14:textId="77777777" w:rsidR="00A502D4" w:rsidRDefault="00000000">
      <w:r>
        <w:rPr>
          <w:rFonts w:cs="Calibri"/>
          <w:szCs w:val="21"/>
        </w:rPr>
        <w:t>Canada acts as founder, not as victim. The play has five moves, detailed in Parts III through VII.</w:t>
      </w:r>
    </w:p>
    <w:p w14:paraId="05C30876" w14:textId="77777777" w:rsidR="00A502D4" w:rsidRDefault="00000000">
      <w:pPr>
        <w:numPr>
          <w:ilvl w:val="0"/>
          <w:numId w:val="2"/>
        </w:numPr>
        <w:spacing w:after="140"/>
      </w:pPr>
      <w:r>
        <w:rPr>
          <w:rFonts w:cs="Calibri"/>
          <w:b/>
          <w:szCs w:val="21"/>
        </w:rPr>
        <w:t>Pledge first.</w:t>
      </w:r>
      <w:r>
        <w:rPr>
          <w:rFonts w:cs="Calibri"/>
          <w:szCs w:val="21"/>
        </w:rPr>
        <w:t xml:space="preserve"> Canada, the United Kingdom, Mexico, and the European Union sign the Founding Coalition Pledge (Annex 22), a non-binding political declaration, and stand up a Provisional Steering Group. Signature triggers the Transitional Access Window (Section 3.1A) and immediate Observer+ benefits for every signatory.</w:t>
      </w:r>
    </w:p>
    <w:p w14:paraId="26284DA4" w14:textId="77777777" w:rsidR="00A502D4" w:rsidRDefault="00000000">
      <w:pPr>
        <w:numPr>
          <w:ilvl w:val="0"/>
          <w:numId w:val="2"/>
        </w:numPr>
        <w:spacing w:after="140"/>
      </w:pPr>
      <w:r>
        <w:rPr>
          <w:rFonts w:cs="Calibri"/>
          <w:b/>
          <w:szCs w:val="21"/>
        </w:rPr>
        <w:t>Certify and shield.</w:t>
      </w:r>
      <w:r>
        <w:rPr>
          <w:rFonts w:cs="Calibri"/>
          <w:szCs w:val="21"/>
        </w:rPr>
        <w:t xml:space="preserve"> The founding group requests IEWC-format certification of the tariff campaign under Section 9.1B, anchoring every response measure in GATT Article XXI(b)(iii), and opens the Emergency Accession Protocol (Section 3.15) and the Tariff Refugee Pathway (Section 3.1A) to every affected WTO member.</w:t>
      </w:r>
    </w:p>
    <w:p w14:paraId="73375DF3" w14:textId="77777777" w:rsidR="00A502D4" w:rsidRDefault="00000000">
      <w:pPr>
        <w:numPr>
          <w:ilvl w:val="0"/>
          <w:numId w:val="2"/>
        </w:numPr>
        <w:spacing w:after="140"/>
      </w:pPr>
      <w:r>
        <w:rPr>
          <w:rFonts w:cs="Calibri"/>
          <w:b/>
          <w:szCs w:val="21"/>
        </w:rPr>
        <w:t>Run the WTO track in parallel.</w:t>
      </w:r>
      <w:r>
        <w:rPr>
          <w:rFonts w:cs="Calibri"/>
          <w:szCs w:val="21"/>
        </w:rPr>
        <w:t xml:space="preserve"> The founders file formation notification with the WTO within 30 days, request observer status, publish compatibility assessments, and build the dispute-settlement defence on the MPIA network and DSU Article 25 arbitration (Part IV).</w:t>
      </w:r>
    </w:p>
    <w:p w14:paraId="2E1C1728" w14:textId="77777777" w:rsidR="00A502D4" w:rsidRDefault="00000000">
      <w:pPr>
        <w:numPr>
          <w:ilvl w:val="0"/>
          <w:numId w:val="2"/>
        </w:numPr>
        <w:spacing w:after="140"/>
      </w:pPr>
      <w:r>
        <w:rPr>
          <w:rFonts w:cs="Calibri"/>
          <w:b/>
          <w:szCs w:val="21"/>
        </w:rPr>
        <w:lastRenderedPageBreak/>
        <w:t>Communicate as insurance, never as alliance.</w:t>
      </w:r>
      <w:r>
        <w:rPr>
          <w:rFonts w:cs="Calibri"/>
          <w:szCs w:val="21"/>
        </w:rPr>
        <w:t xml:space="preserve"> All messaging follows the Annex 16 Narrative Neutrality Rule and the Annex 16B domestic guidance: mutual insurance, sovereignty preserved, no named adversary, de-escalation always open (Part V).</w:t>
      </w:r>
    </w:p>
    <w:p w14:paraId="06B13852" w14:textId="77777777" w:rsidR="00A502D4" w:rsidRDefault="00000000">
      <w:pPr>
        <w:numPr>
          <w:ilvl w:val="0"/>
          <w:numId w:val="2"/>
        </w:numPr>
        <w:spacing w:after="140"/>
      </w:pPr>
      <w:r>
        <w:rPr>
          <w:rFonts w:cs="Calibri"/>
          <w:b/>
          <w:szCs w:val="21"/>
        </w:rPr>
        <w:t>Keep every backchannel open.</w:t>
      </w:r>
      <w:r>
        <w:rPr>
          <w:rFonts w:cs="Calibri"/>
          <w:szCs w:val="21"/>
        </w:rPr>
        <w:t xml:space="preserve"> The founders open quiet channels to Washington with face-saving off-ramps, run sherpa-level tracks to London, Brussels, and Mexico City, and handle China through the Strategic Dialogue track (Section 9.5) under strict transparency (Part VI).</w:t>
      </w:r>
    </w:p>
    <w:p w14:paraId="57CA4CA6" w14:textId="77777777" w:rsidR="00A502D4" w:rsidRDefault="00000000">
      <w:pPr>
        <w:pStyle w:val="Heading2"/>
      </w:pPr>
      <w:r>
        <w:rPr>
          <w:rFonts w:cs="Calibri"/>
          <w:szCs w:val="26"/>
        </w:rPr>
        <w:t>What Success Looks Like</w:t>
      </w:r>
    </w:p>
    <w:p w14:paraId="06EB5240" w14:textId="77777777" w:rsidR="00A502D4" w:rsidRDefault="00000000">
      <w:r>
        <w:rPr>
          <w:rFonts w:cs="Calibri"/>
          <w:szCs w:val="21"/>
        </w:rPr>
        <w:t>Within 30 days: a signed Founding Coalition Pledge, a functioning Provisional Steering Group, a filed WTO notification, and a pilot design covering tariffs and basic liquidity. Within 12 months: a running pilot under the Phase-0 Core Implementation Profile, double-digit coalition membership across three regions, and a certified evidentiary record that deters the next escalation. The Minimum Viable Coalition threshold stands at 6 full members representing at least 15 percent of global GDP across at least 3 regions (Section 10A.2B); the core four already clear that bar many times over.</w:t>
      </w:r>
    </w:p>
    <w:p w14:paraId="0CBF21D7" w14:textId="77777777" w:rsidR="00A502D4" w:rsidRDefault="00000000">
      <w:pPr>
        <w:pStyle w:val="Heading1"/>
      </w:pPr>
      <w:r>
        <w:rPr>
          <w:rFonts w:cs="Calibri"/>
          <w:szCs w:val="32"/>
        </w:rPr>
        <w:t>Part I: Situation Assessment of the Tariff Campaign Against Canada</w:t>
      </w:r>
    </w:p>
    <w:p w14:paraId="1B81FE9D" w14:textId="77777777" w:rsidR="00A502D4" w:rsidRDefault="00000000">
      <w:r>
        <w:rPr>
          <w:rFonts w:cs="Calibri"/>
          <w:szCs w:val="21"/>
        </w:rPr>
        <w:t>This Part establishes the factual record the founding strategy rests on. Every figure carries a source tag and a date; action owners re-verify before execution.</w:t>
      </w:r>
    </w:p>
    <w:p w14:paraId="651187C7" w14:textId="77777777" w:rsidR="00A502D4" w:rsidRDefault="00000000">
      <w:pPr>
        <w:pStyle w:val="Heading2"/>
      </w:pPr>
      <w:r>
        <w:rPr>
          <w:rFonts w:cs="Calibri"/>
          <w:szCs w:val="26"/>
        </w:rPr>
        <w:t>1.1 The Instrument Stack as of August 11, 2026</w:t>
      </w:r>
    </w:p>
    <w:p w14:paraId="6C92C6B7" w14:textId="77777777" w:rsidR="00A502D4" w:rsidRDefault="00000000">
      <w:r>
        <w:rPr>
          <w:rFonts w:cs="Calibri"/>
          <w:szCs w:val="21"/>
        </w:rPr>
        <w:t>Four active authorities combine into the current campaign against Canada. A fifth and sixth authority collapsed in court and the administration replaced them within days, which demonstrates the campaign's institutional persistence.</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1660"/>
        <w:gridCol w:w="3875"/>
        <w:gridCol w:w="3691"/>
      </w:tblGrid>
      <w:tr w:rsidR="00A502D4" w14:paraId="30464FFD" w14:textId="77777777">
        <w:trPr>
          <w:cantSplit/>
          <w:tblHeader/>
        </w:trPr>
        <w:tc>
          <w:tcPr>
            <w:tcW w:w="1624" w:type="dxa"/>
            <w:shd w:val="clear" w:color="auto" w:fill="EDF2F4"/>
          </w:tcPr>
          <w:p w14:paraId="55DE4A1F" w14:textId="77777777" w:rsidR="00A502D4" w:rsidRDefault="00000000">
            <w:pPr>
              <w:spacing w:before="30" w:after="30" w:line="264" w:lineRule="auto"/>
              <w:jc w:val="left"/>
            </w:pPr>
            <w:r>
              <w:rPr>
                <w:rFonts w:cs="Calibri"/>
                <w:b/>
                <w:sz w:val="19"/>
                <w:szCs w:val="19"/>
              </w:rPr>
              <w:t>Instrument</w:t>
            </w:r>
          </w:p>
        </w:tc>
        <w:tc>
          <w:tcPr>
            <w:tcW w:w="3790" w:type="dxa"/>
            <w:shd w:val="clear" w:color="auto" w:fill="EDF2F4"/>
          </w:tcPr>
          <w:p w14:paraId="4BCE79FA" w14:textId="77777777" w:rsidR="00A502D4" w:rsidRDefault="00000000">
            <w:pPr>
              <w:spacing w:before="30" w:after="30" w:line="264" w:lineRule="auto"/>
              <w:jc w:val="left"/>
            </w:pPr>
            <w:r>
              <w:rPr>
                <w:rFonts w:cs="Calibri"/>
                <w:b/>
                <w:sz w:val="19"/>
                <w:szCs w:val="19"/>
              </w:rPr>
              <w:t>Status as of August 11, 2026</w:t>
            </w:r>
          </w:p>
        </w:tc>
        <w:tc>
          <w:tcPr>
            <w:tcW w:w="3610" w:type="dxa"/>
            <w:shd w:val="clear" w:color="auto" w:fill="EDF2F4"/>
          </w:tcPr>
          <w:p w14:paraId="4B2A492E" w14:textId="77777777" w:rsidR="00A502D4" w:rsidRDefault="00000000">
            <w:pPr>
              <w:spacing w:before="30" w:after="30" w:line="264" w:lineRule="auto"/>
              <w:jc w:val="left"/>
            </w:pPr>
            <w:r>
              <w:rPr>
                <w:rFonts w:cs="Calibri"/>
                <w:b/>
                <w:sz w:val="19"/>
                <w:szCs w:val="19"/>
              </w:rPr>
              <w:t>Canadian exposure</w:t>
            </w:r>
          </w:p>
        </w:tc>
      </w:tr>
      <w:tr w:rsidR="00A502D4" w14:paraId="0B4AD711" w14:textId="77777777">
        <w:tc>
          <w:tcPr>
            <w:tcW w:w="1624" w:type="dxa"/>
          </w:tcPr>
          <w:p w14:paraId="1477746E" w14:textId="77777777" w:rsidR="00A502D4" w:rsidRDefault="00000000">
            <w:pPr>
              <w:spacing w:before="30" w:after="30" w:line="264" w:lineRule="auto"/>
              <w:jc w:val="left"/>
            </w:pPr>
            <w:r>
              <w:rPr>
                <w:rFonts w:cs="Calibri"/>
                <w:color w:val="46565E"/>
                <w:sz w:val="19"/>
                <w:szCs w:val="19"/>
              </w:rPr>
              <w:t>Section 338, Tariff Act of 1930</w:t>
            </w:r>
          </w:p>
        </w:tc>
        <w:tc>
          <w:tcPr>
            <w:tcW w:w="3790" w:type="dxa"/>
          </w:tcPr>
          <w:p w14:paraId="45BA596E" w14:textId="77777777" w:rsidR="00A502D4" w:rsidRDefault="00000000">
            <w:pPr>
              <w:spacing w:before="30" w:after="30" w:line="264" w:lineRule="auto"/>
              <w:jc w:val="left"/>
            </w:pPr>
            <w:r>
              <w:rPr>
                <w:rFonts w:cs="Calibri"/>
                <w:color w:val="46565E"/>
                <w:sz w:val="19"/>
                <w:szCs w:val="19"/>
              </w:rPr>
              <w:t>Three proclamations signed July 20, 2026; 50 percent duties take effect 12:01 a.m. ET August 19, 2026; first-ever use of the statute to impose tariffs [S</w:t>
            </w:r>
            <w:proofErr w:type="gramStart"/>
            <w:r>
              <w:rPr>
                <w:rFonts w:cs="Calibri"/>
                <w:color w:val="46565E"/>
                <w:sz w:val="19"/>
                <w:szCs w:val="19"/>
              </w:rPr>
              <w:t>1][</w:t>
            </w:r>
            <w:proofErr w:type="gramEnd"/>
            <w:r>
              <w:rPr>
                <w:rFonts w:cs="Calibri"/>
                <w:color w:val="46565E"/>
                <w:sz w:val="19"/>
                <w:szCs w:val="19"/>
              </w:rPr>
              <w:t>S</w:t>
            </w:r>
            <w:proofErr w:type="gramStart"/>
            <w:r>
              <w:rPr>
                <w:rFonts w:cs="Calibri"/>
                <w:color w:val="46565E"/>
                <w:sz w:val="19"/>
                <w:szCs w:val="19"/>
              </w:rPr>
              <w:t>2][</w:t>
            </w:r>
            <w:proofErr w:type="gramEnd"/>
            <w:r>
              <w:rPr>
                <w:rFonts w:cs="Calibri"/>
                <w:color w:val="46565E"/>
                <w:sz w:val="19"/>
                <w:szCs w:val="19"/>
              </w:rPr>
              <w:t>S3]</w:t>
            </w:r>
          </w:p>
        </w:tc>
        <w:tc>
          <w:tcPr>
            <w:tcW w:w="3610" w:type="dxa"/>
          </w:tcPr>
          <w:p w14:paraId="1905B704" w14:textId="77777777" w:rsidR="00A502D4" w:rsidRDefault="00000000">
            <w:pPr>
              <w:spacing w:before="30" w:after="30" w:line="264" w:lineRule="auto"/>
              <w:jc w:val="left"/>
            </w:pPr>
            <w:r>
              <w:rPr>
                <w:rFonts w:cs="Calibri"/>
                <w:color w:val="46565E"/>
                <w:sz w:val="19"/>
                <w:szCs w:val="19"/>
              </w:rPr>
              <w:t>Roughly USD 20 billion of annual imports across dairy-linked, alcohol-linked, and motor-vehicle-linked product lists; strikes USMCA-qualifying goods; exempts energy, potash, fish, critical minerals, Section 232 goods, and civil aircraft [S</w:t>
            </w:r>
            <w:proofErr w:type="gramStart"/>
            <w:r>
              <w:rPr>
                <w:rFonts w:cs="Calibri"/>
                <w:color w:val="46565E"/>
                <w:sz w:val="19"/>
                <w:szCs w:val="19"/>
              </w:rPr>
              <w:t>1][</w:t>
            </w:r>
            <w:proofErr w:type="gramEnd"/>
            <w:r>
              <w:rPr>
                <w:rFonts w:cs="Calibri"/>
                <w:color w:val="46565E"/>
                <w:sz w:val="19"/>
                <w:szCs w:val="19"/>
              </w:rPr>
              <w:t>S2]</w:t>
            </w:r>
          </w:p>
        </w:tc>
      </w:tr>
      <w:tr w:rsidR="00A502D4" w14:paraId="6E7C3A8A" w14:textId="77777777">
        <w:tc>
          <w:tcPr>
            <w:tcW w:w="1624" w:type="dxa"/>
          </w:tcPr>
          <w:p w14:paraId="51296D02" w14:textId="77777777" w:rsidR="00A502D4" w:rsidRDefault="00000000">
            <w:pPr>
              <w:spacing w:before="30" w:after="30" w:line="264" w:lineRule="auto"/>
              <w:jc w:val="left"/>
            </w:pPr>
            <w:r>
              <w:rPr>
                <w:rFonts w:cs="Calibri"/>
                <w:color w:val="46565E"/>
                <w:sz w:val="19"/>
                <w:szCs w:val="19"/>
              </w:rPr>
              <w:t>Section 232, Trade Expansion Act of 1962</w:t>
            </w:r>
          </w:p>
        </w:tc>
        <w:tc>
          <w:tcPr>
            <w:tcW w:w="3790" w:type="dxa"/>
          </w:tcPr>
          <w:p w14:paraId="3D47CAA8" w14:textId="77777777" w:rsidR="00A502D4" w:rsidRDefault="00000000">
            <w:pPr>
              <w:spacing w:before="30" w:after="30" w:line="264" w:lineRule="auto"/>
              <w:jc w:val="left"/>
            </w:pPr>
            <w:r>
              <w:rPr>
                <w:rFonts w:cs="Calibri"/>
                <w:color w:val="46565E"/>
                <w:sz w:val="19"/>
                <w:szCs w:val="19"/>
              </w:rPr>
              <w:t xml:space="preserve">50 percent on core steel, aluminum, and copper articles; 25 percent on derivatives, charged on full customs value since April 6, 2026; revised June 1, </w:t>
            </w:r>
            <w:proofErr w:type="gramStart"/>
            <w:r>
              <w:rPr>
                <w:rFonts w:cs="Calibri"/>
                <w:color w:val="46565E"/>
                <w:sz w:val="19"/>
                <w:szCs w:val="19"/>
              </w:rPr>
              <w:t>2026</w:t>
            </w:r>
            <w:proofErr w:type="gramEnd"/>
            <w:r>
              <w:rPr>
                <w:rFonts w:cs="Calibri"/>
                <w:color w:val="46565E"/>
                <w:sz w:val="19"/>
                <w:szCs w:val="19"/>
              </w:rPr>
              <w:t xml:space="preserve"> with selective relief to December 31, 2027 [S</w:t>
            </w:r>
            <w:proofErr w:type="gramStart"/>
            <w:r>
              <w:rPr>
                <w:rFonts w:cs="Calibri"/>
                <w:color w:val="46565E"/>
                <w:sz w:val="19"/>
                <w:szCs w:val="19"/>
              </w:rPr>
              <w:t>4][</w:t>
            </w:r>
            <w:proofErr w:type="gramEnd"/>
            <w:r>
              <w:rPr>
                <w:rFonts w:cs="Calibri"/>
                <w:color w:val="46565E"/>
                <w:sz w:val="19"/>
                <w:szCs w:val="19"/>
              </w:rPr>
              <w:t>S</w:t>
            </w:r>
            <w:proofErr w:type="gramStart"/>
            <w:r>
              <w:rPr>
                <w:rFonts w:cs="Calibri"/>
                <w:color w:val="46565E"/>
                <w:sz w:val="19"/>
                <w:szCs w:val="19"/>
              </w:rPr>
              <w:t>10][</w:t>
            </w:r>
            <w:proofErr w:type="gramEnd"/>
            <w:r>
              <w:rPr>
                <w:rFonts w:cs="Calibri"/>
                <w:color w:val="46565E"/>
                <w:sz w:val="19"/>
                <w:szCs w:val="19"/>
              </w:rPr>
              <w:t>S11]</w:t>
            </w:r>
          </w:p>
        </w:tc>
        <w:tc>
          <w:tcPr>
            <w:tcW w:w="3610" w:type="dxa"/>
          </w:tcPr>
          <w:p w14:paraId="06365C36" w14:textId="77777777" w:rsidR="00A502D4" w:rsidRDefault="00000000">
            <w:pPr>
              <w:spacing w:before="30" w:after="30" w:line="264" w:lineRule="auto"/>
              <w:jc w:val="left"/>
            </w:pPr>
            <w:r>
              <w:rPr>
                <w:rFonts w:cs="Calibri"/>
                <w:color w:val="46565E"/>
                <w:sz w:val="19"/>
                <w:szCs w:val="19"/>
              </w:rPr>
              <w:t>Canada's largest metals export sectors; copper since August 1, 2025; softwood lumber 10 percent since October 14, 2025; furniture and cabinet rates step up January 1, 2026; automobiles at 25 percent [S</w:t>
            </w:r>
            <w:proofErr w:type="gramStart"/>
            <w:r>
              <w:rPr>
                <w:rFonts w:cs="Calibri"/>
                <w:color w:val="46565E"/>
                <w:sz w:val="19"/>
                <w:szCs w:val="19"/>
              </w:rPr>
              <w:t>4][</w:t>
            </w:r>
            <w:proofErr w:type="gramEnd"/>
            <w:r>
              <w:rPr>
                <w:rFonts w:cs="Calibri"/>
                <w:color w:val="46565E"/>
                <w:sz w:val="19"/>
                <w:szCs w:val="19"/>
              </w:rPr>
              <w:t>S12]</w:t>
            </w:r>
          </w:p>
        </w:tc>
      </w:tr>
      <w:tr w:rsidR="00A502D4" w14:paraId="2DCEA444" w14:textId="77777777">
        <w:tc>
          <w:tcPr>
            <w:tcW w:w="1624" w:type="dxa"/>
          </w:tcPr>
          <w:p w14:paraId="2EDE9F71" w14:textId="77777777" w:rsidR="00A502D4" w:rsidRDefault="00000000">
            <w:pPr>
              <w:spacing w:before="30" w:after="30" w:line="264" w:lineRule="auto"/>
              <w:jc w:val="left"/>
            </w:pPr>
            <w:r>
              <w:rPr>
                <w:rFonts w:cs="Calibri"/>
                <w:color w:val="46565E"/>
                <w:sz w:val="19"/>
                <w:szCs w:val="19"/>
              </w:rPr>
              <w:t>Section 301 forced-labor tariffs</w:t>
            </w:r>
          </w:p>
        </w:tc>
        <w:tc>
          <w:tcPr>
            <w:tcW w:w="3790" w:type="dxa"/>
          </w:tcPr>
          <w:p w14:paraId="2D978DB1" w14:textId="77777777" w:rsidR="00A502D4" w:rsidRDefault="00000000">
            <w:pPr>
              <w:spacing w:before="30" w:after="30" w:line="264" w:lineRule="auto"/>
              <w:jc w:val="left"/>
            </w:pPr>
            <w:r>
              <w:rPr>
                <w:rFonts w:cs="Calibri"/>
                <w:color w:val="46565E"/>
                <w:sz w:val="19"/>
                <w:szCs w:val="19"/>
              </w:rPr>
              <w:t>60 economies; effective July 24, 2026, the moment the Section 122 surcharge expired [S</w:t>
            </w:r>
            <w:proofErr w:type="gramStart"/>
            <w:r>
              <w:rPr>
                <w:rFonts w:cs="Calibri"/>
                <w:color w:val="46565E"/>
                <w:sz w:val="19"/>
                <w:szCs w:val="19"/>
              </w:rPr>
              <w:t>5][</w:t>
            </w:r>
            <w:proofErr w:type="gramEnd"/>
            <w:r>
              <w:rPr>
                <w:rFonts w:cs="Calibri"/>
                <w:color w:val="46565E"/>
                <w:sz w:val="19"/>
                <w:szCs w:val="19"/>
              </w:rPr>
              <w:t>S6]</w:t>
            </w:r>
          </w:p>
        </w:tc>
        <w:tc>
          <w:tcPr>
            <w:tcW w:w="3610" w:type="dxa"/>
          </w:tcPr>
          <w:p w14:paraId="2A237866" w14:textId="77777777" w:rsidR="00A502D4" w:rsidRDefault="00000000">
            <w:pPr>
              <w:spacing w:before="30" w:after="30" w:line="264" w:lineRule="auto"/>
              <w:jc w:val="left"/>
            </w:pPr>
            <w:r>
              <w:rPr>
                <w:rFonts w:cs="Calibri"/>
                <w:color w:val="46565E"/>
                <w:sz w:val="19"/>
                <w:szCs w:val="19"/>
              </w:rPr>
              <w:t xml:space="preserve">Canada sits in the 10 percent stacking tier alongside Mexico, the United Kingdom, India, and 13 others; USMCA-qualifying goods and Section 232 products exempt </w:t>
            </w:r>
            <w:r>
              <w:rPr>
                <w:rFonts w:cs="Calibri"/>
                <w:color w:val="46565E"/>
                <w:sz w:val="19"/>
                <w:szCs w:val="19"/>
              </w:rPr>
              <w:lastRenderedPageBreak/>
              <w:t>[S</w:t>
            </w:r>
            <w:proofErr w:type="gramStart"/>
            <w:r>
              <w:rPr>
                <w:rFonts w:cs="Calibri"/>
                <w:color w:val="46565E"/>
                <w:sz w:val="19"/>
                <w:szCs w:val="19"/>
              </w:rPr>
              <w:t>5][</w:t>
            </w:r>
            <w:proofErr w:type="gramEnd"/>
            <w:r>
              <w:rPr>
                <w:rFonts w:cs="Calibri"/>
                <w:color w:val="46565E"/>
                <w:sz w:val="19"/>
                <w:szCs w:val="19"/>
              </w:rPr>
              <w:t>S6]</w:t>
            </w:r>
          </w:p>
        </w:tc>
      </w:tr>
      <w:tr w:rsidR="00A502D4" w14:paraId="28B1D517" w14:textId="77777777">
        <w:tc>
          <w:tcPr>
            <w:tcW w:w="1624" w:type="dxa"/>
          </w:tcPr>
          <w:p w14:paraId="6B809BEB" w14:textId="77777777" w:rsidR="00A502D4" w:rsidRDefault="00000000">
            <w:pPr>
              <w:spacing w:before="30" w:after="30" w:line="264" w:lineRule="auto"/>
              <w:jc w:val="left"/>
            </w:pPr>
            <w:r>
              <w:rPr>
                <w:rFonts w:cs="Calibri"/>
                <w:color w:val="46565E"/>
                <w:sz w:val="19"/>
                <w:szCs w:val="19"/>
              </w:rPr>
              <w:lastRenderedPageBreak/>
              <w:t>Section 301 excess-capacity investigations</w:t>
            </w:r>
          </w:p>
        </w:tc>
        <w:tc>
          <w:tcPr>
            <w:tcW w:w="3790" w:type="dxa"/>
          </w:tcPr>
          <w:p w14:paraId="3FEA70B2" w14:textId="77777777" w:rsidR="00A502D4" w:rsidRDefault="00000000">
            <w:pPr>
              <w:spacing w:before="30" w:after="30" w:line="264" w:lineRule="auto"/>
              <w:jc w:val="left"/>
            </w:pPr>
            <w:r>
              <w:rPr>
                <w:rFonts w:cs="Calibri"/>
                <w:color w:val="46565E"/>
                <w:sz w:val="19"/>
                <w:szCs w:val="19"/>
              </w:rPr>
              <w:t xml:space="preserve">Initiated March 11, </w:t>
            </w:r>
            <w:proofErr w:type="gramStart"/>
            <w:r>
              <w:rPr>
                <w:rFonts w:cs="Calibri"/>
                <w:color w:val="46565E"/>
                <w:sz w:val="19"/>
                <w:szCs w:val="19"/>
              </w:rPr>
              <w:t>2026</w:t>
            </w:r>
            <w:proofErr w:type="gramEnd"/>
            <w:r>
              <w:rPr>
                <w:rFonts w:cs="Calibri"/>
                <w:color w:val="46565E"/>
                <w:sz w:val="19"/>
                <w:szCs w:val="19"/>
              </w:rPr>
              <w:t xml:space="preserve"> against 16 economies including the EU, Mexico, Japan, Korea, India, and China; determinations and remedies expected imminently and stack on the forced-labor tariffs [S</w:t>
            </w:r>
            <w:proofErr w:type="gramStart"/>
            <w:r>
              <w:rPr>
                <w:rFonts w:cs="Calibri"/>
                <w:color w:val="46565E"/>
                <w:sz w:val="19"/>
                <w:szCs w:val="19"/>
              </w:rPr>
              <w:t>13][</w:t>
            </w:r>
            <w:proofErr w:type="gramEnd"/>
            <w:r>
              <w:rPr>
                <w:rFonts w:cs="Calibri"/>
                <w:color w:val="46565E"/>
                <w:sz w:val="19"/>
                <w:szCs w:val="19"/>
              </w:rPr>
              <w:t>S14]</w:t>
            </w:r>
          </w:p>
        </w:tc>
        <w:tc>
          <w:tcPr>
            <w:tcW w:w="3610" w:type="dxa"/>
          </w:tcPr>
          <w:p w14:paraId="1FF22CEA" w14:textId="77777777" w:rsidR="00A502D4" w:rsidRDefault="00000000">
            <w:pPr>
              <w:spacing w:before="30" w:after="30" w:line="264" w:lineRule="auto"/>
              <w:jc w:val="left"/>
            </w:pPr>
            <w:r>
              <w:rPr>
                <w:rFonts w:cs="Calibri"/>
                <w:color w:val="46565E"/>
                <w:sz w:val="19"/>
                <w:szCs w:val="19"/>
              </w:rPr>
              <w:t xml:space="preserve">Canada stands outside the 16 named economies, but every core coalition partner </w:t>
            </w:r>
            <w:proofErr w:type="gramStart"/>
            <w:r>
              <w:rPr>
                <w:rFonts w:cs="Calibri"/>
                <w:color w:val="46565E"/>
                <w:sz w:val="19"/>
                <w:szCs w:val="19"/>
              </w:rPr>
              <w:t>faces</w:t>
            </w:r>
            <w:proofErr w:type="gramEnd"/>
            <w:r>
              <w:rPr>
                <w:rFonts w:cs="Calibri"/>
                <w:color w:val="46565E"/>
                <w:sz w:val="19"/>
                <w:szCs w:val="19"/>
              </w:rPr>
              <w:t xml:space="preserve"> exposure [S13]</w:t>
            </w:r>
          </w:p>
        </w:tc>
      </w:tr>
      <w:tr w:rsidR="00A502D4" w14:paraId="6A2BB268" w14:textId="77777777">
        <w:tc>
          <w:tcPr>
            <w:tcW w:w="1624" w:type="dxa"/>
          </w:tcPr>
          <w:p w14:paraId="4948A327" w14:textId="77777777" w:rsidR="00A502D4" w:rsidRDefault="00000000">
            <w:pPr>
              <w:spacing w:before="30" w:after="30" w:line="264" w:lineRule="auto"/>
              <w:jc w:val="left"/>
            </w:pPr>
            <w:r>
              <w:rPr>
                <w:rFonts w:cs="Calibri"/>
                <w:color w:val="46565E"/>
                <w:sz w:val="19"/>
                <w:szCs w:val="19"/>
              </w:rPr>
              <w:t>IEEPA tariffs (defunct)</w:t>
            </w:r>
          </w:p>
        </w:tc>
        <w:tc>
          <w:tcPr>
            <w:tcW w:w="3790" w:type="dxa"/>
          </w:tcPr>
          <w:p w14:paraId="02A7FA2B" w14:textId="77777777" w:rsidR="00A502D4" w:rsidRDefault="00000000">
            <w:pPr>
              <w:spacing w:before="30" w:after="30" w:line="264" w:lineRule="auto"/>
              <w:jc w:val="left"/>
            </w:pPr>
            <w:r>
              <w:rPr>
                <w:rFonts w:cs="Calibri"/>
                <w:color w:val="46565E"/>
                <w:sz w:val="19"/>
                <w:szCs w:val="19"/>
              </w:rPr>
              <w:t xml:space="preserve">Supreme Court struck down the IEEPA tariff program on February 20, </w:t>
            </w:r>
            <w:proofErr w:type="gramStart"/>
            <w:r>
              <w:rPr>
                <w:rFonts w:cs="Calibri"/>
                <w:color w:val="46565E"/>
                <w:sz w:val="19"/>
                <w:szCs w:val="19"/>
              </w:rPr>
              <w:t>2026</w:t>
            </w:r>
            <w:proofErr w:type="gramEnd"/>
            <w:r>
              <w:rPr>
                <w:rFonts w:cs="Calibri"/>
                <w:color w:val="46565E"/>
                <w:sz w:val="19"/>
                <w:szCs w:val="19"/>
              </w:rPr>
              <w:t xml:space="preserve"> in Learning Resources v. Trump; the 35 percent rate on non-USMCA Canadian goods ended [S</w:t>
            </w:r>
            <w:proofErr w:type="gramStart"/>
            <w:r>
              <w:rPr>
                <w:rFonts w:cs="Calibri"/>
                <w:color w:val="46565E"/>
                <w:sz w:val="19"/>
                <w:szCs w:val="19"/>
              </w:rPr>
              <w:t>15][</w:t>
            </w:r>
            <w:proofErr w:type="gramEnd"/>
            <w:r>
              <w:rPr>
                <w:rFonts w:cs="Calibri"/>
                <w:color w:val="46565E"/>
                <w:sz w:val="19"/>
                <w:szCs w:val="19"/>
              </w:rPr>
              <w:t>S3]</w:t>
            </w:r>
          </w:p>
        </w:tc>
        <w:tc>
          <w:tcPr>
            <w:tcW w:w="3610" w:type="dxa"/>
          </w:tcPr>
          <w:p w14:paraId="013505C9" w14:textId="77777777" w:rsidR="00A502D4" w:rsidRDefault="00000000">
            <w:pPr>
              <w:spacing w:before="30" w:after="30" w:line="264" w:lineRule="auto"/>
              <w:jc w:val="left"/>
            </w:pPr>
            <w:r>
              <w:rPr>
                <w:rFonts w:cs="Calibri"/>
                <w:color w:val="46565E"/>
                <w:sz w:val="19"/>
                <w:szCs w:val="19"/>
              </w:rPr>
              <w:t>CBP runs the CAPE refund mechanism for duties collected [S16]</w:t>
            </w:r>
          </w:p>
        </w:tc>
      </w:tr>
      <w:tr w:rsidR="00A502D4" w14:paraId="2AB138ED" w14:textId="77777777">
        <w:tc>
          <w:tcPr>
            <w:tcW w:w="1624" w:type="dxa"/>
          </w:tcPr>
          <w:p w14:paraId="29682E12" w14:textId="77777777" w:rsidR="00A502D4" w:rsidRDefault="00000000">
            <w:pPr>
              <w:spacing w:before="30" w:after="30" w:line="264" w:lineRule="auto"/>
              <w:jc w:val="left"/>
            </w:pPr>
            <w:r>
              <w:rPr>
                <w:rFonts w:cs="Calibri"/>
                <w:color w:val="46565E"/>
                <w:sz w:val="19"/>
                <w:szCs w:val="19"/>
              </w:rPr>
              <w:t>Section 122 surcharge (defunct)</w:t>
            </w:r>
          </w:p>
        </w:tc>
        <w:tc>
          <w:tcPr>
            <w:tcW w:w="3790" w:type="dxa"/>
          </w:tcPr>
          <w:p w14:paraId="1CBC3DA9" w14:textId="77777777" w:rsidR="00A502D4" w:rsidRDefault="00000000">
            <w:pPr>
              <w:spacing w:before="30" w:after="30" w:line="264" w:lineRule="auto"/>
              <w:jc w:val="left"/>
            </w:pPr>
            <w:r>
              <w:rPr>
                <w:rFonts w:cs="Calibri"/>
                <w:color w:val="46565E"/>
                <w:sz w:val="19"/>
                <w:szCs w:val="19"/>
              </w:rPr>
              <w:t>10 percent global surcharge ran February 24 to July 24, 2026; the Court of International Trade invalidated it on May 7, 2026; relief reached only the named plaintiffs and the appeal continues [S</w:t>
            </w:r>
            <w:proofErr w:type="gramStart"/>
            <w:r>
              <w:rPr>
                <w:rFonts w:cs="Calibri"/>
                <w:color w:val="46565E"/>
                <w:sz w:val="19"/>
                <w:szCs w:val="19"/>
              </w:rPr>
              <w:t>16][</w:t>
            </w:r>
            <w:proofErr w:type="gramEnd"/>
            <w:r>
              <w:rPr>
                <w:rFonts w:cs="Calibri"/>
                <w:color w:val="46565E"/>
                <w:sz w:val="19"/>
                <w:szCs w:val="19"/>
              </w:rPr>
              <w:t>S17]</w:t>
            </w:r>
          </w:p>
        </w:tc>
        <w:tc>
          <w:tcPr>
            <w:tcW w:w="3610" w:type="dxa"/>
          </w:tcPr>
          <w:p w14:paraId="7C963D0E" w14:textId="77777777" w:rsidR="00A502D4" w:rsidRDefault="00000000">
            <w:pPr>
              <w:spacing w:before="30" w:after="30" w:line="264" w:lineRule="auto"/>
              <w:jc w:val="left"/>
            </w:pPr>
            <w:r>
              <w:rPr>
                <w:rFonts w:cs="Calibri"/>
                <w:color w:val="46565E"/>
                <w:sz w:val="19"/>
                <w:szCs w:val="19"/>
              </w:rPr>
              <w:t>Expired by its own 150-day limit and replaced by the Section 301 forced-labor tariffs [S5]</w:t>
            </w:r>
          </w:p>
        </w:tc>
      </w:tr>
    </w:tbl>
    <w:p w14:paraId="6BE192DE" w14:textId="77777777" w:rsidR="00A502D4" w:rsidRDefault="00A502D4">
      <w:pPr>
        <w:spacing w:after="160"/>
      </w:pPr>
    </w:p>
    <w:p w14:paraId="47CC4662" w14:textId="77777777" w:rsidR="00A502D4" w:rsidRDefault="00000000">
      <w:r>
        <w:rPr>
          <w:rFonts w:cs="Calibri"/>
          <w:szCs w:val="21"/>
        </w:rPr>
        <w:t>Two structural facts sharpen the picture. First, USMCA qualification shields Canadian goods from the Section 301 tier but not from Section 338: the July proclamations apply regardless of USMCA origin status, a design the trade press describes as the detail importers miss [S3]. Second, the compliant share of US imports from Canada and Mexico climbed from 44 percent in 2024 to above 80 percent in 2026, so the USMCA exemption remains the single most valuable trade asset Canada holds, and its erosion defines the stakes of the joint review [S15].</w:t>
      </w:r>
    </w:p>
    <w:p w14:paraId="02B501A3" w14:textId="77777777" w:rsidR="00A502D4" w:rsidRDefault="00000000">
      <w:pPr>
        <w:pStyle w:val="Heading2"/>
      </w:pPr>
      <w:r>
        <w:rPr>
          <w:rFonts w:cs="Calibri"/>
          <w:szCs w:val="26"/>
        </w:rPr>
        <w:t>1.2 The August 19 Deadline and the Escalation Cycle</w:t>
      </w:r>
    </w:p>
    <w:p w14:paraId="750C6A22" w14:textId="77777777" w:rsidR="00A502D4" w:rsidRDefault="00000000">
      <w:r>
        <w:rPr>
          <w:rFonts w:cs="Calibri"/>
          <w:szCs w:val="21"/>
        </w:rPr>
        <w:t>Section 338 carries a 30-day fuse by statute, and the administration framed that window as a deadline to extract concessions [S2]. The statute caps rates at 50 percent, requires only a presidential finding and proclamation with no prior investigation, and empowers the President to suspend, amend, revoke, or escalate, up to a full import ban where the cited discrimination continues [S2]. The three cited grounds map directly onto Canadian countermeasures and supply management: the 25 percent surtax on US-origin motor vehicles, the provincial halts on US alcohol purchases that began in March 2025, and the dairy tariff-rate quota administration under USMCA [S2].</w:t>
      </w:r>
    </w:p>
    <w:p w14:paraId="785082BA" w14:textId="77777777" w:rsidR="00A502D4" w:rsidRDefault="00000000">
      <w:r>
        <w:rPr>
          <w:rFonts w:cs="Calibri"/>
          <w:szCs w:val="21"/>
        </w:rPr>
        <w:t>The Atlantic Council documents the cycle precisely: each US action prompts a Canadian response, and each Canadian response then grounds the next US action. Canada today maintains 25 percent retaliatory tariffs on US steel, aluminum, and automobiles, aligned to US measures, and provincial alcohol bans persist even after Ottawa removed most federal counter-tariffs on September 1, 2025 [S12]. An administration official told press that Canada ranks as "one of the only nations other than China that retaliated" and faces accountability for it [S9]. The cycle has no internal brake; an external architecture supplies the brake.</w:t>
      </w:r>
    </w:p>
    <w:p w14:paraId="43B40B63" w14:textId="77777777" w:rsidR="00A502D4" w:rsidRDefault="00000000">
      <w:pPr>
        <w:pStyle w:val="Heading2"/>
      </w:pPr>
      <w:r>
        <w:rPr>
          <w:rFonts w:cs="Calibri"/>
          <w:szCs w:val="26"/>
        </w:rPr>
        <w:lastRenderedPageBreak/>
        <w:t>1.3 The Political Rhetoric and the USMCA Endgame</w:t>
      </w:r>
    </w:p>
    <w:p w14:paraId="6D25AB81" w14:textId="77777777" w:rsidR="00A502D4" w:rsidRDefault="00000000">
      <w:r>
        <w:rPr>
          <w:rFonts w:cs="Calibri"/>
          <w:szCs w:val="21"/>
        </w:rPr>
        <w:t>The campaign pairs tariffs with sovereignty-challenging rhetoric. The President repeatedly floats Canadian statehood, referred to Prime Minister Carney as "the future Governor of Canada" in March 2026, and stated on July 21, 2026, at a White House meeting: "Without us, there's no way they can survive" [S</w:t>
      </w:r>
      <w:proofErr w:type="gramStart"/>
      <w:r>
        <w:rPr>
          <w:rFonts w:cs="Calibri"/>
          <w:szCs w:val="21"/>
        </w:rPr>
        <w:t>9][</w:t>
      </w:r>
      <w:proofErr w:type="gramEnd"/>
      <w:r>
        <w:rPr>
          <w:rFonts w:cs="Calibri"/>
          <w:szCs w:val="21"/>
        </w:rPr>
        <w:t>S18]. The President threatened a 100 percent additional tariff on all Canadian goods on January 24, 2026, if Canada enters a trade agreement with China [S19]. That threat directly constrains Canada's diversification options and itself constitutes documented policy linkage of the kind Article II certifies.</w:t>
      </w:r>
    </w:p>
    <w:p w14:paraId="59316C32" w14:textId="77777777" w:rsidR="00A502D4" w:rsidRDefault="00000000">
      <w:r>
        <w:rPr>
          <w:rFonts w:cs="Calibri"/>
          <w:szCs w:val="21"/>
        </w:rPr>
        <w:t>The USMCA track compounds the pressure. On July 1, 2026, the United States declined to confirm extension of the Agreement, stating it "did not agree to renew the USMCA in its current form," while Mexico and Canada each confirmed support for a 16-year extension [S</w:t>
      </w:r>
      <w:proofErr w:type="gramStart"/>
      <w:r>
        <w:rPr>
          <w:rFonts w:cs="Calibri"/>
          <w:szCs w:val="21"/>
        </w:rPr>
        <w:t>7][</w:t>
      </w:r>
      <w:proofErr w:type="gramEnd"/>
      <w:r>
        <w:rPr>
          <w:rFonts w:cs="Calibri"/>
          <w:szCs w:val="21"/>
        </w:rPr>
        <w:t>S8]. The Agreement remains in force, but annual reviews now recur through 2036. US-Mexico bilateral rounds proceed, the third round opened the week of July 20 in Mexico City, and Canada has not begun substantive text-based negotiations with the United States [S</w:t>
      </w:r>
      <w:proofErr w:type="gramStart"/>
      <w:r>
        <w:rPr>
          <w:rFonts w:cs="Calibri"/>
          <w:szCs w:val="21"/>
        </w:rPr>
        <w:t>7][</w:t>
      </w:r>
      <w:proofErr w:type="gramEnd"/>
      <w:r>
        <w:rPr>
          <w:rFonts w:cs="Calibri"/>
          <w:szCs w:val="21"/>
        </w:rPr>
        <w:t>S8]. Prime Minister Carney and the President agreed on July 21 to deepen and accelerate negotiations, and USTR Greer confirms talks remain open [S</w:t>
      </w:r>
      <w:proofErr w:type="gramStart"/>
      <w:r>
        <w:rPr>
          <w:rFonts w:cs="Calibri"/>
          <w:szCs w:val="21"/>
        </w:rPr>
        <w:t>2][</w:t>
      </w:r>
      <w:proofErr w:type="gramEnd"/>
      <w:r>
        <w:rPr>
          <w:rFonts w:cs="Calibri"/>
          <w:szCs w:val="21"/>
        </w:rPr>
        <w:t>S9]. Canada negotiates from a position the coercer publicly describes as survival-level dependency; coalition formation reverses that framing.</w:t>
      </w:r>
    </w:p>
    <w:p w14:paraId="5810AF93" w14:textId="77777777" w:rsidR="00A502D4" w:rsidRDefault="00000000">
      <w:pPr>
        <w:pStyle w:val="Heading2"/>
      </w:pPr>
      <w:r>
        <w:rPr>
          <w:rFonts w:cs="Calibri"/>
          <w:szCs w:val="26"/>
        </w:rPr>
        <w:t>1.4 Economic Damage Assessment</w:t>
      </w:r>
    </w:p>
    <w:p w14:paraId="132C8C72" w14:textId="77777777" w:rsidR="00A502D4" w:rsidRDefault="00000000">
      <w:r>
        <w:rPr>
          <w:rFonts w:cs="Calibri"/>
          <w:szCs w:val="21"/>
        </w:rPr>
        <w:t>The harm clears IMESI's certification floor by an order of magnitude. The five-element test (Section 2.1) sets material economic harm at a 0.1 percent of GDP minimum, roughly USD 2.2 billion for Canada. The Section 338 lists alone cover nearly USD 20 billion of annual imports [S</w:t>
      </w:r>
      <w:proofErr w:type="gramStart"/>
      <w:r>
        <w:rPr>
          <w:rFonts w:cs="Calibri"/>
          <w:szCs w:val="21"/>
        </w:rPr>
        <w:t>1][</w:t>
      </w:r>
      <w:proofErr w:type="gramEnd"/>
      <w:r>
        <w:rPr>
          <w:rFonts w:cs="Calibri"/>
          <w:szCs w:val="21"/>
        </w:rPr>
        <w:t>S2]. The macroeconomic record confirms the drag:</w:t>
      </w:r>
    </w:p>
    <w:p w14:paraId="2F14B66D" w14:textId="77777777" w:rsidR="00A502D4" w:rsidRDefault="00000000">
      <w:pPr>
        <w:numPr>
          <w:ilvl w:val="0"/>
          <w:numId w:val="1"/>
        </w:numPr>
        <w:spacing w:after="120"/>
      </w:pPr>
      <w:r>
        <w:rPr>
          <w:rFonts w:cs="Calibri"/>
          <w:szCs w:val="21"/>
        </w:rPr>
        <w:t>Canada's real GDP contracted 0.1 percent annualized in the first quarter of 2026, a second consecutive contraction, with 95,000 jobs lost between January and March; a May rebound added 88,000 positions and brought unemployment to 6.6 percent [S20].</w:t>
      </w:r>
    </w:p>
    <w:p w14:paraId="48A7323D" w14:textId="77777777" w:rsidR="00A502D4" w:rsidRDefault="00000000">
      <w:pPr>
        <w:numPr>
          <w:ilvl w:val="0"/>
          <w:numId w:val="1"/>
        </w:numPr>
        <w:spacing w:after="120"/>
      </w:pPr>
      <w:r>
        <w:rPr>
          <w:rFonts w:cs="Calibri"/>
          <w:szCs w:val="21"/>
        </w:rPr>
        <w:t>Forecasters place growth at 0.7 percent for 2025 and 1.3 percent for 2026, running below potential through the forecast window [S20].</w:t>
      </w:r>
    </w:p>
    <w:p w14:paraId="513F224E" w14:textId="77777777" w:rsidR="00A502D4" w:rsidRDefault="00000000">
      <w:pPr>
        <w:numPr>
          <w:ilvl w:val="0"/>
          <w:numId w:val="1"/>
        </w:numPr>
        <w:spacing w:after="120"/>
      </w:pPr>
      <w:r>
        <w:rPr>
          <w:rFonts w:cs="Calibri"/>
          <w:szCs w:val="21"/>
        </w:rPr>
        <w:t>The Bank of Canada estimates net exports subtracted 1.0 percentage point from GDP in 2025 and 0.3 points in 2026, concentrated in vehicles, steel, aluminum, copper, furniture, and softwood lumber [S21].</w:t>
      </w:r>
    </w:p>
    <w:p w14:paraId="7E13E37F" w14:textId="77777777" w:rsidR="00A502D4" w:rsidRDefault="00000000">
      <w:pPr>
        <w:numPr>
          <w:ilvl w:val="0"/>
          <w:numId w:val="1"/>
        </w:numPr>
        <w:spacing w:after="120"/>
      </w:pPr>
      <w:r>
        <w:rPr>
          <w:rFonts w:cs="Calibri"/>
          <w:szCs w:val="21"/>
        </w:rPr>
        <w:t>Ontario's Financial Accountability Office projects 119,200 fewer jobs in 2026 against the no-tariff scenario and an 8.0 percent manufacturing GDP contraction in the first full tariff year, with primary metals and motor vehicle parts absorbing the heaviest losses [S22].</w:t>
      </w:r>
    </w:p>
    <w:p w14:paraId="5C0B852F" w14:textId="77777777" w:rsidR="00A502D4" w:rsidRDefault="00000000">
      <w:pPr>
        <w:numPr>
          <w:ilvl w:val="0"/>
          <w:numId w:val="1"/>
        </w:numPr>
        <w:spacing w:after="120"/>
      </w:pPr>
      <w:r>
        <w:rPr>
          <w:rFonts w:cs="Calibri"/>
          <w:szCs w:val="21"/>
        </w:rPr>
        <w:t>The burden also lands on the coercer: US tariffs cost American households roughly USD 700 in 2026 and reduce long-run US GDP by 0.3 percent; ending the USMCA exemptions adds 95,000 lost US jobs, a lever for the Washington channel [S15].</w:t>
      </w:r>
    </w:p>
    <w:p w14:paraId="41013444" w14:textId="77777777" w:rsidR="00A502D4" w:rsidRDefault="00000000">
      <w:pPr>
        <w:pStyle w:val="Heading2"/>
      </w:pPr>
      <w:r>
        <w:rPr>
          <w:rFonts w:cs="Calibri"/>
          <w:szCs w:val="26"/>
        </w:rPr>
        <w:lastRenderedPageBreak/>
        <w:t>1.5 Severity Finding: Mapping the Facts onto the Certification Test</w:t>
      </w:r>
    </w:p>
    <w:p w14:paraId="663EE686" w14:textId="77777777" w:rsidR="00A502D4" w:rsidRDefault="00000000">
      <w:r>
        <w:rPr>
          <w:rFonts w:cs="Calibri"/>
          <w:szCs w:val="21"/>
        </w:rPr>
        <w:t>Read against Section 2.1, the record satisfies all five elements of economic coercion. (1) Measure: Section 338, Section 301, and Section 232 duties in force or proclaimed. (2) Policy demand: the proclamations name dairy quota administration, alcohol retail practices, and the auto surtax; the January 2026 threat names Canada's China policy; the statehood rhetoric names sovereignty itself [S</w:t>
      </w:r>
      <w:proofErr w:type="gramStart"/>
      <w:r>
        <w:rPr>
          <w:rFonts w:cs="Calibri"/>
          <w:szCs w:val="21"/>
        </w:rPr>
        <w:t>2][</w:t>
      </w:r>
      <w:proofErr w:type="gramEnd"/>
      <w:r>
        <w:rPr>
          <w:rFonts w:cs="Calibri"/>
          <w:szCs w:val="21"/>
        </w:rPr>
        <w:t>S</w:t>
      </w:r>
      <w:proofErr w:type="gramStart"/>
      <w:r>
        <w:rPr>
          <w:rFonts w:cs="Calibri"/>
          <w:szCs w:val="21"/>
        </w:rPr>
        <w:t>9][</w:t>
      </w:r>
      <w:proofErr w:type="gramEnd"/>
      <w:r>
        <w:rPr>
          <w:rFonts w:cs="Calibri"/>
          <w:szCs w:val="21"/>
        </w:rPr>
        <w:t>S19]. (3) Nexus: the proclamations state the linkage in their own text. (4) Material harm: the coverage and macro data in Section 1.4 exceed the 0.1 percent GDP floor several times over. (5) Absence of legitimate justification: the cited Canadian measures originated as retaliation to US tariffs, a chicken-and-egg record the Atlantic Council documents trade flow by trade flow [S12].</w:t>
      </w:r>
    </w:p>
    <w:p w14:paraId="161E8A02" w14:textId="77777777" w:rsidR="00A502D4" w:rsidRDefault="00000000">
      <w:r>
        <w:rPr>
          <w:rFonts w:cs="Calibri"/>
          <w:szCs w:val="21"/>
        </w:rPr>
        <w:t>The Pattern-of-Conduct Coercion Doctrine aggregates the sequence, IEEPA, Section 122, Section 301, Section 338, into a single certifiable pattern, and the High Political Volatility actor doctrine (v12.1) applies to a coercer whose measures oscillate between imposition, withdrawal, and re-imposition within weeks [S</w:t>
      </w:r>
      <w:proofErr w:type="gramStart"/>
      <w:r>
        <w:rPr>
          <w:rFonts w:cs="Calibri"/>
          <w:szCs w:val="21"/>
        </w:rPr>
        <w:t>12][</w:t>
      </w:r>
      <w:proofErr w:type="gramEnd"/>
      <w:r>
        <w:rPr>
          <w:rFonts w:cs="Calibri"/>
          <w:szCs w:val="21"/>
        </w:rPr>
        <w:t>S16]. The Universal Tariff Shock and Unilateral Tariff Regime Disruption categories (Red-Line Categories 7 and 10) describe the Section 301 architecture of 10 to 12.5 percent duties across sixty economies [S</w:t>
      </w:r>
      <w:proofErr w:type="gramStart"/>
      <w:r>
        <w:rPr>
          <w:rFonts w:cs="Calibri"/>
          <w:szCs w:val="21"/>
        </w:rPr>
        <w:t>5][</w:t>
      </w:r>
      <w:proofErr w:type="gramEnd"/>
      <w:r>
        <w:rPr>
          <w:rFonts w:cs="Calibri"/>
          <w:szCs w:val="21"/>
        </w:rPr>
        <w:t>S6]. The founders' request for IEWC-format certification under Section 9.1B therefore rests on a strong evidentiary record, and that certification anchors every subsequent coalition measure in GATT Article XXI(b)(iii).</w:t>
      </w:r>
    </w:p>
    <w:p w14:paraId="2CA134B6" w14:textId="77777777" w:rsidR="00A502D4" w:rsidRDefault="00000000">
      <w:pPr>
        <w:pStyle w:val="Heading1"/>
      </w:pPr>
      <w:r>
        <w:rPr>
          <w:rFonts w:cs="Calibri"/>
          <w:szCs w:val="32"/>
        </w:rPr>
        <w:t>Part II: Building the Founding Coalition</w:t>
      </w:r>
    </w:p>
    <w:p w14:paraId="3F6FF69F" w14:textId="77777777" w:rsidR="00A502D4" w:rsidRDefault="00000000">
      <w:r>
        <w:rPr>
          <w:rFonts w:cs="Calibri"/>
          <w:szCs w:val="21"/>
        </w:rPr>
        <w:t>The coalition forms around a simple selection logic: direct tariff exposure, shared democratic-trade governance, combined economic weight, and existing institutional ties to Canada. This Part names the core, maps the expansion rings, and assigns each partner the entry instrument that fits its politics.</w:t>
      </w:r>
    </w:p>
    <w:p w14:paraId="4554F6B2" w14:textId="77777777" w:rsidR="00A502D4" w:rsidRDefault="00000000">
      <w:pPr>
        <w:pStyle w:val="Heading2"/>
      </w:pPr>
      <w:r>
        <w:rPr>
          <w:rFonts w:cs="Calibri"/>
          <w:szCs w:val="26"/>
        </w:rPr>
        <w:t>2.1 The Core Four</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1291"/>
        <w:gridCol w:w="2953"/>
        <w:gridCol w:w="3322"/>
        <w:gridCol w:w="1660"/>
      </w:tblGrid>
      <w:tr w:rsidR="00A502D4" w14:paraId="16D5DFAE" w14:textId="77777777">
        <w:trPr>
          <w:cantSplit/>
          <w:tblHeader/>
        </w:trPr>
        <w:tc>
          <w:tcPr>
            <w:tcW w:w="1263" w:type="dxa"/>
            <w:shd w:val="clear" w:color="auto" w:fill="EDF2F4"/>
          </w:tcPr>
          <w:p w14:paraId="6788E8B2" w14:textId="77777777" w:rsidR="00A502D4" w:rsidRDefault="00000000">
            <w:pPr>
              <w:spacing w:before="30" w:after="30" w:line="264" w:lineRule="auto"/>
              <w:jc w:val="left"/>
            </w:pPr>
            <w:r>
              <w:rPr>
                <w:rFonts w:cs="Calibri"/>
                <w:b/>
                <w:sz w:val="19"/>
                <w:szCs w:val="19"/>
              </w:rPr>
              <w:t>Partner</w:t>
            </w:r>
          </w:p>
        </w:tc>
        <w:tc>
          <w:tcPr>
            <w:tcW w:w="2888" w:type="dxa"/>
            <w:shd w:val="clear" w:color="auto" w:fill="EDF2F4"/>
          </w:tcPr>
          <w:p w14:paraId="0A53F34C" w14:textId="77777777" w:rsidR="00A502D4" w:rsidRDefault="00000000">
            <w:pPr>
              <w:spacing w:before="30" w:after="30" w:line="264" w:lineRule="auto"/>
              <w:jc w:val="left"/>
            </w:pPr>
            <w:r>
              <w:rPr>
                <w:rFonts w:cs="Calibri"/>
                <w:b/>
                <w:sz w:val="19"/>
                <w:szCs w:val="19"/>
              </w:rPr>
              <w:t>Tariff exposure (August 2026)</w:t>
            </w:r>
          </w:p>
        </w:tc>
        <w:tc>
          <w:tcPr>
            <w:tcW w:w="3249" w:type="dxa"/>
            <w:shd w:val="clear" w:color="auto" w:fill="EDF2F4"/>
          </w:tcPr>
          <w:p w14:paraId="51A95D09" w14:textId="77777777" w:rsidR="00A502D4" w:rsidRDefault="00000000">
            <w:pPr>
              <w:spacing w:before="30" w:after="30" w:line="264" w:lineRule="auto"/>
              <w:jc w:val="left"/>
            </w:pPr>
            <w:r>
              <w:rPr>
                <w:rFonts w:cs="Calibri"/>
                <w:b/>
                <w:sz w:val="19"/>
                <w:szCs w:val="19"/>
              </w:rPr>
              <w:t>Founding rationale</w:t>
            </w:r>
          </w:p>
        </w:tc>
        <w:tc>
          <w:tcPr>
            <w:tcW w:w="1624" w:type="dxa"/>
            <w:shd w:val="clear" w:color="auto" w:fill="EDF2F4"/>
          </w:tcPr>
          <w:p w14:paraId="69630579" w14:textId="77777777" w:rsidR="00A502D4" w:rsidRDefault="00000000">
            <w:pPr>
              <w:spacing w:before="30" w:after="30" w:line="264" w:lineRule="auto"/>
              <w:jc w:val="left"/>
            </w:pPr>
            <w:r>
              <w:rPr>
                <w:rFonts w:cs="Calibri"/>
                <w:b/>
                <w:sz w:val="19"/>
                <w:szCs w:val="19"/>
              </w:rPr>
              <w:t>IMESI tier at founding</w:t>
            </w:r>
          </w:p>
        </w:tc>
      </w:tr>
      <w:tr w:rsidR="00A502D4" w14:paraId="47023A5D" w14:textId="77777777">
        <w:tc>
          <w:tcPr>
            <w:tcW w:w="1263" w:type="dxa"/>
          </w:tcPr>
          <w:p w14:paraId="25F2DF31" w14:textId="77777777" w:rsidR="00A502D4" w:rsidRDefault="00000000">
            <w:pPr>
              <w:spacing w:before="30" w:after="30" w:line="264" w:lineRule="auto"/>
              <w:jc w:val="left"/>
            </w:pPr>
            <w:r>
              <w:rPr>
                <w:rFonts w:cs="Calibri"/>
                <w:color w:val="46565E"/>
                <w:sz w:val="19"/>
                <w:szCs w:val="19"/>
              </w:rPr>
              <w:t>Canada</w:t>
            </w:r>
          </w:p>
        </w:tc>
        <w:tc>
          <w:tcPr>
            <w:tcW w:w="2888" w:type="dxa"/>
          </w:tcPr>
          <w:p w14:paraId="7169317D" w14:textId="77777777" w:rsidR="00A502D4" w:rsidRDefault="00000000">
            <w:pPr>
              <w:spacing w:before="30" w:after="30" w:line="264" w:lineRule="auto"/>
              <w:jc w:val="left"/>
            </w:pPr>
            <w:r>
              <w:rPr>
                <w:rFonts w:cs="Calibri"/>
                <w:color w:val="46565E"/>
                <w:sz w:val="19"/>
                <w:szCs w:val="19"/>
              </w:rPr>
              <w:t>Section 338 at 50 percent; Section 301 at 10 percent; Section 232 at 50 and 25 percent [S</w:t>
            </w:r>
            <w:proofErr w:type="gramStart"/>
            <w:r>
              <w:rPr>
                <w:rFonts w:cs="Calibri"/>
                <w:color w:val="46565E"/>
                <w:sz w:val="19"/>
                <w:szCs w:val="19"/>
              </w:rPr>
              <w:t>1][</w:t>
            </w:r>
            <w:proofErr w:type="gramEnd"/>
            <w:r>
              <w:rPr>
                <w:rFonts w:cs="Calibri"/>
                <w:color w:val="46565E"/>
                <w:sz w:val="19"/>
                <w:szCs w:val="19"/>
              </w:rPr>
              <w:t>S</w:t>
            </w:r>
            <w:proofErr w:type="gramStart"/>
            <w:r>
              <w:rPr>
                <w:rFonts w:cs="Calibri"/>
                <w:color w:val="46565E"/>
                <w:sz w:val="19"/>
                <w:szCs w:val="19"/>
              </w:rPr>
              <w:t>4][</w:t>
            </w:r>
            <w:proofErr w:type="gramEnd"/>
            <w:r>
              <w:rPr>
                <w:rFonts w:cs="Calibri"/>
                <w:color w:val="46565E"/>
                <w:sz w:val="19"/>
                <w:szCs w:val="19"/>
              </w:rPr>
              <w:t>S5]</w:t>
            </w:r>
          </w:p>
        </w:tc>
        <w:tc>
          <w:tcPr>
            <w:tcW w:w="3249" w:type="dxa"/>
          </w:tcPr>
          <w:p w14:paraId="6B9C8EAE" w14:textId="77777777" w:rsidR="00A502D4" w:rsidRDefault="00000000">
            <w:pPr>
              <w:spacing w:before="30" w:after="30" w:line="264" w:lineRule="auto"/>
              <w:jc w:val="left"/>
            </w:pPr>
            <w:r>
              <w:rPr>
                <w:rFonts w:cs="Calibri"/>
                <w:color w:val="46565E"/>
                <w:sz w:val="19"/>
                <w:szCs w:val="19"/>
              </w:rPr>
              <w:t>Primary target and convening actor; holds the USMCA relationship, CPTPP and CETA membership, and the only economy bridging both [S23]</w:t>
            </w:r>
          </w:p>
        </w:tc>
        <w:tc>
          <w:tcPr>
            <w:tcW w:w="1624" w:type="dxa"/>
          </w:tcPr>
          <w:p w14:paraId="701A963B" w14:textId="77777777" w:rsidR="00A502D4" w:rsidRDefault="00000000">
            <w:pPr>
              <w:spacing w:before="30" w:after="30" w:line="264" w:lineRule="auto"/>
              <w:jc w:val="left"/>
            </w:pPr>
            <w:r>
              <w:rPr>
                <w:rFonts w:cs="Calibri"/>
                <w:color w:val="46565E"/>
                <w:sz w:val="19"/>
                <w:szCs w:val="19"/>
              </w:rPr>
              <w:t>Tier 3 (Enhanced Solidarity)</w:t>
            </w:r>
          </w:p>
        </w:tc>
      </w:tr>
      <w:tr w:rsidR="00A502D4" w14:paraId="7E6CA655" w14:textId="77777777">
        <w:tc>
          <w:tcPr>
            <w:tcW w:w="1263" w:type="dxa"/>
          </w:tcPr>
          <w:p w14:paraId="3B85CF09" w14:textId="77777777" w:rsidR="00A502D4" w:rsidRDefault="00000000">
            <w:pPr>
              <w:spacing w:before="30" w:after="30" w:line="264" w:lineRule="auto"/>
              <w:jc w:val="left"/>
            </w:pPr>
            <w:r>
              <w:rPr>
                <w:rFonts w:cs="Calibri"/>
                <w:color w:val="46565E"/>
                <w:sz w:val="19"/>
                <w:szCs w:val="19"/>
              </w:rPr>
              <w:t>United Kingdom</w:t>
            </w:r>
          </w:p>
        </w:tc>
        <w:tc>
          <w:tcPr>
            <w:tcW w:w="2888" w:type="dxa"/>
          </w:tcPr>
          <w:p w14:paraId="17647087" w14:textId="77777777" w:rsidR="00A502D4" w:rsidRDefault="00000000">
            <w:pPr>
              <w:spacing w:before="30" w:after="30" w:line="264" w:lineRule="auto"/>
              <w:jc w:val="left"/>
            </w:pPr>
            <w:r>
              <w:rPr>
                <w:rFonts w:cs="Calibri"/>
                <w:color w:val="46565E"/>
                <w:sz w:val="19"/>
                <w:szCs w:val="19"/>
              </w:rPr>
              <w:t>Section 301 at 10 percent; Section 232 at 25 and 15 percent under the bilateral deal; target of the January 2026 Greenland tariff threat [S</w:t>
            </w:r>
            <w:proofErr w:type="gramStart"/>
            <w:r>
              <w:rPr>
                <w:rFonts w:cs="Calibri"/>
                <w:color w:val="46565E"/>
                <w:sz w:val="19"/>
                <w:szCs w:val="19"/>
              </w:rPr>
              <w:t>5][</w:t>
            </w:r>
            <w:proofErr w:type="gramEnd"/>
            <w:r>
              <w:rPr>
                <w:rFonts w:cs="Calibri"/>
                <w:color w:val="46565E"/>
                <w:sz w:val="19"/>
                <w:szCs w:val="19"/>
              </w:rPr>
              <w:t>S</w:t>
            </w:r>
            <w:proofErr w:type="gramStart"/>
            <w:r>
              <w:rPr>
                <w:rFonts w:cs="Calibri"/>
                <w:color w:val="46565E"/>
                <w:sz w:val="19"/>
                <w:szCs w:val="19"/>
              </w:rPr>
              <w:t>10][</w:t>
            </w:r>
            <w:proofErr w:type="gramEnd"/>
            <w:r>
              <w:rPr>
                <w:rFonts w:cs="Calibri"/>
                <w:color w:val="46565E"/>
                <w:sz w:val="19"/>
                <w:szCs w:val="19"/>
              </w:rPr>
              <w:t>S19]</w:t>
            </w:r>
          </w:p>
        </w:tc>
        <w:tc>
          <w:tcPr>
            <w:tcW w:w="3249" w:type="dxa"/>
          </w:tcPr>
          <w:p w14:paraId="033D9FDF" w14:textId="77777777" w:rsidR="00A502D4" w:rsidRDefault="00000000">
            <w:pPr>
              <w:spacing w:before="30" w:after="30" w:line="264" w:lineRule="auto"/>
              <w:jc w:val="left"/>
            </w:pPr>
            <w:r>
              <w:rPr>
                <w:rFonts w:cs="Calibri"/>
                <w:color w:val="46565E"/>
                <w:sz w:val="19"/>
                <w:szCs w:val="19"/>
              </w:rPr>
              <w:t>Historic ally; the British Chambers of Commerce publicly demands a UK "trade bazooka" (April 26, 2026); MPIA member; candidate Secretariat host [S24]</w:t>
            </w:r>
          </w:p>
        </w:tc>
        <w:tc>
          <w:tcPr>
            <w:tcW w:w="1624" w:type="dxa"/>
          </w:tcPr>
          <w:p w14:paraId="6E2AE3A8" w14:textId="77777777" w:rsidR="00A502D4" w:rsidRDefault="00000000">
            <w:pPr>
              <w:spacing w:before="30" w:after="30" w:line="264" w:lineRule="auto"/>
              <w:jc w:val="left"/>
            </w:pPr>
            <w:r>
              <w:rPr>
                <w:rFonts w:cs="Calibri"/>
                <w:color w:val="46565E"/>
                <w:sz w:val="19"/>
                <w:szCs w:val="19"/>
              </w:rPr>
              <w:t>Tier 2 (Full)</w:t>
            </w:r>
          </w:p>
        </w:tc>
      </w:tr>
      <w:tr w:rsidR="00A502D4" w14:paraId="6EB1F87D" w14:textId="77777777">
        <w:tc>
          <w:tcPr>
            <w:tcW w:w="1263" w:type="dxa"/>
          </w:tcPr>
          <w:p w14:paraId="2935F6DA" w14:textId="77777777" w:rsidR="00A502D4" w:rsidRDefault="00000000">
            <w:pPr>
              <w:spacing w:before="30" w:after="30" w:line="264" w:lineRule="auto"/>
              <w:jc w:val="left"/>
            </w:pPr>
            <w:r>
              <w:rPr>
                <w:rFonts w:cs="Calibri"/>
                <w:color w:val="46565E"/>
                <w:sz w:val="19"/>
                <w:szCs w:val="19"/>
              </w:rPr>
              <w:t>Mexico</w:t>
            </w:r>
          </w:p>
        </w:tc>
        <w:tc>
          <w:tcPr>
            <w:tcW w:w="2888" w:type="dxa"/>
          </w:tcPr>
          <w:p w14:paraId="164BD94C" w14:textId="77777777" w:rsidR="00A502D4" w:rsidRDefault="00000000">
            <w:pPr>
              <w:spacing w:before="30" w:after="30" w:line="264" w:lineRule="auto"/>
              <w:jc w:val="left"/>
            </w:pPr>
            <w:r>
              <w:rPr>
                <w:rFonts w:cs="Calibri"/>
                <w:color w:val="46565E"/>
                <w:sz w:val="19"/>
                <w:szCs w:val="19"/>
              </w:rPr>
              <w:t xml:space="preserve">Section 301 at 10 percent; named in the excess-capacity investigations; water-treaty tariff threat of December 2025; USMCA </w:t>
            </w:r>
            <w:r>
              <w:rPr>
                <w:rFonts w:cs="Calibri"/>
                <w:color w:val="46565E"/>
                <w:sz w:val="19"/>
                <w:szCs w:val="19"/>
              </w:rPr>
              <w:lastRenderedPageBreak/>
              <w:t>sidelining mirrors Canada's [S</w:t>
            </w:r>
            <w:proofErr w:type="gramStart"/>
            <w:r>
              <w:rPr>
                <w:rFonts w:cs="Calibri"/>
                <w:color w:val="46565E"/>
                <w:sz w:val="19"/>
                <w:szCs w:val="19"/>
              </w:rPr>
              <w:t>5][</w:t>
            </w:r>
            <w:proofErr w:type="gramEnd"/>
            <w:r>
              <w:rPr>
                <w:rFonts w:cs="Calibri"/>
                <w:color w:val="46565E"/>
                <w:sz w:val="19"/>
                <w:szCs w:val="19"/>
              </w:rPr>
              <w:t>S</w:t>
            </w:r>
            <w:proofErr w:type="gramStart"/>
            <w:r>
              <w:rPr>
                <w:rFonts w:cs="Calibri"/>
                <w:color w:val="46565E"/>
                <w:sz w:val="19"/>
                <w:szCs w:val="19"/>
              </w:rPr>
              <w:t>13][</w:t>
            </w:r>
            <w:proofErr w:type="gramEnd"/>
            <w:r>
              <w:rPr>
                <w:rFonts w:cs="Calibri"/>
                <w:color w:val="46565E"/>
                <w:sz w:val="19"/>
                <w:szCs w:val="19"/>
              </w:rPr>
              <w:t>S19]</w:t>
            </w:r>
          </w:p>
        </w:tc>
        <w:tc>
          <w:tcPr>
            <w:tcW w:w="3249" w:type="dxa"/>
          </w:tcPr>
          <w:p w14:paraId="76DBF2C0" w14:textId="77777777" w:rsidR="00A502D4" w:rsidRDefault="00000000">
            <w:pPr>
              <w:spacing w:before="30" w:after="30" w:line="264" w:lineRule="auto"/>
              <w:jc w:val="left"/>
            </w:pPr>
            <w:r>
              <w:rPr>
                <w:rFonts w:cs="Calibri"/>
                <w:color w:val="46565E"/>
                <w:sz w:val="19"/>
                <w:szCs w:val="19"/>
              </w:rPr>
              <w:lastRenderedPageBreak/>
              <w:t>Shares the North American exposure; bilateral US talks create defection risk that early IMESI anchoring counters (Section 6.12G)</w:t>
            </w:r>
          </w:p>
        </w:tc>
        <w:tc>
          <w:tcPr>
            <w:tcW w:w="1624" w:type="dxa"/>
          </w:tcPr>
          <w:p w14:paraId="6EFCAE27" w14:textId="77777777" w:rsidR="00A502D4" w:rsidRDefault="00000000">
            <w:pPr>
              <w:spacing w:before="30" w:after="30" w:line="264" w:lineRule="auto"/>
              <w:jc w:val="left"/>
            </w:pPr>
            <w:r>
              <w:rPr>
                <w:rFonts w:cs="Calibri"/>
                <w:color w:val="46565E"/>
                <w:sz w:val="19"/>
                <w:szCs w:val="19"/>
              </w:rPr>
              <w:t>Tier 2 (Full)</w:t>
            </w:r>
          </w:p>
        </w:tc>
      </w:tr>
      <w:tr w:rsidR="00A502D4" w14:paraId="73A19D95" w14:textId="77777777">
        <w:tc>
          <w:tcPr>
            <w:tcW w:w="1263" w:type="dxa"/>
          </w:tcPr>
          <w:p w14:paraId="3C96CA06" w14:textId="77777777" w:rsidR="00A502D4" w:rsidRDefault="00000000">
            <w:pPr>
              <w:spacing w:before="30" w:after="30" w:line="264" w:lineRule="auto"/>
              <w:jc w:val="left"/>
            </w:pPr>
            <w:r>
              <w:rPr>
                <w:rFonts w:cs="Calibri"/>
                <w:color w:val="46565E"/>
                <w:sz w:val="19"/>
                <w:szCs w:val="19"/>
              </w:rPr>
              <w:t>European Union (as a bloc)</w:t>
            </w:r>
          </w:p>
        </w:tc>
        <w:tc>
          <w:tcPr>
            <w:tcW w:w="2888" w:type="dxa"/>
          </w:tcPr>
          <w:p w14:paraId="7FD11055" w14:textId="77777777" w:rsidR="00A502D4" w:rsidRDefault="00000000">
            <w:pPr>
              <w:spacing w:before="30" w:after="30" w:line="264" w:lineRule="auto"/>
              <w:jc w:val="left"/>
            </w:pPr>
            <w:r>
              <w:rPr>
                <w:rFonts w:cs="Calibri"/>
                <w:color w:val="46565E"/>
                <w:sz w:val="19"/>
                <w:szCs w:val="19"/>
              </w:rPr>
              <w:t>Section 301 at 10 percent net of MFN; excess-capacity target; eight member states hit by the Greenland threat; EU-US deal frozen in Parliament [S</w:t>
            </w:r>
            <w:proofErr w:type="gramStart"/>
            <w:r>
              <w:rPr>
                <w:rFonts w:cs="Calibri"/>
                <w:color w:val="46565E"/>
                <w:sz w:val="19"/>
                <w:szCs w:val="19"/>
              </w:rPr>
              <w:t>5][</w:t>
            </w:r>
            <w:proofErr w:type="gramEnd"/>
            <w:r>
              <w:rPr>
                <w:rFonts w:cs="Calibri"/>
                <w:color w:val="46565E"/>
                <w:sz w:val="19"/>
                <w:szCs w:val="19"/>
              </w:rPr>
              <w:t>S</w:t>
            </w:r>
            <w:proofErr w:type="gramStart"/>
            <w:r>
              <w:rPr>
                <w:rFonts w:cs="Calibri"/>
                <w:color w:val="46565E"/>
                <w:sz w:val="19"/>
                <w:szCs w:val="19"/>
              </w:rPr>
              <w:t>13][</w:t>
            </w:r>
            <w:proofErr w:type="gramEnd"/>
            <w:r>
              <w:rPr>
                <w:rFonts w:cs="Calibri"/>
                <w:color w:val="46565E"/>
                <w:sz w:val="19"/>
                <w:szCs w:val="19"/>
              </w:rPr>
              <w:t>S25]</w:t>
            </w:r>
          </w:p>
        </w:tc>
        <w:tc>
          <w:tcPr>
            <w:tcW w:w="3249" w:type="dxa"/>
          </w:tcPr>
          <w:p w14:paraId="126C8A03" w14:textId="77777777" w:rsidR="00A502D4" w:rsidRDefault="00000000">
            <w:pPr>
              <w:spacing w:before="30" w:after="30" w:line="264" w:lineRule="auto"/>
              <w:jc w:val="left"/>
            </w:pPr>
            <w:r>
              <w:rPr>
                <w:rFonts w:cs="Calibri"/>
                <w:color w:val="46565E"/>
                <w:sz w:val="19"/>
                <w:szCs w:val="19"/>
              </w:rPr>
              <w:t>Largest combined economy among affected states; holds the Anti-Coercion Instrument, never yet activated; MPIA member; CETA partner [S</w:t>
            </w:r>
            <w:proofErr w:type="gramStart"/>
            <w:r>
              <w:rPr>
                <w:rFonts w:cs="Calibri"/>
                <w:color w:val="46565E"/>
                <w:sz w:val="19"/>
                <w:szCs w:val="19"/>
              </w:rPr>
              <w:t>25][</w:t>
            </w:r>
            <w:proofErr w:type="gramEnd"/>
            <w:r>
              <w:rPr>
                <w:rFonts w:cs="Calibri"/>
                <w:color w:val="46565E"/>
                <w:sz w:val="19"/>
                <w:szCs w:val="19"/>
              </w:rPr>
              <w:t>S26]</w:t>
            </w:r>
          </w:p>
        </w:tc>
        <w:tc>
          <w:tcPr>
            <w:tcW w:w="1624" w:type="dxa"/>
          </w:tcPr>
          <w:p w14:paraId="68F755C0" w14:textId="77777777" w:rsidR="00A502D4" w:rsidRDefault="00000000">
            <w:pPr>
              <w:spacing w:before="30" w:after="30" w:line="264" w:lineRule="auto"/>
              <w:jc w:val="left"/>
            </w:pPr>
            <w:r>
              <w:rPr>
                <w:rFonts w:cs="Calibri"/>
                <w:color w:val="46565E"/>
                <w:sz w:val="19"/>
                <w:szCs w:val="19"/>
              </w:rPr>
              <w:t>Tier 2 (Full)</w:t>
            </w:r>
          </w:p>
        </w:tc>
      </w:tr>
    </w:tbl>
    <w:p w14:paraId="1A27607B" w14:textId="77777777" w:rsidR="00A502D4" w:rsidRDefault="00A502D4">
      <w:pPr>
        <w:spacing w:after="160"/>
      </w:pPr>
    </w:p>
    <w:p w14:paraId="73AD1231" w14:textId="77777777" w:rsidR="00A502D4" w:rsidRDefault="00000000">
      <w:r>
        <w:rPr>
          <w:rFonts w:cs="Calibri"/>
          <w:szCs w:val="21"/>
        </w:rPr>
        <w:t>The core four clear the Minimum Viable Coalition threshold, 6 full members and 15 percent of global GDP across 3 regions, on GDP alone once any two additional economies join (Section 10A.2B). Each brings a distinct asset: Canada convenes, the UK lends Commonwealth and diplomatic reach, Mexico locks the North American flank, and the EU contributes regulatory mass, the ACI precedent, and CETA as a working trade template.</w:t>
      </w:r>
    </w:p>
    <w:p w14:paraId="519FD4E4" w14:textId="77777777" w:rsidR="00A502D4" w:rsidRDefault="00000000">
      <w:pPr>
        <w:pStyle w:val="Heading2"/>
      </w:pPr>
      <w:r>
        <w:rPr>
          <w:rFonts w:cs="Calibri"/>
          <w:szCs w:val="26"/>
        </w:rPr>
        <w:t>2.2 The Expansion Map</w:t>
      </w:r>
    </w:p>
    <w:p w14:paraId="7BB708AA" w14:textId="77777777" w:rsidR="00A502D4" w:rsidRDefault="00000000">
      <w:r>
        <w:rPr>
          <w:rFonts w:cs="Calibri"/>
          <w:szCs w:val="21"/>
        </w:rPr>
        <w:t>Beyond the core, outreach runs in four rings, sequenced by exposure and readiness.</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1200"/>
        <w:gridCol w:w="1568"/>
        <w:gridCol w:w="2768"/>
        <w:gridCol w:w="1845"/>
        <w:gridCol w:w="1845"/>
      </w:tblGrid>
      <w:tr w:rsidR="00A502D4" w14:paraId="49D67FAF" w14:textId="77777777">
        <w:trPr>
          <w:cantSplit/>
          <w:tblHeader/>
        </w:trPr>
        <w:tc>
          <w:tcPr>
            <w:tcW w:w="1173" w:type="dxa"/>
            <w:shd w:val="clear" w:color="auto" w:fill="EDF2F4"/>
          </w:tcPr>
          <w:p w14:paraId="37D459CB" w14:textId="77777777" w:rsidR="00A502D4" w:rsidRDefault="00000000">
            <w:pPr>
              <w:spacing w:before="30" w:after="30" w:line="264" w:lineRule="auto"/>
              <w:jc w:val="left"/>
            </w:pPr>
            <w:r>
              <w:rPr>
                <w:rFonts w:cs="Calibri"/>
                <w:b/>
                <w:sz w:val="19"/>
                <w:szCs w:val="19"/>
              </w:rPr>
              <w:t>Ring</w:t>
            </w:r>
          </w:p>
        </w:tc>
        <w:tc>
          <w:tcPr>
            <w:tcW w:w="1534" w:type="dxa"/>
            <w:shd w:val="clear" w:color="auto" w:fill="EDF2F4"/>
          </w:tcPr>
          <w:p w14:paraId="68859A49" w14:textId="77777777" w:rsidR="00A502D4" w:rsidRDefault="00000000">
            <w:pPr>
              <w:spacing w:before="30" w:after="30" w:line="264" w:lineRule="auto"/>
              <w:jc w:val="left"/>
            </w:pPr>
            <w:r>
              <w:rPr>
                <w:rFonts w:cs="Calibri"/>
                <w:b/>
                <w:sz w:val="19"/>
                <w:szCs w:val="19"/>
              </w:rPr>
              <w:t>Economies</w:t>
            </w:r>
          </w:p>
        </w:tc>
        <w:tc>
          <w:tcPr>
            <w:tcW w:w="2707" w:type="dxa"/>
            <w:shd w:val="clear" w:color="auto" w:fill="EDF2F4"/>
          </w:tcPr>
          <w:p w14:paraId="687CBEAE" w14:textId="77777777" w:rsidR="00A502D4" w:rsidRDefault="00000000">
            <w:pPr>
              <w:spacing w:before="30" w:after="30" w:line="264" w:lineRule="auto"/>
              <w:jc w:val="left"/>
            </w:pPr>
            <w:r>
              <w:rPr>
                <w:rFonts w:cs="Calibri"/>
                <w:b/>
                <w:sz w:val="19"/>
                <w:szCs w:val="19"/>
              </w:rPr>
              <w:t>Exposure and rationale</w:t>
            </w:r>
          </w:p>
        </w:tc>
        <w:tc>
          <w:tcPr>
            <w:tcW w:w="1805" w:type="dxa"/>
            <w:shd w:val="clear" w:color="auto" w:fill="EDF2F4"/>
          </w:tcPr>
          <w:p w14:paraId="14AC0316" w14:textId="77777777" w:rsidR="00A502D4" w:rsidRDefault="00000000">
            <w:pPr>
              <w:spacing w:before="30" w:after="30" w:line="264" w:lineRule="auto"/>
              <w:jc w:val="left"/>
            </w:pPr>
            <w:r>
              <w:rPr>
                <w:rFonts w:cs="Calibri"/>
                <w:b/>
                <w:sz w:val="19"/>
                <w:szCs w:val="19"/>
              </w:rPr>
              <w:t>Entry instrument</w:t>
            </w:r>
          </w:p>
        </w:tc>
        <w:tc>
          <w:tcPr>
            <w:tcW w:w="1805" w:type="dxa"/>
            <w:shd w:val="clear" w:color="auto" w:fill="EDF2F4"/>
          </w:tcPr>
          <w:p w14:paraId="25FF2FB8" w14:textId="77777777" w:rsidR="00A502D4" w:rsidRDefault="00000000">
            <w:pPr>
              <w:spacing w:before="30" w:after="30" w:line="264" w:lineRule="auto"/>
              <w:jc w:val="left"/>
            </w:pPr>
            <w:r>
              <w:rPr>
                <w:rFonts w:cs="Calibri"/>
                <w:b/>
                <w:sz w:val="19"/>
                <w:szCs w:val="19"/>
              </w:rPr>
              <w:t>Outreach method</w:t>
            </w:r>
          </w:p>
        </w:tc>
      </w:tr>
      <w:tr w:rsidR="00A502D4" w14:paraId="736EB07C" w14:textId="77777777">
        <w:tc>
          <w:tcPr>
            <w:tcW w:w="1173" w:type="dxa"/>
          </w:tcPr>
          <w:p w14:paraId="44ED2E3F" w14:textId="77777777" w:rsidR="00A502D4" w:rsidRDefault="00000000">
            <w:pPr>
              <w:spacing w:before="30" w:after="30" w:line="264" w:lineRule="auto"/>
              <w:jc w:val="left"/>
            </w:pPr>
            <w:r>
              <w:rPr>
                <w:rFonts w:cs="Calibri"/>
                <w:color w:val="46565E"/>
                <w:sz w:val="19"/>
                <w:szCs w:val="19"/>
              </w:rPr>
              <w:t>Ring 1: Immediate</w:t>
            </w:r>
          </w:p>
        </w:tc>
        <w:tc>
          <w:tcPr>
            <w:tcW w:w="1534" w:type="dxa"/>
          </w:tcPr>
          <w:p w14:paraId="5A140046" w14:textId="77777777" w:rsidR="00A502D4" w:rsidRDefault="00000000">
            <w:pPr>
              <w:spacing w:before="30" w:after="30" w:line="264" w:lineRule="auto"/>
              <w:jc w:val="left"/>
            </w:pPr>
            <w:r>
              <w:rPr>
                <w:rFonts w:cs="Calibri"/>
                <w:color w:val="46565E"/>
                <w:sz w:val="19"/>
                <w:szCs w:val="19"/>
              </w:rPr>
              <w:t>Japan, South Korea, Switzerland</w:t>
            </w:r>
          </w:p>
        </w:tc>
        <w:tc>
          <w:tcPr>
            <w:tcW w:w="2707" w:type="dxa"/>
          </w:tcPr>
          <w:p w14:paraId="4C5B7205" w14:textId="77777777" w:rsidR="00A502D4" w:rsidRDefault="00000000">
            <w:pPr>
              <w:spacing w:before="30" w:after="30" w:line="264" w:lineRule="auto"/>
              <w:jc w:val="left"/>
            </w:pPr>
            <w:r>
              <w:rPr>
                <w:rFonts w:cs="Calibri"/>
                <w:color w:val="46565E"/>
                <w:sz w:val="19"/>
                <w:szCs w:val="19"/>
              </w:rPr>
              <w:t>Section 301 at 12.5 percent net of MFN; all three named in the excess-capacity investigations; deep integration with core economies [S</w:t>
            </w:r>
            <w:proofErr w:type="gramStart"/>
            <w:r>
              <w:rPr>
                <w:rFonts w:cs="Calibri"/>
                <w:color w:val="46565E"/>
                <w:sz w:val="19"/>
                <w:szCs w:val="19"/>
              </w:rPr>
              <w:t>5][</w:t>
            </w:r>
            <w:proofErr w:type="gramEnd"/>
            <w:r>
              <w:rPr>
                <w:rFonts w:cs="Calibri"/>
                <w:color w:val="46565E"/>
                <w:sz w:val="19"/>
                <w:szCs w:val="19"/>
              </w:rPr>
              <w:t>S13]</w:t>
            </w:r>
          </w:p>
        </w:tc>
        <w:tc>
          <w:tcPr>
            <w:tcW w:w="1805" w:type="dxa"/>
          </w:tcPr>
          <w:p w14:paraId="6B31F591" w14:textId="77777777" w:rsidR="00A502D4" w:rsidRDefault="00000000">
            <w:pPr>
              <w:spacing w:before="30" w:after="30" w:line="264" w:lineRule="auto"/>
              <w:jc w:val="left"/>
            </w:pPr>
            <w:r>
              <w:rPr>
                <w:rFonts w:cs="Calibri"/>
                <w:color w:val="46565E"/>
                <w:sz w:val="19"/>
                <w:szCs w:val="19"/>
              </w:rPr>
              <w:t>Founding Observer Track (Section 3.2C): 12 to 24 months, zero escalation obligations, full intelligence and procurement access</w:t>
            </w:r>
          </w:p>
        </w:tc>
        <w:tc>
          <w:tcPr>
            <w:tcW w:w="1805" w:type="dxa"/>
          </w:tcPr>
          <w:p w14:paraId="76A6AE03" w14:textId="77777777" w:rsidR="00A502D4" w:rsidRDefault="00000000">
            <w:pPr>
              <w:spacing w:before="30" w:after="30" w:line="264" w:lineRule="auto"/>
              <w:jc w:val="left"/>
            </w:pPr>
            <w:r>
              <w:rPr>
                <w:rFonts w:cs="Calibri"/>
                <w:color w:val="46565E"/>
                <w:sz w:val="19"/>
                <w:szCs w:val="19"/>
              </w:rPr>
              <w:t>Direct ministerial contact within the first two weeks; offer Observer+ with a named graduation pathway</w:t>
            </w:r>
          </w:p>
        </w:tc>
      </w:tr>
      <w:tr w:rsidR="00A502D4" w14:paraId="0D40F9E1" w14:textId="77777777">
        <w:tc>
          <w:tcPr>
            <w:tcW w:w="1173" w:type="dxa"/>
          </w:tcPr>
          <w:p w14:paraId="78756793" w14:textId="77777777" w:rsidR="00A502D4" w:rsidRDefault="00000000">
            <w:pPr>
              <w:spacing w:before="30" w:after="30" w:line="264" w:lineRule="auto"/>
              <w:jc w:val="left"/>
            </w:pPr>
            <w:r>
              <w:rPr>
                <w:rFonts w:cs="Calibri"/>
                <w:color w:val="46565E"/>
                <w:sz w:val="19"/>
                <w:szCs w:val="19"/>
              </w:rPr>
              <w:t>Ring 2: Rapid</w:t>
            </w:r>
          </w:p>
        </w:tc>
        <w:tc>
          <w:tcPr>
            <w:tcW w:w="1534" w:type="dxa"/>
          </w:tcPr>
          <w:p w14:paraId="4B136D36" w14:textId="77777777" w:rsidR="00A502D4" w:rsidRDefault="00000000">
            <w:pPr>
              <w:spacing w:before="30" w:after="30" w:line="264" w:lineRule="auto"/>
              <w:jc w:val="left"/>
            </w:pPr>
            <w:r>
              <w:rPr>
                <w:rFonts w:cs="Calibri"/>
                <w:color w:val="46565E"/>
                <w:sz w:val="19"/>
                <w:szCs w:val="19"/>
              </w:rPr>
              <w:t>India, Indonesia, Malaysia</w:t>
            </w:r>
          </w:p>
        </w:tc>
        <w:tc>
          <w:tcPr>
            <w:tcW w:w="2707" w:type="dxa"/>
          </w:tcPr>
          <w:p w14:paraId="43517F5E" w14:textId="77777777" w:rsidR="00A502D4" w:rsidRDefault="00000000">
            <w:pPr>
              <w:spacing w:before="30" w:after="30" w:line="264" w:lineRule="auto"/>
              <w:jc w:val="left"/>
            </w:pPr>
            <w:r>
              <w:rPr>
                <w:rFonts w:cs="Calibri"/>
                <w:color w:val="46565E"/>
                <w:sz w:val="19"/>
                <w:szCs w:val="19"/>
              </w:rPr>
              <w:t>Section 301 at 10 percent stacking; India and Indonesia face excess-capacity exposure; large economies actively hedging US pressure [S</w:t>
            </w:r>
            <w:proofErr w:type="gramStart"/>
            <w:r>
              <w:rPr>
                <w:rFonts w:cs="Calibri"/>
                <w:color w:val="46565E"/>
                <w:sz w:val="19"/>
                <w:szCs w:val="19"/>
              </w:rPr>
              <w:t>5][</w:t>
            </w:r>
            <w:proofErr w:type="gramEnd"/>
            <w:r>
              <w:rPr>
                <w:rFonts w:cs="Calibri"/>
                <w:color w:val="46565E"/>
                <w:sz w:val="19"/>
                <w:szCs w:val="19"/>
              </w:rPr>
              <w:t>S13]</w:t>
            </w:r>
          </w:p>
        </w:tc>
        <w:tc>
          <w:tcPr>
            <w:tcW w:w="1805" w:type="dxa"/>
          </w:tcPr>
          <w:p w14:paraId="28900F51" w14:textId="77777777" w:rsidR="00A502D4" w:rsidRDefault="00000000">
            <w:pPr>
              <w:spacing w:before="30" w:after="30" w:line="264" w:lineRule="auto"/>
              <w:jc w:val="left"/>
            </w:pPr>
            <w:r>
              <w:rPr>
                <w:rFonts w:cs="Calibri"/>
                <w:color w:val="46565E"/>
                <w:sz w:val="19"/>
                <w:szCs w:val="19"/>
              </w:rPr>
              <w:t>Tariff Refugee Pathway (Section 3.1A): 90-day zero-obligation window where tariffs exceed 10 percent on 25 percent of exports; Tariff Shock Accession Window for Tier 1 in 14 days</w:t>
            </w:r>
          </w:p>
        </w:tc>
        <w:tc>
          <w:tcPr>
            <w:tcW w:w="1805" w:type="dxa"/>
          </w:tcPr>
          <w:p w14:paraId="39A86BEB" w14:textId="77777777" w:rsidR="00A502D4" w:rsidRDefault="00000000">
            <w:pPr>
              <w:spacing w:before="30" w:after="30" w:line="264" w:lineRule="auto"/>
              <w:jc w:val="left"/>
            </w:pPr>
            <w:r>
              <w:rPr>
                <w:rFonts w:cs="Calibri"/>
                <w:color w:val="46565E"/>
                <w:sz w:val="19"/>
                <w:szCs w:val="19"/>
              </w:rPr>
              <w:t>Ministerial démarche plus technical-assistance offer; Protective Association (Section 3.9) for India as critical-input supplier</w:t>
            </w:r>
          </w:p>
        </w:tc>
      </w:tr>
      <w:tr w:rsidR="00A502D4" w14:paraId="13D94873" w14:textId="77777777">
        <w:tc>
          <w:tcPr>
            <w:tcW w:w="1173" w:type="dxa"/>
          </w:tcPr>
          <w:p w14:paraId="10BEE89C" w14:textId="77777777" w:rsidR="00A502D4" w:rsidRDefault="00000000">
            <w:pPr>
              <w:spacing w:before="30" w:after="30" w:line="264" w:lineRule="auto"/>
              <w:jc w:val="left"/>
            </w:pPr>
            <w:r>
              <w:rPr>
                <w:rFonts w:cs="Calibri"/>
                <w:color w:val="46565E"/>
                <w:sz w:val="19"/>
                <w:szCs w:val="19"/>
              </w:rPr>
              <w:t>Ring 3: Scope expansion</w:t>
            </w:r>
          </w:p>
        </w:tc>
        <w:tc>
          <w:tcPr>
            <w:tcW w:w="1534" w:type="dxa"/>
          </w:tcPr>
          <w:p w14:paraId="06EE612C" w14:textId="77777777" w:rsidR="00A502D4" w:rsidRDefault="00000000">
            <w:pPr>
              <w:spacing w:before="30" w:after="30" w:line="264" w:lineRule="auto"/>
              <w:jc w:val="left"/>
            </w:pPr>
            <w:r>
              <w:rPr>
                <w:rFonts w:cs="Calibri"/>
                <w:color w:val="46565E"/>
                <w:sz w:val="19"/>
                <w:szCs w:val="19"/>
              </w:rPr>
              <w:t xml:space="preserve">Brazil, Argentina, Norway, New Zealand, Singapore, Thailand, Türkiye, Vietnam, and other affected </w:t>
            </w:r>
            <w:r>
              <w:rPr>
                <w:rFonts w:cs="Calibri"/>
                <w:color w:val="46565E"/>
                <w:sz w:val="19"/>
                <w:szCs w:val="19"/>
              </w:rPr>
              <w:lastRenderedPageBreak/>
              <w:t>economies</w:t>
            </w:r>
          </w:p>
        </w:tc>
        <w:tc>
          <w:tcPr>
            <w:tcW w:w="2707" w:type="dxa"/>
          </w:tcPr>
          <w:p w14:paraId="021286D1" w14:textId="77777777" w:rsidR="00A502D4" w:rsidRDefault="00000000">
            <w:pPr>
              <w:spacing w:before="30" w:after="30" w:line="264" w:lineRule="auto"/>
              <w:jc w:val="left"/>
            </w:pPr>
            <w:r>
              <w:rPr>
                <w:rFonts w:cs="Calibri"/>
                <w:color w:val="46565E"/>
                <w:sz w:val="19"/>
                <w:szCs w:val="19"/>
              </w:rPr>
              <w:lastRenderedPageBreak/>
              <w:t>12.5 percent stacking tier or named investigations; Brazil and Norway carry MPIA membership and Global South credibility [S</w:t>
            </w:r>
            <w:proofErr w:type="gramStart"/>
            <w:r>
              <w:rPr>
                <w:rFonts w:cs="Calibri"/>
                <w:color w:val="46565E"/>
                <w:sz w:val="19"/>
                <w:szCs w:val="19"/>
              </w:rPr>
              <w:t>5][</w:t>
            </w:r>
            <w:proofErr w:type="gramEnd"/>
            <w:r>
              <w:rPr>
                <w:rFonts w:cs="Calibri"/>
                <w:color w:val="46565E"/>
                <w:sz w:val="19"/>
                <w:szCs w:val="19"/>
              </w:rPr>
              <w:t>S</w:t>
            </w:r>
            <w:proofErr w:type="gramStart"/>
            <w:r>
              <w:rPr>
                <w:rFonts w:cs="Calibri"/>
                <w:color w:val="46565E"/>
                <w:sz w:val="19"/>
                <w:szCs w:val="19"/>
              </w:rPr>
              <w:t>6][</w:t>
            </w:r>
            <w:proofErr w:type="gramEnd"/>
            <w:r>
              <w:rPr>
                <w:rFonts w:cs="Calibri"/>
                <w:color w:val="46565E"/>
                <w:sz w:val="19"/>
                <w:szCs w:val="19"/>
              </w:rPr>
              <w:t>S13]</w:t>
            </w:r>
          </w:p>
        </w:tc>
        <w:tc>
          <w:tcPr>
            <w:tcW w:w="1805" w:type="dxa"/>
          </w:tcPr>
          <w:p w14:paraId="1BCAAB63" w14:textId="77777777" w:rsidR="00A502D4" w:rsidRDefault="00000000">
            <w:pPr>
              <w:spacing w:before="30" w:after="30" w:line="264" w:lineRule="auto"/>
              <w:jc w:val="left"/>
            </w:pPr>
            <w:r>
              <w:rPr>
                <w:rFonts w:cs="Calibri"/>
                <w:color w:val="46565E"/>
                <w:sz w:val="19"/>
                <w:szCs w:val="19"/>
              </w:rPr>
              <w:t xml:space="preserve">Observer+ access; Emergency Accession Protocol (Section 3.15) on certified threat; Southern Partnership Track (Section 3.1B) </w:t>
            </w:r>
            <w:r>
              <w:rPr>
                <w:rFonts w:cs="Calibri"/>
                <w:color w:val="46565E"/>
                <w:sz w:val="19"/>
                <w:szCs w:val="19"/>
              </w:rPr>
              <w:lastRenderedPageBreak/>
              <w:t>for eligible states</w:t>
            </w:r>
          </w:p>
        </w:tc>
        <w:tc>
          <w:tcPr>
            <w:tcW w:w="1805" w:type="dxa"/>
          </w:tcPr>
          <w:p w14:paraId="491DB5EE" w14:textId="77777777" w:rsidR="00A502D4" w:rsidRDefault="00000000">
            <w:pPr>
              <w:spacing w:before="30" w:after="30" w:line="264" w:lineRule="auto"/>
              <w:jc w:val="left"/>
            </w:pPr>
            <w:r>
              <w:rPr>
                <w:rFonts w:cs="Calibri"/>
                <w:color w:val="46565E"/>
                <w:sz w:val="19"/>
                <w:szCs w:val="19"/>
              </w:rPr>
              <w:lastRenderedPageBreak/>
              <w:t>Multilateral announcement at the founding conference; standing open accession</w:t>
            </w:r>
          </w:p>
        </w:tc>
      </w:tr>
      <w:tr w:rsidR="00A502D4" w14:paraId="32C1E341" w14:textId="77777777">
        <w:tc>
          <w:tcPr>
            <w:tcW w:w="1173" w:type="dxa"/>
          </w:tcPr>
          <w:p w14:paraId="11BD2737" w14:textId="77777777" w:rsidR="00A502D4" w:rsidRDefault="00000000">
            <w:pPr>
              <w:spacing w:before="30" w:after="30" w:line="264" w:lineRule="auto"/>
              <w:jc w:val="left"/>
            </w:pPr>
            <w:r>
              <w:rPr>
                <w:rFonts w:cs="Calibri"/>
                <w:color w:val="46565E"/>
                <w:sz w:val="19"/>
                <w:szCs w:val="19"/>
              </w:rPr>
              <w:t>Ring 4: Strategic dialogue</w:t>
            </w:r>
          </w:p>
        </w:tc>
        <w:tc>
          <w:tcPr>
            <w:tcW w:w="1534" w:type="dxa"/>
          </w:tcPr>
          <w:p w14:paraId="20962EBE" w14:textId="77777777" w:rsidR="00A502D4" w:rsidRDefault="00000000">
            <w:pPr>
              <w:spacing w:before="30" w:after="30" w:line="264" w:lineRule="auto"/>
              <w:jc w:val="left"/>
            </w:pPr>
            <w:r>
              <w:rPr>
                <w:rFonts w:cs="Calibri"/>
                <w:color w:val="46565E"/>
                <w:sz w:val="19"/>
                <w:szCs w:val="19"/>
              </w:rPr>
              <w:t>China</w:t>
            </w:r>
          </w:p>
        </w:tc>
        <w:tc>
          <w:tcPr>
            <w:tcW w:w="2707" w:type="dxa"/>
          </w:tcPr>
          <w:p w14:paraId="3C8BE69F" w14:textId="77777777" w:rsidR="00A502D4" w:rsidRDefault="00000000">
            <w:pPr>
              <w:spacing w:before="30" w:after="30" w:line="264" w:lineRule="auto"/>
              <w:jc w:val="left"/>
            </w:pPr>
            <w:r>
              <w:rPr>
                <w:rFonts w:cs="Calibri"/>
                <w:color w:val="46565E"/>
                <w:sz w:val="19"/>
                <w:szCs w:val="19"/>
              </w:rPr>
              <w:t>Aggregate Section 301 burden of 37.5 percent; repeated 100 percent additional-tariff threats; shared interest in rules-based response, offset by the US threat of 100 percent tariffs on Canada over any Canada-China trade deal [S</w:t>
            </w:r>
            <w:proofErr w:type="gramStart"/>
            <w:r>
              <w:rPr>
                <w:rFonts w:cs="Calibri"/>
                <w:color w:val="46565E"/>
                <w:sz w:val="19"/>
                <w:szCs w:val="19"/>
              </w:rPr>
              <w:t>5][</w:t>
            </w:r>
            <w:proofErr w:type="gramEnd"/>
            <w:r>
              <w:rPr>
                <w:rFonts w:cs="Calibri"/>
                <w:color w:val="46565E"/>
                <w:sz w:val="19"/>
                <w:szCs w:val="19"/>
              </w:rPr>
              <w:t>S19]</w:t>
            </w:r>
          </w:p>
        </w:tc>
        <w:tc>
          <w:tcPr>
            <w:tcW w:w="1805" w:type="dxa"/>
          </w:tcPr>
          <w:p w14:paraId="5E1B330F" w14:textId="77777777" w:rsidR="00A502D4" w:rsidRDefault="00000000">
            <w:pPr>
              <w:spacing w:before="30" w:after="30" w:line="264" w:lineRule="auto"/>
              <w:jc w:val="left"/>
            </w:pPr>
            <w:r>
              <w:rPr>
                <w:rFonts w:cs="Calibri"/>
                <w:color w:val="46565E"/>
                <w:sz w:val="19"/>
                <w:szCs w:val="19"/>
              </w:rPr>
              <w:t>Systemic-Economy Cooperation Track (Section 9.5): structured engagement without membership; quarterly briefings, joint stress tests</w:t>
            </w:r>
          </w:p>
        </w:tc>
        <w:tc>
          <w:tcPr>
            <w:tcW w:w="1805" w:type="dxa"/>
          </w:tcPr>
          <w:p w14:paraId="5482A35C" w14:textId="77777777" w:rsidR="00A502D4" w:rsidRDefault="00000000">
            <w:pPr>
              <w:spacing w:before="30" w:after="30" w:line="264" w:lineRule="auto"/>
              <w:jc w:val="left"/>
            </w:pPr>
            <w:r>
              <w:rPr>
                <w:rFonts w:cs="Calibri"/>
                <w:color w:val="46565E"/>
                <w:sz w:val="19"/>
                <w:szCs w:val="19"/>
              </w:rPr>
              <w:t xml:space="preserve">Quiet, fully logged engagement through the Strategic Dialogue channel; no accession </w:t>
            </w:r>
            <w:proofErr w:type="gramStart"/>
            <w:r>
              <w:rPr>
                <w:rFonts w:cs="Calibri"/>
                <w:color w:val="46565E"/>
                <w:sz w:val="19"/>
                <w:szCs w:val="19"/>
              </w:rPr>
              <w:t>offer</w:t>
            </w:r>
            <w:proofErr w:type="gramEnd"/>
            <w:r>
              <w:rPr>
                <w:rFonts w:cs="Calibri"/>
                <w:color w:val="46565E"/>
                <w:sz w:val="19"/>
                <w:szCs w:val="19"/>
              </w:rPr>
              <w:t xml:space="preserve"> at founding</w:t>
            </w:r>
          </w:p>
        </w:tc>
      </w:tr>
    </w:tbl>
    <w:p w14:paraId="5337FE7E" w14:textId="77777777" w:rsidR="00A502D4" w:rsidRDefault="00A502D4">
      <w:pPr>
        <w:spacing w:after="160"/>
      </w:pPr>
    </w:p>
    <w:p w14:paraId="262B055C" w14:textId="77777777" w:rsidR="00A502D4" w:rsidRDefault="00000000">
      <w:pPr>
        <w:pStyle w:val="Heading2"/>
      </w:pPr>
      <w:r>
        <w:rPr>
          <w:rFonts w:cs="Calibri"/>
          <w:szCs w:val="26"/>
        </w:rPr>
        <w:t>2.3 The MPEP Bridge</w:t>
      </w:r>
    </w:p>
    <w:p w14:paraId="5B796F3D" w14:textId="77777777" w:rsidR="00A502D4" w:rsidRDefault="00000000">
      <w:r>
        <w:rPr>
          <w:rFonts w:cs="Calibri"/>
          <w:szCs w:val="21"/>
        </w:rPr>
        <w:t>Canada does not start from zero. The government already advances a middle-power economic partnership concept that bridges the CPTPP and the European Union, a rules-based alignment of roughly 1.5 billion people and approximately USD 30 trillion in combined output, with a 20-economy core spanning Japan, Korea, Australia, New Zealand, Singapore, Mexico, Chile, the UK, and leading EU member states [S23]. The MPEP constituency and the IMESI founding constituency overlap almost completely. The bridge strategy converts MPEP consultation into IMESI commitment: the same sherpa network, the same ministerial relationships, and the same diversification rationale now gain an insurance mechanism with legal teeth. Canada frames IMESI inside MPEP discussions as the defensive pillar of the diversification agenda, not as a competing initiative.</w:t>
      </w:r>
    </w:p>
    <w:p w14:paraId="5CAD68AD" w14:textId="77777777" w:rsidR="00A502D4" w:rsidRDefault="00000000">
      <w:pPr>
        <w:pStyle w:val="Heading2"/>
      </w:pPr>
      <w:r>
        <w:rPr>
          <w:rFonts w:cs="Calibri"/>
          <w:szCs w:val="26"/>
        </w:rPr>
        <w:t>2.4 Entry Instruments: The Right Door for Each Partner</w:t>
      </w:r>
    </w:p>
    <w:p w14:paraId="039595CF" w14:textId="77777777" w:rsidR="00A502D4" w:rsidRDefault="00000000">
      <w:r>
        <w:rPr>
          <w:rFonts w:cs="Calibri"/>
          <w:szCs w:val="21"/>
        </w:rPr>
        <w:t>IMESI v15.0 provides a graduated entry system; the founding strategy matches each partner's politics to the lowest-friction door, then lets the architecture's graduation logic pull members upward.</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1846"/>
        <w:gridCol w:w="1845"/>
        <w:gridCol w:w="3875"/>
        <w:gridCol w:w="1660"/>
      </w:tblGrid>
      <w:tr w:rsidR="00A502D4" w14:paraId="0D2D220F" w14:textId="77777777">
        <w:trPr>
          <w:cantSplit/>
          <w:tblHeader/>
        </w:trPr>
        <w:tc>
          <w:tcPr>
            <w:tcW w:w="1805" w:type="dxa"/>
            <w:shd w:val="clear" w:color="auto" w:fill="EDF2F4"/>
          </w:tcPr>
          <w:p w14:paraId="1CA0DB53" w14:textId="77777777" w:rsidR="00A502D4" w:rsidRDefault="00000000">
            <w:pPr>
              <w:spacing w:before="30" w:after="30" w:line="264" w:lineRule="auto"/>
              <w:jc w:val="left"/>
            </w:pPr>
            <w:r>
              <w:rPr>
                <w:rFonts w:cs="Calibri"/>
                <w:b/>
                <w:sz w:val="19"/>
                <w:szCs w:val="19"/>
              </w:rPr>
              <w:t>Instrument</w:t>
            </w:r>
          </w:p>
        </w:tc>
        <w:tc>
          <w:tcPr>
            <w:tcW w:w="1805" w:type="dxa"/>
            <w:shd w:val="clear" w:color="auto" w:fill="EDF2F4"/>
          </w:tcPr>
          <w:p w14:paraId="620AD0AC" w14:textId="77777777" w:rsidR="00A502D4" w:rsidRDefault="00000000">
            <w:pPr>
              <w:spacing w:before="30" w:after="30" w:line="264" w:lineRule="auto"/>
              <w:jc w:val="left"/>
            </w:pPr>
            <w:r>
              <w:rPr>
                <w:rFonts w:cs="Calibri"/>
                <w:b/>
                <w:sz w:val="19"/>
                <w:szCs w:val="19"/>
              </w:rPr>
              <w:t>Provision</w:t>
            </w:r>
          </w:p>
        </w:tc>
        <w:tc>
          <w:tcPr>
            <w:tcW w:w="3790" w:type="dxa"/>
            <w:shd w:val="clear" w:color="auto" w:fill="EDF2F4"/>
          </w:tcPr>
          <w:p w14:paraId="53F4484D" w14:textId="77777777" w:rsidR="00A502D4" w:rsidRDefault="00000000">
            <w:pPr>
              <w:spacing w:before="30" w:after="30" w:line="264" w:lineRule="auto"/>
              <w:jc w:val="left"/>
            </w:pPr>
            <w:r>
              <w:rPr>
                <w:rFonts w:cs="Calibri"/>
                <w:b/>
                <w:sz w:val="19"/>
                <w:szCs w:val="19"/>
              </w:rPr>
              <w:t>What the entrant receives</w:t>
            </w:r>
          </w:p>
        </w:tc>
        <w:tc>
          <w:tcPr>
            <w:tcW w:w="1624" w:type="dxa"/>
            <w:shd w:val="clear" w:color="auto" w:fill="EDF2F4"/>
          </w:tcPr>
          <w:p w14:paraId="5D868870" w14:textId="77777777" w:rsidR="00A502D4" w:rsidRDefault="00000000">
            <w:pPr>
              <w:spacing w:before="30" w:after="30" w:line="264" w:lineRule="auto"/>
              <w:jc w:val="left"/>
            </w:pPr>
            <w:r>
              <w:rPr>
                <w:rFonts w:cs="Calibri"/>
                <w:b/>
                <w:sz w:val="19"/>
                <w:szCs w:val="19"/>
              </w:rPr>
              <w:t>Best fit</w:t>
            </w:r>
          </w:p>
        </w:tc>
      </w:tr>
      <w:tr w:rsidR="00A502D4" w14:paraId="5FF9E89B" w14:textId="77777777">
        <w:tc>
          <w:tcPr>
            <w:tcW w:w="1805" w:type="dxa"/>
          </w:tcPr>
          <w:p w14:paraId="1780461C" w14:textId="77777777" w:rsidR="00A502D4" w:rsidRDefault="00000000">
            <w:pPr>
              <w:spacing w:before="30" w:after="30" w:line="264" w:lineRule="auto"/>
              <w:jc w:val="left"/>
            </w:pPr>
            <w:r>
              <w:rPr>
                <w:rFonts w:cs="Calibri"/>
                <w:color w:val="46565E"/>
                <w:sz w:val="19"/>
                <w:szCs w:val="19"/>
              </w:rPr>
              <w:t>Founding Coalition Pledge</w:t>
            </w:r>
          </w:p>
        </w:tc>
        <w:tc>
          <w:tcPr>
            <w:tcW w:w="1805" w:type="dxa"/>
          </w:tcPr>
          <w:p w14:paraId="2F0E5D8A" w14:textId="77777777" w:rsidR="00A502D4" w:rsidRDefault="00000000">
            <w:pPr>
              <w:spacing w:before="30" w:after="30" w:line="264" w:lineRule="auto"/>
              <w:jc w:val="left"/>
            </w:pPr>
            <w:r>
              <w:rPr>
                <w:rFonts w:cs="Calibri"/>
                <w:color w:val="46565E"/>
                <w:sz w:val="19"/>
                <w:szCs w:val="19"/>
              </w:rPr>
              <w:t>Annex 22</w:t>
            </w:r>
          </w:p>
        </w:tc>
        <w:tc>
          <w:tcPr>
            <w:tcW w:w="3790" w:type="dxa"/>
          </w:tcPr>
          <w:p w14:paraId="552747E8" w14:textId="77777777" w:rsidR="00A502D4" w:rsidRDefault="00000000">
            <w:pPr>
              <w:spacing w:before="30" w:after="30" w:line="264" w:lineRule="auto"/>
              <w:jc w:val="left"/>
            </w:pPr>
            <w:r>
              <w:rPr>
                <w:rFonts w:cs="Calibri"/>
                <w:color w:val="46565E"/>
                <w:sz w:val="19"/>
                <w:szCs w:val="19"/>
              </w:rPr>
              <w:t>Non-binding political declaration; immediate Observer+ status, intelligence access, joint procurement, SFI humanitarian window from Day 1 (Section 3.1A Transitional Access Window)</w:t>
            </w:r>
          </w:p>
        </w:tc>
        <w:tc>
          <w:tcPr>
            <w:tcW w:w="1624" w:type="dxa"/>
          </w:tcPr>
          <w:p w14:paraId="5EFE61C7" w14:textId="77777777" w:rsidR="00A502D4" w:rsidRDefault="00000000">
            <w:pPr>
              <w:spacing w:before="30" w:after="30" w:line="264" w:lineRule="auto"/>
              <w:jc w:val="left"/>
            </w:pPr>
            <w:r>
              <w:rPr>
                <w:rFonts w:cs="Calibri"/>
                <w:color w:val="46565E"/>
                <w:sz w:val="19"/>
                <w:szCs w:val="19"/>
              </w:rPr>
              <w:t>Core four at the founding conference</w:t>
            </w:r>
          </w:p>
        </w:tc>
      </w:tr>
      <w:tr w:rsidR="00A502D4" w14:paraId="5B3DED23" w14:textId="77777777">
        <w:tc>
          <w:tcPr>
            <w:tcW w:w="1805" w:type="dxa"/>
          </w:tcPr>
          <w:p w14:paraId="115D6FEF" w14:textId="77777777" w:rsidR="00A502D4" w:rsidRDefault="00000000">
            <w:pPr>
              <w:spacing w:before="30" w:after="30" w:line="264" w:lineRule="auto"/>
              <w:jc w:val="left"/>
            </w:pPr>
            <w:r>
              <w:rPr>
                <w:rFonts w:cs="Calibri"/>
                <w:color w:val="46565E"/>
                <w:sz w:val="19"/>
                <w:szCs w:val="19"/>
              </w:rPr>
              <w:t>Emergency Accession Protocol</w:t>
            </w:r>
          </w:p>
        </w:tc>
        <w:tc>
          <w:tcPr>
            <w:tcW w:w="1805" w:type="dxa"/>
          </w:tcPr>
          <w:p w14:paraId="489BCD56" w14:textId="77777777" w:rsidR="00A502D4" w:rsidRDefault="00000000">
            <w:pPr>
              <w:spacing w:before="30" w:after="30" w:line="264" w:lineRule="auto"/>
              <w:jc w:val="left"/>
            </w:pPr>
            <w:r>
              <w:rPr>
                <w:rFonts w:cs="Calibri"/>
                <w:color w:val="46565E"/>
                <w:sz w:val="19"/>
                <w:szCs w:val="19"/>
              </w:rPr>
              <w:t>Section 3.15</w:t>
            </w:r>
          </w:p>
        </w:tc>
        <w:tc>
          <w:tcPr>
            <w:tcW w:w="3790" w:type="dxa"/>
          </w:tcPr>
          <w:p w14:paraId="1C2127D9" w14:textId="77777777" w:rsidR="00A502D4" w:rsidRDefault="00000000">
            <w:pPr>
              <w:spacing w:before="30" w:after="30" w:line="264" w:lineRule="auto"/>
              <w:jc w:val="left"/>
            </w:pPr>
            <w:r>
              <w:rPr>
                <w:rFonts w:cs="Calibri"/>
                <w:color w:val="46565E"/>
                <w:sz w:val="19"/>
                <w:szCs w:val="19"/>
              </w:rPr>
              <w:t>72-hour expedited review; Tier 0 on application; Tier 1 on 0.05 percent GDP deposit; at Rapid Expansion level, 24-hour review, 7-day Tier 1 accession, 12-month contribution holiday, cap suspended</w:t>
            </w:r>
          </w:p>
        </w:tc>
        <w:tc>
          <w:tcPr>
            <w:tcW w:w="1624" w:type="dxa"/>
          </w:tcPr>
          <w:p w14:paraId="3F026DDF" w14:textId="77777777" w:rsidR="00A502D4" w:rsidRDefault="00000000">
            <w:pPr>
              <w:spacing w:before="30" w:after="30" w:line="264" w:lineRule="auto"/>
              <w:jc w:val="left"/>
            </w:pPr>
            <w:r>
              <w:rPr>
                <w:rFonts w:cs="Calibri"/>
                <w:color w:val="46565E"/>
                <w:sz w:val="19"/>
                <w:szCs w:val="19"/>
              </w:rPr>
              <w:t>Any state under certified tariff threat</w:t>
            </w:r>
          </w:p>
        </w:tc>
      </w:tr>
      <w:tr w:rsidR="00A502D4" w14:paraId="087E2AA2" w14:textId="77777777">
        <w:tc>
          <w:tcPr>
            <w:tcW w:w="1805" w:type="dxa"/>
          </w:tcPr>
          <w:p w14:paraId="71BF2B7B" w14:textId="77777777" w:rsidR="00A502D4" w:rsidRDefault="00000000">
            <w:pPr>
              <w:spacing w:before="30" w:after="30" w:line="264" w:lineRule="auto"/>
              <w:jc w:val="left"/>
            </w:pPr>
            <w:r>
              <w:rPr>
                <w:rFonts w:cs="Calibri"/>
                <w:color w:val="46565E"/>
                <w:sz w:val="19"/>
                <w:szCs w:val="19"/>
              </w:rPr>
              <w:t>Tariff Shock Accession Window</w:t>
            </w:r>
          </w:p>
        </w:tc>
        <w:tc>
          <w:tcPr>
            <w:tcW w:w="1805" w:type="dxa"/>
          </w:tcPr>
          <w:p w14:paraId="4DF410BC" w14:textId="77777777" w:rsidR="00A502D4" w:rsidRDefault="00000000">
            <w:pPr>
              <w:spacing w:before="30" w:after="30" w:line="264" w:lineRule="auto"/>
              <w:jc w:val="left"/>
            </w:pPr>
            <w:r>
              <w:rPr>
                <w:rFonts w:cs="Calibri"/>
                <w:color w:val="46565E"/>
                <w:sz w:val="19"/>
                <w:szCs w:val="19"/>
              </w:rPr>
              <w:t>Section 3.1A (v9.3)</w:t>
            </w:r>
          </w:p>
        </w:tc>
        <w:tc>
          <w:tcPr>
            <w:tcW w:w="3790" w:type="dxa"/>
          </w:tcPr>
          <w:p w14:paraId="2732CA4D" w14:textId="77777777" w:rsidR="00A502D4" w:rsidRDefault="00000000">
            <w:pPr>
              <w:spacing w:before="30" w:after="30" w:line="264" w:lineRule="auto"/>
              <w:jc w:val="left"/>
            </w:pPr>
            <w:r>
              <w:rPr>
                <w:rFonts w:cs="Calibri"/>
                <w:color w:val="46565E"/>
                <w:sz w:val="19"/>
                <w:szCs w:val="19"/>
              </w:rPr>
              <w:t>Tier 1 within 14 days for any WTO member facing tariff increases above 10 points on over 15 percent of exports; 6-month contribution holiday</w:t>
            </w:r>
          </w:p>
        </w:tc>
        <w:tc>
          <w:tcPr>
            <w:tcW w:w="1624" w:type="dxa"/>
          </w:tcPr>
          <w:p w14:paraId="6287A2D2" w14:textId="77777777" w:rsidR="00A502D4" w:rsidRDefault="00000000">
            <w:pPr>
              <w:spacing w:before="30" w:after="30" w:line="264" w:lineRule="auto"/>
              <w:jc w:val="left"/>
            </w:pPr>
            <w:r>
              <w:rPr>
                <w:rFonts w:cs="Calibri"/>
                <w:color w:val="46565E"/>
                <w:sz w:val="19"/>
                <w:szCs w:val="19"/>
              </w:rPr>
              <w:t>Economies under documented shock, incl. Ring 2</w:t>
            </w:r>
          </w:p>
        </w:tc>
      </w:tr>
      <w:tr w:rsidR="00A502D4" w14:paraId="084A3B52" w14:textId="77777777">
        <w:tc>
          <w:tcPr>
            <w:tcW w:w="1805" w:type="dxa"/>
          </w:tcPr>
          <w:p w14:paraId="6B36423F" w14:textId="77777777" w:rsidR="00A502D4" w:rsidRDefault="00000000">
            <w:pPr>
              <w:spacing w:before="30" w:after="30" w:line="264" w:lineRule="auto"/>
              <w:jc w:val="left"/>
            </w:pPr>
            <w:r>
              <w:rPr>
                <w:rFonts w:cs="Calibri"/>
                <w:color w:val="46565E"/>
                <w:sz w:val="19"/>
                <w:szCs w:val="19"/>
              </w:rPr>
              <w:lastRenderedPageBreak/>
              <w:t>Extended Tariff Refugee Pathway</w:t>
            </w:r>
          </w:p>
        </w:tc>
        <w:tc>
          <w:tcPr>
            <w:tcW w:w="1805" w:type="dxa"/>
          </w:tcPr>
          <w:p w14:paraId="1B9849F9" w14:textId="77777777" w:rsidR="00A502D4" w:rsidRDefault="00000000">
            <w:pPr>
              <w:spacing w:before="30" w:after="30" w:line="264" w:lineRule="auto"/>
              <w:jc w:val="left"/>
            </w:pPr>
            <w:r>
              <w:rPr>
                <w:rFonts w:cs="Calibri"/>
                <w:color w:val="46565E"/>
                <w:sz w:val="19"/>
                <w:szCs w:val="19"/>
              </w:rPr>
              <w:t>Section 3.1A (v9.3A)</w:t>
            </w:r>
          </w:p>
        </w:tc>
        <w:tc>
          <w:tcPr>
            <w:tcW w:w="3790" w:type="dxa"/>
          </w:tcPr>
          <w:p w14:paraId="3C5A9C44" w14:textId="77777777" w:rsidR="00A502D4" w:rsidRDefault="00000000">
            <w:pPr>
              <w:spacing w:before="30" w:after="30" w:line="264" w:lineRule="auto"/>
              <w:jc w:val="left"/>
            </w:pPr>
            <w:r>
              <w:rPr>
                <w:rFonts w:cs="Calibri"/>
                <w:color w:val="46565E"/>
                <w:sz w:val="19"/>
                <w:szCs w:val="19"/>
              </w:rPr>
              <w:t>90-day zero-obligation Observer+ window with SFI humanitarian access and IEWC intelligence for states facing disruption above 10 percent on 25 percent of exports</w:t>
            </w:r>
          </w:p>
        </w:tc>
        <w:tc>
          <w:tcPr>
            <w:tcW w:w="1624" w:type="dxa"/>
          </w:tcPr>
          <w:p w14:paraId="7B29A920" w14:textId="77777777" w:rsidR="00A502D4" w:rsidRDefault="00000000">
            <w:pPr>
              <w:spacing w:before="30" w:after="30" w:line="264" w:lineRule="auto"/>
              <w:jc w:val="left"/>
            </w:pPr>
            <w:r>
              <w:rPr>
                <w:rFonts w:cs="Calibri"/>
                <w:color w:val="46565E"/>
                <w:sz w:val="19"/>
                <w:szCs w:val="19"/>
              </w:rPr>
              <w:t>Partners unable to commit domestically yet</w:t>
            </w:r>
          </w:p>
        </w:tc>
      </w:tr>
      <w:tr w:rsidR="00A502D4" w14:paraId="288F276A" w14:textId="77777777">
        <w:tc>
          <w:tcPr>
            <w:tcW w:w="1805" w:type="dxa"/>
          </w:tcPr>
          <w:p w14:paraId="22D274A9" w14:textId="77777777" w:rsidR="00A502D4" w:rsidRDefault="00000000">
            <w:pPr>
              <w:spacing w:before="30" w:after="30" w:line="264" w:lineRule="auto"/>
              <w:jc w:val="left"/>
            </w:pPr>
            <w:r>
              <w:rPr>
                <w:rFonts w:cs="Calibri"/>
                <w:color w:val="46565E"/>
                <w:sz w:val="19"/>
                <w:szCs w:val="19"/>
              </w:rPr>
              <w:t>Founding Observer Track</w:t>
            </w:r>
          </w:p>
        </w:tc>
        <w:tc>
          <w:tcPr>
            <w:tcW w:w="1805" w:type="dxa"/>
          </w:tcPr>
          <w:p w14:paraId="7ED22FE3" w14:textId="77777777" w:rsidR="00A502D4" w:rsidRDefault="00000000">
            <w:pPr>
              <w:spacing w:before="30" w:after="30" w:line="264" w:lineRule="auto"/>
              <w:jc w:val="left"/>
            </w:pPr>
            <w:r>
              <w:rPr>
                <w:rFonts w:cs="Calibri"/>
                <w:color w:val="46565E"/>
                <w:sz w:val="19"/>
                <w:szCs w:val="19"/>
              </w:rPr>
              <w:t>Section 3.2C</w:t>
            </w:r>
          </w:p>
        </w:tc>
        <w:tc>
          <w:tcPr>
            <w:tcW w:w="3790" w:type="dxa"/>
          </w:tcPr>
          <w:p w14:paraId="60841604" w14:textId="77777777" w:rsidR="00A502D4" w:rsidRDefault="00000000">
            <w:pPr>
              <w:spacing w:before="30" w:after="30" w:line="264" w:lineRule="auto"/>
              <w:jc w:val="left"/>
            </w:pPr>
            <w:r>
              <w:rPr>
                <w:rFonts w:cs="Calibri"/>
                <w:color w:val="46565E"/>
                <w:sz w:val="19"/>
                <w:szCs w:val="19"/>
              </w:rPr>
              <w:t>12 to 24 months trial participation, zero obligations, CC attendance with voice but no vote</w:t>
            </w:r>
          </w:p>
        </w:tc>
        <w:tc>
          <w:tcPr>
            <w:tcW w:w="1624" w:type="dxa"/>
          </w:tcPr>
          <w:p w14:paraId="464D8FB7" w14:textId="77777777" w:rsidR="00A502D4" w:rsidRDefault="00000000">
            <w:pPr>
              <w:spacing w:before="30" w:after="30" w:line="264" w:lineRule="auto"/>
              <w:jc w:val="left"/>
            </w:pPr>
            <w:r>
              <w:rPr>
                <w:rFonts w:cs="Calibri"/>
                <w:color w:val="46565E"/>
                <w:sz w:val="19"/>
                <w:szCs w:val="19"/>
              </w:rPr>
              <w:t>Japan, Korea, Switzerland, cautious EU member states</w:t>
            </w:r>
          </w:p>
        </w:tc>
      </w:tr>
      <w:tr w:rsidR="00A502D4" w14:paraId="484FC747" w14:textId="77777777">
        <w:tc>
          <w:tcPr>
            <w:tcW w:w="1805" w:type="dxa"/>
          </w:tcPr>
          <w:p w14:paraId="16E7CF5F" w14:textId="77777777" w:rsidR="00A502D4" w:rsidRDefault="00000000">
            <w:pPr>
              <w:spacing w:before="30" w:after="30" w:line="264" w:lineRule="auto"/>
              <w:jc w:val="left"/>
            </w:pPr>
            <w:r>
              <w:rPr>
                <w:rFonts w:cs="Calibri"/>
                <w:color w:val="46565E"/>
                <w:sz w:val="19"/>
                <w:szCs w:val="19"/>
              </w:rPr>
              <w:t>Protective Association</w:t>
            </w:r>
          </w:p>
        </w:tc>
        <w:tc>
          <w:tcPr>
            <w:tcW w:w="1805" w:type="dxa"/>
          </w:tcPr>
          <w:p w14:paraId="560B3C63" w14:textId="77777777" w:rsidR="00A502D4" w:rsidRDefault="00000000">
            <w:pPr>
              <w:spacing w:before="30" w:after="30" w:line="264" w:lineRule="auto"/>
              <w:jc w:val="left"/>
            </w:pPr>
            <w:r>
              <w:rPr>
                <w:rFonts w:cs="Calibri"/>
                <w:color w:val="46565E"/>
                <w:sz w:val="19"/>
                <w:szCs w:val="19"/>
              </w:rPr>
              <w:t>Section 3.9</w:t>
            </w:r>
          </w:p>
        </w:tc>
        <w:tc>
          <w:tcPr>
            <w:tcW w:w="3790" w:type="dxa"/>
          </w:tcPr>
          <w:p w14:paraId="081889BF" w14:textId="77777777" w:rsidR="00A502D4" w:rsidRDefault="00000000">
            <w:pPr>
              <w:spacing w:before="30" w:after="30" w:line="264" w:lineRule="auto"/>
              <w:jc w:val="left"/>
            </w:pPr>
            <w:r>
              <w:rPr>
                <w:rFonts w:cs="Calibri"/>
                <w:color w:val="46565E"/>
                <w:sz w:val="19"/>
                <w:szCs w:val="19"/>
              </w:rPr>
              <w:t>For non-members supplying over 5 percent of any Tier 1 strategic sector: intelligence sharing, SFI access, Fund access at 50 percent of member rates</w:t>
            </w:r>
          </w:p>
        </w:tc>
        <w:tc>
          <w:tcPr>
            <w:tcW w:w="1624" w:type="dxa"/>
          </w:tcPr>
          <w:p w14:paraId="30690774" w14:textId="77777777" w:rsidR="00A502D4" w:rsidRDefault="00000000">
            <w:pPr>
              <w:spacing w:before="30" w:after="30" w:line="264" w:lineRule="auto"/>
              <w:jc w:val="left"/>
            </w:pPr>
            <w:r>
              <w:rPr>
                <w:rFonts w:cs="Calibri"/>
                <w:color w:val="46565E"/>
                <w:sz w:val="19"/>
                <w:szCs w:val="19"/>
              </w:rPr>
              <w:t>India and critical-input suppliers</w:t>
            </w:r>
          </w:p>
        </w:tc>
      </w:tr>
      <w:tr w:rsidR="00A502D4" w14:paraId="008A8B01" w14:textId="77777777">
        <w:tc>
          <w:tcPr>
            <w:tcW w:w="1805" w:type="dxa"/>
          </w:tcPr>
          <w:p w14:paraId="379CDC57" w14:textId="77777777" w:rsidR="00A502D4" w:rsidRDefault="00000000">
            <w:pPr>
              <w:spacing w:before="30" w:after="30" w:line="264" w:lineRule="auto"/>
              <w:jc w:val="left"/>
            </w:pPr>
            <w:r>
              <w:rPr>
                <w:rFonts w:cs="Calibri"/>
                <w:color w:val="46565E"/>
                <w:sz w:val="19"/>
                <w:szCs w:val="19"/>
              </w:rPr>
              <w:t>Emergency Protection Facility</w:t>
            </w:r>
          </w:p>
        </w:tc>
        <w:tc>
          <w:tcPr>
            <w:tcW w:w="1805" w:type="dxa"/>
          </w:tcPr>
          <w:p w14:paraId="17BDBE83" w14:textId="77777777" w:rsidR="00A502D4" w:rsidRDefault="00000000">
            <w:pPr>
              <w:spacing w:before="30" w:after="30" w:line="264" w:lineRule="auto"/>
              <w:jc w:val="left"/>
            </w:pPr>
            <w:r>
              <w:rPr>
                <w:rFonts w:cs="Calibri"/>
                <w:color w:val="46565E"/>
                <w:sz w:val="19"/>
                <w:szCs w:val="19"/>
              </w:rPr>
              <w:t>Section 3.1D</w:t>
            </w:r>
          </w:p>
        </w:tc>
        <w:tc>
          <w:tcPr>
            <w:tcW w:w="3790" w:type="dxa"/>
          </w:tcPr>
          <w:p w14:paraId="65427750" w14:textId="77777777" w:rsidR="00A502D4" w:rsidRDefault="00000000">
            <w:pPr>
              <w:spacing w:before="30" w:after="30" w:line="264" w:lineRule="auto"/>
              <w:jc w:val="left"/>
            </w:pPr>
            <w:r>
              <w:rPr>
                <w:rFonts w:cs="Calibri"/>
                <w:color w:val="46565E"/>
                <w:sz w:val="19"/>
                <w:szCs w:val="19"/>
              </w:rPr>
              <w:t>90 days of bridging loans to 0.1 percent of GDP, supply-chain mapping, SFI window</w:t>
            </w:r>
          </w:p>
        </w:tc>
        <w:tc>
          <w:tcPr>
            <w:tcW w:w="1624" w:type="dxa"/>
          </w:tcPr>
          <w:p w14:paraId="41E81C18" w14:textId="77777777" w:rsidR="00A502D4" w:rsidRDefault="00000000">
            <w:pPr>
              <w:spacing w:before="30" w:after="30" w:line="264" w:lineRule="auto"/>
              <w:jc w:val="left"/>
            </w:pPr>
            <w:r>
              <w:rPr>
                <w:rFonts w:cs="Calibri"/>
                <w:color w:val="46565E"/>
                <w:sz w:val="19"/>
                <w:szCs w:val="19"/>
              </w:rPr>
              <w:t>Any applicant facing fresh coercion for engaging IMESI</w:t>
            </w:r>
          </w:p>
        </w:tc>
      </w:tr>
    </w:tbl>
    <w:p w14:paraId="5E036760" w14:textId="77777777" w:rsidR="00A502D4" w:rsidRDefault="00A502D4">
      <w:pPr>
        <w:spacing w:after="160"/>
      </w:pPr>
    </w:p>
    <w:p w14:paraId="43A1A8B0" w14:textId="77777777" w:rsidR="00A502D4" w:rsidRDefault="00000000">
      <w:r>
        <w:rPr>
          <w:rFonts w:cs="Calibri"/>
          <w:szCs w:val="21"/>
        </w:rPr>
        <w:t>Two provisions protect the founders themselves. The First-Mover Protection Window reserves 10 to 15 percent of capitalised reserves for the first 10 ratifying states that face retaliation for joining (Section 8.9D), and the Prospective Member Shield extends Observer+ protections from the date of application to any state coerced for considering membership (Section 3.15 Addendum). Canada's message to every candidate: joining costs nothing at entry, and pressure applied for joining triggers protection, not exposure.</w:t>
      </w:r>
    </w:p>
    <w:p w14:paraId="2BD152F0" w14:textId="77777777" w:rsidR="00A502D4" w:rsidRDefault="00000000">
      <w:pPr>
        <w:pStyle w:val="Heading2"/>
      </w:pPr>
      <w:r>
        <w:rPr>
          <w:rFonts w:cs="Calibri"/>
          <w:szCs w:val="26"/>
        </w:rPr>
        <w:t xml:space="preserve">2.5 The Mexico File: Pre-Positioning the Solidarity </w:t>
      </w:r>
      <w:proofErr w:type="gramStart"/>
      <w:r>
        <w:rPr>
          <w:rFonts w:cs="Calibri"/>
          <w:szCs w:val="26"/>
        </w:rPr>
        <w:t>Counter-Offer</w:t>
      </w:r>
      <w:proofErr w:type="gramEnd"/>
    </w:p>
    <w:p w14:paraId="1867835A" w14:textId="77777777" w:rsidR="00A502D4" w:rsidRDefault="00000000">
      <w:r>
        <w:rPr>
          <w:rFonts w:cs="Calibri"/>
          <w:szCs w:val="21"/>
        </w:rPr>
        <w:t>Mexico is the strongest founding candidate and the most fragile one at the same time. Mexico City conducts live bilateral talks with Washington today, carries the deepest USMCA exposure of any candidate, and holds less institutional insulation than London or Brussels [S7]. Section 2.1 treats Mexico as a core Tier 2 founder; this section treats Mexico as the partner the coalition works hardest to hold.</w:t>
      </w:r>
    </w:p>
    <w:p w14:paraId="5626D615" w14:textId="77777777" w:rsidR="00A502D4" w:rsidRDefault="00000000">
      <w:r>
        <w:rPr>
          <w:rFonts w:cs="Calibri"/>
          <w:szCs w:val="21"/>
        </w:rPr>
        <w:t xml:space="preserve">The timing risk runs on two clocks. The Emergency Track targets Pledge signature on Day 6 to 8. The bilateral track runs on Washington's clock. The founding cell plans against two concrete scenarios. In the first, Mexico signs the Pledge on August </w:t>
      </w:r>
      <w:proofErr w:type="gramStart"/>
      <w:r>
        <w:rPr>
          <w:rFonts w:cs="Calibri"/>
          <w:szCs w:val="21"/>
        </w:rPr>
        <w:t>15</w:t>
      </w:r>
      <w:proofErr w:type="gramEnd"/>
      <w:r>
        <w:rPr>
          <w:rFonts w:cs="Calibri"/>
          <w:szCs w:val="21"/>
        </w:rPr>
        <w:t xml:space="preserve"> and the United States tables a bilateral deal on August 18 with a decision window measured in hours. In the second, the bilateral talks accelerate during week one and Mexico City concludes that IMESI complicates its negotiating position before the Pledge ever reaches the table.</w:t>
      </w:r>
    </w:p>
    <w:p w14:paraId="2AEFBAEC" w14:textId="77777777" w:rsidR="00A502D4" w:rsidRDefault="00000000">
      <w:r>
        <w:rPr>
          <w:rFonts w:cs="Calibri"/>
          <w:szCs w:val="21"/>
        </w:rPr>
        <w:t xml:space="preserve">The answer is sequencing, not persuasion. The Solidarity </w:t>
      </w:r>
      <w:proofErr w:type="gramStart"/>
      <w:r>
        <w:rPr>
          <w:rFonts w:cs="Calibri"/>
          <w:szCs w:val="21"/>
        </w:rPr>
        <w:t>Counter-Offer</w:t>
      </w:r>
      <w:proofErr w:type="gramEnd"/>
      <w:r>
        <w:rPr>
          <w:rFonts w:cs="Calibri"/>
          <w:szCs w:val="21"/>
        </w:rPr>
        <w:t xml:space="preserve"> (Section 6.12G) reaches Mexico City before any American offer, delivered jointly with Brussels inside the first 72 hours of the Emergency Track. A Mexico that already holds shelter negotiates with Washington from cover. A Mexico that weighs </w:t>
      </w:r>
      <w:r>
        <w:rPr>
          <w:rFonts w:cs="Calibri"/>
          <w:szCs w:val="21"/>
        </w:rPr>
        <w:lastRenderedPageBreak/>
        <w:t>an American offer against an unsigned Pledge negotiates from exposure. The value of pre-positioning sits entirely in that difference.</w:t>
      </w:r>
    </w:p>
    <w:p w14:paraId="49E2BAAA" w14:textId="77777777" w:rsidR="00A502D4" w:rsidRDefault="00000000">
      <w:r>
        <w:rPr>
          <w:rFonts w:cs="Calibri"/>
          <w:szCs w:val="21"/>
        </w:rPr>
        <w:t xml:space="preserve">The </w:t>
      </w:r>
      <w:proofErr w:type="gramStart"/>
      <w:r>
        <w:rPr>
          <w:rFonts w:cs="Calibri"/>
          <w:szCs w:val="21"/>
        </w:rPr>
        <w:t>counter-offer</w:t>
      </w:r>
      <w:proofErr w:type="gramEnd"/>
      <w:r>
        <w:rPr>
          <w:rFonts w:cs="Calibri"/>
          <w:szCs w:val="21"/>
        </w:rPr>
        <w:t xml:space="preserve"> draws on provisions that activate on signature rather than ratification, so Mexico gains measurable protection the day it signs:</w:t>
      </w:r>
    </w:p>
    <w:p w14:paraId="1A1FD7D0" w14:textId="77777777" w:rsidR="00A502D4" w:rsidRDefault="00000000">
      <w:pPr>
        <w:numPr>
          <w:ilvl w:val="0"/>
          <w:numId w:val="1"/>
        </w:numPr>
        <w:spacing w:after="120"/>
      </w:pPr>
      <w:r>
        <w:rPr>
          <w:rFonts w:cs="Calibri"/>
          <w:b/>
          <w:szCs w:val="21"/>
        </w:rPr>
        <w:t>Prospective Member Shield (Section 3.15 Addendum).</w:t>
      </w:r>
      <w:r>
        <w:rPr>
          <w:rFonts w:cs="Calibri"/>
          <w:szCs w:val="21"/>
        </w:rPr>
        <w:t xml:space="preserve"> Observer+ protections extend to Mexico from the date of application; coercion against Mexico for engaging IMESI triggers the Emergency Protection Facility and expedited support automatically.</w:t>
      </w:r>
    </w:p>
    <w:p w14:paraId="52A7080D" w14:textId="77777777" w:rsidR="00A502D4" w:rsidRDefault="00000000">
      <w:pPr>
        <w:numPr>
          <w:ilvl w:val="0"/>
          <w:numId w:val="1"/>
        </w:numPr>
        <w:spacing w:after="120"/>
      </w:pPr>
      <w:r>
        <w:rPr>
          <w:rFonts w:cs="Calibri"/>
          <w:b/>
          <w:szCs w:val="21"/>
        </w:rPr>
        <w:t>Tier 2 entry with a Tier 3 track.</w:t>
      </w:r>
      <w:r>
        <w:rPr>
          <w:rFonts w:cs="Calibri"/>
          <w:szCs w:val="21"/>
        </w:rPr>
        <w:t xml:space="preserve"> Mexico enters as a Full Member with a defined upgrade path to Enhanced Solidarity, and the First-Mover Protection Window (Section 8.9D) locks founding terms against later dilution.</w:t>
      </w:r>
    </w:p>
    <w:p w14:paraId="6CECAB1E" w14:textId="77777777" w:rsidR="00A502D4" w:rsidRDefault="00000000">
      <w:pPr>
        <w:numPr>
          <w:ilvl w:val="0"/>
          <w:numId w:val="1"/>
        </w:numPr>
        <w:spacing w:after="120"/>
      </w:pPr>
      <w:r>
        <w:rPr>
          <w:rFonts w:cs="Calibri"/>
          <w:b/>
          <w:szCs w:val="21"/>
        </w:rPr>
        <w:t>Emergency Protection Facility access (Section 3.1D).</w:t>
      </w:r>
      <w:r>
        <w:rPr>
          <w:rFonts w:cs="Calibri"/>
          <w:szCs w:val="21"/>
        </w:rPr>
        <w:t xml:space="preserve"> Ninety days of bridging loans to 0.1 percent of GDP, supply-chain mapping, and the SFI window match the facility to Mexico's tariff exposure; SFI setup accepts in-kind contributions from founding movers, so Mexico pays no cash premium for shelter.</w:t>
      </w:r>
    </w:p>
    <w:p w14:paraId="4E6D9A47" w14:textId="77777777" w:rsidR="00A502D4" w:rsidRDefault="00000000">
      <w:pPr>
        <w:numPr>
          <w:ilvl w:val="0"/>
          <w:numId w:val="1"/>
        </w:numPr>
        <w:spacing w:after="120"/>
      </w:pPr>
      <w:r>
        <w:rPr>
          <w:rFonts w:cs="Calibri"/>
          <w:b/>
          <w:szCs w:val="21"/>
        </w:rPr>
        <w:t>The agricultural exporter exercise (Annex 13).</w:t>
      </w:r>
      <w:r>
        <w:rPr>
          <w:rFonts w:cs="Calibri"/>
          <w:szCs w:val="21"/>
        </w:rPr>
        <w:t xml:space="preserve"> The pilot runs its first live stress test on the agricultural-exporter scenario with Mexican agri-food exposure as the working case, delivering visible value in Mexico's most politically sensitive sector.</w:t>
      </w:r>
    </w:p>
    <w:p w14:paraId="5DC483B6" w14:textId="77777777" w:rsidR="00A502D4" w:rsidRDefault="00000000">
      <w:pPr>
        <w:numPr>
          <w:ilvl w:val="0"/>
          <w:numId w:val="1"/>
        </w:numPr>
        <w:spacing w:after="120"/>
      </w:pPr>
      <w:r>
        <w:rPr>
          <w:rFonts w:cs="Calibri"/>
          <w:b/>
          <w:szCs w:val="21"/>
        </w:rPr>
        <w:t>A joint Canada-EU delivery.</w:t>
      </w:r>
      <w:r>
        <w:rPr>
          <w:rFonts w:cs="Calibri"/>
          <w:szCs w:val="21"/>
        </w:rPr>
        <w:t xml:space="preserve"> Brussels co-signs the package. The joint approach raises the value of the coalition side without raising Canada's cost, and it shows Mexico City that more than one capital stands behind the offer.</w:t>
      </w:r>
    </w:p>
    <w:p w14:paraId="56FDC8DD" w14:textId="77777777" w:rsidR="00A502D4" w:rsidRDefault="00000000">
      <w:r>
        <w:rPr>
          <w:rFonts w:cs="Calibri"/>
          <w:b/>
          <w:szCs w:val="21"/>
        </w:rPr>
        <w:t>The comparison Mexico City runs.</w:t>
      </w:r>
      <w:r>
        <w:rPr>
          <w:rFonts w:cs="Calibri"/>
          <w:szCs w:val="21"/>
        </w:rPr>
        <w:t xml:space="preserve"> Mexico's negotiators weigh two offers in August. The American offer reduces tariffs on Mexican goods in exchange for policy alignment, and Washington holds the pen on its terms, its duration, and its enforcement. The coalition offer delivers immediate collective shelter, locks founding terms permanently under Section 8.9D, and multiplies Mexican leverage in every future Washington negotiation because Mexico no longer negotiates alone. The founding cell's task is to place this comparison on the table in Mexico City before the American offer lands, not after.</w:t>
      </w:r>
    </w:p>
    <w:p w14:paraId="610FA7C4" w14:textId="77777777" w:rsidR="00A502D4" w:rsidRDefault="00000000">
      <w:r>
        <w:rPr>
          <w:rFonts w:cs="Calibri"/>
          <w:szCs w:val="21"/>
        </w:rPr>
        <w:t>If Mexico accepts a bilateral deal anyway, the Partner Decline Protocol (Section 2.6) applies without drama. The coalition proceeds, Mexico's seat stays open under the Founding Observer Track (Section 3.2C), and the Extended Tariff Refugee Pathway (Section 3.1A) remains available for the day the bilateral deal fails to hold. No public recrimination follows. The media line states that the door stays open, because it does.</w:t>
      </w:r>
    </w:p>
    <w:p w14:paraId="30A3F01B" w14:textId="77777777" w:rsidR="00A502D4" w:rsidRDefault="00000000">
      <w:pPr>
        <w:pStyle w:val="Heading2"/>
      </w:pPr>
      <w:r>
        <w:rPr>
          <w:rFonts w:cs="Calibri"/>
          <w:szCs w:val="26"/>
        </w:rPr>
        <w:t>2.6 The Partner Decline Protocol</w:t>
      </w:r>
    </w:p>
    <w:p w14:paraId="1C3F16D9" w14:textId="77777777" w:rsidR="00A502D4" w:rsidRDefault="00000000">
      <w:r>
        <w:rPr>
          <w:rFonts w:cs="Calibri"/>
          <w:szCs w:val="21"/>
        </w:rPr>
        <w:t xml:space="preserve">The founding design assumes that some candidates say no. The Pledge binds nobody, the Minimum Viable Coalition thresholds (Section 10A.2B) tolerate substitution across rings, and the accession architecture keeps every declined seat open. This protocol gives each sherpa team a pre-agreed response to a decline, so no capital improvises under pressure. Three principles govern every case: the coalition is </w:t>
      </w:r>
      <w:r>
        <w:rPr>
          <w:rFonts w:cs="Calibri"/>
          <w:szCs w:val="21"/>
        </w:rPr>
        <w:lastRenderedPageBreak/>
        <w:t>never hostage to a single member, a decline is reversible at any time, and signature rewards the mover rather than the waiter.</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1291"/>
        <w:gridCol w:w="2953"/>
        <w:gridCol w:w="3322"/>
        <w:gridCol w:w="1660"/>
      </w:tblGrid>
      <w:tr w:rsidR="00A502D4" w14:paraId="3AE11630" w14:textId="77777777">
        <w:trPr>
          <w:cantSplit/>
          <w:tblHeader/>
        </w:trPr>
        <w:tc>
          <w:tcPr>
            <w:tcW w:w="1263" w:type="dxa"/>
            <w:shd w:val="clear" w:color="auto" w:fill="EDF2F4"/>
          </w:tcPr>
          <w:p w14:paraId="3B5C50E8" w14:textId="77777777" w:rsidR="00A502D4" w:rsidRDefault="00000000">
            <w:pPr>
              <w:spacing w:before="30" w:after="30" w:line="264" w:lineRule="auto"/>
              <w:jc w:val="left"/>
            </w:pPr>
            <w:r>
              <w:rPr>
                <w:rFonts w:cs="Calibri"/>
                <w:b/>
                <w:sz w:val="19"/>
                <w:szCs w:val="19"/>
              </w:rPr>
              <w:t>Declining partner</w:t>
            </w:r>
          </w:p>
        </w:tc>
        <w:tc>
          <w:tcPr>
            <w:tcW w:w="2888" w:type="dxa"/>
            <w:shd w:val="clear" w:color="auto" w:fill="EDF2F4"/>
          </w:tcPr>
          <w:p w14:paraId="5F98B875" w14:textId="77777777" w:rsidR="00A502D4" w:rsidRDefault="00000000">
            <w:pPr>
              <w:spacing w:before="30" w:after="30" w:line="264" w:lineRule="auto"/>
              <w:jc w:val="left"/>
            </w:pPr>
            <w:r>
              <w:rPr>
                <w:rFonts w:cs="Calibri"/>
                <w:b/>
                <w:sz w:val="19"/>
                <w:szCs w:val="19"/>
              </w:rPr>
              <w:t>The scenario</w:t>
            </w:r>
          </w:p>
        </w:tc>
        <w:tc>
          <w:tcPr>
            <w:tcW w:w="3249" w:type="dxa"/>
            <w:shd w:val="clear" w:color="auto" w:fill="EDF2F4"/>
          </w:tcPr>
          <w:p w14:paraId="00E95B17" w14:textId="77777777" w:rsidR="00A502D4" w:rsidRDefault="00000000">
            <w:pPr>
              <w:spacing w:before="30" w:after="30" w:line="264" w:lineRule="auto"/>
              <w:jc w:val="left"/>
            </w:pPr>
            <w:r>
              <w:rPr>
                <w:rFonts w:cs="Calibri"/>
                <w:b/>
                <w:sz w:val="19"/>
                <w:szCs w:val="19"/>
              </w:rPr>
              <w:t>Canada's response</w:t>
            </w:r>
          </w:p>
        </w:tc>
        <w:tc>
          <w:tcPr>
            <w:tcW w:w="1624" w:type="dxa"/>
            <w:shd w:val="clear" w:color="auto" w:fill="EDF2F4"/>
          </w:tcPr>
          <w:p w14:paraId="13583B21" w14:textId="77777777" w:rsidR="00A502D4" w:rsidRDefault="00000000">
            <w:pPr>
              <w:spacing w:before="30" w:after="30" w:line="264" w:lineRule="auto"/>
              <w:jc w:val="left"/>
            </w:pPr>
            <w:r>
              <w:rPr>
                <w:rFonts w:cs="Calibri"/>
                <w:b/>
                <w:sz w:val="19"/>
                <w:szCs w:val="19"/>
              </w:rPr>
              <w:t>Coalition effect</w:t>
            </w:r>
          </w:p>
        </w:tc>
      </w:tr>
      <w:tr w:rsidR="00A502D4" w14:paraId="06EC9944" w14:textId="77777777">
        <w:trPr>
          <w:cantSplit/>
          <w:tblHeader/>
        </w:trPr>
        <w:tc>
          <w:tcPr>
            <w:tcW w:w="1263" w:type="dxa"/>
            <w:shd w:val="clear" w:color="auto" w:fill="EDF2F4"/>
          </w:tcPr>
          <w:p w14:paraId="681D136D" w14:textId="77777777" w:rsidR="00A502D4" w:rsidRDefault="00000000">
            <w:pPr>
              <w:spacing w:before="30" w:after="30" w:line="264" w:lineRule="auto"/>
              <w:jc w:val="left"/>
            </w:pPr>
            <w:r>
              <w:rPr>
                <w:rFonts w:cs="Calibri"/>
                <w:b/>
                <w:color w:val="46565E"/>
                <w:sz w:val="19"/>
                <w:szCs w:val="19"/>
              </w:rPr>
              <w:t>Mexico</w:t>
            </w:r>
          </w:p>
        </w:tc>
        <w:tc>
          <w:tcPr>
            <w:tcW w:w="2888" w:type="dxa"/>
            <w:shd w:val="clear" w:color="auto" w:fill="EDF2F4"/>
          </w:tcPr>
          <w:p w14:paraId="3E7F38FB" w14:textId="77777777" w:rsidR="00A502D4" w:rsidRDefault="00000000">
            <w:pPr>
              <w:spacing w:before="30" w:after="30" w:line="264" w:lineRule="auto"/>
              <w:jc w:val="left"/>
            </w:pPr>
            <w:r>
              <w:rPr>
                <w:rFonts w:cs="Calibri"/>
                <w:b/>
                <w:color w:val="46565E"/>
                <w:sz w:val="19"/>
                <w:szCs w:val="19"/>
              </w:rPr>
              <w:t>Mexico City accepts a bilateral US deal and declines the Pledge</w:t>
            </w:r>
          </w:p>
        </w:tc>
        <w:tc>
          <w:tcPr>
            <w:tcW w:w="3249" w:type="dxa"/>
            <w:shd w:val="clear" w:color="auto" w:fill="EDF2F4"/>
          </w:tcPr>
          <w:p w14:paraId="31B9BCBE" w14:textId="77777777" w:rsidR="00A502D4" w:rsidRDefault="00000000">
            <w:pPr>
              <w:spacing w:before="30" w:after="30" w:line="264" w:lineRule="auto"/>
              <w:jc w:val="left"/>
            </w:pPr>
            <w:r>
              <w:rPr>
                <w:rFonts w:cs="Calibri"/>
                <w:b/>
                <w:color w:val="46565E"/>
                <w:sz w:val="19"/>
                <w:szCs w:val="19"/>
              </w:rPr>
              <w:t>Canada proceeds with the United Kingdom, the European Union, and Japan as the signing core; Ring 1 invitations to Japan, Korea, and Switzerland shift from standing to immediate; Mexico's seat stays open under Section 3.2C and the Tariff Refugee Pathway stays available</w:t>
            </w:r>
          </w:p>
        </w:tc>
        <w:tc>
          <w:tcPr>
            <w:tcW w:w="1624" w:type="dxa"/>
            <w:shd w:val="clear" w:color="auto" w:fill="EDF2F4"/>
          </w:tcPr>
          <w:p w14:paraId="3D8A8A68" w14:textId="77777777" w:rsidR="00A502D4" w:rsidRDefault="00000000">
            <w:pPr>
              <w:spacing w:before="30" w:after="30" w:line="264" w:lineRule="auto"/>
              <w:jc w:val="left"/>
            </w:pPr>
            <w:r>
              <w:rPr>
                <w:rFonts w:cs="Calibri"/>
                <w:b/>
                <w:color w:val="46565E"/>
                <w:sz w:val="19"/>
                <w:szCs w:val="19"/>
              </w:rPr>
              <w:t>The core plus Ring 1 clears the Minimum Viable Coalition: six members, 15 percent of global GDP, three regions</w:t>
            </w:r>
          </w:p>
        </w:tc>
      </w:tr>
      <w:tr w:rsidR="00A502D4" w14:paraId="332031A9" w14:textId="77777777">
        <w:trPr>
          <w:cantSplit/>
          <w:tblHeader/>
        </w:trPr>
        <w:tc>
          <w:tcPr>
            <w:tcW w:w="1263" w:type="dxa"/>
            <w:shd w:val="clear" w:color="auto" w:fill="EDF2F4"/>
          </w:tcPr>
          <w:p w14:paraId="3DC0853E" w14:textId="77777777" w:rsidR="00A502D4" w:rsidRDefault="00000000">
            <w:pPr>
              <w:spacing w:before="30" w:after="30" w:line="264" w:lineRule="auto"/>
              <w:jc w:val="left"/>
            </w:pPr>
            <w:r>
              <w:rPr>
                <w:rFonts w:cs="Calibri"/>
                <w:b/>
                <w:color w:val="46565E"/>
                <w:sz w:val="19"/>
                <w:szCs w:val="19"/>
              </w:rPr>
              <w:t>United Kingdom</w:t>
            </w:r>
          </w:p>
        </w:tc>
        <w:tc>
          <w:tcPr>
            <w:tcW w:w="2888" w:type="dxa"/>
            <w:shd w:val="clear" w:color="auto" w:fill="EDF2F4"/>
          </w:tcPr>
          <w:p w14:paraId="1DC47690" w14:textId="77777777" w:rsidR="00A502D4" w:rsidRDefault="00000000">
            <w:pPr>
              <w:spacing w:before="30" w:after="30" w:line="264" w:lineRule="auto"/>
              <w:jc w:val="left"/>
            </w:pPr>
            <w:r>
              <w:rPr>
                <w:rFonts w:cs="Calibri"/>
                <w:b/>
                <w:color w:val="46565E"/>
                <w:sz w:val="19"/>
                <w:szCs w:val="19"/>
              </w:rPr>
              <w:t>Parliament delays ratification beyond the pilot launch</w:t>
            </w:r>
          </w:p>
        </w:tc>
        <w:tc>
          <w:tcPr>
            <w:tcW w:w="3249" w:type="dxa"/>
            <w:shd w:val="clear" w:color="auto" w:fill="EDF2F4"/>
          </w:tcPr>
          <w:p w14:paraId="15054064" w14:textId="77777777" w:rsidR="00A502D4" w:rsidRDefault="00000000">
            <w:pPr>
              <w:spacing w:before="30" w:after="30" w:line="264" w:lineRule="auto"/>
              <w:jc w:val="left"/>
            </w:pPr>
            <w:r>
              <w:rPr>
                <w:rFonts w:cs="Calibri"/>
                <w:b/>
                <w:color w:val="46565E"/>
                <w:sz w:val="19"/>
                <w:szCs w:val="19"/>
              </w:rPr>
              <w:t>The pilot proceeds on schedule; the United Kingdom enters through the Founding Observer Track with automatic upgrade on ratification; London keeps the pilot office, since hosting is an executive act rather than a ratified commitment</w:t>
            </w:r>
          </w:p>
        </w:tc>
        <w:tc>
          <w:tcPr>
            <w:tcW w:w="1624" w:type="dxa"/>
            <w:shd w:val="clear" w:color="auto" w:fill="EDF2F4"/>
          </w:tcPr>
          <w:p w14:paraId="0583FA26" w14:textId="77777777" w:rsidR="00A502D4" w:rsidRDefault="00000000">
            <w:pPr>
              <w:spacing w:before="30" w:after="30" w:line="264" w:lineRule="auto"/>
              <w:jc w:val="left"/>
            </w:pPr>
            <w:r>
              <w:rPr>
                <w:rFonts w:cs="Calibri"/>
                <w:b/>
                <w:color w:val="46565E"/>
                <w:sz w:val="19"/>
                <w:szCs w:val="19"/>
              </w:rPr>
              <w:t>No change to the launch date; the Phase-0 Core Profile (Section 10A.2) runs on Canada, the European Union, Mexico, and Japan in the interim</w:t>
            </w:r>
          </w:p>
        </w:tc>
      </w:tr>
      <w:tr w:rsidR="00A502D4" w14:paraId="5C4F3C9C" w14:textId="77777777">
        <w:trPr>
          <w:cantSplit/>
          <w:tblHeader/>
        </w:trPr>
        <w:tc>
          <w:tcPr>
            <w:tcW w:w="1263" w:type="dxa"/>
            <w:shd w:val="clear" w:color="auto" w:fill="EDF2F4"/>
          </w:tcPr>
          <w:p w14:paraId="751E0086" w14:textId="77777777" w:rsidR="00A502D4" w:rsidRDefault="00000000">
            <w:pPr>
              <w:spacing w:before="30" w:after="30" w:line="264" w:lineRule="auto"/>
              <w:jc w:val="left"/>
            </w:pPr>
            <w:r>
              <w:rPr>
                <w:rFonts w:cs="Calibri"/>
                <w:b/>
                <w:color w:val="46565E"/>
                <w:sz w:val="19"/>
                <w:szCs w:val="19"/>
              </w:rPr>
              <w:t>European Union</w:t>
            </w:r>
          </w:p>
        </w:tc>
        <w:tc>
          <w:tcPr>
            <w:tcW w:w="2888" w:type="dxa"/>
            <w:shd w:val="clear" w:color="auto" w:fill="EDF2F4"/>
          </w:tcPr>
          <w:p w14:paraId="1B07169C" w14:textId="77777777" w:rsidR="00A502D4" w:rsidRDefault="00000000">
            <w:pPr>
              <w:spacing w:before="30" w:after="30" w:line="264" w:lineRule="auto"/>
              <w:jc w:val="left"/>
            </w:pPr>
            <w:r>
              <w:rPr>
                <w:rFonts w:cs="Calibri"/>
                <w:b/>
                <w:color w:val="46565E"/>
                <w:sz w:val="19"/>
                <w:szCs w:val="19"/>
              </w:rPr>
              <w:t>Brussels chooses Anti-Coercion Instrument activation over IMESI accession</w:t>
            </w:r>
          </w:p>
        </w:tc>
        <w:tc>
          <w:tcPr>
            <w:tcW w:w="3249" w:type="dxa"/>
            <w:shd w:val="clear" w:color="auto" w:fill="EDF2F4"/>
          </w:tcPr>
          <w:p w14:paraId="79FB10F2" w14:textId="77777777" w:rsidR="00A502D4" w:rsidRDefault="00000000">
            <w:pPr>
              <w:spacing w:before="30" w:after="30" w:line="264" w:lineRule="auto"/>
              <w:jc w:val="left"/>
            </w:pPr>
            <w:r>
              <w:rPr>
                <w:rFonts w:cs="Calibri"/>
                <w:b/>
                <w:color w:val="46565E"/>
                <w:sz w:val="19"/>
                <w:szCs w:val="19"/>
              </w:rPr>
              <w:t>Canada treats ACI activation as complementary cover, proposes the ACI-IMESI interoperability protocol from Pathway Five, and runs a core of Canada, the United Kingdom, Mexico, and Japan; the European Union enters at Associate Tier 1 on its own timetable</w:t>
            </w:r>
          </w:p>
        </w:tc>
        <w:tc>
          <w:tcPr>
            <w:tcW w:w="1624" w:type="dxa"/>
            <w:shd w:val="clear" w:color="auto" w:fill="EDF2F4"/>
          </w:tcPr>
          <w:p w14:paraId="2FC60F8C" w14:textId="77777777" w:rsidR="00A502D4" w:rsidRDefault="00000000">
            <w:pPr>
              <w:spacing w:before="30" w:after="30" w:line="264" w:lineRule="auto"/>
              <w:jc w:val="left"/>
            </w:pPr>
            <w:r>
              <w:rPr>
                <w:rFonts w:cs="Calibri"/>
                <w:b/>
                <w:color w:val="46565E"/>
                <w:sz w:val="19"/>
                <w:szCs w:val="19"/>
              </w:rPr>
              <w:t>The thresholds hold through Ring 1 substitution; the Brussels track converts from founding membership to associate membership instead of closing</w:t>
            </w:r>
          </w:p>
        </w:tc>
      </w:tr>
      <w:tr w:rsidR="00A502D4" w14:paraId="5EF41B91" w14:textId="77777777">
        <w:trPr>
          <w:cantSplit/>
          <w:tblHeader/>
        </w:trPr>
        <w:tc>
          <w:tcPr>
            <w:tcW w:w="1263" w:type="dxa"/>
            <w:shd w:val="clear" w:color="auto" w:fill="EDF2F4"/>
          </w:tcPr>
          <w:p w14:paraId="66D502D6" w14:textId="77777777" w:rsidR="00A502D4" w:rsidRDefault="00000000">
            <w:pPr>
              <w:spacing w:before="30" w:after="30" w:line="264" w:lineRule="auto"/>
              <w:jc w:val="left"/>
            </w:pPr>
            <w:r>
              <w:rPr>
                <w:rFonts w:cs="Calibri"/>
                <w:b/>
                <w:color w:val="46565E"/>
                <w:sz w:val="19"/>
                <w:szCs w:val="19"/>
              </w:rPr>
              <w:t>Two or more partners</w:t>
            </w:r>
          </w:p>
        </w:tc>
        <w:tc>
          <w:tcPr>
            <w:tcW w:w="2888" w:type="dxa"/>
            <w:shd w:val="clear" w:color="auto" w:fill="EDF2F4"/>
          </w:tcPr>
          <w:p w14:paraId="14DAC79A" w14:textId="77777777" w:rsidR="00A502D4" w:rsidRDefault="00000000">
            <w:pPr>
              <w:spacing w:before="30" w:after="30" w:line="264" w:lineRule="auto"/>
              <w:jc w:val="left"/>
            </w:pPr>
            <w:r>
              <w:rPr>
                <w:rFonts w:cs="Calibri"/>
                <w:b/>
                <w:color w:val="46565E"/>
                <w:sz w:val="19"/>
                <w:szCs w:val="19"/>
              </w:rPr>
              <w:t>Several core candidates decline inside the same window</w:t>
            </w:r>
          </w:p>
        </w:tc>
        <w:tc>
          <w:tcPr>
            <w:tcW w:w="3249" w:type="dxa"/>
            <w:shd w:val="clear" w:color="auto" w:fill="EDF2F4"/>
          </w:tcPr>
          <w:p w14:paraId="28281C17" w14:textId="77777777" w:rsidR="00A502D4" w:rsidRDefault="00000000">
            <w:pPr>
              <w:spacing w:before="30" w:after="30" w:line="264" w:lineRule="auto"/>
              <w:jc w:val="left"/>
            </w:pPr>
            <w:r>
              <w:rPr>
                <w:rFonts w:cs="Calibri"/>
                <w:b/>
                <w:color w:val="46565E"/>
                <w:sz w:val="19"/>
                <w:szCs w:val="19"/>
              </w:rPr>
              <w:t>The floor coalition is Canada plus any two signatories; Ring 1 and Ring 2 economies fill the remaining seats in weeks; the Pledge remains open for each declining capital</w:t>
            </w:r>
          </w:p>
        </w:tc>
        <w:tc>
          <w:tcPr>
            <w:tcW w:w="1624" w:type="dxa"/>
            <w:shd w:val="clear" w:color="auto" w:fill="EDF2F4"/>
          </w:tcPr>
          <w:p w14:paraId="25CA5A3A" w14:textId="77777777" w:rsidR="00A502D4" w:rsidRDefault="00000000">
            <w:pPr>
              <w:spacing w:before="30" w:after="30" w:line="264" w:lineRule="auto"/>
              <w:jc w:val="left"/>
            </w:pPr>
            <w:r>
              <w:rPr>
                <w:rFonts w:cs="Calibri"/>
                <w:b/>
                <w:color w:val="46565E"/>
                <w:sz w:val="19"/>
                <w:szCs w:val="19"/>
              </w:rPr>
              <w:t>Launch slows by weeks at most; the Transitional Access Window and the accession register continue to accept members throughout</w:t>
            </w:r>
          </w:p>
        </w:tc>
      </w:tr>
    </w:tbl>
    <w:p w14:paraId="55D261DE" w14:textId="77777777" w:rsidR="00A502D4" w:rsidRDefault="00A502D4">
      <w:pPr>
        <w:spacing w:after="160"/>
      </w:pPr>
    </w:p>
    <w:p w14:paraId="03015379" w14:textId="77777777" w:rsidR="00A502D4" w:rsidRDefault="00000000">
      <w:r>
        <w:rPr>
          <w:rFonts w:cs="Calibri"/>
          <w:szCs w:val="21"/>
        </w:rPr>
        <w:t xml:space="preserve">Three operating rules apply in every decline case. First, substitution beats persuasion: the coalition replaces a declining partner from the next ring rather than reshaping the framework to keep them. Second, every declined seat stays open: Sections 3.2C and 3.9 give each capital a standing re-entry path, so a no in August converts into a yes in a later window without penalty. Third, the coalition never negotiates against itself: no founding term changes to accommodate a decliner, because the First-Mover </w:t>
      </w:r>
      <w:r>
        <w:rPr>
          <w:rFonts w:cs="Calibri"/>
          <w:szCs w:val="21"/>
        </w:rPr>
        <w:lastRenderedPageBreak/>
        <w:t>Protection Window (Section 8.9D) guarantees that signatories' terms improve as membership grows, and never the reverse.</w:t>
      </w:r>
    </w:p>
    <w:p w14:paraId="64EC09EB" w14:textId="77777777" w:rsidR="00A502D4" w:rsidRDefault="00000000">
      <w:pPr>
        <w:pStyle w:val="Heading1"/>
      </w:pPr>
      <w:r>
        <w:rPr>
          <w:rFonts w:cs="Calibri"/>
          <w:szCs w:val="32"/>
        </w:rPr>
        <w:t>Part III: Five Founding Pathways</w:t>
      </w:r>
    </w:p>
    <w:p w14:paraId="4E4568B8" w14:textId="77777777" w:rsidR="00A502D4" w:rsidRDefault="00000000">
      <w:r>
        <w:rPr>
          <w:rFonts w:cs="Calibri"/>
          <w:szCs w:val="21"/>
        </w:rPr>
        <w:t>IMESI's own Founding Political Roadmap offers three anchor paths: a G7/G20 task force (Path A, 18 to 24 months), an OECD or WTO joint initiative (Path B, 24 to 36 months), and a regional pilot of 5 to 8 willing states (Path C, 12 to 18 months). The tariff shock compresses every timeline. This Part adapts the roadmap into five operational pathways, orders them by speed, and assigns concrete steps. The pathways combine; they do not compete.</w:t>
      </w:r>
    </w:p>
    <w:p w14:paraId="57CF3E59" w14:textId="77777777" w:rsidR="00A502D4" w:rsidRDefault="00000000">
      <w:pPr>
        <w:pStyle w:val="Heading2"/>
      </w:pPr>
      <w:r>
        <w:rPr>
          <w:rFonts w:cs="Calibri"/>
          <w:szCs w:val="26"/>
        </w:rPr>
        <w:t>3.1 Pathway One: The Emergency Track (Fastest; Days)</w:t>
      </w:r>
    </w:p>
    <w:p w14:paraId="4497BE90" w14:textId="77777777" w:rsidR="00A502D4" w:rsidRDefault="00000000">
      <w:r>
        <w:rPr>
          <w:rFonts w:cs="Calibri"/>
          <w:szCs w:val="21"/>
        </w:rPr>
        <w:t>The Emergency Track exploits the August 19 deadline as a forcing event. The Founding Coalition Pledge functions as a political declaration, not a treaty, so signature requires no ratification and no legislation (Annex 22). Four governments acting together inside the Section 338 window transforms the news cycle from "Canada isolated" to "a coalition forms."</w:t>
      </w:r>
    </w:p>
    <w:p w14:paraId="0C76792D" w14:textId="77777777" w:rsidR="00A502D4" w:rsidRDefault="00000000">
      <w:pPr>
        <w:numPr>
          <w:ilvl w:val="0"/>
          <w:numId w:val="3"/>
        </w:numPr>
        <w:spacing w:after="140"/>
      </w:pPr>
      <w:r>
        <w:rPr>
          <w:rFonts w:cs="Calibri"/>
          <w:b/>
          <w:szCs w:val="21"/>
        </w:rPr>
        <w:t>Day 1 to 3: Sherpa activation.</w:t>
      </w:r>
      <w:r>
        <w:rPr>
          <w:rFonts w:cs="Calibri"/>
          <w:szCs w:val="21"/>
        </w:rPr>
        <w:t xml:space="preserve"> The Prime Minister places calls to the UK Prime Minister, the Presidents of the European Commission and European Council, and the President of Mexico. The ask is singular: task sherpas to a 72-hour drafting sprint on the Pledge text and a joint communiqué. The minimum viable political action, per the Instrument's own roadmap, is five governments, one communiqué, one memorandum of understanding, and a working group with a 12-month mandate.</w:t>
      </w:r>
    </w:p>
    <w:p w14:paraId="3813652D" w14:textId="77777777" w:rsidR="00A502D4" w:rsidRDefault="00000000">
      <w:pPr>
        <w:numPr>
          <w:ilvl w:val="0"/>
          <w:numId w:val="3"/>
        </w:numPr>
        <w:spacing w:after="140"/>
      </w:pPr>
      <w:r>
        <w:rPr>
          <w:rFonts w:cs="Calibri"/>
          <w:b/>
          <w:szCs w:val="21"/>
        </w:rPr>
        <w:t>Day 3 to 5: Text finalisation.</w:t>
      </w:r>
      <w:r>
        <w:rPr>
          <w:rFonts w:cs="Calibri"/>
          <w:szCs w:val="21"/>
        </w:rPr>
        <w:t xml:space="preserve"> Sherpas adapt the Annex 22 pledge text verbatim; it already contains the insurance framing, the sovereignty guarantees, and the cost caps each capital needs. The communiqué announces the Pledge, the Provisional Steering Group, and the </w:t>
      </w:r>
      <w:proofErr w:type="gramStart"/>
      <w:r>
        <w:rPr>
          <w:rFonts w:cs="Calibri"/>
          <w:szCs w:val="21"/>
        </w:rPr>
        <w:t>12 to 18 month</w:t>
      </w:r>
      <w:proofErr w:type="gramEnd"/>
      <w:r>
        <w:rPr>
          <w:rFonts w:cs="Calibri"/>
          <w:szCs w:val="21"/>
        </w:rPr>
        <w:t xml:space="preserve"> pilot under simplified scope (tariffs plus basic liquidity), matching Path C.</w:t>
      </w:r>
    </w:p>
    <w:p w14:paraId="5B1D412B" w14:textId="77777777" w:rsidR="00A502D4" w:rsidRDefault="00000000">
      <w:pPr>
        <w:numPr>
          <w:ilvl w:val="0"/>
          <w:numId w:val="3"/>
        </w:numPr>
        <w:spacing w:after="140"/>
      </w:pPr>
      <w:r>
        <w:rPr>
          <w:rFonts w:cs="Calibri"/>
          <w:b/>
          <w:szCs w:val="21"/>
        </w:rPr>
        <w:t>Day 5 to 8: Signature and launch.</w:t>
      </w:r>
      <w:r>
        <w:rPr>
          <w:rFonts w:cs="Calibri"/>
          <w:szCs w:val="21"/>
        </w:rPr>
        <w:t xml:space="preserve"> The four governments sign at an emergency ministerial in London or Geneva, timed ahead of August 19. Signature immediately activates the Transitional Access Window (Section 3.1A) for all signatories and opens standing accession invitations to Ring 1 through Ring 3 economies.</w:t>
      </w:r>
    </w:p>
    <w:p w14:paraId="0C59F5F3" w14:textId="77777777" w:rsidR="00A502D4" w:rsidRDefault="00000000">
      <w:pPr>
        <w:numPr>
          <w:ilvl w:val="0"/>
          <w:numId w:val="3"/>
        </w:numPr>
        <w:spacing w:after="140"/>
      </w:pPr>
      <w:r>
        <w:rPr>
          <w:rFonts w:cs="Calibri"/>
          <w:b/>
          <w:szCs w:val="21"/>
        </w:rPr>
        <w:t>Day 8 onward: Protection activation.</w:t>
      </w:r>
      <w:r>
        <w:rPr>
          <w:rFonts w:cs="Calibri"/>
          <w:szCs w:val="21"/>
        </w:rPr>
        <w:t xml:space="preserve"> The Steering Group requests IEWC-format certification of the tariff campaign (Section 9.1B), triggers the Emergency Accession Protocol at Rapid Expansion level for any WTO member under certified threat (Section 3.15 Addendum), and publishes the open-door register.</w:t>
      </w:r>
    </w:p>
    <w:p w14:paraId="723D3142" w14:textId="77777777" w:rsidR="00A502D4" w:rsidRDefault="00000000">
      <w:r>
        <w:rPr>
          <w:rFonts w:cs="Calibri"/>
          <w:szCs w:val="21"/>
        </w:rPr>
        <w:t>Advantages: speed, narrative seizure, and immediate shelter for signatories. Constraint: the Pledge binds nobody, so the Track delivers politics first and machinery second; Pathway Two supplies the machinery.</w:t>
      </w:r>
    </w:p>
    <w:p w14:paraId="3097A3D8" w14:textId="77777777" w:rsidR="00A502D4" w:rsidRDefault="00000000">
      <w:pPr>
        <w:pStyle w:val="Heading2"/>
      </w:pPr>
      <w:r>
        <w:rPr>
          <w:rFonts w:cs="Calibri"/>
          <w:szCs w:val="26"/>
        </w:rPr>
        <w:lastRenderedPageBreak/>
        <w:t>3.2 Pathway Two: The Pilot Track (12 to 18 Months)</w:t>
      </w:r>
    </w:p>
    <w:p w14:paraId="44755A7A" w14:textId="77777777" w:rsidR="00A502D4" w:rsidRDefault="00000000">
      <w:r>
        <w:rPr>
          <w:rFonts w:cs="Calibri"/>
          <w:szCs w:val="21"/>
        </w:rPr>
        <w:t xml:space="preserve">The Pilot Track builds the working institution under the Phase-0 Core Implementation Profile (Section 10A.2): six mandatory modules with deliberately light overhead. For a </w:t>
      </w:r>
      <w:proofErr w:type="gramStart"/>
      <w:r>
        <w:rPr>
          <w:rFonts w:cs="Calibri"/>
          <w:szCs w:val="21"/>
        </w:rPr>
        <w:t>10 to 12 member</w:t>
      </w:r>
      <w:proofErr w:type="gramEnd"/>
      <w:r>
        <w:rPr>
          <w:rFonts w:cs="Calibri"/>
          <w:szCs w:val="21"/>
        </w:rPr>
        <w:t xml:space="preserve"> founding group, the profile prices out at roughly USD 8 million per year for the IEWC core of 15 to 20 analysts, USD 25 to 40 million of SFI setup plus USD 5 million per year, and a GDP-capped Fund of 0.05 to 0.1 percent of GDP over three years, accepting in-kind contributions. The pilot runs five pre-authorised scenarios, Alpha, Beta, Gamma, Delta, and Theta-Tariff, with Theta-Tariff written for precisely the present condition: non-discriminatory tariffs above 10 percent affecting over 20 percent of IMESI trade.</w:t>
      </w:r>
    </w:p>
    <w:p w14:paraId="651CDF52" w14:textId="77777777" w:rsidR="00A502D4" w:rsidRDefault="00000000">
      <w:pPr>
        <w:numPr>
          <w:ilvl w:val="0"/>
          <w:numId w:val="4"/>
        </w:numPr>
        <w:spacing w:after="140"/>
      </w:pPr>
      <w:r>
        <w:rPr>
          <w:rFonts w:cs="Calibri"/>
          <w:b/>
          <w:szCs w:val="21"/>
        </w:rPr>
        <w:t>Months 1 to 2: Stand up the pilot office.</w:t>
      </w:r>
      <w:r>
        <w:rPr>
          <w:rFonts w:cs="Calibri"/>
          <w:szCs w:val="21"/>
        </w:rPr>
        <w:t xml:space="preserve"> The Steering Group charters the pilot office in the host city, seconds national analysts into the proto-IEWC, and adopts the simplified rulebook from the Phase-0 profile.</w:t>
      </w:r>
    </w:p>
    <w:p w14:paraId="1FB0474D" w14:textId="77777777" w:rsidR="00A502D4" w:rsidRDefault="00000000">
      <w:pPr>
        <w:numPr>
          <w:ilvl w:val="0"/>
          <w:numId w:val="4"/>
        </w:numPr>
        <w:spacing w:after="140"/>
      </w:pPr>
      <w:r>
        <w:rPr>
          <w:b/>
        </w:rPr>
        <w:t>Months 2 to 4: First live exercise.</w:t>
      </w:r>
      <w:r>
        <w:t xml:space="preserve"> The coalition runs the Annex 13 stress-test protocol against a live tariff scenario drawn from the current campaign, with the agricultural-exporter pilot scenario from the Founding Political Roadmap as the entry exercise.</w:t>
      </w:r>
    </w:p>
    <w:p w14:paraId="48AC07C6" w14:textId="77777777" w:rsidR="00A502D4" w:rsidRDefault="00000000">
      <w:pPr>
        <w:numPr>
          <w:ilvl w:val="0"/>
          <w:numId w:val="4"/>
        </w:numPr>
        <w:spacing w:after="140"/>
      </w:pPr>
      <w:r>
        <w:rPr>
          <w:b/>
        </w:rPr>
        <w:t>Months 4 to 9: Track A demonstration.</w:t>
      </w:r>
      <w:r>
        <w:t xml:space="preserve"> The pilot executes automatic stabilisation in a real case: liquidity support, supply-chain rerouting advisories, joint procurement lots in two or three strategic sectors, and the dashboard's public telemetry.</w:t>
      </w:r>
    </w:p>
    <w:p w14:paraId="0AB3169E" w14:textId="77777777" w:rsidR="00A502D4" w:rsidRDefault="00000000">
      <w:pPr>
        <w:numPr>
          <w:ilvl w:val="0"/>
          <w:numId w:val="4"/>
        </w:numPr>
        <w:spacing w:after="140"/>
      </w:pPr>
      <w:r>
        <w:rPr>
          <w:b/>
        </w:rPr>
        <w:t>Months 9 to 12: Review and treaty conference.</w:t>
      </w:r>
      <w:r>
        <w:t xml:space="preserve"> The Year 1 review converts the Pledge into a provisional accession instrument and opens the drafting conference for full Charter ratification.</w:t>
      </w:r>
    </w:p>
    <w:p w14:paraId="13775D27" w14:textId="77777777" w:rsidR="00A502D4" w:rsidRDefault="00000000">
      <w:r>
        <w:t>Advantages: proof of concept at low cost, parliamentary comfort through staged exposure, and a running institution before the next US escalation cycle. The First-Use Calibration Protocol (Section 5.0) bounds the first 60 days to Phase 1 modules only, which keeps parliaments confident.</w:t>
      </w:r>
    </w:p>
    <w:p w14:paraId="653D6C05" w14:textId="77777777" w:rsidR="00A502D4" w:rsidRDefault="00000000">
      <w:pPr>
        <w:pStyle w:val="Heading2"/>
      </w:pPr>
      <w:r>
        <w:t>3.3 Pathway Three: The MPEP Conversion Track</w:t>
      </w:r>
    </w:p>
    <w:p w14:paraId="0065E745" w14:textId="77777777" w:rsidR="00A502D4" w:rsidRDefault="00000000">
      <w:r>
        <w:t xml:space="preserve">The MPEP Conversion Track harvests existing Canadian diplomacy. The middle-power partnership already convenes the 20-economy core that IMESI targets [S23]. The track inserts IMESI onto the MPEP agenda as the insurance pillar: a standing agenda item, a technical briefing pack drawn from this guide's Part II tables, and a proposal that MPEP members sign the Pledge as a cohort. The track works because MPEP members already accept the diagnosis, diversification away from tariff volatility; IMESI adds the treatment, certified collective response. Canada offers Observer+ cohort </w:t>
      </w:r>
      <w:proofErr w:type="gramStart"/>
      <w:r>
        <w:t>entry</w:t>
      </w:r>
      <w:proofErr w:type="gramEnd"/>
      <w:r>
        <w:t xml:space="preserve"> so the group joins together, which removes the first-mover fear that stalls individual accessions.</w:t>
      </w:r>
    </w:p>
    <w:p w14:paraId="6065E14F" w14:textId="77777777" w:rsidR="00A502D4" w:rsidRDefault="00000000">
      <w:pPr>
        <w:pStyle w:val="Heading2"/>
      </w:pPr>
      <w:r>
        <w:t>3.4 Pathway Four: The Multilateral Legitimacy Track (Path B)</w:t>
      </w:r>
    </w:p>
    <w:p w14:paraId="3F818A16" w14:textId="77777777" w:rsidR="00A502D4" w:rsidRDefault="00000000">
      <w:r>
        <w:t xml:space="preserve">The slow track builds legitimacy that the fast tracks borrow. Canada tables IMESI concepts inside three existing venues: the OECD working groups on economic coercion, the WTO Committee on Trade and Development, and the CPTPP Commission. The deliverable at each venue is a principles paper, "Principles for Mutual Economic Security," that normalises mutual insurance language inside the multilateral system (Part IV details the WTO track). This track runs on a </w:t>
      </w:r>
      <w:proofErr w:type="gramStart"/>
      <w:r>
        <w:t>24 to 36 month</w:t>
      </w:r>
      <w:proofErr w:type="gramEnd"/>
      <w:r>
        <w:t xml:space="preserve"> horizon, feeds the Graduated </w:t>
      </w:r>
      <w:r>
        <w:lastRenderedPageBreak/>
        <w:t>Universalisation Roadmap (Section 10A.3), and pre-builds the record that defends IMESI against bloc-formation criticism.</w:t>
      </w:r>
    </w:p>
    <w:p w14:paraId="679B55EA" w14:textId="77777777" w:rsidR="00A502D4" w:rsidRDefault="00000000">
      <w:pPr>
        <w:pStyle w:val="Heading2"/>
      </w:pPr>
      <w:r>
        <w:t>3.5 Pathway Five: The Brussels Track (EU ACI Alignment)</w:t>
      </w:r>
    </w:p>
    <w:p w14:paraId="4D3BEFBD" w14:textId="77777777" w:rsidR="00A502D4" w:rsidRDefault="00000000">
      <w:r>
        <w:t>The European Union holds the closest existing analogue to IMESI logic: the Anti-Coercion Instrument, Regulation (EU) 2023/2675, which defines economic coercion in terms nearly identical to Article II and arms the Commission with tariff, procurement, services, investment, and intellectual-property countermeasures [S26]. The ACI stands unused as of August 2026, and France leads calls for activation after the Greenland tariff threats, with Germany's vice-chancellor in support and the European Parliament freezing the EU-US trade deal [S</w:t>
      </w:r>
      <w:proofErr w:type="gramStart"/>
      <w:r>
        <w:t>25][</w:t>
      </w:r>
      <w:proofErr w:type="gramEnd"/>
      <w:r>
        <w:t>S27]. The Brussels Track aligns IMESI with the ACI rather than competing with it:</w:t>
      </w:r>
    </w:p>
    <w:p w14:paraId="0F68F78F" w14:textId="77777777" w:rsidR="00A502D4" w:rsidRDefault="00000000">
      <w:pPr>
        <w:numPr>
          <w:ilvl w:val="0"/>
          <w:numId w:val="1"/>
        </w:numPr>
        <w:spacing w:after="120"/>
      </w:pPr>
      <w:r>
        <w:rPr>
          <w:b/>
        </w:rPr>
        <w:t>Legal mapping:</w:t>
      </w:r>
      <w:r>
        <w:t xml:space="preserve"> the founders publish a concordance showing IMESI certification and ACI examination as interoperable determinations, so an EU ACI activation and an IMESI certification reinforce one another's evidentiary record.</w:t>
      </w:r>
    </w:p>
    <w:p w14:paraId="48EDF0E1" w14:textId="77777777" w:rsidR="00A502D4" w:rsidRDefault="00000000">
      <w:pPr>
        <w:numPr>
          <w:ilvl w:val="0"/>
          <w:numId w:val="1"/>
        </w:numPr>
        <w:spacing w:after="120"/>
      </w:pPr>
      <w:r>
        <w:rPr>
          <w:b/>
        </w:rPr>
        <w:t>Sequencing:</w:t>
      </w:r>
      <w:r>
        <w:t xml:space="preserve"> Canada encourages ACI activation for the EU's own exposure while IMESI supplies the cross-regional insurance layer the ACI lacks, since the ACI defends the EU alone.</w:t>
      </w:r>
    </w:p>
    <w:p w14:paraId="6B3ECFF6" w14:textId="77777777" w:rsidR="00A502D4" w:rsidRDefault="00000000">
      <w:pPr>
        <w:numPr>
          <w:ilvl w:val="0"/>
          <w:numId w:val="1"/>
        </w:numPr>
        <w:spacing w:after="120"/>
      </w:pPr>
      <w:r>
        <w:rPr>
          <w:b/>
        </w:rPr>
        <w:t>Procurement and services leverage:</w:t>
      </w:r>
      <w:r>
        <w:t xml:space="preserve"> the ACI's catalogue reaches services, investment, and IP, domains IMESI phases open only at Phase 2 and above (Section 8.10I); alignment gives the coalition a deeper toolbox without expanding IMESI's founding scope.</w:t>
      </w:r>
    </w:p>
    <w:p w14:paraId="63BD039B" w14:textId="77777777" w:rsidR="00A502D4" w:rsidRDefault="00000000">
      <w:pPr>
        <w:pStyle w:val="Heading2"/>
      </w:pPr>
      <w:r>
        <w:t>3.6 Sequence and Combination Logic</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1475"/>
        <w:gridCol w:w="2399"/>
        <w:gridCol w:w="2768"/>
        <w:gridCol w:w="2584"/>
      </w:tblGrid>
      <w:tr w:rsidR="00A502D4" w14:paraId="00F4DBF8" w14:textId="77777777">
        <w:trPr>
          <w:cantSplit/>
          <w:tblHeader/>
        </w:trPr>
        <w:tc>
          <w:tcPr>
            <w:tcW w:w="1444" w:type="dxa"/>
            <w:shd w:val="clear" w:color="auto" w:fill="EDF2F4"/>
          </w:tcPr>
          <w:p w14:paraId="6540393B" w14:textId="77777777" w:rsidR="00A502D4" w:rsidRDefault="00000000">
            <w:pPr>
              <w:spacing w:before="30" w:after="30" w:line="264" w:lineRule="auto"/>
              <w:jc w:val="left"/>
            </w:pPr>
            <w:r>
              <w:rPr>
                <w:b/>
                <w:sz w:val="19"/>
              </w:rPr>
              <w:t>Window</w:t>
            </w:r>
          </w:p>
        </w:tc>
        <w:tc>
          <w:tcPr>
            <w:tcW w:w="2346" w:type="dxa"/>
            <w:shd w:val="clear" w:color="auto" w:fill="EDF2F4"/>
          </w:tcPr>
          <w:p w14:paraId="6BE08A29" w14:textId="77777777" w:rsidR="00A502D4" w:rsidRDefault="00000000">
            <w:pPr>
              <w:spacing w:before="30" w:after="30" w:line="264" w:lineRule="auto"/>
              <w:jc w:val="left"/>
            </w:pPr>
            <w:r>
              <w:rPr>
                <w:b/>
                <w:sz w:val="19"/>
              </w:rPr>
              <w:t>Lead pathway</w:t>
            </w:r>
          </w:p>
        </w:tc>
        <w:tc>
          <w:tcPr>
            <w:tcW w:w="2707" w:type="dxa"/>
            <w:shd w:val="clear" w:color="auto" w:fill="EDF2F4"/>
          </w:tcPr>
          <w:p w14:paraId="20213F28" w14:textId="77777777" w:rsidR="00A502D4" w:rsidRDefault="00000000">
            <w:pPr>
              <w:spacing w:before="30" w:after="30" w:line="264" w:lineRule="auto"/>
              <w:jc w:val="left"/>
            </w:pPr>
            <w:r>
              <w:rPr>
                <w:b/>
                <w:sz w:val="19"/>
              </w:rPr>
              <w:t>Supporting pathways</w:t>
            </w:r>
          </w:p>
        </w:tc>
        <w:tc>
          <w:tcPr>
            <w:tcW w:w="2527" w:type="dxa"/>
            <w:shd w:val="clear" w:color="auto" w:fill="EDF2F4"/>
          </w:tcPr>
          <w:p w14:paraId="3680A98A" w14:textId="77777777" w:rsidR="00A502D4" w:rsidRDefault="00000000">
            <w:pPr>
              <w:spacing w:before="30" w:after="30" w:line="264" w:lineRule="auto"/>
              <w:jc w:val="left"/>
            </w:pPr>
            <w:r>
              <w:rPr>
                <w:b/>
                <w:sz w:val="19"/>
              </w:rPr>
              <w:t>Milestone</w:t>
            </w:r>
          </w:p>
        </w:tc>
      </w:tr>
      <w:tr w:rsidR="00A502D4" w14:paraId="1DC82909" w14:textId="77777777">
        <w:tc>
          <w:tcPr>
            <w:tcW w:w="1444" w:type="dxa"/>
          </w:tcPr>
          <w:p w14:paraId="4CA75B7C" w14:textId="77777777" w:rsidR="00A502D4" w:rsidRDefault="00000000">
            <w:pPr>
              <w:spacing w:before="30" w:after="30" w:line="264" w:lineRule="auto"/>
              <w:jc w:val="left"/>
            </w:pPr>
            <w:r>
              <w:rPr>
                <w:color w:val="46565E"/>
                <w:sz w:val="19"/>
              </w:rPr>
              <w:t>Days 1 to 8</w:t>
            </w:r>
          </w:p>
        </w:tc>
        <w:tc>
          <w:tcPr>
            <w:tcW w:w="2346" w:type="dxa"/>
          </w:tcPr>
          <w:p w14:paraId="4B6D8C33" w14:textId="77777777" w:rsidR="00A502D4" w:rsidRDefault="00000000">
            <w:pPr>
              <w:spacing w:before="30" w:after="30" w:line="264" w:lineRule="auto"/>
              <w:jc w:val="left"/>
            </w:pPr>
            <w:r>
              <w:rPr>
                <w:color w:val="46565E"/>
                <w:sz w:val="19"/>
              </w:rPr>
              <w:t>Pathway One (Emergency Track)</w:t>
            </w:r>
          </w:p>
        </w:tc>
        <w:tc>
          <w:tcPr>
            <w:tcW w:w="2707" w:type="dxa"/>
          </w:tcPr>
          <w:p w14:paraId="44A851E6" w14:textId="77777777" w:rsidR="00A502D4" w:rsidRDefault="00000000">
            <w:pPr>
              <w:spacing w:before="30" w:after="30" w:line="264" w:lineRule="auto"/>
              <w:jc w:val="left"/>
            </w:pPr>
            <w:r>
              <w:rPr>
                <w:color w:val="46565E"/>
                <w:sz w:val="19"/>
              </w:rPr>
              <w:t>Pathway Five briefings to Brussels</w:t>
            </w:r>
          </w:p>
        </w:tc>
        <w:tc>
          <w:tcPr>
            <w:tcW w:w="2527" w:type="dxa"/>
          </w:tcPr>
          <w:p w14:paraId="085AC870" w14:textId="77777777" w:rsidR="00A502D4" w:rsidRDefault="00000000">
            <w:pPr>
              <w:spacing w:before="30" w:after="30" w:line="264" w:lineRule="auto"/>
              <w:jc w:val="left"/>
            </w:pPr>
            <w:r>
              <w:rPr>
                <w:color w:val="46565E"/>
                <w:sz w:val="19"/>
              </w:rPr>
              <w:t>Pledge signed; Steering Group seated</w:t>
            </w:r>
          </w:p>
        </w:tc>
      </w:tr>
      <w:tr w:rsidR="00A502D4" w14:paraId="0AB744CF" w14:textId="77777777">
        <w:tc>
          <w:tcPr>
            <w:tcW w:w="1444" w:type="dxa"/>
          </w:tcPr>
          <w:p w14:paraId="22DB0887" w14:textId="77777777" w:rsidR="00A502D4" w:rsidRDefault="00000000">
            <w:pPr>
              <w:spacing w:before="30" w:after="30" w:line="264" w:lineRule="auto"/>
              <w:jc w:val="left"/>
            </w:pPr>
            <w:r>
              <w:rPr>
                <w:color w:val="46565E"/>
                <w:sz w:val="19"/>
              </w:rPr>
              <w:t>Days 8 to 30</w:t>
            </w:r>
          </w:p>
        </w:tc>
        <w:tc>
          <w:tcPr>
            <w:tcW w:w="2346" w:type="dxa"/>
          </w:tcPr>
          <w:p w14:paraId="47E2D6BE" w14:textId="77777777" w:rsidR="00A502D4" w:rsidRDefault="00000000">
            <w:pPr>
              <w:spacing w:before="30" w:after="30" w:line="264" w:lineRule="auto"/>
              <w:jc w:val="left"/>
            </w:pPr>
            <w:r>
              <w:rPr>
                <w:color w:val="46565E"/>
                <w:sz w:val="19"/>
              </w:rPr>
              <w:t>Pathway One accession surge</w:t>
            </w:r>
          </w:p>
        </w:tc>
        <w:tc>
          <w:tcPr>
            <w:tcW w:w="2707" w:type="dxa"/>
          </w:tcPr>
          <w:p w14:paraId="64551D99" w14:textId="77777777" w:rsidR="00A502D4" w:rsidRDefault="00000000">
            <w:pPr>
              <w:spacing w:before="30" w:after="30" w:line="264" w:lineRule="auto"/>
              <w:jc w:val="left"/>
            </w:pPr>
            <w:r>
              <w:rPr>
                <w:color w:val="46565E"/>
                <w:sz w:val="19"/>
              </w:rPr>
              <w:t>Pathway Three at MPEP margins; Pathway Four principles paper tabled</w:t>
            </w:r>
          </w:p>
        </w:tc>
        <w:tc>
          <w:tcPr>
            <w:tcW w:w="2527" w:type="dxa"/>
          </w:tcPr>
          <w:p w14:paraId="305D69F9" w14:textId="77777777" w:rsidR="00A502D4" w:rsidRDefault="00000000">
            <w:pPr>
              <w:spacing w:before="30" w:after="30" w:line="264" w:lineRule="auto"/>
              <w:jc w:val="left"/>
            </w:pPr>
            <w:r>
              <w:rPr>
                <w:color w:val="46565E"/>
                <w:sz w:val="19"/>
              </w:rPr>
              <w:t>Ring 1 and Ring 2 entries; WTO notification filed (Part IV)</w:t>
            </w:r>
          </w:p>
        </w:tc>
      </w:tr>
      <w:tr w:rsidR="00A502D4" w14:paraId="01079777" w14:textId="77777777">
        <w:tc>
          <w:tcPr>
            <w:tcW w:w="1444" w:type="dxa"/>
          </w:tcPr>
          <w:p w14:paraId="33D77A63" w14:textId="77777777" w:rsidR="00A502D4" w:rsidRDefault="00000000">
            <w:pPr>
              <w:spacing w:before="30" w:after="30" w:line="264" w:lineRule="auto"/>
              <w:jc w:val="left"/>
            </w:pPr>
            <w:r>
              <w:rPr>
                <w:color w:val="46565E"/>
                <w:sz w:val="19"/>
              </w:rPr>
              <w:t>Months 1 to 3</w:t>
            </w:r>
          </w:p>
        </w:tc>
        <w:tc>
          <w:tcPr>
            <w:tcW w:w="2346" w:type="dxa"/>
          </w:tcPr>
          <w:p w14:paraId="6C7F02DA" w14:textId="77777777" w:rsidR="00A502D4" w:rsidRDefault="00000000">
            <w:pPr>
              <w:spacing w:before="30" w:after="30" w:line="264" w:lineRule="auto"/>
              <w:jc w:val="left"/>
            </w:pPr>
            <w:r>
              <w:rPr>
                <w:color w:val="46565E"/>
                <w:sz w:val="19"/>
              </w:rPr>
              <w:t>Pathway Two pilot stand-up</w:t>
            </w:r>
          </w:p>
        </w:tc>
        <w:tc>
          <w:tcPr>
            <w:tcW w:w="2707" w:type="dxa"/>
          </w:tcPr>
          <w:p w14:paraId="5F9D4BB2" w14:textId="77777777" w:rsidR="00A502D4" w:rsidRDefault="00000000">
            <w:pPr>
              <w:spacing w:before="30" w:after="30" w:line="264" w:lineRule="auto"/>
              <w:jc w:val="left"/>
            </w:pPr>
            <w:r>
              <w:rPr>
                <w:color w:val="46565E"/>
                <w:sz w:val="19"/>
              </w:rPr>
              <w:t>Pathway Five concordance published</w:t>
            </w:r>
          </w:p>
        </w:tc>
        <w:tc>
          <w:tcPr>
            <w:tcW w:w="2527" w:type="dxa"/>
          </w:tcPr>
          <w:p w14:paraId="306DD816" w14:textId="77777777" w:rsidR="00A502D4" w:rsidRDefault="00000000">
            <w:pPr>
              <w:spacing w:before="30" w:after="30" w:line="264" w:lineRule="auto"/>
              <w:jc w:val="left"/>
            </w:pPr>
            <w:r>
              <w:rPr>
                <w:color w:val="46565E"/>
                <w:sz w:val="19"/>
              </w:rPr>
              <w:t>Pilot office operating; first exercise scheduled</w:t>
            </w:r>
          </w:p>
        </w:tc>
      </w:tr>
      <w:tr w:rsidR="00A502D4" w14:paraId="5A5BC654" w14:textId="77777777">
        <w:tc>
          <w:tcPr>
            <w:tcW w:w="1444" w:type="dxa"/>
          </w:tcPr>
          <w:p w14:paraId="1B4A710C" w14:textId="77777777" w:rsidR="00A502D4" w:rsidRDefault="00000000">
            <w:pPr>
              <w:spacing w:before="30" w:after="30" w:line="264" w:lineRule="auto"/>
              <w:jc w:val="left"/>
            </w:pPr>
            <w:r>
              <w:rPr>
                <w:color w:val="46565E"/>
                <w:sz w:val="19"/>
              </w:rPr>
              <w:t>Months 3 to 12</w:t>
            </w:r>
          </w:p>
        </w:tc>
        <w:tc>
          <w:tcPr>
            <w:tcW w:w="2346" w:type="dxa"/>
          </w:tcPr>
          <w:p w14:paraId="11DF9169" w14:textId="77777777" w:rsidR="00A502D4" w:rsidRDefault="00000000">
            <w:pPr>
              <w:spacing w:before="30" w:after="30" w:line="264" w:lineRule="auto"/>
              <w:jc w:val="left"/>
            </w:pPr>
            <w:r>
              <w:rPr>
                <w:color w:val="46565E"/>
                <w:sz w:val="19"/>
              </w:rPr>
              <w:t>Pathway Two demonstration</w:t>
            </w:r>
          </w:p>
        </w:tc>
        <w:tc>
          <w:tcPr>
            <w:tcW w:w="2707" w:type="dxa"/>
          </w:tcPr>
          <w:p w14:paraId="48DA2307" w14:textId="77777777" w:rsidR="00A502D4" w:rsidRDefault="00000000">
            <w:pPr>
              <w:spacing w:before="30" w:after="30" w:line="264" w:lineRule="auto"/>
              <w:jc w:val="left"/>
            </w:pPr>
            <w:r>
              <w:rPr>
                <w:color w:val="46565E"/>
                <w:sz w:val="19"/>
              </w:rPr>
              <w:t>Pathways Three and Four expansion</w:t>
            </w:r>
          </w:p>
        </w:tc>
        <w:tc>
          <w:tcPr>
            <w:tcW w:w="2527" w:type="dxa"/>
          </w:tcPr>
          <w:p w14:paraId="737E9660" w14:textId="77777777" w:rsidR="00A502D4" w:rsidRDefault="00000000">
            <w:pPr>
              <w:spacing w:before="30" w:after="30" w:line="264" w:lineRule="auto"/>
              <w:jc w:val="left"/>
            </w:pPr>
            <w:r>
              <w:rPr>
                <w:color w:val="46565E"/>
                <w:sz w:val="19"/>
              </w:rPr>
              <w:t>Track A live case; double-digit membership; drafting conference convened</w:t>
            </w:r>
          </w:p>
        </w:tc>
      </w:tr>
    </w:tbl>
    <w:p w14:paraId="0DD45C43" w14:textId="77777777" w:rsidR="00A502D4" w:rsidRDefault="00A502D4">
      <w:pPr>
        <w:spacing w:after="160"/>
      </w:pPr>
    </w:p>
    <w:p w14:paraId="26E41E5A" w14:textId="77777777" w:rsidR="00A502D4" w:rsidRDefault="00000000">
      <w:pPr>
        <w:pStyle w:val="Heading1"/>
      </w:pPr>
      <w:r>
        <w:t>Part IV: The WTO Track for Heading Off Legal Challenges</w:t>
      </w:r>
    </w:p>
    <w:p w14:paraId="186D3C63" w14:textId="77777777" w:rsidR="00A502D4" w:rsidRDefault="00000000">
      <w:r>
        <w:t xml:space="preserve">The WTO track serves two functions at once: it defends IMESI and its members' measures against legal challenge, and it builds the public record that the coalition strengthens, rather than undermines, the </w:t>
      </w:r>
      <w:r>
        <w:lastRenderedPageBreak/>
        <w:t>rules-based trading system. Canada leads this track from a position of credibility: Canada already litigates at the WTO against the US tariff campaign and sits inside every relevant defensive network.</w:t>
      </w:r>
    </w:p>
    <w:p w14:paraId="31B265B4" w14:textId="77777777" w:rsidR="00A502D4" w:rsidRDefault="00000000">
      <w:pPr>
        <w:pStyle w:val="Heading2"/>
      </w:pPr>
      <w:r>
        <w:t>4.1 The Legal Threat Map</w:t>
      </w:r>
    </w:p>
    <w:p w14:paraId="23F465A9" w14:textId="77777777" w:rsidR="00A502D4" w:rsidRDefault="00000000">
      <w:r>
        <w:t>Challengers attack an arrangement like IMESI on four fronts; the architecture answers each by design.</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2214"/>
        <w:gridCol w:w="2398"/>
        <w:gridCol w:w="4614"/>
      </w:tblGrid>
      <w:tr w:rsidR="00A502D4" w14:paraId="78B3A12F" w14:textId="77777777">
        <w:trPr>
          <w:cantSplit/>
          <w:tblHeader/>
        </w:trPr>
        <w:tc>
          <w:tcPr>
            <w:tcW w:w="2166" w:type="dxa"/>
            <w:shd w:val="clear" w:color="auto" w:fill="EDF2F4"/>
          </w:tcPr>
          <w:p w14:paraId="71ECD1DE" w14:textId="77777777" w:rsidR="00A502D4" w:rsidRDefault="00000000">
            <w:pPr>
              <w:spacing w:before="30" w:after="30" w:line="264" w:lineRule="auto"/>
              <w:jc w:val="left"/>
            </w:pPr>
            <w:r>
              <w:rPr>
                <w:b/>
                <w:sz w:val="19"/>
              </w:rPr>
              <w:t>Expected challenge</w:t>
            </w:r>
          </w:p>
        </w:tc>
        <w:tc>
          <w:tcPr>
            <w:tcW w:w="2346" w:type="dxa"/>
            <w:shd w:val="clear" w:color="auto" w:fill="EDF2F4"/>
          </w:tcPr>
          <w:p w14:paraId="253C2ACF" w14:textId="77777777" w:rsidR="00A502D4" w:rsidRDefault="00000000">
            <w:pPr>
              <w:spacing w:before="30" w:after="30" w:line="264" w:lineRule="auto"/>
              <w:jc w:val="left"/>
            </w:pPr>
            <w:r>
              <w:rPr>
                <w:b/>
                <w:sz w:val="19"/>
              </w:rPr>
              <w:t>Legal basis invoked</w:t>
            </w:r>
          </w:p>
        </w:tc>
        <w:tc>
          <w:tcPr>
            <w:tcW w:w="4513" w:type="dxa"/>
            <w:shd w:val="clear" w:color="auto" w:fill="EDF2F4"/>
          </w:tcPr>
          <w:p w14:paraId="1043161A" w14:textId="77777777" w:rsidR="00A502D4" w:rsidRDefault="00000000">
            <w:pPr>
              <w:spacing w:before="30" w:after="30" w:line="264" w:lineRule="auto"/>
              <w:jc w:val="left"/>
            </w:pPr>
            <w:r>
              <w:rPr>
                <w:b/>
                <w:sz w:val="19"/>
              </w:rPr>
              <w:t>IMESI design answer</w:t>
            </w:r>
          </w:p>
        </w:tc>
      </w:tr>
      <w:tr w:rsidR="00A502D4" w14:paraId="5A8524F6" w14:textId="77777777">
        <w:tc>
          <w:tcPr>
            <w:tcW w:w="2166" w:type="dxa"/>
          </w:tcPr>
          <w:p w14:paraId="1E3B7BB1" w14:textId="77777777" w:rsidR="00A502D4" w:rsidRDefault="00000000">
            <w:pPr>
              <w:spacing w:before="30" w:after="30" w:line="264" w:lineRule="auto"/>
              <w:jc w:val="left"/>
            </w:pPr>
            <w:r>
              <w:rPr>
                <w:color w:val="46565E"/>
                <w:sz w:val="19"/>
              </w:rPr>
              <w:t>Discrimination claim against coalition preferences</w:t>
            </w:r>
          </w:p>
        </w:tc>
        <w:tc>
          <w:tcPr>
            <w:tcW w:w="2346" w:type="dxa"/>
          </w:tcPr>
          <w:p w14:paraId="6B04F344" w14:textId="77777777" w:rsidR="00A502D4" w:rsidRDefault="00000000">
            <w:pPr>
              <w:spacing w:before="30" w:after="30" w:line="264" w:lineRule="auto"/>
              <w:jc w:val="left"/>
            </w:pPr>
            <w:r>
              <w:rPr>
                <w:color w:val="46565E"/>
                <w:sz w:val="19"/>
              </w:rPr>
              <w:t>GATT Article I:1 (MFN); GATS Article II</w:t>
            </w:r>
          </w:p>
        </w:tc>
        <w:tc>
          <w:tcPr>
            <w:tcW w:w="4513" w:type="dxa"/>
          </w:tcPr>
          <w:p w14:paraId="37F559DC" w14:textId="77777777" w:rsidR="00A502D4" w:rsidRDefault="00000000">
            <w:pPr>
              <w:spacing w:before="30" w:after="30" w:line="264" w:lineRule="auto"/>
              <w:jc w:val="left"/>
            </w:pPr>
            <w:r>
              <w:rPr>
                <w:color w:val="46565E"/>
                <w:sz w:val="19"/>
              </w:rPr>
              <w:t>Most-Favoured-Nation Assurance: measures single out no state in advance and activate only on certified coercion or certified systemic disruption; open accession for every WTO member (Philosophical Preamble; Section 3.15 Rapid Expansion rationale)</w:t>
            </w:r>
          </w:p>
        </w:tc>
      </w:tr>
      <w:tr w:rsidR="00A502D4" w14:paraId="7C6D380A" w14:textId="77777777">
        <w:tc>
          <w:tcPr>
            <w:tcW w:w="2166" w:type="dxa"/>
          </w:tcPr>
          <w:p w14:paraId="40E7DB9E" w14:textId="77777777" w:rsidR="00A502D4" w:rsidRDefault="00000000">
            <w:pPr>
              <w:spacing w:before="30" w:after="30" w:line="264" w:lineRule="auto"/>
              <w:jc w:val="left"/>
            </w:pPr>
            <w:r>
              <w:rPr>
                <w:color w:val="46565E"/>
                <w:sz w:val="19"/>
              </w:rPr>
              <w:t>Tariff binding breach in response measures</w:t>
            </w:r>
          </w:p>
        </w:tc>
        <w:tc>
          <w:tcPr>
            <w:tcW w:w="2346" w:type="dxa"/>
          </w:tcPr>
          <w:p w14:paraId="19E1059B" w14:textId="77777777" w:rsidR="00A502D4" w:rsidRDefault="00000000">
            <w:pPr>
              <w:spacing w:before="30" w:after="30" w:line="264" w:lineRule="auto"/>
              <w:jc w:val="left"/>
            </w:pPr>
            <w:r>
              <w:rPr>
                <w:color w:val="46565E"/>
                <w:sz w:val="19"/>
              </w:rPr>
              <w:t>GATT Article II</w:t>
            </w:r>
          </w:p>
        </w:tc>
        <w:tc>
          <w:tcPr>
            <w:tcW w:w="4513" w:type="dxa"/>
          </w:tcPr>
          <w:p w14:paraId="68A0D08A" w14:textId="77777777" w:rsidR="00A502D4" w:rsidRDefault="00000000">
            <w:pPr>
              <w:spacing w:before="30" w:after="30" w:line="264" w:lineRule="auto"/>
              <w:jc w:val="left"/>
            </w:pPr>
            <w:r>
              <w:rPr>
                <w:color w:val="46565E"/>
                <w:sz w:val="19"/>
              </w:rPr>
              <w:t>GATT Article XXI pre-certification (Section 9.1B); proportionality caps and de-escalation defaults (Sections 1.2, 5.3A); WTO Deference Clause (Section 9.1A)</w:t>
            </w:r>
          </w:p>
        </w:tc>
      </w:tr>
      <w:tr w:rsidR="00A502D4" w14:paraId="5F1EF5B1" w14:textId="77777777">
        <w:tc>
          <w:tcPr>
            <w:tcW w:w="2166" w:type="dxa"/>
          </w:tcPr>
          <w:p w14:paraId="050BC5C8" w14:textId="77777777" w:rsidR="00A502D4" w:rsidRDefault="00000000">
            <w:pPr>
              <w:spacing w:before="30" w:after="30" w:line="264" w:lineRule="auto"/>
              <w:jc w:val="left"/>
            </w:pPr>
            <w:r>
              <w:rPr>
                <w:color w:val="46565E"/>
                <w:sz w:val="19"/>
              </w:rPr>
              <w:t>Non-violation nullification complaint</w:t>
            </w:r>
          </w:p>
        </w:tc>
        <w:tc>
          <w:tcPr>
            <w:tcW w:w="2346" w:type="dxa"/>
          </w:tcPr>
          <w:p w14:paraId="2FAF3DBC" w14:textId="77777777" w:rsidR="00A502D4" w:rsidRDefault="00000000">
            <w:pPr>
              <w:spacing w:before="30" w:after="30" w:line="264" w:lineRule="auto"/>
              <w:jc w:val="left"/>
            </w:pPr>
            <w:r>
              <w:rPr>
                <w:color w:val="46565E"/>
                <w:sz w:val="19"/>
              </w:rPr>
              <w:t>GATT Article XXIII:1(b)</w:t>
            </w:r>
          </w:p>
        </w:tc>
        <w:tc>
          <w:tcPr>
            <w:tcW w:w="4513" w:type="dxa"/>
          </w:tcPr>
          <w:p w14:paraId="70E011FC" w14:textId="77777777" w:rsidR="00A502D4" w:rsidRDefault="00000000">
            <w:pPr>
              <w:spacing w:before="30" w:after="30" w:line="264" w:lineRule="auto"/>
              <w:jc w:val="left"/>
            </w:pPr>
            <w:r>
              <w:rPr>
                <w:color w:val="46565E"/>
                <w:sz w:val="19"/>
              </w:rPr>
              <w:t>WTO Non-Violation Rebuttal Protocol (Section 9.4B): no member held a reasonable expectation that WTO Members stay passive under certified coercion</w:t>
            </w:r>
          </w:p>
        </w:tc>
      </w:tr>
      <w:tr w:rsidR="00A502D4" w14:paraId="6C37F200" w14:textId="77777777">
        <w:tc>
          <w:tcPr>
            <w:tcW w:w="2166" w:type="dxa"/>
          </w:tcPr>
          <w:p w14:paraId="41C47EF6" w14:textId="77777777" w:rsidR="00A502D4" w:rsidRDefault="00000000">
            <w:pPr>
              <w:spacing w:before="30" w:after="30" w:line="264" w:lineRule="auto"/>
              <w:jc w:val="left"/>
            </w:pPr>
            <w:r>
              <w:rPr>
                <w:color w:val="46565E"/>
                <w:sz w:val="19"/>
              </w:rPr>
              <w:t xml:space="preserve">Security-exception overreach </w:t>
            </w:r>
            <w:proofErr w:type="gramStart"/>
            <w:r>
              <w:rPr>
                <w:color w:val="46565E"/>
                <w:sz w:val="19"/>
              </w:rPr>
              <w:t>counter-claim</w:t>
            </w:r>
            <w:proofErr w:type="gramEnd"/>
          </w:p>
        </w:tc>
        <w:tc>
          <w:tcPr>
            <w:tcW w:w="2346" w:type="dxa"/>
          </w:tcPr>
          <w:p w14:paraId="2A478048" w14:textId="77777777" w:rsidR="00A502D4" w:rsidRDefault="00000000">
            <w:pPr>
              <w:spacing w:before="30" w:after="30" w:line="264" w:lineRule="auto"/>
              <w:jc w:val="left"/>
            </w:pPr>
            <w:r>
              <w:rPr>
                <w:color w:val="46565E"/>
                <w:sz w:val="19"/>
              </w:rPr>
              <w:t>Article XXI scope and self-judging debate</w:t>
            </w:r>
          </w:p>
        </w:tc>
        <w:tc>
          <w:tcPr>
            <w:tcW w:w="4513" w:type="dxa"/>
          </w:tcPr>
          <w:p w14:paraId="141106A0" w14:textId="77777777" w:rsidR="00A502D4" w:rsidRDefault="00000000">
            <w:pPr>
              <w:spacing w:before="30" w:after="30" w:line="264" w:lineRule="auto"/>
              <w:jc w:val="left"/>
            </w:pPr>
            <w:r>
              <w:rPr>
                <w:color w:val="46565E"/>
                <w:sz w:val="19"/>
              </w:rPr>
              <w:t>Documented, certified, transmitted determinations following the Russia, Traffic in Transit standard; Published Proportionality Certification Memos (Section 5.3A.2)</w:t>
            </w:r>
          </w:p>
        </w:tc>
      </w:tr>
    </w:tbl>
    <w:p w14:paraId="394BEDF3" w14:textId="77777777" w:rsidR="00A502D4" w:rsidRDefault="00A502D4">
      <w:pPr>
        <w:spacing w:after="160"/>
      </w:pPr>
    </w:p>
    <w:p w14:paraId="30F4582C" w14:textId="77777777" w:rsidR="00A502D4" w:rsidRDefault="00000000">
      <w:pPr>
        <w:pStyle w:val="Heading2"/>
      </w:pPr>
      <w:r>
        <w:t>4.2 The Article XXI Anchoring Strategy</w:t>
      </w:r>
    </w:p>
    <w:p w14:paraId="28E7621C" w14:textId="77777777" w:rsidR="00A502D4" w:rsidRDefault="00000000">
      <w:r>
        <w:t>The anchor is Section 9.1B: IEWC certification of economic coercion constitutes a formal determination that an emergency in international relations exists for purposes of GATT Article XXI(b)(iii). The panel in Russia, Traffic in Transit (DS512, adopted April 26, 2019) established the operative standard: the existence of an emergency in international relations admits objective review, while the necessity of the invoking member's measures attracts deference under "which it considers" [S28]. The anchoring strategy therefore disciplines documentation, not discretion:</w:t>
      </w:r>
    </w:p>
    <w:p w14:paraId="4FAB82A5" w14:textId="77777777" w:rsidR="00A502D4" w:rsidRDefault="00000000">
      <w:pPr>
        <w:numPr>
          <w:ilvl w:val="0"/>
          <w:numId w:val="5"/>
        </w:numPr>
        <w:spacing w:after="140"/>
      </w:pPr>
      <w:r>
        <w:rPr>
          <w:b/>
        </w:rPr>
        <w:t>Certify before acting.</w:t>
      </w:r>
      <w:r>
        <w:t xml:space="preserve"> Every trade-affecting coalition measure cites a pre-existing certification documented in a Proportionality Certification Memo; no measure precedes its paperwork.</w:t>
      </w:r>
    </w:p>
    <w:p w14:paraId="01BFCFCF" w14:textId="77777777" w:rsidR="00A502D4" w:rsidRDefault="00000000">
      <w:pPr>
        <w:numPr>
          <w:ilvl w:val="0"/>
          <w:numId w:val="5"/>
        </w:numPr>
        <w:spacing w:after="140"/>
      </w:pPr>
      <w:r>
        <w:rPr>
          <w:b/>
        </w:rPr>
        <w:t>Transmit everywhere.</w:t>
      </w:r>
      <w:r>
        <w:t xml:space="preserve"> The certification travels to the WTO Secretariat, to all WTO members, and onto the public Dashboard within the Section 5.5B notification windows: 2 hours to members, 6 hours to the WTO Director-General and the coercing state, 12 hours to the public record.</w:t>
      </w:r>
    </w:p>
    <w:p w14:paraId="3693DFD6" w14:textId="77777777" w:rsidR="00A502D4" w:rsidRDefault="00000000">
      <w:pPr>
        <w:numPr>
          <w:ilvl w:val="0"/>
          <w:numId w:val="5"/>
        </w:numPr>
        <w:spacing w:after="140"/>
      </w:pPr>
      <w:r>
        <w:rPr>
          <w:b/>
        </w:rPr>
        <w:t>Write for the panel.</w:t>
      </w:r>
      <w:r>
        <w:t xml:space="preserve"> Each memo states the emergency's objective facts: the measures, the policy demands, the nexus, the quantified harm, and the escalation sequence, mirroring the five-element test so any future panel reads a complete record.</w:t>
      </w:r>
    </w:p>
    <w:p w14:paraId="61FEF1F4" w14:textId="77777777" w:rsidR="00A502D4" w:rsidRDefault="00000000">
      <w:r>
        <w:lastRenderedPageBreak/>
        <w:t xml:space="preserve">Section 9.4C reinforces the position: the security exception stands as a right of all WTO Members, exercised here through collective certification with published reasoning, the most transparent invocation </w:t>
      </w:r>
      <w:proofErr w:type="gramStart"/>
      <w:r>
        <w:t>practice</w:t>
      </w:r>
      <w:proofErr w:type="gramEnd"/>
      <w:r>
        <w:t xml:space="preserve"> any member currently follows.</w:t>
      </w:r>
    </w:p>
    <w:p w14:paraId="0C950CFD" w14:textId="77777777" w:rsidR="00A502D4" w:rsidRDefault="00000000">
      <w:pPr>
        <w:pStyle w:val="Heading2"/>
      </w:pPr>
      <w:r>
        <w:t>4.3 The Notification and Transparency Offensive</w:t>
      </w:r>
    </w:p>
    <w:p w14:paraId="4D1FF63D" w14:textId="77777777" w:rsidR="00A502D4" w:rsidRDefault="00000000">
      <w:r>
        <w:t>Secrecy invites challenge; disclosure disarms it. IMESI v15.0 commits the founders to a defined notification programme, and Canada drives it to completion on the fastest available clock:</w:t>
      </w:r>
    </w:p>
    <w:p w14:paraId="5E366211" w14:textId="77777777" w:rsidR="00A502D4" w:rsidRDefault="00000000">
      <w:pPr>
        <w:numPr>
          <w:ilvl w:val="0"/>
          <w:numId w:val="1"/>
        </w:numPr>
        <w:spacing w:after="120"/>
      </w:pPr>
      <w:r>
        <w:rPr>
          <w:b/>
        </w:rPr>
        <w:t>Formation notification (within 30 days of the founding conference):</w:t>
      </w:r>
      <w:r>
        <w:t xml:space="preserve"> the founders file formal notification of IMESI's formation and operational framework with the WTO, registering the Instrument as a plurilateral mutual insurance mechanism citing GATT Article XXI as primary legal basis (Section 9.1).</w:t>
      </w:r>
    </w:p>
    <w:p w14:paraId="675D1332" w14:textId="77777777" w:rsidR="00A502D4" w:rsidRDefault="00000000">
      <w:pPr>
        <w:numPr>
          <w:ilvl w:val="0"/>
          <w:numId w:val="1"/>
        </w:numPr>
        <w:spacing w:after="120"/>
      </w:pPr>
      <w:r>
        <w:rPr>
          <w:b/>
        </w:rPr>
        <w:t>Observer status (within 90 days):</w:t>
      </w:r>
      <w:r>
        <w:t xml:space="preserve"> the founders request formal WTO observer status and observer standing with the Committee on Trade and Development and the Committee on Regional Trade Agreements (Section 9.1).</w:t>
      </w:r>
    </w:p>
    <w:p w14:paraId="78B64A04" w14:textId="77777777" w:rsidR="00A502D4" w:rsidRDefault="00000000">
      <w:pPr>
        <w:numPr>
          <w:ilvl w:val="0"/>
          <w:numId w:val="1"/>
        </w:numPr>
        <w:spacing w:after="120"/>
      </w:pPr>
      <w:r>
        <w:rPr>
          <w:b/>
        </w:rPr>
        <w:t>Joint Working Group:</w:t>
      </w:r>
      <w:r>
        <w:t xml:space="preserve"> the Secretariat stands up the standing Joint Working Group with the WTO Secretariat and runs the annual coherence review (Section 9.2A).</w:t>
      </w:r>
    </w:p>
    <w:p w14:paraId="04426807" w14:textId="77777777" w:rsidR="00A502D4" w:rsidRDefault="00000000">
      <w:pPr>
        <w:numPr>
          <w:ilvl w:val="0"/>
          <w:numId w:val="1"/>
        </w:numPr>
        <w:spacing w:after="120"/>
      </w:pPr>
      <w:r>
        <w:rPr>
          <w:b/>
        </w:rPr>
        <w:t>Consultation channel:</w:t>
      </w:r>
      <w:r>
        <w:t xml:space="preserve"> the Consultation Request Protocol gives any WTO Member a channel with a guaranteed 14-day Secretariat response (Section 9.1A).</w:t>
      </w:r>
    </w:p>
    <w:p w14:paraId="029D8FAA" w14:textId="77777777" w:rsidR="00A502D4" w:rsidRDefault="00000000">
      <w:pPr>
        <w:numPr>
          <w:ilvl w:val="0"/>
          <w:numId w:val="1"/>
        </w:numPr>
        <w:spacing w:after="120"/>
      </w:pPr>
      <w:r>
        <w:rPr>
          <w:b/>
        </w:rPr>
        <w:t>Compatibility opinions:</w:t>
      </w:r>
      <w:r>
        <w:t xml:space="preserve"> before any Phase 2 or Phase 3 activation, the Secretariat publishes a Compatibility Assessment, transmits it to the WTO Secretariat, and admits it into any proceeding (Section 9.1, v15.0); the Secretariat also seeks non-binding compatibility opinions from the WTO, IMF, and investment bodies before stabilisation authorisations (Section 9.3).</w:t>
      </w:r>
    </w:p>
    <w:p w14:paraId="719D2C4B" w14:textId="77777777" w:rsidR="00A502D4" w:rsidRDefault="00000000">
      <w:pPr>
        <w:numPr>
          <w:ilvl w:val="0"/>
          <w:numId w:val="1"/>
        </w:numPr>
        <w:spacing w:after="120"/>
      </w:pPr>
      <w:r>
        <w:rPr>
          <w:b/>
        </w:rPr>
        <w:t>Article X discipline:</w:t>
      </w:r>
      <w:r>
        <w:t xml:space="preserve"> every member's domestic measures observe GATT Article X publication norms; coalition-level anonymity never displaces domestic transparency (Section 8.4C).</w:t>
      </w:r>
    </w:p>
    <w:p w14:paraId="35B93AA7" w14:textId="77777777" w:rsidR="00A502D4" w:rsidRDefault="00000000">
      <w:pPr>
        <w:pStyle w:val="Heading2"/>
      </w:pPr>
      <w:r>
        <w:t>4.4 The Dispute-Settlement Defence</w:t>
      </w:r>
    </w:p>
    <w:p w14:paraId="1E0BD763" w14:textId="77777777" w:rsidR="00A502D4" w:rsidRDefault="00000000">
      <w:r>
        <w:t>The Appellate Body remains non-functional in August 2026 under the continuing US blockade of appointments, so appeals "into the void" suspend adverse panel reports indefinitely [S29]. The defence therefore builds on the Multi-Party Interim Appeal Arbitration Arrangement and on Canada's own litigation record.</w:t>
      </w:r>
    </w:p>
    <w:p w14:paraId="4752A5B7" w14:textId="77777777" w:rsidR="00A502D4" w:rsidRDefault="00000000">
      <w:r>
        <w:rPr>
          <w:b/>
        </w:rPr>
        <w:t>The MPIA network.</w:t>
      </w:r>
      <w:r>
        <w:t xml:space="preserve"> Canada, the EU, the UK, Mexico, Japan, Brazil, Switzerland, and Norway all hold MPIA membership; the arrangement routes </w:t>
      </w:r>
      <w:proofErr w:type="gramStart"/>
      <w:r>
        <w:t>appeals</w:t>
      </w:r>
      <w:proofErr w:type="gramEnd"/>
      <w:r>
        <w:t xml:space="preserve"> to binding DSU Article 25 arbitration among participants [S</w:t>
      </w:r>
      <w:proofErr w:type="gramStart"/>
      <w:r>
        <w:t>30][</w:t>
      </w:r>
      <w:proofErr w:type="gramEnd"/>
      <w:r>
        <w:t xml:space="preserve">S31]. The November 24, </w:t>
      </w:r>
      <w:proofErr w:type="gramStart"/>
      <w:r>
        <w:t>2025</w:t>
      </w:r>
      <w:proofErr w:type="gramEnd"/>
      <w:r>
        <w:t xml:space="preserve"> adoption of the DS591 compliance report confirms the system's binding character inside the WTO's own processes [S32]. The founding coalition's MPIA coverage means coalition members resolve disputes among themselves through functioning two-stage adjudication, a live contrast with the coercer's appellate vacuum, and a selling point for accession candidates such as Korea and India that currently stand outside the MPIA.</w:t>
      </w:r>
    </w:p>
    <w:p w14:paraId="48AC3286" w14:textId="77777777" w:rsidR="00A502D4" w:rsidRDefault="00000000">
      <w:r>
        <w:rPr>
          <w:b/>
        </w:rPr>
        <w:lastRenderedPageBreak/>
        <w:t>Canada's active docket.</w:t>
      </w:r>
      <w:r>
        <w:t xml:space="preserve"> Canada carries three pending consultation requests against the United States: March 5, </w:t>
      </w:r>
      <w:proofErr w:type="gramStart"/>
      <w:r>
        <w:t>2025</w:t>
      </w:r>
      <w:proofErr w:type="gramEnd"/>
      <w:r>
        <w:t xml:space="preserve"> on the IEEPA tariff measures (filed under the expedited perishables procedure), March 13, </w:t>
      </w:r>
      <w:proofErr w:type="gramStart"/>
      <w:r>
        <w:t>2025</w:t>
      </w:r>
      <w:proofErr w:type="gramEnd"/>
      <w:r>
        <w:t xml:space="preserve"> on steel and aluminum duties, and April 7, </w:t>
      </w:r>
      <w:proofErr w:type="gramStart"/>
      <w:r>
        <w:t>2025</w:t>
      </w:r>
      <w:proofErr w:type="gramEnd"/>
      <w:r>
        <w:t xml:space="preserve"> on the 25 percent automobile duties [S33]. These filings establish Canada as the aggrieved party on the WTO record, generate admissible factual findings, and frame IMESI as the respondent's architecture, not the </w:t>
      </w:r>
      <w:proofErr w:type="gramStart"/>
      <w:r>
        <w:t>aggressor's</w:t>
      </w:r>
      <w:proofErr w:type="gramEnd"/>
      <w:r>
        <w:t>. Canada adds a fourth filing covering the Section 338 proclamations on or after August 19, preserving every forum right; WTO and CUSMA state-to-state panels exclude one another, so counsel selects forum before panel request [S34].</w:t>
      </w:r>
    </w:p>
    <w:p w14:paraId="111B1EBE" w14:textId="77777777" w:rsidR="00A502D4" w:rsidRDefault="00000000">
      <w:r>
        <w:rPr>
          <w:b/>
        </w:rPr>
        <w:t>The deference firewall.</w:t>
      </w:r>
      <w:r>
        <w:t xml:space="preserve"> The WTO Deference Clause (Section 9.1A) directs members to reconcile any conflict between Instrument and WTO obligations in good faith, with WTO obligations prevailing where reconciliation fails. The clause costs nothing operationally, since certified coercion justifies measures under Article XXI in any event, and it denies challengers the argument that IMESI claims supremacy over the multilateral system. Where a dispute settlement body finds a specific IMESI measure in violation, the CC amends the measure into compliance within 60 days (Section 10A.4).</w:t>
      </w:r>
    </w:p>
    <w:p w14:paraId="58770D41" w14:textId="77777777" w:rsidR="00A502D4" w:rsidRDefault="00000000">
      <w:pPr>
        <w:pStyle w:val="Heading2"/>
      </w:pPr>
      <w:r>
        <w:t>4.5 The Waiver Fallback</w:t>
      </w:r>
    </w:p>
    <w:p w14:paraId="6A445339" w14:textId="77777777" w:rsidR="00A502D4" w:rsidRDefault="00000000">
      <w:r>
        <w:t>If a challenger presses MFN or binding claims despite the Article XXI anchor, the founders hold a formal fallback: a waiver request under Article IX:3 of the Marrakesh Agreement. The Ministerial Conference or General Council grants waivers in exceptional circumstances, by consensus in practice, with a three-fourths vote as the legal fallback; requests travel through the Council for Trade in Goods on a 90-day consideration clock, and waivers carry annual review [S35]. A waiver request drafted around certified coercion, open accession, and sunset-review discipline presents the WTO membership with a legitimising vote rather than a fait accompli. The founders prepare the request as a contingency document at the drafting conference, not as a day-one filing, since the Article XXI track remains primary.</w:t>
      </w:r>
    </w:p>
    <w:p w14:paraId="5A399F07" w14:textId="77777777" w:rsidR="00A502D4" w:rsidRDefault="00000000">
      <w:pPr>
        <w:pStyle w:val="Heading2"/>
      </w:pPr>
      <w:r>
        <w:t>4.6 Design Choices That Prevent Challenges</w:t>
      </w:r>
    </w:p>
    <w:p w14:paraId="6F96A9E7" w14:textId="77777777" w:rsidR="00A502D4" w:rsidRDefault="00000000">
      <w:r>
        <w:t>Prevention outperforms defence. Five design commitments, already inside the Instrument, strip challengers of their strongest arguments; Canada foregrounds each in the notification package:</w:t>
      </w:r>
    </w:p>
    <w:p w14:paraId="0201055F" w14:textId="77777777" w:rsidR="00A502D4" w:rsidRDefault="00000000">
      <w:pPr>
        <w:numPr>
          <w:ilvl w:val="0"/>
          <w:numId w:val="1"/>
        </w:numPr>
        <w:spacing w:after="120"/>
      </w:pPr>
      <w:r>
        <w:rPr>
          <w:b/>
        </w:rPr>
        <w:t>Non-targeting:</w:t>
      </w:r>
      <w:r>
        <w:t xml:space="preserve"> the Instrument names no state and applies equally to coercion from any source, including between members (Philosophical Preamble; Section 6.9).</w:t>
      </w:r>
    </w:p>
    <w:p w14:paraId="7C37CA20" w14:textId="77777777" w:rsidR="00A502D4" w:rsidRDefault="00000000">
      <w:pPr>
        <w:numPr>
          <w:ilvl w:val="0"/>
          <w:numId w:val="1"/>
        </w:numPr>
        <w:spacing w:after="120"/>
      </w:pPr>
      <w:r>
        <w:rPr>
          <w:b/>
        </w:rPr>
        <w:t>Open accession:</w:t>
      </w:r>
      <w:r>
        <w:t xml:space="preserve"> any WTO member accedes on the same terms; the Emergency Accession Protocol and Rapid Expansion level operate without discrimination (Section 3.15).</w:t>
      </w:r>
    </w:p>
    <w:p w14:paraId="03522BD0" w14:textId="77777777" w:rsidR="00A502D4" w:rsidRDefault="00000000">
      <w:pPr>
        <w:numPr>
          <w:ilvl w:val="0"/>
          <w:numId w:val="1"/>
        </w:numPr>
        <w:spacing w:after="120"/>
      </w:pPr>
      <w:r>
        <w:rPr>
          <w:b/>
        </w:rPr>
        <w:t>Third-party voice:</w:t>
      </w:r>
      <w:r>
        <w:t xml:space="preserve"> the Third-Party Input Protocol invites affected non-members and international organisations to submit views on significantly affecting measures (Section 9.3).</w:t>
      </w:r>
    </w:p>
    <w:p w14:paraId="02676A43" w14:textId="77777777" w:rsidR="00A502D4" w:rsidRDefault="00000000">
      <w:pPr>
        <w:numPr>
          <w:ilvl w:val="0"/>
          <w:numId w:val="1"/>
        </w:numPr>
        <w:spacing w:after="120"/>
      </w:pPr>
      <w:r>
        <w:rPr>
          <w:b/>
        </w:rPr>
        <w:t>Spillover compensation:</w:t>
      </w:r>
      <w:r>
        <w:t xml:space="preserve"> the Third-Country Spillover Fund pays grants to non-members harmed above defined thresholds, and the Coercion Impact Fund for Non-Members covers up to 50 percent of documented harm (Sections 8.11 Revision, 8.11C).</w:t>
      </w:r>
    </w:p>
    <w:p w14:paraId="54643973" w14:textId="77777777" w:rsidR="00A502D4" w:rsidRDefault="00000000">
      <w:pPr>
        <w:numPr>
          <w:ilvl w:val="0"/>
          <w:numId w:val="1"/>
        </w:numPr>
        <w:spacing w:after="120"/>
      </w:pPr>
      <w:r>
        <w:rPr>
          <w:b/>
        </w:rPr>
        <w:lastRenderedPageBreak/>
        <w:t>Peacetime benefit sharing:</w:t>
      </w:r>
      <w:r>
        <w:t xml:space="preserve"> joint procurement, early-warning intelligence, and the resilience dividend extend to Observer-tier participants, so non-members gain from the system's existence (Sections 3.2C, 3.13, 8.14).</w:t>
      </w:r>
    </w:p>
    <w:p w14:paraId="23FCC897" w14:textId="77777777" w:rsidR="00A502D4" w:rsidRDefault="00000000">
      <w:pPr>
        <w:pStyle w:val="Heading1"/>
      </w:pPr>
      <w:r>
        <w:t>Part V: Media and Strategic Communications</w:t>
      </w:r>
    </w:p>
    <w:p w14:paraId="33A8168F" w14:textId="77777777" w:rsidR="00A502D4" w:rsidRDefault="00000000">
      <w:r>
        <w:t>The coalition's public narrative decides whether parliaments ratify, whether markets read stabilisation or escalation, and whether the coercer faces a united front or a divided one. All messaging follows Annex 16's binding discipline and Annex 16B's tested language.</w:t>
      </w:r>
    </w:p>
    <w:p w14:paraId="52762D49" w14:textId="77777777" w:rsidR="00A502D4" w:rsidRDefault="00000000">
      <w:pPr>
        <w:pStyle w:val="Heading2"/>
      </w:pPr>
      <w:r>
        <w:t>5.1 The Narrative Frame</w:t>
      </w:r>
    </w:p>
    <w:p w14:paraId="1AB43259" w14:textId="77777777" w:rsidR="00A502D4" w:rsidRDefault="00000000">
      <w:r>
        <w:t>One frame carries every message: mutual insurance, not alliance. The frame has four load-bearing claims, each drawn from Annex 16B:</w:t>
      </w:r>
    </w:p>
    <w:p w14:paraId="0DFC383B" w14:textId="77777777" w:rsidR="00A502D4" w:rsidRDefault="00000000">
      <w:pPr>
        <w:numPr>
          <w:ilvl w:val="0"/>
          <w:numId w:val="1"/>
        </w:numPr>
        <w:spacing w:after="120"/>
      </w:pPr>
      <w:r>
        <w:rPr>
          <w:b/>
        </w:rPr>
        <w:t>Insurance, not alliance:</w:t>
      </w:r>
      <w:r>
        <w:t xml:space="preserve"> IMESI works like home insurance; members pay a modest premium and hold a claim on collective capacity, without surrendering control of the house.</w:t>
      </w:r>
    </w:p>
    <w:p w14:paraId="2005F63E" w14:textId="77777777" w:rsidR="00A502D4" w:rsidRDefault="00000000">
      <w:pPr>
        <w:numPr>
          <w:ilvl w:val="0"/>
          <w:numId w:val="1"/>
        </w:numPr>
        <w:spacing w:after="120"/>
      </w:pPr>
      <w:r>
        <w:rPr>
          <w:b/>
        </w:rPr>
        <w:t>Sovereignty preserved:</w:t>
      </w:r>
      <w:r>
        <w:t xml:space="preserve"> parliaments remain the gatekeepers; every significant measure passes through national implementation, and no IMESI body imposes measures inside any member's borders.</w:t>
      </w:r>
    </w:p>
    <w:p w14:paraId="1FC474F4" w14:textId="77777777" w:rsidR="00A502D4" w:rsidRDefault="00000000">
      <w:pPr>
        <w:numPr>
          <w:ilvl w:val="0"/>
          <w:numId w:val="1"/>
        </w:numPr>
        <w:spacing w:after="120"/>
      </w:pPr>
      <w:r>
        <w:rPr>
          <w:b/>
        </w:rPr>
        <w:t>No named adversary:</w:t>
      </w:r>
      <w:r>
        <w:t xml:space="preserve"> the Instrument answers coercion from any source, applies equally to all, and names no country in its architecture; public statements describe certified conduct, never characterisations of intent (Narrative Neutrality Rule).</w:t>
      </w:r>
    </w:p>
    <w:p w14:paraId="4EC7729B" w14:textId="77777777" w:rsidR="00A502D4" w:rsidRDefault="00000000">
      <w:pPr>
        <w:numPr>
          <w:ilvl w:val="0"/>
          <w:numId w:val="1"/>
        </w:numPr>
        <w:spacing w:after="120"/>
      </w:pPr>
      <w:r>
        <w:rPr>
          <w:b/>
        </w:rPr>
        <w:t>De-escalation always open:</w:t>
      </w:r>
      <w:r>
        <w:t xml:space="preserve"> every public statement references the off-ramp; verified withdrawal triggers proportional reduction within 30 days (Section 5.3A).</w:t>
      </w:r>
    </w:p>
    <w:p w14:paraId="54848677" w14:textId="77777777" w:rsidR="00A502D4" w:rsidRDefault="00000000">
      <w:pPr>
        <w:pStyle w:val="Heading2"/>
      </w:pPr>
      <w:r>
        <w:t>5.2 The Domestic Canadian Plan</w:t>
      </w:r>
    </w:p>
    <w:p w14:paraId="7B275B1E" w14:textId="77777777" w:rsidR="00A502D4" w:rsidRDefault="00000000">
      <w:r>
        <w:t>Domestic audiences carry the founding; the plan assigns each audience its own messenger and message discipline.</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1660"/>
        <w:gridCol w:w="2768"/>
        <w:gridCol w:w="2214"/>
        <w:gridCol w:w="2584"/>
      </w:tblGrid>
      <w:tr w:rsidR="00A502D4" w14:paraId="42FF8B1A" w14:textId="77777777">
        <w:trPr>
          <w:cantSplit/>
          <w:tblHeader/>
        </w:trPr>
        <w:tc>
          <w:tcPr>
            <w:tcW w:w="1624" w:type="dxa"/>
            <w:shd w:val="clear" w:color="auto" w:fill="EDF2F4"/>
          </w:tcPr>
          <w:p w14:paraId="2FDF9093" w14:textId="77777777" w:rsidR="00A502D4" w:rsidRDefault="00000000">
            <w:pPr>
              <w:spacing w:before="30" w:after="30" w:line="264" w:lineRule="auto"/>
              <w:jc w:val="left"/>
            </w:pPr>
            <w:r>
              <w:rPr>
                <w:b/>
                <w:sz w:val="19"/>
              </w:rPr>
              <w:t>Audience</w:t>
            </w:r>
          </w:p>
        </w:tc>
        <w:tc>
          <w:tcPr>
            <w:tcW w:w="2707" w:type="dxa"/>
            <w:shd w:val="clear" w:color="auto" w:fill="EDF2F4"/>
          </w:tcPr>
          <w:p w14:paraId="2EBA28DA" w14:textId="77777777" w:rsidR="00A502D4" w:rsidRDefault="00000000">
            <w:pPr>
              <w:spacing w:before="30" w:after="30" w:line="264" w:lineRule="auto"/>
              <w:jc w:val="left"/>
            </w:pPr>
            <w:r>
              <w:rPr>
                <w:b/>
                <w:sz w:val="19"/>
              </w:rPr>
              <w:t>Core message</w:t>
            </w:r>
          </w:p>
        </w:tc>
        <w:tc>
          <w:tcPr>
            <w:tcW w:w="2166" w:type="dxa"/>
            <w:shd w:val="clear" w:color="auto" w:fill="EDF2F4"/>
          </w:tcPr>
          <w:p w14:paraId="36BDF7AE" w14:textId="77777777" w:rsidR="00A502D4" w:rsidRDefault="00000000">
            <w:pPr>
              <w:spacing w:before="30" w:after="30" w:line="264" w:lineRule="auto"/>
              <w:jc w:val="left"/>
            </w:pPr>
            <w:r>
              <w:rPr>
                <w:b/>
                <w:sz w:val="19"/>
              </w:rPr>
              <w:t>Lead voice</w:t>
            </w:r>
          </w:p>
        </w:tc>
        <w:tc>
          <w:tcPr>
            <w:tcW w:w="2527" w:type="dxa"/>
            <w:shd w:val="clear" w:color="auto" w:fill="EDF2F4"/>
          </w:tcPr>
          <w:p w14:paraId="30D3A8CD" w14:textId="77777777" w:rsidR="00A502D4" w:rsidRDefault="00000000">
            <w:pPr>
              <w:spacing w:before="30" w:after="30" w:line="264" w:lineRule="auto"/>
              <w:jc w:val="left"/>
            </w:pPr>
            <w:r>
              <w:rPr>
                <w:b/>
                <w:sz w:val="19"/>
              </w:rPr>
              <w:t>Notes</w:t>
            </w:r>
          </w:p>
        </w:tc>
      </w:tr>
      <w:tr w:rsidR="00A502D4" w14:paraId="6299830F" w14:textId="77777777">
        <w:tc>
          <w:tcPr>
            <w:tcW w:w="1624" w:type="dxa"/>
          </w:tcPr>
          <w:p w14:paraId="60883AFC" w14:textId="77777777" w:rsidR="00A502D4" w:rsidRDefault="00000000">
            <w:pPr>
              <w:spacing w:before="30" w:after="30" w:line="264" w:lineRule="auto"/>
              <w:jc w:val="left"/>
            </w:pPr>
            <w:r>
              <w:rPr>
                <w:color w:val="46565E"/>
                <w:sz w:val="19"/>
              </w:rPr>
              <w:t>Workers in tariff-exposed sectors (autos, steel, aluminum)</w:t>
            </w:r>
          </w:p>
        </w:tc>
        <w:tc>
          <w:tcPr>
            <w:tcW w:w="2707" w:type="dxa"/>
          </w:tcPr>
          <w:p w14:paraId="654BCDE1" w14:textId="77777777" w:rsidR="00A502D4" w:rsidRDefault="00000000">
            <w:pPr>
              <w:spacing w:before="30" w:after="30" w:line="264" w:lineRule="auto"/>
              <w:jc w:val="left"/>
            </w:pPr>
            <w:r>
              <w:rPr>
                <w:color w:val="46565E"/>
                <w:sz w:val="19"/>
              </w:rPr>
              <w:t>Collective response protects jobs now: supply-chain alternatives, bridging support, procurement demand</w:t>
            </w:r>
          </w:p>
        </w:tc>
        <w:tc>
          <w:tcPr>
            <w:tcW w:w="2166" w:type="dxa"/>
          </w:tcPr>
          <w:p w14:paraId="28262601" w14:textId="77777777" w:rsidR="00A502D4" w:rsidRDefault="00000000">
            <w:pPr>
              <w:spacing w:before="30" w:after="30" w:line="264" w:lineRule="auto"/>
              <w:jc w:val="left"/>
            </w:pPr>
            <w:r>
              <w:rPr>
                <w:color w:val="46565E"/>
                <w:sz w:val="19"/>
              </w:rPr>
              <w:t>Prime Minister; sector ministers; union leadership alongside</w:t>
            </w:r>
          </w:p>
        </w:tc>
        <w:tc>
          <w:tcPr>
            <w:tcW w:w="2527" w:type="dxa"/>
          </w:tcPr>
          <w:p w14:paraId="5A8CB21A" w14:textId="77777777" w:rsidR="00A502D4" w:rsidRDefault="00000000">
            <w:pPr>
              <w:spacing w:before="30" w:after="30" w:line="264" w:lineRule="auto"/>
              <w:jc w:val="left"/>
            </w:pPr>
            <w:r>
              <w:rPr>
                <w:color w:val="46565E"/>
                <w:sz w:val="19"/>
              </w:rPr>
              <w:t>Anchor in the Section 1.4 damage figures; pair every harm figure with a mechanism figure</w:t>
            </w:r>
          </w:p>
        </w:tc>
      </w:tr>
      <w:tr w:rsidR="00A502D4" w14:paraId="30BBF167" w14:textId="77777777">
        <w:tc>
          <w:tcPr>
            <w:tcW w:w="1624" w:type="dxa"/>
          </w:tcPr>
          <w:p w14:paraId="3645BAB4" w14:textId="77777777" w:rsidR="00A502D4" w:rsidRDefault="00000000">
            <w:pPr>
              <w:spacing w:before="30" w:after="30" w:line="264" w:lineRule="auto"/>
              <w:jc w:val="left"/>
            </w:pPr>
            <w:r>
              <w:rPr>
                <w:color w:val="46565E"/>
                <w:sz w:val="19"/>
              </w:rPr>
              <w:t>Provinces</w:t>
            </w:r>
          </w:p>
        </w:tc>
        <w:tc>
          <w:tcPr>
            <w:tcW w:w="2707" w:type="dxa"/>
          </w:tcPr>
          <w:p w14:paraId="2C186694" w14:textId="77777777" w:rsidR="00A502D4" w:rsidRDefault="00000000">
            <w:pPr>
              <w:spacing w:before="30" w:after="30" w:line="264" w:lineRule="auto"/>
              <w:jc w:val="left"/>
            </w:pPr>
            <w:r>
              <w:rPr>
                <w:color w:val="46565E"/>
                <w:sz w:val="19"/>
              </w:rPr>
              <w:t>IMESI ends the retaliation trap that grounds measures like the alcohol bans in isolation</w:t>
            </w:r>
          </w:p>
        </w:tc>
        <w:tc>
          <w:tcPr>
            <w:tcW w:w="2166" w:type="dxa"/>
          </w:tcPr>
          <w:p w14:paraId="3F2417C7" w14:textId="77777777" w:rsidR="00A502D4" w:rsidRDefault="00000000">
            <w:pPr>
              <w:spacing w:before="30" w:after="30" w:line="264" w:lineRule="auto"/>
              <w:jc w:val="left"/>
            </w:pPr>
            <w:r>
              <w:rPr>
                <w:color w:val="46565E"/>
                <w:sz w:val="19"/>
              </w:rPr>
              <w:t>Premiers through the Council of the Federation; federal-provincial table</w:t>
            </w:r>
          </w:p>
        </w:tc>
        <w:tc>
          <w:tcPr>
            <w:tcW w:w="2527" w:type="dxa"/>
          </w:tcPr>
          <w:p w14:paraId="66B1093A" w14:textId="77777777" w:rsidR="00A502D4" w:rsidRDefault="00000000">
            <w:pPr>
              <w:spacing w:before="30" w:after="30" w:line="264" w:lineRule="auto"/>
              <w:jc w:val="left"/>
            </w:pPr>
            <w:r>
              <w:rPr>
                <w:color w:val="46565E"/>
                <w:sz w:val="19"/>
              </w:rPr>
              <w:t>The Section 338 proclamations cite provincial actions; provincial voices need inclusion in response design from Day 1 [S</w:t>
            </w:r>
            <w:proofErr w:type="gramStart"/>
            <w:r>
              <w:rPr>
                <w:color w:val="46565E"/>
                <w:sz w:val="19"/>
              </w:rPr>
              <w:t>2][</w:t>
            </w:r>
            <w:proofErr w:type="gramEnd"/>
            <w:r>
              <w:rPr>
                <w:color w:val="46565E"/>
                <w:sz w:val="19"/>
              </w:rPr>
              <w:t>S12]</w:t>
            </w:r>
          </w:p>
        </w:tc>
      </w:tr>
      <w:tr w:rsidR="00A502D4" w14:paraId="4BDA3EC3" w14:textId="77777777">
        <w:tc>
          <w:tcPr>
            <w:tcW w:w="1624" w:type="dxa"/>
          </w:tcPr>
          <w:p w14:paraId="3528D582" w14:textId="77777777" w:rsidR="00A502D4" w:rsidRDefault="00000000">
            <w:pPr>
              <w:spacing w:before="30" w:after="30" w:line="264" w:lineRule="auto"/>
              <w:jc w:val="left"/>
            </w:pPr>
            <w:r>
              <w:rPr>
                <w:color w:val="46565E"/>
                <w:sz w:val="19"/>
              </w:rPr>
              <w:lastRenderedPageBreak/>
              <w:t>Business and exporters</w:t>
            </w:r>
          </w:p>
        </w:tc>
        <w:tc>
          <w:tcPr>
            <w:tcW w:w="2707" w:type="dxa"/>
          </w:tcPr>
          <w:p w14:paraId="7A93B4F0" w14:textId="77777777" w:rsidR="00A502D4" w:rsidRDefault="00000000">
            <w:pPr>
              <w:spacing w:before="30" w:after="30" w:line="264" w:lineRule="auto"/>
              <w:jc w:val="left"/>
            </w:pPr>
            <w:r>
              <w:rPr>
                <w:color w:val="46565E"/>
                <w:sz w:val="19"/>
              </w:rPr>
              <w:t>Predictability: published thresholds, pre-announced scenarios, customs fast lanes for certified firms</w:t>
            </w:r>
          </w:p>
        </w:tc>
        <w:tc>
          <w:tcPr>
            <w:tcW w:w="2166" w:type="dxa"/>
          </w:tcPr>
          <w:p w14:paraId="0F915DCA" w14:textId="77777777" w:rsidR="00A502D4" w:rsidRDefault="00000000">
            <w:pPr>
              <w:spacing w:before="30" w:after="30" w:line="264" w:lineRule="auto"/>
              <w:jc w:val="left"/>
            </w:pPr>
            <w:r>
              <w:rPr>
                <w:color w:val="46565E"/>
                <w:sz w:val="19"/>
              </w:rPr>
              <w:t>Trade Minister; chambers of commerce; the IMESI Business Council track (Section 9.8A)</w:t>
            </w:r>
          </w:p>
        </w:tc>
        <w:tc>
          <w:tcPr>
            <w:tcW w:w="2527" w:type="dxa"/>
          </w:tcPr>
          <w:p w14:paraId="56C7D8EF" w14:textId="77777777" w:rsidR="00A502D4" w:rsidRDefault="00000000">
            <w:pPr>
              <w:spacing w:before="30" w:after="30" w:line="264" w:lineRule="auto"/>
              <w:jc w:val="left"/>
            </w:pPr>
            <w:r>
              <w:rPr>
                <w:color w:val="46565E"/>
                <w:sz w:val="19"/>
              </w:rPr>
              <w:t>Emphasise the 24-hour customs clearance guarantee for certified firms (v14.0)</w:t>
            </w:r>
          </w:p>
        </w:tc>
      </w:tr>
      <w:tr w:rsidR="00A502D4" w14:paraId="0F1AE64E" w14:textId="77777777">
        <w:tc>
          <w:tcPr>
            <w:tcW w:w="1624" w:type="dxa"/>
          </w:tcPr>
          <w:p w14:paraId="0EA694F0" w14:textId="77777777" w:rsidR="00A502D4" w:rsidRDefault="00000000">
            <w:pPr>
              <w:spacing w:before="30" w:after="30" w:line="264" w:lineRule="auto"/>
              <w:jc w:val="left"/>
            </w:pPr>
            <w:r>
              <w:rPr>
                <w:color w:val="46565E"/>
                <w:sz w:val="19"/>
              </w:rPr>
              <w:t>Parliament</w:t>
            </w:r>
          </w:p>
        </w:tc>
        <w:tc>
          <w:tcPr>
            <w:tcW w:w="2707" w:type="dxa"/>
          </w:tcPr>
          <w:p w14:paraId="27AC635A" w14:textId="77777777" w:rsidR="00A502D4" w:rsidRDefault="00000000">
            <w:pPr>
              <w:spacing w:before="30" w:after="30" w:line="264" w:lineRule="auto"/>
              <w:jc w:val="left"/>
            </w:pPr>
            <w:r>
              <w:rPr>
                <w:color w:val="46565E"/>
                <w:sz w:val="19"/>
              </w:rPr>
              <w:t>Costs capped: a fraction of 1 percent of GDP at entry; no measure burden above 5 percent of GDP without explicit parliamentary consent</w:t>
            </w:r>
          </w:p>
        </w:tc>
        <w:tc>
          <w:tcPr>
            <w:tcW w:w="2166" w:type="dxa"/>
          </w:tcPr>
          <w:p w14:paraId="1B6C34F6" w14:textId="77777777" w:rsidR="00A502D4" w:rsidRDefault="00000000">
            <w:pPr>
              <w:spacing w:before="30" w:after="30" w:line="264" w:lineRule="auto"/>
              <w:jc w:val="left"/>
            </w:pPr>
            <w:r>
              <w:rPr>
                <w:color w:val="46565E"/>
                <w:sz w:val="19"/>
              </w:rPr>
              <w:t>Government House Leader; committee briefings</w:t>
            </w:r>
          </w:p>
        </w:tc>
        <w:tc>
          <w:tcPr>
            <w:tcW w:w="2527" w:type="dxa"/>
          </w:tcPr>
          <w:p w14:paraId="21387CDD" w14:textId="77777777" w:rsidR="00A502D4" w:rsidRDefault="00000000">
            <w:pPr>
              <w:spacing w:before="30" w:after="30" w:line="264" w:lineRule="auto"/>
              <w:jc w:val="left"/>
            </w:pPr>
            <w:r>
              <w:rPr>
                <w:color w:val="46565E"/>
                <w:sz w:val="19"/>
              </w:rPr>
              <w:t>Quote Annex 22's plain-language obligations verbatim</w:t>
            </w:r>
          </w:p>
        </w:tc>
      </w:tr>
      <w:tr w:rsidR="00A502D4" w14:paraId="0F2A41DF" w14:textId="77777777">
        <w:tc>
          <w:tcPr>
            <w:tcW w:w="1624" w:type="dxa"/>
          </w:tcPr>
          <w:p w14:paraId="160204C5" w14:textId="77777777" w:rsidR="00A502D4" w:rsidRDefault="00000000">
            <w:pPr>
              <w:spacing w:before="30" w:after="30" w:line="264" w:lineRule="auto"/>
              <w:jc w:val="left"/>
            </w:pPr>
            <w:r>
              <w:rPr>
                <w:color w:val="46565E"/>
                <w:sz w:val="19"/>
              </w:rPr>
              <w:t>General public</w:t>
            </w:r>
          </w:p>
        </w:tc>
        <w:tc>
          <w:tcPr>
            <w:tcW w:w="2707" w:type="dxa"/>
          </w:tcPr>
          <w:p w14:paraId="667DC983" w14:textId="77777777" w:rsidR="00A502D4" w:rsidRDefault="00000000">
            <w:pPr>
              <w:spacing w:before="30" w:after="30" w:line="264" w:lineRule="auto"/>
              <w:jc w:val="left"/>
            </w:pPr>
            <w:r>
              <w:rPr>
                <w:color w:val="46565E"/>
                <w:sz w:val="19"/>
              </w:rPr>
              <w:t>Canada builds shelter with friends; Canada does not pick fights</w:t>
            </w:r>
          </w:p>
        </w:tc>
        <w:tc>
          <w:tcPr>
            <w:tcW w:w="2166" w:type="dxa"/>
          </w:tcPr>
          <w:p w14:paraId="02A89F87" w14:textId="77777777" w:rsidR="00A502D4" w:rsidRDefault="00000000">
            <w:pPr>
              <w:spacing w:before="30" w:after="30" w:line="264" w:lineRule="auto"/>
              <w:jc w:val="left"/>
            </w:pPr>
            <w:r>
              <w:rPr>
                <w:color w:val="46565E"/>
                <w:sz w:val="19"/>
              </w:rPr>
              <w:t>Prime Minister's Office</w:t>
            </w:r>
          </w:p>
        </w:tc>
        <w:tc>
          <w:tcPr>
            <w:tcW w:w="2527" w:type="dxa"/>
          </w:tcPr>
          <w:p w14:paraId="19FCB7F7" w14:textId="77777777" w:rsidR="00A502D4" w:rsidRDefault="00000000">
            <w:pPr>
              <w:spacing w:before="30" w:after="30" w:line="264" w:lineRule="auto"/>
              <w:jc w:val="left"/>
            </w:pPr>
            <w:r>
              <w:rPr>
                <w:color w:val="46565E"/>
                <w:sz w:val="19"/>
              </w:rPr>
              <w:t>Avoid triumphalism entirely; Communication discipline keeps messaging neutral and factual (Section 1.2)</w:t>
            </w:r>
          </w:p>
        </w:tc>
      </w:tr>
    </w:tbl>
    <w:p w14:paraId="632DC8E6" w14:textId="77777777" w:rsidR="00A502D4" w:rsidRDefault="00A502D4">
      <w:pPr>
        <w:spacing w:after="160"/>
      </w:pPr>
    </w:p>
    <w:p w14:paraId="6E8104EE" w14:textId="77777777" w:rsidR="00A502D4" w:rsidRDefault="00000000">
      <w:r>
        <w:t>Two domestic sensitivities need proactive handling. First, the provincial alcohol bans and the auto surtax appear inside the Section 338 proclamations as the cited discrimination [S2]; communications frame these as defensive countermeasures under review within a coalition strategy, never as provincial fault. Second, the China question: the January 2026 threat of 100 percent tariffs over any Canada-China trade deal makes every China-adjacent headline explosive [S19]; all China messaging routes through Part VI's Strategic Dialogue framing and stresses that IMESI membership stands open to every WTO member on identical terms.</w:t>
      </w:r>
    </w:p>
    <w:p w14:paraId="66A71572" w14:textId="77777777" w:rsidR="00A502D4" w:rsidRDefault="00000000">
      <w:pPr>
        <w:pStyle w:val="Heading2"/>
      </w:pPr>
      <w:r>
        <w:t>5.3 The International Plan</w:t>
      </w:r>
    </w:p>
    <w:p w14:paraId="32EEA156" w14:textId="77777777" w:rsidR="00A502D4" w:rsidRDefault="00000000">
      <w:r>
        <w:t xml:space="preserve">The international plan executes Annex 16's standing programmes on founding </w:t>
      </w:r>
      <w:proofErr w:type="gramStart"/>
      <w:r>
        <w:t>time-scales</w:t>
      </w:r>
      <w:proofErr w:type="gramEnd"/>
      <w:r>
        <w:t>:</w:t>
      </w:r>
    </w:p>
    <w:p w14:paraId="07B041CD" w14:textId="77777777" w:rsidR="00A502D4" w:rsidRDefault="00000000">
      <w:pPr>
        <w:numPr>
          <w:ilvl w:val="0"/>
          <w:numId w:val="1"/>
        </w:numPr>
        <w:spacing w:after="120"/>
      </w:pPr>
      <w:r>
        <w:rPr>
          <w:b/>
        </w:rPr>
        <w:t>Narrative Response Team:</w:t>
      </w:r>
      <w:r>
        <w:t xml:space="preserve"> a 24/7 rapid-rebuttal capacity with pre-drafted answers to the ten common attack frames, operating in English, French, Spanish, Arabic, Mandarin, and Portuguese; attribution runs only through the Director-General or Regional Deputies.</w:t>
      </w:r>
    </w:p>
    <w:p w14:paraId="0FD91BFC" w14:textId="77777777" w:rsidR="00A502D4" w:rsidRDefault="00000000">
      <w:pPr>
        <w:numPr>
          <w:ilvl w:val="0"/>
          <w:numId w:val="1"/>
        </w:numPr>
        <w:spacing w:after="120"/>
      </w:pPr>
      <w:r>
        <w:rPr>
          <w:b/>
        </w:rPr>
        <w:t>Global South Media Network:</w:t>
      </w:r>
      <w:r>
        <w:t xml:space="preserve"> pre-positioned partnerships with developing-country outlets, with a 24-hour rebuttal cycle against "rich-country cartel" framing, funded from the Narrative Defence Fund at 0.5 percent of the Peacetime Fund.</w:t>
      </w:r>
    </w:p>
    <w:p w14:paraId="1713431A" w14:textId="77777777" w:rsidR="00A502D4" w:rsidRDefault="00000000">
      <w:pPr>
        <w:numPr>
          <w:ilvl w:val="0"/>
          <w:numId w:val="1"/>
        </w:numPr>
        <w:spacing w:after="120"/>
      </w:pPr>
      <w:r>
        <w:rPr>
          <w:b/>
        </w:rPr>
        <w:t>Development Impact Statement:</w:t>
      </w:r>
      <w:r>
        <w:t xml:space="preserve"> every public case launch carries an estimate of effects on developing-country trade and investment, with input from affected developing-country missions; the Coercion Impact Fund for Non-Members (Section 8.11C) backs the statement with money.</w:t>
      </w:r>
    </w:p>
    <w:p w14:paraId="59020AE5" w14:textId="77777777" w:rsidR="00A502D4" w:rsidRDefault="00000000">
      <w:pPr>
        <w:numPr>
          <w:ilvl w:val="0"/>
          <w:numId w:val="1"/>
        </w:numPr>
        <w:spacing w:after="120"/>
      </w:pPr>
      <w:r>
        <w:rPr>
          <w:b/>
        </w:rPr>
        <w:t>Civil Society Partnership Council:</w:t>
      </w:r>
      <w:r>
        <w:t xml:space="preserve"> accredited NGOs and think tanks from member and prospective-member states provide independent validation of the framework's defensive character.</w:t>
      </w:r>
    </w:p>
    <w:p w14:paraId="3E68D3D9" w14:textId="77777777" w:rsidR="00A502D4" w:rsidRDefault="00000000">
      <w:pPr>
        <w:numPr>
          <w:ilvl w:val="0"/>
          <w:numId w:val="1"/>
        </w:numPr>
        <w:spacing w:after="120"/>
      </w:pPr>
      <w:r>
        <w:rPr>
          <w:b/>
        </w:rPr>
        <w:t>Coordinated Voice Protocol:</w:t>
      </w:r>
      <w:r>
        <w:t xml:space="preserve"> </w:t>
      </w:r>
      <w:proofErr w:type="gramStart"/>
      <w:r>
        <w:t>the</w:t>
      </w:r>
      <w:proofErr w:type="gramEnd"/>
      <w:r>
        <w:t xml:space="preserve"> Director-General speaks for the coalition; Regional Deputies for the Americas, Europe, Asia-Pacific, and Africa-Middle East speak regionally; national governments retain voice on non-coercion matters, preserving non-alignment credibility.</w:t>
      </w:r>
    </w:p>
    <w:p w14:paraId="569411CF" w14:textId="77777777" w:rsidR="00A502D4" w:rsidRDefault="00000000">
      <w:pPr>
        <w:pStyle w:val="Heading2"/>
      </w:pPr>
      <w:r>
        <w:lastRenderedPageBreak/>
        <w:t>5.4 Counter-Narrative Table</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2583"/>
        <w:gridCol w:w="6643"/>
      </w:tblGrid>
      <w:tr w:rsidR="00A502D4" w14:paraId="7E8E78CE" w14:textId="77777777">
        <w:trPr>
          <w:cantSplit/>
          <w:tblHeader/>
        </w:trPr>
        <w:tc>
          <w:tcPr>
            <w:tcW w:w="2527" w:type="dxa"/>
            <w:shd w:val="clear" w:color="auto" w:fill="EDF2F4"/>
          </w:tcPr>
          <w:p w14:paraId="097C1436" w14:textId="77777777" w:rsidR="00A502D4" w:rsidRDefault="00000000">
            <w:pPr>
              <w:spacing w:before="30" w:after="30" w:line="264" w:lineRule="auto"/>
              <w:jc w:val="left"/>
            </w:pPr>
            <w:r>
              <w:rPr>
                <w:b/>
                <w:sz w:val="19"/>
              </w:rPr>
              <w:t>Attack line</w:t>
            </w:r>
          </w:p>
        </w:tc>
        <w:tc>
          <w:tcPr>
            <w:tcW w:w="6498" w:type="dxa"/>
            <w:shd w:val="clear" w:color="auto" w:fill="EDF2F4"/>
          </w:tcPr>
          <w:p w14:paraId="781FFF34" w14:textId="77777777" w:rsidR="00A502D4" w:rsidRDefault="00000000">
            <w:pPr>
              <w:spacing w:before="30" w:after="30" w:line="264" w:lineRule="auto"/>
              <w:jc w:val="left"/>
            </w:pPr>
            <w:r>
              <w:rPr>
                <w:b/>
                <w:sz w:val="19"/>
              </w:rPr>
              <w:t>Response (Annex 16B tested language)</w:t>
            </w:r>
          </w:p>
        </w:tc>
      </w:tr>
      <w:tr w:rsidR="00A502D4" w14:paraId="26F0A2B8" w14:textId="77777777">
        <w:tc>
          <w:tcPr>
            <w:tcW w:w="2527" w:type="dxa"/>
          </w:tcPr>
          <w:p w14:paraId="3ABD6E0C" w14:textId="77777777" w:rsidR="00A502D4" w:rsidRDefault="00000000">
            <w:pPr>
              <w:spacing w:before="30" w:after="30" w:line="264" w:lineRule="auto"/>
              <w:jc w:val="left"/>
            </w:pPr>
            <w:r>
              <w:rPr>
                <w:color w:val="46565E"/>
                <w:sz w:val="19"/>
              </w:rPr>
              <w:t>"An economic NATO, an auto-tariff bloc"</w:t>
            </w:r>
          </w:p>
        </w:tc>
        <w:tc>
          <w:tcPr>
            <w:tcW w:w="6498" w:type="dxa"/>
          </w:tcPr>
          <w:p w14:paraId="10339BE7" w14:textId="77777777" w:rsidR="00A502D4" w:rsidRDefault="00000000">
            <w:pPr>
              <w:spacing w:before="30" w:after="30" w:line="264" w:lineRule="auto"/>
              <w:jc w:val="left"/>
            </w:pPr>
            <w:r>
              <w:rPr>
                <w:color w:val="46565E"/>
                <w:sz w:val="19"/>
              </w:rPr>
              <w:t>IMESI is insurance, not an alliance. Members retain independent trade policy and abstain from any specific action through Constructive Abstention.</w:t>
            </w:r>
          </w:p>
        </w:tc>
      </w:tr>
      <w:tr w:rsidR="00A502D4" w14:paraId="6BABFBDB" w14:textId="77777777">
        <w:tc>
          <w:tcPr>
            <w:tcW w:w="2527" w:type="dxa"/>
          </w:tcPr>
          <w:p w14:paraId="789F305A" w14:textId="77777777" w:rsidR="00A502D4" w:rsidRDefault="00000000">
            <w:pPr>
              <w:spacing w:before="30" w:after="30" w:line="264" w:lineRule="auto"/>
              <w:jc w:val="left"/>
            </w:pPr>
            <w:r>
              <w:rPr>
                <w:color w:val="46565E"/>
                <w:sz w:val="19"/>
              </w:rPr>
              <w:t>"A surrender of trade sovereignty"</w:t>
            </w:r>
          </w:p>
        </w:tc>
        <w:tc>
          <w:tcPr>
            <w:tcW w:w="6498" w:type="dxa"/>
          </w:tcPr>
          <w:p w14:paraId="0E0EDFCA" w14:textId="77777777" w:rsidR="00A502D4" w:rsidRDefault="00000000">
            <w:pPr>
              <w:spacing w:before="30" w:after="30" w:line="264" w:lineRule="auto"/>
              <w:jc w:val="left"/>
            </w:pPr>
            <w:r>
              <w:rPr>
                <w:color w:val="46565E"/>
                <w:sz w:val="19"/>
              </w:rPr>
              <w:t>All measures require national implementation through existing parliamentary processes. Nothing operates without democratic oversight.</w:t>
            </w:r>
          </w:p>
        </w:tc>
      </w:tr>
      <w:tr w:rsidR="00A502D4" w14:paraId="33A6C6A4" w14:textId="77777777">
        <w:tc>
          <w:tcPr>
            <w:tcW w:w="2527" w:type="dxa"/>
          </w:tcPr>
          <w:p w14:paraId="3FE9F898" w14:textId="77777777" w:rsidR="00A502D4" w:rsidRDefault="00000000">
            <w:pPr>
              <w:spacing w:before="30" w:after="30" w:line="264" w:lineRule="auto"/>
              <w:jc w:val="left"/>
            </w:pPr>
            <w:r>
              <w:rPr>
                <w:color w:val="46565E"/>
                <w:sz w:val="19"/>
              </w:rPr>
              <w:t>"It provokes retaliation"</w:t>
            </w:r>
          </w:p>
        </w:tc>
        <w:tc>
          <w:tcPr>
            <w:tcW w:w="6498" w:type="dxa"/>
          </w:tcPr>
          <w:p w14:paraId="0DF2B8C3" w14:textId="77777777" w:rsidR="00A502D4" w:rsidRDefault="00000000">
            <w:pPr>
              <w:spacing w:before="30" w:after="30" w:line="264" w:lineRule="auto"/>
              <w:jc w:val="left"/>
            </w:pPr>
            <w:r>
              <w:rPr>
                <w:color w:val="46565E"/>
                <w:sz w:val="19"/>
              </w:rPr>
              <w:t>Economic coercion already happens. Collective insurance lowers the chance that a coercer targets any single member; it does not raise that chance.</w:t>
            </w:r>
          </w:p>
        </w:tc>
      </w:tr>
      <w:tr w:rsidR="00A502D4" w14:paraId="22CF0F78" w14:textId="77777777">
        <w:tc>
          <w:tcPr>
            <w:tcW w:w="2527" w:type="dxa"/>
          </w:tcPr>
          <w:p w14:paraId="201F4517" w14:textId="77777777" w:rsidR="00A502D4" w:rsidRDefault="00000000">
            <w:pPr>
              <w:spacing w:before="30" w:after="30" w:line="264" w:lineRule="auto"/>
              <w:jc w:val="left"/>
            </w:pPr>
            <w:r>
              <w:rPr>
                <w:color w:val="46565E"/>
                <w:sz w:val="19"/>
              </w:rPr>
              <w:t>"It costs too much"</w:t>
            </w:r>
          </w:p>
        </w:tc>
        <w:tc>
          <w:tcPr>
            <w:tcW w:w="6498" w:type="dxa"/>
          </w:tcPr>
          <w:p w14:paraId="6AAA5014" w14:textId="77777777" w:rsidR="00A502D4" w:rsidRDefault="00000000">
            <w:pPr>
              <w:spacing w:before="30" w:after="30" w:line="264" w:lineRule="auto"/>
              <w:jc w:val="left"/>
            </w:pPr>
            <w:r>
              <w:rPr>
                <w:color w:val="46565E"/>
                <w:sz w:val="19"/>
              </w:rPr>
              <w:t>The initial contribution is a fraction of 1 percent of GDP, far less than the cost of facing coercion alone. Ontario alone faces six-figure job losses under the tariff scenario.</w:t>
            </w:r>
          </w:p>
        </w:tc>
      </w:tr>
      <w:tr w:rsidR="00A502D4" w14:paraId="28364905" w14:textId="77777777">
        <w:tc>
          <w:tcPr>
            <w:tcW w:w="2527" w:type="dxa"/>
          </w:tcPr>
          <w:p w14:paraId="7C914043" w14:textId="77777777" w:rsidR="00A502D4" w:rsidRDefault="00000000">
            <w:pPr>
              <w:spacing w:before="30" w:after="30" w:line="264" w:lineRule="auto"/>
              <w:jc w:val="left"/>
            </w:pPr>
            <w:r>
              <w:rPr>
                <w:color w:val="46565E"/>
                <w:sz w:val="19"/>
              </w:rPr>
              <w:t>"An anti-American bloc"</w:t>
            </w:r>
          </w:p>
        </w:tc>
        <w:tc>
          <w:tcPr>
            <w:tcW w:w="6498" w:type="dxa"/>
          </w:tcPr>
          <w:p w14:paraId="6B5B4A17" w14:textId="77777777" w:rsidR="00A502D4" w:rsidRDefault="00000000">
            <w:pPr>
              <w:spacing w:before="30" w:after="30" w:line="264" w:lineRule="auto"/>
              <w:jc w:val="left"/>
            </w:pPr>
            <w:r>
              <w:rPr>
                <w:color w:val="46565E"/>
                <w:sz w:val="19"/>
              </w:rPr>
              <w:t>The Instrument names no state, opens accession to every WTO member including the United States, and preserves a systemic-economy cooperation track back to the multilateral system.</w:t>
            </w:r>
          </w:p>
        </w:tc>
      </w:tr>
      <w:tr w:rsidR="00A502D4" w14:paraId="6987C50E" w14:textId="77777777">
        <w:tc>
          <w:tcPr>
            <w:tcW w:w="2527" w:type="dxa"/>
          </w:tcPr>
          <w:p w14:paraId="459C179D" w14:textId="77777777" w:rsidR="00A502D4" w:rsidRDefault="00000000">
            <w:pPr>
              <w:spacing w:before="30" w:after="30" w:line="264" w:lineRule="auto"/>
              <w:jc w:val="left"/>
            </w:pPr>
            <w:r>
              <w:rPr>
                <w:color w:val="46565E"/>
                <w:sz w:val="19"/>
              </w:rPr>
              <w:t>"A rich-country cartel"</w:t>
            </w:r>
          </w:p>
        </w:tc>
        <w:tc>
          <w:tcPr>
            <w:tcW w:w="6498" w:type="dxa"/>
          </w:tcPr>
          <w:p w14:paraId="1042B0DD" w14:textId="77777777" w:rsidR="00A502D4" w:rsidRDefault="00000000">
            <w:pPr>
              <w:spacing w:before="30" w:after="30" w:line="264" w:lineRule="auto"/>
              <w:jc w:val="left"/>
            </w:pPr>
            <w:r>
              <w:rPr>
                <w:color w:val="46565E"/>
                <w:sz w:val="19"/>
              </w:rPr>
              <w:t>Open accession, the Southern Partnership Track, spillover compensation, and the non-member impact fund put developing economies inside the architecture with money behind them.</w:t>
            </w:r>
          </w:p>
        </w:tc>
      </w:tr>
    </w:tbl>
    <w:p w14:paraId="189FA1D3" w14:textId="77777777" w:rsidR="00A502D4" w:rsidRDefault="00A502D4">
      <w:pPr>
        <w:spacing w:after="160"/>
      </w:pPr>
    </w:p>
    <w:p w14:paraId="3F0FD92B" w14:textId="77777777" w:rsidR="00A502D4" w:rsidRDefault="00000000">
      <w:pPr>
        <w:pStyle w:val="Heading2"/>
      </w:pPr>
      <w:r>
        <w:t>5.5 Sequencing: The Transparency Ladder</w:t>
      </w:r>
    </w:p>
    <w:p w14:paraId="5E0B2554" w14:textId="77777777" w:rsidR="00A502D4" w:rsidRDefault="00000000">
      <w:r>
        <w:t>Public disclosure follows the Annex 16 Transparency Ladder: Phase 0 shows dashboard amber without state names; Phase 1 names the certified conduct and summarises measures; Phase 2 publishes detailed measures and economic impact; Phase 3 operates at full transparency except operational details. During the founding period itself, before any activation, communications stay at the Pledge level: the founding conference, the open invitations, the WTO notifications, and the pilot design. The coalition never announces certification before the certification exists; the First Activation Accountability Protocol adds a Legitimacy Note within 48 hours and a public CC session within 14 days when the first case arrives.</w:t>
      </w:r>
    </w:p>
    <w:p w14:paraId="6CA3F821" w14:textId="77777777" w:rsidR="00A502D4" w:rsidRDefault="00000000">
      <w:pPr>
        <w:pStyle w:val="Heading1"/>
      </w:pPr>
      <w:r>
        <w:t>Part VI: Backchannel and Quiet Diplomacy</w:t>
      </w:r>
    </w:p>
    <w:p w14:paraId="69730A6A" w14:textId="77777777" w:rsidR="00A502D4" w:rsidRDefault="00000000">
      <w:r>
        <w:t>Public coalition-building works only with private channels running underneath it. This Part maps five channel sets, their owners, and their rules of engagement.</w:t>
      </w:r>
    </w:p>
    <w:p w14:paraId="7D636B3B" w14:textId="77777777" w:rsidR="00A502D4" w:rsidRDefault="00000000">
      <w:pPr>
        <w:pStyle w:val="Heading2"/>
      </w:pPr>
      <w:r>
        <w:t>6.1 The Washington Channel</w:t>
      </w:r>
    </w:p>
    <w:p w14:paraId="6A15B7C2" w14:textId="77777777" w:rsidR="00A502D4" w:rsidRDefault="00000000">
      <w:r>
        <w:t>The objective is not surrender and not escalation; it is a face-saving suspension of the Section 338 proclamations and a working USMCA track. Section 338 itself supplies the mechanism: the President retains statutory power to suspend, amend, or revoke the proclamations at any time [S2]. The channel's offers map onto the statute's three triggers:</w:t>
      </w:r>
    </w:p>
    <w:p w14:paraId="5E377B18" w14:textId="77777777" w:rsidR="00A502D4" w:rsidRDefault="00000000">
      <w:pPr>
        <w:numPr>
          <w:ilvl w:val="0"/>
          <w:numId w:val="1"/>
        </w:numPr>
        <w:spacing w:after="120"/>
      </w:pPr>
      <w:r>
        <w:rPr>
          <w:rFonts w:cs="Calibri"/>
          <w:b/>
          <w:szCs w:val="21"/>
        </w:rPr>
        <w:lastRenderedPageBreak/>
        <w:t>Dairy:</w:t>
      </w:r>
      <w:r>
        <w:rPr>
          <w:rFonts w:cs="Calibri"/>
          <w:szCs w:val="21"/>
        </w:rPr>
        <w:t xml:space="preserve"> technical engagement on tariff-rate quota administration inside the USMCA review, the "niche TRQ eligibility problem" that trade counsel identify as procedurally simple to address [S2].</w:t>
      </w:r>
    </w:p>
    <w:p w14:paraId="117A3DF5" w14:textId="77777777" w:rsidR="00A502D4" w:rsidRDefault="00000000">
      <w:pPr>
        <w:numPr>
          <w:ilvl w:val="0"/>
          <w:numId w:val="1"/>
        </w:numPr>
        <w:spacing w:after="120"/>
      </w:pPr>
      <w:r>
        <w:rPr>
          <w:rFonts w:cs="Calibri"/>
          <w:b/>
          <w:szCs w:val="21"/>
        </w:rPr>
        <w:t>Autos:</w:t>
      </w:r>
      <w:r>
        <w:rPr>
          <w:rFonts w:cs="Calibri"/>
          <w:szCs w:val="21"/>
        </w:rPr>
        <w:t xml:space="preserve"> paired de-escalation, where Canada's 25 percent surtax steps down as the Section 232 auto measures step down, sequenced and verified rather than unilateral [S12].</w:t>
      </w:r>
    </w:p>
    <w:p w14:paraId="19A7AB9C" w14:textId="77777777" w:rsidR="00A502D4" w:rsidRDefault="00000000">
      <w:pPr>
        <w:numPr>
          <w:ilvl w:val="0"/>
          <w:numId w:val="1"/>
        </w:numPr>
        <w:spacing w:after="120"/>
      </w:pPr>
      <w:r>
        <w:rPr>
          <w:rFonts w:cs="Calibri"/>
          <w:b/>
          <w:szCs w:val="21"/>
        </w:rPr>
        <w:t>Alcohol:</w:t>
      </w:r>
      <w:r>
        <w:rPr>
          <w:rFonts w:cs="Calibri"/>
          <w:szCs w:val="21"/>
        </w:rPr>
        <w:t xml:space="preserve"> a federal-provincial track that normalises retail as federal measures recede, restoring the pre-March 2025 baseline through the same federalism that imposed the bans [S</w:t>
      </w:r>
      <w:proofErr w:type="gramStart"/>
      <w:r>
        <w:rPr>
          <w:rFonts w:cs="Calibri"/>
          <w:szCs w:val="21"/>
        </w:rPr>
        <w:t>2][</w:t>
      </w:r>
      <w:proofErr w:type="gramEnd"/>
      <w:r>
        <w:rPr>
          <w:rFonts w:cs="Calibri"/>
          <w:szCs w:val="21"/>
        </w:rPr>
        <w:t>S12].</w:t>
      </w:r>
    </w:p>
    <w:p w14:paraId="506F3DB6" w14:textId="77777777" w:rsidR="00A502D4" w:rsidRDefault="00000000">
      <w:r>
        <w:rPr>
          <w:rFonts w:cs="Calibri"/>
          <w:szCs w:val="21"/>
        </w:rPr>
        <w:t>Rules of engagement: Canada negotiates the substance while the coalition negotiates nothing; bilateral de-escalation runs under the Instrument's own logic (verified withdrawal triggers proportional reduction), and any bilateral offer from Washington goes to the Steering Group within 24 hours under the Bilateral Offer Consultation discipline (Section 6.12B). The channel also carries the coalition's standing message: IMESI is an invitation, not a rejection; the systemic-economy cooperation track and open accession preserve the United States' path back into the architecture (Section 9.5; Annex 22).</w:t>
      </w:r>
    </w:p>
    <w:p w14:paraId="569F583E" w14:textId="77777777" w:rsidR="00A502D4" w:rsidRDefault="00000000">
      <w:pPr>
        <w:pStyle w:val="Heading2"/>
      </w:pPr>
      <w:r>
        <w:rPr>
          <w:rFonts w:cs="Calibri"/>
          <w:szCs w:val="26"/>
        </w:rPr>
        <w:t>6.2 The Partner Channels</w:t>
      </w:r>
    </w:p>
    <w:p w14:paraId="3A09164B" w14:textId="77777777" w:rsidR="00A502D4" w:rsidRDefault="00000000">
      <w:r>
        <w:rPr>
          <w:rFonts w:cs="Calibri"/>
          <w:szCs w:val="21"/>
        </w:rPr>
        <w:t>Four channel sets carry the coalition outreach:</w:t>
      </w:r>
    </w:p>
    <w:p w14:paraId="09A917F0" w14:textId="77777777" w:rsidR="00A502D4" w:rsidRDefault="00000000">
      <w:pPr>
        <w:numPr>
          <w:ilvl w:val="0"/>
          <w:numId w:val="1"/>
        </w:numPr>
        <w:spacing w:after="120"/>
      </w:pPr>
      <w:r>
        <w:rPr>
          <w:rFonts w:cs="Calibri"/>
          <w:b/>
          <w:szCs w:val="21"/>
        </w:rPr>
        <w:t>London:</w:t>
      </w:r>
      <w:r>
        <w:rPr>
          <w:rFonts w:cs="Calibri"/>
          <w:szCs w:val="21"/>
        </w:rPr>
        <w:t xml:space="preserve"> </w:t>
      </w:r>
      <w:proofErr w:type="gramStart"/>
      <w:r>
        <w:rPr>
          <w:rFonts w:cs="Calibri"/>
          <w:szCs w:val="21"/>
        </w:rPr>
        <w:t>ministerial-level</w:t>
      </w:r>
      <w:proofErr w:type="gramEnd"/>
      <w:r>
        <w:rPr>
          <w:rFonts w:cs="Calibri"/>
          <w:szCs w:val="21"/>
        </w:rPr>
        <w:t>, led by the Prime Minister and Trade Minister; the ask is Pledge signature and a hosting decision (Annex 23 lists London among the hosting models); the British Chambers of Commerce's "trade bazooka" call gives the UK government domestic cover [S24].</w:t>
      </w:r>
    </w:p>
    <w:p w14:paraId="3707F9C0" w14:textId="77777777" w:rsidR="00A502D4" w:rsidRDefault="00000000">
      <w:pPr>
        <w:numPr>
          <w:ilvl w:val="0"/>
          <w:numId w:val="1"/>
        </w:numPr>
        <w:spacing w:after="120"/>
      </w:pPr>
      <w:r>
        <w:rPr>
          <w:rFonts w:cs="Calibri"/>
          <w:b/>
          <w:szCs w:val="21"/>
        </w:rPr>
        <w:t>Brussels:</w:t>
      </w:r>
      <w:r>
        <w:rPr>
          <w:rFonts w:cs="Calibri"/>
          <w:szCs w:val="21"/>
        </w:rPr>
        <w:t xml:space="preserve"> dual-key engagement, Commission (trade and economic security directorates) and Council (member-state sherpas), run alongside the ACI alignment work of Pathway Five; France and Germany already argue publicly for anti-coercion activation [S</w:t>
      </w:r>
      <w:proofErr w:type="gramStart"/>
      <w:r>
        <w:rPr>
          <w:rFonts w:cs="Calibri"/>
          <w:szCs w:val="21"/>
        </w:rPr>
        <w:t>25][</w:t>
      </w:r>
      <w:proofErr w:type="gramEnd"/>
      <w:r>
        <w:rPr>
          <w:rFonts w:cs="Calibri"/>
          <w:szCs w:val="21"/>
        </w:rPr>
        <w:t>S27].</w:t>
      </w:r>
    </w:p>
    <w:p w14:paraId="480510FE" w14:textId="77777777" w:rsidR="00A502D4" w:rsidRDefault="00000000">
      <w:pPr>
        <w:numPr>
          <w:ilvl w:val="0"/>
          <w:numId w:val="1"/>
        </w:numPr>
        <w:spacing w:after="120"/>
      </w:pPr>
      <w:r>
        <w:rPr>
          <w:rFonts w:cs="Calibri"/>
          <w:b/>
          <w:szCs w:val="21"/>
        </w:rPr>
        <w:t>Mexico City:</w:t>
      </w:r>
      <w:r>
        <w:rPr>
          <w:rFonts w:cs="Calibri"/>
          <w:szCs w:val="21"/>
        </w:rPr>
        <w:t xml:space="preserve"> trilateral-framed bilateral; the shared USMCA exposure and Mexico's exclusion-management problem make the pitch straightforward: IMESI membership insures Mexico against exactly the bilateral squeeze it now navigates [S7].</w:t>
      </w:r>
    </w:p>
    <w:p w14:paraId="0569BCBD" w14:textId="77777777" w:rsidR="00A502D4" w:rsidRDefault="00000000">
      <w:pPr>
        <w:numPr>
          <w:ilvl w:val="0"/>
          <w:numId w:val="1"/>
        </w:numPr>
        <w:spacing w:after="120"/>
      </w:pPr>
      <w:r>
        <w:rPr>
          <w:rFonts w:cs="Calibri"/>
          <w:b/>
          <w:szCs w:val="21"/>
        </w:rPr>
        <w:t>Geneva:</w:t>
      </w:r>
      <w:r>
        <w:rPr>
          <w:rFonts w:cs="Calibri"/>
          <w:szCs w:val="21"/>
        </w:rPr>
        <w:t xml:space="preserve"> Canada's WTO mission runs the technical track with partner missions: notification drafting, MPIA coordination, and the principles paper of Pathway Four. Geneva-based quiet diplomacy also reaches Ring 1 and Ring 2 capitals through their missions without bilateral summitry.</w:t>
      </w:r>
    </w:p>
    <w:p w14:paraId="447A57AE" w14:textId="77777777" w:rsidR="00A502D4" w:rsidRDefault="00000000">
      <w:pPr>
        <w:pStyle w:val="Heading2"/>
      </w:pPr>
      <w:r>
        <w:rPr>
          <w:rFonts w:cs="Calibri"/>
          <w:szCs w:val="26"/>
        </w:rPr>
        <w:t>6.3 The China Track</w:t>
      </w:r>
    </w:p>
    <w:p w14:paraId="248290D2" w14:textId="77777777" w:rsidR="00A502D4" w:rsidRDefault="00000000">
      <w:r>
        <w:rPr>
          <w:rFonts w:cs="Calibri"/>
          <w:szCs w:val="21"/>
        </w:rPr>
        <w:t>China carries a 37.5 percent aggregate Section 301 burden and faces repeated 100 percent additional-tariff threats, and Canada's partial trade truce with China already delivers relief to Atlantic and Prairie exporters [S</w:t>
      </w:r>
      <w:proofErr w:type="gramStart"/>
      <w:r>
        <w:rPr>
          <w:rFonts w:cs="Calibri"/>
          <w:szCs w:val="21"/>
        </w:rPr>
        <w:t>5][</w:t>
      </w:r>
      <w:proofErr w:type="gramEnd"/>
      <w:r>
        <w:rPr>
          <w:rFonts w:cs="Calibri"/>
          <w:szCs w:val="21"/>
        </w:rPr>
        <w:t xml:space="preserve">S20]. The January 2026 US threat, 100 percent additional tariffs on Canada over any Canada-China trade deal, defines the red line [S19]. The founders therefore run China engagement through Section 9.5's Systemic-Economy Cooperation Track: structured, logged, non-membership engagement covering quarterly briefings, joint stress tests, and shared resilience studies. Three disciplines govern the track: full transparency to coalition partners through the Reciprocal Transparency Ledger </w:t>
      </w:r>
      <w:r>
        <w:rPr>
          <w:rFonts w:cs="Calibri"/>
          <w:szCs w:val="21"/>
        </w:rPr>
        <w:lastRenderedPageBreak/>
        <w:t>(Section 6.4A); no trade-deal negotiation inside the track; and public framing of the engagement as de-escalation infrastructure open to every systemic economy, including the United States.</w:t>
      </w:r>
    </w:p>
    <w:p w14:paraId="3FFA7D44" w14:textId="77777777" w:rsidR="00A502D4" w:rsidRDefault="00000000">
      <w:pPr>
        <w:pStyle w:val="Heading2"/>
      </w:pPr>
      <w:r>
        <w:rPr>
          <w:rFonts w:cs="Calibri"/>
          <w:szCs w:val="26"/>
        </w:rPr>
        <w:t>6.4 Mediation and De-escalation Architecture</w:t>
      </w:r>
    </w:p>
    <w:p w14:paraId="07A45D4B" w14:textId="77777777" w:rsidR="00A502D4" w:rsidRDefault="00000000">
      <w:r>
        <w:rPr>
          <w:rFonts w:cs="Calibri"/>
          <w:szCs w:val="21"/>
        </w:rPr>
        <w:t>The coalition's credibility rests on exits as much as entries. The founders adopt the Instrument's mediation machinery from Day 1: the Mediation-First Mandate's 14-day confidential window (Section 5.0), the Pre-Activation Quiet Consultation offering the coercer room to modify or explain (Section 5.0), the Third-Party Mediation Fast Track for deadlocked cases (Section 5.3G), and the Director-General's Quiet Diplomatic Channel to the coercing state's representative throughout any active case (Article IV). Canada nominates a senior mediator to the rotating pool at the founding conference, signalling that the coalition builds off-ramps before it builds pressure.</w:t>
      </w:r>
    </w:p>
    <w:p w14:paraId="479BB394" w14:textId="77777777" w:rsidR="00A502D4" w:rsidRDefault="00000000">
      <w:pPr>
        <w:pStyle w:val="Heading1"/>
      </w:pPr>
      <w:r>
        <w:rPr>
          <w:rFonts w:cs="Calibri"/>
          <w:szCs w:val="32"/>
        </w:rPr>
        <w:t>Part VII: Action Plans</w:t>
      </w:r>
    </w:p>
    <w:p w14:paraId="3B450A7C" w14:textId="77777777" w:rsidR="00A502D4" w:rsidRDefault="00000000">
      <w:r>
        <w:rPr>
          <w:rFonts w:cs="Calibri"/>
          <w:szCs w:val="21"/>
        </w:rPr>
        <w:t>This Part assigns actions to named offices on defined dates. Every owner re-verifies sourced facts before execution; the tariff environment shifts weekly.</w:t>
      </w:r>
    </w:p>
    <w:p w14:paraId="62B00917" w14:textId="77777777" w:rsidR="00A502D4" w:rsidRDefault="00000000">
      <w:pPr>
        <w:pStyle w:val="Heading2"/>
      </w:pPr>
      <w:r>
        <w:rPr>
          <w:rFonts w:cs="Calibri"/>
          <w:szCs w:val="26"/>
        </w:rPr>
        <w:t>7.1 Immediate Actions: August 11 to August 19, 2026</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1291"/>
        <w:gridCol w:w="5536"/>
        <w:gridCol w:w="2399"/>
      </w:tblGrid>
      <w:tr w:rsidR="00A502D4" w14:paraId="2D65EEA6" w14:textId="77777777">
        <w:trPr>
          <w:cantSplit/>
          <w:tblHeader/>
        </w:trPr>
        <w:tc>
          <w:tcPr>
            <w:tcW w:w="1263" w:type="dxa"/>
            <w:shd w:val="clear" w:color="auto" w:fill="EDF2F4"/>
          </w:tcPr>
          <w:p w14:paraId="1659B397" w14:textId="77777777" w:rsidR="00A502D4" w:rsidRDefault="00000000">
            <w:pPr>
              <w:spacing w:before="30" w:after="30" w:line="264" w:lineRule="auto"/>
              <w:jc w:val="left"/>
            </w:pPr>
            <w:r>
              <w:rPr>
                <w:rFonts w:cs="Calibri"/>
                <w:b/>
                <w:sz w:val="19"/>
                <w:szCs w:val="19"/>
              </w:rPr>
              <w:t>Date</w:t>
            </w:r>
          </w:p>
        </w:tc>
        <w:tc>
          <w:tcPr>
            <w:tcW w:w="5415" w:type="dxa"/>
            <w:shd w:val="clear" w:color="auto" w:fill="EDF2F4"/>
          </w:tcPr>
          <w:p w14:paraId="0A4B617B" w14:textId="77777777" w:rsidR="00A502D4" w:rsidRDefault="00000000">
            <w:pPr>
              <w:spacing w:before="30" w:after="30" w:line="264" w:lineRule="auto"/>
              <w:jc w:val="left"/>
            </w:pPr>
            <w:r>
              <w:rPr>
                <w:rFonts w:cs="Calibri"/>
                <w:b/>
                <w:sz w:val="19"/>
                <w:szCs w:val="19"/>
              </w:rPr>
              <w:t>Action</w:t>
            </w:r>
          </w:p>
        </w:tc>
        <w:tc>
          <w:tcPr>
            <w:tcW w:w="2346" w:type="dxa"/>
            <w:shd w:val="clear" w:color="auto" w:fill="EDF2F4"/>
          </w:tcPr>
          <w:p w14:paraId="08E752F3" w14:textId="77777777" w:rsidR="00A502D4" w:rsidRDefault="00000000">
            <w:pPr>
              <w:spacing w:before="30" w:after="30" w:line="264" w:lineRule="auto"/>
              <w:jc w:val="left"/>
            </w:pPr>
            <w:r>
              <w:rPr>
                <w:rFonts w:cs="Calibri"/>
                <w:b/>
                <w:sz w:val="19"/>
                <w:szCs w:val="19"/>
              </w:rPr>
              <w:t>Owner</w:t>
            </w:r>
          </w:p>
        </w:tc>
      </w:tr>
      <w:tr w:rsidR="00A502D4" w14:paraId="03329037" w14:textId="77777777">
        <w:tc>
          <w:tcPr>
            <w:tcW w:w="1263" w:type="dxa"/>
          </w:tcPr>
          <w:p w14:paraId="3A811CE3" w14:textId="77777777" w:rsidR="00A502D4" w:rsidRDefault="00000000">
            <w:pPr>
              <w:spacing w:before="30" w:after="30" w:line="264" w:lineRule="auto"/>
              <w:jc w:val="left"/>
            </w:pPr>
            <w:r>
              <w:rPr>
                <w:rFonts w:cs="Calibri"/>
                <w:color w:val="46565E"/>
                <w:sz w:val="19"/>
                <w:szCs w:val="19"/>
              </w:rPr>
              <w:t>Day 1 (Aug 11)</w:t>
            </w:r>
          </w:p>
        </w:tc>
        <w:tc>
          <w:tcPr>
            <w:tcW w:w="5415" w:type="dxa"/>
          </w:tcPr>
          <w:p w14:paraId="063E0E5B" w14:textId="77777777" w:rsidR="00A502D4" w:rsidRDefault="00000000">
            <w:pPr>
              <w:spacing w:before="30" w:after="30" w:line="264" w:lineRule="auto"/>
              <w:jc w:val="left"/>
            </w:pPr>
            <w:r>
              <w:rPr>
                <w:rFonts w:cs="Calibri"/>
                <w:color w:val="46565E"/>
                <w:sz w:val="19"/>
                <w:szCs w:val="19"/>
              </w:rPr>
              <w:t>Convene the founding cell: a standing task force inside the Privy Council Office with Global Affairs Canada, Finance Canada, and the Trade Minister's office; adopt this guide as the working baseline</w:t>
            </w:r>
          </w:p>
        </w:tc>
        <w:tc>
          <w:tcPr>
            <w:tcW w:w="2346" w:type="dxa"/>
          </w:tcPr>
          <w:p w14:paraId="15B95D07" w14:textId="77777777" w:rsidR="00A502D4" w:rsidRDefault="00000000">
            <w:pPr>
              <w:spacing w:before="30" w:after="30" w:line="264" w:lineRule="auto"/>
              <w:jc w:val="left"/>
            </w:pPr>
            <w:r>
              <w:rPr>
                <w:rFonts w:cs="Calibri"/>
                <w:color w:val="46565E"/>
                <w:sz w:val="19"/>
                <w:szCs w:val="19"/>
              </w:rPr>
              <w:t>Prime Minister's Office</w:t>
            </w:r>
          </w:p>
        </w:tc>
      </w:tr>
      <w:tr w:rsidR="00A502D4" w14:paraId="2C9A6A80" w14:textId="77777777">
        <w:tc>
          <w:tcPr>
            <w:tcW w:w="1263" w:type="dxa"/>
          </w:tcPr>
          <w:p w14:paraId="45D34A13" w14:textId="77777777" w:rsidR="00A502D4" w:rsidRDefault="00000000">
            <w:pPr>
              <w:spacing w:before="30" w:after="30" w:line="264" w:lineRule="auto"/>
              <w:jc w:val="left"/>
            </w:pPr>
            <w:r>
              <w:rPr>
                <w:rFonts w:cs="Calibri"/>
                <w:color w:val="46565E"/>
                <w:sz w:val="19"/>
                <w:szCs w:val="19"/>
              </w:rPr>
              <w:t>Day 1 to 2</w:t>
            </w:r>
          </w:p>
        </w:tc>
        <w:tc>
          <w:tcPr>
            <w:tcW w:w="5415" w:type="dxa"/>
          </w:tcPr>
          <w:p w14:paraId="55CD884E" w14:textId="77777777" w:rsidR="00A502D4" w:rsidRDefault="00000000">
            <w:pPr>
              <w:spacing w:before="30" w:after="30" w:line="264" w:lineRule="auto"/>
              <w:jc w:val="left"/>
            </w:pPr>
            <w:r>
              <w:rPr>
                <w:rFonts w:cs="Calibri"/>
                <w:color w:val="46565E"/>
                <w:sz w:val="19"/>
                <w:szCs w:val="19"/>
              </w:rPr>
              <w:t>Place founding calls to London, Brussels (Commission and Council Presidents), and Mexico City; request 72-hour sherpa sprint on the Annex 22 Pledge text</w:t>
            </w:r>
          </w:p>
        </w:tc>
        <w:tc>
          <w:tcPr>
            <w:tcW w:w="2346" w:type="dxa"/>
          </w:tcPr>
          <w:p w14:paraId="48F2FB2B" w14:textId="77777777" w:rsidR="00A502D4" w:rsidRDefault="00000000">
            <w:pPr>
              <w:spacing w:before="30" w:after="30" w:line="264" w:lineRule="auto"/>
              <w:jc w:val="left"/>
            </w:pPr>
            <w:r>
              <w:rPr>
                <w:rFonts w:cs="Calibri"/>
                <w:color w:val="46565E"/>
                <w:sz w:val="19"/>
                <w:szCs w:val="19"/>
              </w:rPr>
              <w:t>Prime Minister</w:t>
            </w:r>
          </w:p>
        </w:tc>
      </w:tr>
      <w:tr w:rsidR="00A502D4" w14:paraId="47A49170" w14:textId="77777777">
        <w:tc>
          <w:tcPr>
            <w:tcW w:w="1263" w:type="dxa"/>
          </w:tcPr>
          <w:p w14:paraId="3AF48E16" w14:textId="77777777" w:rsidR="00A502D4" w:rsidRDefault="00000000">
            <w:pPr>
              <w:spacing w:before="30" w:after="30" w:line="264" w:lineRule="auto"/>
              <w:jc w:val="left"/>
            </w:pPr>
            <w:r>
              <w:rPr>
                <w:rFonts w:cs="Calibri"/>
                <w:b/>
                <w:color w:val="46565E"/>
                <w:sz w:val="19"/>
                <w:szCs w:val="19"/>
              </w:rPr>
              <w:t>Day 1 to 2</w:t>
            </w:r>
          </w:p>
        </w:tc>
        <w:tc>
          <w:tcPr>
            <w:tcW w:w="5415" w:type="dxa"/>
          </w:tcPr>
          <w:p w14:paraId="52FBB6CF" w14:textId="77777777" w:rsidR="00A502D4" w:rsidRDefault="00000000">
            <w:pPr>
              <w:spacing w:before="30" w:after="30" w:line="264" w:lineRule="auto"/>
              <w:jc w:val="left"/>
            </w:pPr>
            <w:r>
              <w:rPr>
                <w:rFonts w:cs="Calibri"/>
                <w:b/>
                <w:color w:val="46565E"/>
                <w:sz w:val="19"/>
                <w:szCs w:val="19"/>
              </w:rPr>
              <w:t xml:space="preserve">Deliver the pre-positioned Solidarity </w:t>
            </w:r>
            <w:proofErr w:type="gramStart"/>
            <w:r>
              <w:rPr>
                <w:rFonts w:cs="Calibri"/>
                <w:b/>
                <w:color w:val="46565E"/>
                <w:sz w:val="19"/>
                <w:szCs w:val="19"/>
              </w:rPr>
              <w:t>Counter-Offer</w:t>
            </w:r>
            <w:proofErr w:type="gramEnd"/>
            <w:r>
              <w:rPr>
                <w:rFonts w:cs="Calibri"/>
                <w:b/>
                <w:color w:val="46565E"/>
                <w:sz w:val="19"/>
                <w:szCs w:val="19"/>
              </w:rPr>
              <w:t xml:space="preserve"> to Mexico City, co-signed with Brussels (Section 2.5); the package lands before any American bilateral offer</w:t>
            </w:r>
          </w:p>
        </w:tc>
        <w:tc>
          <w:tcPr>
            <w:tcW w:w="2346" w:type="dxa"/>
          </w:tcPr>
          <w:p w14:paraId="1DA114B8" w14:textId="77777777" w:rsidR="00A502D4" w:rsidRDefault="00000000">
            <w:pPr>
              <w:spacing w:before="30" w:after="30" w:line="264" w:lineRule="auto"/>
              <w:jc w:val="left"/>
            </w:pPr>
            <w:r>
              <w:rPr>
                <w:rFonts w:cs="Calibri"/>
                <w:b/>
                <w:color w:val="46565E"/>
                <w:sz w:val="19"/>
                <w:szCs w:val="19"/>
              </w:rPr>
              <w:t>Foreign Minister</w:t>
            </w:r>
          </w:p>
        </w:tc>
      </w:tr>
      <w:tr w:rsidR="00A502D4" w14:paraId="6A4025B2" w14:textId="77777777">
        <w:tc>
          <w:tcPr>
            <w:tcW w:w="1263" w:type="dxa"/>
          </w:tcPr>
          <w:p w14:paraId="0F6C512E" w14:textId="77777777" w:rsidR="00A502D4" w:rsidRDefault="00000000">
            <w:pPr>
              <w:spacing w:before="30" w:after="30" w:line="264" w:lineRule="auto"/>
              <w:jc w:val="left"/>
            </w:pPr>
            <w:r>
              <w:rPr>
                <w:rFonts w:cs="Calibri"/>
                <w:color w:val="46565E"/>
                <w:sz w:val="19"/>
                <w:szCs w:val="19"/>
              </w:rPr>
              <w:t>Day 2</w:t>
            </w:r>
          </w:p>
        </w:tc>
        <w:tc>
          <w:tcPr>
            <w:tcW w:w="5415" w:type="dxa"/>
          </w:tcPr>
          <w:p w14:paraId="4972FCDF" w14:textId="77777777" w:rsidR="00A502D4" w:rsidRDefault="00000000">
            <w:pPr>
              <w:spacing w:before="30" w:after="30" w:line="264" w:lineRule="auto"/>
              <w:jc w:val="left"/>
            </w:pPr>
            <w:r>
              <w:rPr>
                <w:rFonts w:cs="Calibri"/>
                <w:color w:val="46565E"/>
                <w:sz w:val="19"/>
                <w:szCs w:val="19"/>
              </w:rPr>
              <w:t>Transmit the quiet-channel package to Washington: dairy TRQ technical track, paired auto de-escalation, alcohol normalisation path (Section 6.1)</w:t>
            </w:r>
          </w:p>
        </w:tc>
        <w:tc>
          <w:tcPr>
            <w:tcW w:w="2346" w:type="dxa"/>
          </w:tcPr>
          <w:p w14:paraId="5B5BC277" w14:textId="77777777" w:rsidR="00A502D4" w:rsidRDefault="00000000">
            <w:pPr>
              <w:spacing w:before="30" w:after="30" w:line="264" w:lineRule="auto"/>
              <w:jc w:val="left"/>
            </w:pPr>
            <w:r>
              <w:rPr>
                <w:rFonts w:cs="Calibri"/>
                <w:color w:val="46565E"/>
                <w:sz w:val="19"/>
                <w:szCs w:val="19"/>
              </w:rPr>
              <w:t>Trade Minister; Ambassador to the US</w:t>
            </w:r>
          </w:p>
        </w:tc>
      </w:tr>
      <w:tr w:rsidR="00A502D4" w14:paraId="603638C9" w14:textId="77777777">
        <w:tc>
          <w:tcPr>
            <w:tcW w:w="1263" w:type="dxa"/>
          </w:tcPr>
          <w:p w14:paraId="39F30F08" w14:textId="77777777" w:rsidR="00A502D4" w:rsidRDefault="00000000">
            <w:pPr>
              <w:spacing w:before="30" w:after="30" w:line="264" w:lineRule="auto"/>
              <w:jc w:val="left"/>
            </w:pPr>
            <w:r>
              <w:rPr>
                <w:rFonts w:cs="Calibri"/>
                <w:color w:val="46565E"/>
                <w:sz w:val="19"/>
                <w:szCs w:val="19"/>
              </w:rPr>
              <w:t>Day 3</w:t>
            </w:r>
          </w:p>
        </w:tc>
        <w:tc>
          <w:tcPr>
            <w:tcW w:w="5415" w:type="dxa"/>
          </w:tcPr>
          <w:p w14:paraId="3C9478ED" w14:textId="77777777" w:rsidR="00A502D4" w:rsidRDefault="00000000">
            <w:pPr>
              <w:spacing w:before="30" w:after="30" w:line="264" w:lineRule="auto"/>
              <w:jc w:val="left"/>
            </w:pPr>
            <w:r>
              <w:rPr>
                <w:rFonts w:cs="Calibri"/>
                <w:color w:val="46565E"/>
                <w:sz w:val="19"/>
                <w:szCs w:val="19"/>
              </w:rPr>
              <w:t>Open the federal-provincial table: brief premiers on the Section 338 exposure, the alcohol-ban citation inside the proclamations, and the coalition strategy</w:t>
            </w:r>
          </w:p>
        </w:tc>
        <w:tc>
          <w:tcPr>
            <w:tcW w:w="2346" w:type="dxa"/>
          </w:tcPr>
          <w:p w14:paraId="26EFFFD4" w14:textId="77777777" w:rsidR="00A502D4" w:rsidRDefault="00000000">
            <w:pPr>
              <w:spacing w:before="30" w:after="30" w:line="264" w:lineRule="auto"/>
              <w:jc w:val="left"/>
            </w:pPr>
            <w:r>
              <w:rPr>
                <w:rFonts w:cs="Calibri"/>
                <w:color w:val="46565E"/>
                <w:sz w:val="19"/>
                <w:szCs w:val="19"/>
              </w:rPr>
              <w:t>Prime Minister; Council of the Federation</w:t>
            </w:r>
          </w:p>
        </w:tc>
      </w:tr>
      <w:tr w:rsidR="00A502D4" w14:paraId="0FF963D8" w14:textId="77777777">
        <w:tc>
          <w:tcPr>
            <w:tcW w:w="1263" w:type="dxa"/>
          </w:tcPr>
          <w:p w14:paraId="1B2D6FE2" w14:textId="77777777" w:rsidR="00A502D4" w:rsidRDefault="00000000">
            <w:pPr>
              <w:spacing w:before="30" w:after="30" w:line="264" w:lineRule="auto"/>
              <w:jc w:val="left"/>
            </w:pPr>
            <w:r>
              <w:rPr>
                <w:rFonts w:cs="Calibri"/>
                <w:color w:val="46565E"/>
                <w:sz w:val="19"/>
                <w:szCs w:val="19"/>
              </w:rPr>
              <w:t>Day 3 to 5</w:t>
            </w:r>
          </w:p>
        </w:tc>
        <w:tc>
          <w:tcPr>
            <w:tcW w:w="5415" w:type="dxa"/>
          </w:tcPr>
          <w:p w14:paraId="3929E40E" w14:textId="77777777" w:rsidR="00A502D4" w:rsidRDefault="00000000">
            <w:pPr>
              <w:spacing w:before="30" w:after="30" w:line="264" w:lineRule="auto"/>
              <w:jc w:val="left"/>
            </w:pPr>
            <w:r>
              <w:rPr>
                <w:rFonts w:cs="Calibri"/>
                <w:color w:val="46565E"/>
                <w:sz w:val="19"/>
                <w:szCs w:val="19"/>
              </w:rPr>
              <w:t xml:space="preserve">Sherpa sprint finalises Pledge text, communiqué, Provisional Steering Group terms of reference, and the </w:t>
            </w:r>
            <w:proofErr w:type="gramStart"/>
            <w:r>
              <w:rPr>
                <w:rFonts w:cs="Calibri"/>
                <w:color w:val="46565E"/>
                <w:sz w:val="19"/>
                <w:szCs w:val="19"/>
              </w:rPr>
              <w:t>12 to 18 month</w:t>
            </w:r>
            <w:proofErr w:type="gramEnd"/>
            <w:r>
              <w:rPr>
                <w:rFonts w:cs="Calibri"/>
                <w:color w:val="46565E"/>
                <w:sz w:val="19"/>
                <w:szCs w:val="19"/>
              </w:rPr>
              <w:t xml:space="preserve"> pilot mandate</w:t>
            </w:r>
          </w:p>
        </w:tc>
        <w:tc>
          <w:tcPr>
            <w:tcW w:w="2346" w:type="dxa"/>
          </w:tcPr>
          <w:p w14:paraId="171EB458" w14:textId="77777777" w:rsidR="00A502D4" w:rsidRDefault="00000000">
            <w:pPr>
              <w:spacing w:before="30" w:after="30" w:line="264" w:lineRule="auto"/>
              <w:jc w:val="left"/>
            </w:pPr>
            <w:r>
              <w:rPr>
                <w:rFonts w:cs="Calibri"/>
                <w:color w:val="46565E"/>
                <w:sz w:val="19"/>
                <w:szCs w:val="19"/>
              </w:rPr>
              <w:t>Sherpas of the four founders</w:t>
            </w:r>
          </w:p>
        </w:tc>
      </w:tr>
      <w:tr w:rsidR="00A502D4" w14:paraId="1DF5599F" w14:textId="77777777">
        <w:tc>
          <w:tcPr>
            <w:tcW w:w="1263" w:type="dxa"/>
          </w:tcPr>
          <w:p w14:paraId="6D782112" w14:textId="77777777" w:rsidR="00A502D4" w:rsidRDefault="00000000">
            <w:pPr>
              <w:spacing w:before="30" w:after="30" w:line="264" w:lineRule="auto"/>
              <w:jc w:val="left"/>
            </w:pPr>
            <w:r>
              <w:rPr>
                <w:rFonts w:cs="Calibri"/>
                <w:color w:val="46565E"/>
                <w:sz w:val="19"/>
                <w:szCs w:val="19"/>
              </w:rPr>
              <w:t>Day 4</w:t>
            </w:r>
          </w:p>
        </w:tc>
        <w:tc>
          <w:tcPr>
            <w:tcW w:w="5415" w:type="dxa"/>
          </w:tcPr>
          <w:p w14:paraId="349993F2" w14:textId="77777777" w:rsidR="00A502D4" w:rsidRDefault="00000000">
            <w:pPr>
              <w:spacing w:before="30" w:after="30" w:line="264" w:lineRule="auto"/>
              <w:jc w:val="left"/>
            </w:pPr>
            <w:r>
              <w:rPr>
                <w:rFonts w:cs="Calibri"/>
                <w:color w:val="46565E"/>
                <w:sz w:val="19"/>
                <w:szCs w:val="19"/>
              </w:rPr>
              <w:t>Instruct the Geneva mission to pre-draft the WTO formation notification and observer-status requests (Sections 9.1)</w:t>
            </w:r>
          </w:p>
        </w:tc>
        <w:tc>
          <w:tcPr>
            <w:tcW w:w="2346" w:type="dxa"/>
          </w:tcPr>
          <w:p w14:paraId="02CD6DAE" w14:textId="77777777" w:rsidR="00A502D4" w:rsidRDefault="00000000">
            <w:pPr>
              <w:spacing w:before="30" w:after="30" w:line="264" w:lineRule="auto"/>
              <w:jc w:val="left"/>
            </w:pPr>
            <w:r>
              <w:rPr>
                <w:rFonts w:cs="Calibri"/>
                <w:color w:val="46565E"/>
                <w:sz w:val="19"/>
                <w:szCs w:val="19"/>
              </w:rPr>
              <w:t>Global Affairs Canada</w:t>
            </w:r>
          </w:p>
        </w:tc>
      </w:tr>
      <w:tr w:rsidR="00A502D4" w14:paraId="42B41515" w14:textId="77777777">
        <w:tc>
          <w:tcPr>
            <w:tcW w:w="1263" w:type="dxa"/>
          </w:tcPr>
          <w:p w14:paraId="687BDF16" w14:textId="77777777" w:rsidR="00A502D4" w:rsidRDefault="00000000">
            <w:pPr>
              <w:spacing w:before="30" w:after="30" w:line="264" w:lineRule="auto"/>
              <w:jc w:val="left"/>
            </w:pPr>
            <w:r>
              <w:rPr>
                <w:rFonts w:cs="Calibri"/>
                <w:color w:val="46565E"/>
                <w:sz w:val="19"/>
                <w:szCs w:val="19"/>
              </w:rPr>
              <w:t>Day 5</w:t>
            </w:r>
          </w:p>
        </w:tc>
        <w:tc>
          <w:tcPr>
            <w:tcW w:w="5415" w:type="dxa"/>
          </w:tcPr>
          <w:p w14:paraId="732A33EB" w14:textId="77777777" w:rsidR="00A502D4" w:rsidRDefault="00000000">
            <w:pPr>
              <w:spacing w:before="30" w:after="30" w:line="264" w:lineRule="auto"/>
              <w:jc w:val="left"/>
            </w:pPr>
            <w:r>
              <w:rPr>
                <w:rFonts w:cs="Calibri"/>
                <w:color w:val="46565E"/>
                <w:sz w:val="19"/>
                <w:szCs w:val="19"/>
              </w:rPr>
              <w:t xml:space="preserve">Brief opposition leaders and the parliamentary trade committee on </w:t>
            </w:r>
            <w:r>
              <w:rPr>
                <w:rFonts w:cs="Calibri"/>
                <w:color w:val="46565E"/>
                <w:sz w:val="19"/>
                <w:szCs w:val="19"/>
              </w:rPr>
              <w:lastRenderedPageBreak/>
              <w:t>the founding plan and the Annex 22 cost caps</w:t>
            </w:r>
          </w:p>
        </w:tc>
        <w:tc>
          <w:tcPr>
            <w:tcW w:w="2346" w:type="dxa"/>
          </w:tcPr>
          <w:p w14:paraId="3516B1E9" w14:textId="77777777" w:rsidR="00A502D4" w:rsidRDefault="00000000">
            <w:pPr>
              <w:spacing w:before="30" w:after="30" w:line="264" w:lineRule="auto"/>
              <w:jc w:val="left"/>
            </w:pPr>
            <w:r>
              <w:rPr>
                <w:rFonts w:cs="Calibri"/>
                <w:color w:val="46565E"/>
                <w:sz w:val="19"/>
                <w:szCs w:val="19"/>
              </w:rPr>
              <w:lastRenderedPageBreak/>
              <w:t>Government House Leader</w:t>
            </w:r>
          </w:p>
        </w:tc>
      </w:tr>
      <w:tr w:rsidR="00A502D4" w14:paraId="5407DAA5" w14:textId="77777777">
        <w:tc>
          <w:tcPr>
            <w:tcW w:w="1263" w:type="dxa"/>
          </w:tcPr>
          <w:p w14:paraId="11998D84" w14:textId="77777777" w:rsidR="00A502D4" w:rsidRDefault="00000000">
            <w:pPr>
              <w:spacing w:before="30" w:after="30" w:line="264" w:lineRule="auto"/>
              <w:jc w:val="left"/>
            </w:pPr>
            <w:r>
              <w:rPr>
                <w:rFonts w:cs="Calibri"/>
                <w:color w:val="46565E"/>
                <w:sz w:val="19"/>
                <w:szCs w:val="19"/>
              </w:rPr>
              <w:t>Day 5 to 7</w:t>
            </w:r>
          </w:p>
        </w:tc>
        <w:tc>
          <w:tcPr>
            <w:tcW w:w="5415" w:type="dxa"/>
          </w:tcPr>
          <w:p w14:paraId="4AD6ADFC" w14:textId="77777777" w:rsidR="00A502D4" w:rsidRDefault="00000000">
            <w:pPr>
              <w:spacing w:before="30" w:after="30" w:line="264" w:lineRule="auto"/>
              <w:jc w:val="left"/>
            </w:pPr>
            <w:r>
              <w:rPr>
                <w:rFonts w:cs="Calibri"/>
                <w:color w:val="46565E"/>
                <w:sz w:val="19"/>
                <w:szCs w:val="19"/>
              </w:rPr>
              <w:t>Deliver Ring 1 démarches: ministerial calls to Tokyo, Seoul, and Bern offering Founding Observer Track entry (Section 3.2C)</w:t>
            </w:r>
          </w:p>
        </w:tc>
        <w:tc>
          <w:tcPr>
            <w:tcW w:w="2346" w:type="dxa"/>
          </w:tcPr>
          <w:p w14:paraId="28DD7CC2" w14:textId="77777777" w:rsidR="00A502D4" w:rsidRDefault="00000000">
            <w:pPr>
              <w:spacing w:before="30" w:after="30" w:line="264" w:lineRule="auto"/>
              <w:jc w:val="left"/>
            </w:pPr>
            <w:r>
              <w:rPr>
                <w:rFonts w:cs="Calibri"/>
                <w:color w:val="46565E"/>
                <w:sz w:val="19"/>
                <w:szCs w:val="19"/>
              </w:rPr>
              <w:t>Foreign Minister</w:t>
            </w:r>
          </w:p>
        </w:tc>
      </w:tr>
      <w:tr w:rsidR="00A502D4" w14:paraId="799179B4" w14:textId="77777777">
        <w:tc>
          <w:tcPr>
            <w:tcW w:w="1263" w:type="dxa"/>
          </w:tcPr>
          <w:p w14:paraId="4C5BC04F" w14:textId="77777777" w:rsidR="00A502D4" w:rsidRDefault="00000000">
            <w:pPr>
              <w:spacing w:before="30" w:after="30" w:line="264" w:lineRule="auto"/>
              <w:jc w:val="left"/>
            </w:pPr>
            <w:r>
              <w:rPr>
                <w:rFonts w:cs="Calibri"/>
                <w:color w:val="46565E"/>
                <w:sz w:val="19"/>
                <w:szCs w:val="19"/>
              </w:rPr>
              <w:t>Day 6 to 8</w:t>
            </w:r>
          </w:p>
        </w:tc>
        <w:tc>
          <w:tcPr>
            <w:tcW w:w="5415" w:type="dxa"/>
          </w:tcPr>
          <w:p w14:paraId="76ED84C4" w14:textId="77777777" w:rsidR="00A502D4" w:rsidRDefault="00000000">
            <w:pPr>
              <w:spacing w:before="30" w:after="30" w:line="264" w:lineRule="auto"/>
              <w:jc w:val="left"/>
            </w:pPr>
            <w:r>
              <w:rPr>
                <w:rFonts w:cs="Calibri"/>
                <w:color w:val="46565E"/>
                <w:sz w:val="19"/>
                <w:szCs w:val="19"/>
              </w:rPr>
              <w:t>Sign the Founding Coalition Pledge at an emergency ministerial (London or Geneva); publish the communiqué; open the standing accession register</w:t>
            </w:r>
          </w:p>
        </w:tc>
        <w:tc>
          <w:tcPr>
            <w:tcW w:w="2346" w:type="dxa"/>
          </w:tcPr>
          <w:p w14:paraId="110B4CE4" w14:textId="77777777" w:rsidR="00A502D4" w:rsidRDefault="00000000">
            <w:pPr>
              <w:spacing w:before="30" w:after="30" w:line="264" w:lineRule="auto"/>
              <w:jc w:val="left"/>
            </w:pPr>
            <w:r>
              <w:rPr>
                <w:rFonts w:cs="Calibri"/>
                <w:color w:val="46565E"/>
                <w:sz w:val="19"/>
                <w:szCs w:val="19"/>
              </w:rPr>
              <w:t>Four founding governments</w:t>
            </w:r>
          </w:p>
        </w:tc>
      </w:tr>
      <w:tr w:rsidR="00A502D4" w14:paraId="5094A335" w14:textId="77777777">
        <w:tc>
          <w:tcPr>
            <w:tcW w:w="1263" w:type="dxa"/>
          </w:tcPr>
          <w:p w14:paraId="5CF6D50A" w14:textId="77777777" w:rsidR="00A502D4" w:rsidRDefault="00000000">
            <w:pPr>
              <w:spacing w:before="30" w:after="30" w:line="264" w:lineRule="auto"/>
              <w:jc w:val="left"/>
            </w:pPr>
            <w:r>
              <w:rPr>
                <w:rFonts w:cs="Calibri"/>
                <w:color w:val="46565E"/>
                <w:sz w:val="19"/>
                <w:szCs w:val="19"/>
              </w:rPr>
              <w:t>Day 8 (Aug 19)</w:t>
            </w:r>
          </w:p>
        </w:tc>
        <w:tc>
          <w:tcPr>
            <w:tcW w:w="5415" w:type="dxa"/>
          </w:tcPr>
          <w:p w14:paraId="0457DB25" w14:textId="77777777" w:rsidR="00A502D4" w:rsidRDefault="00000000">
            <w:pPr>
              <w:spacing w:before="30" w:after="30" w:line="264" w:lineRule="auto"/>
              <w:jc w:val="left"/>
            </w:pPr>
            <w:r>
              <w:rPr>
                <w:rFonts w:cs="Calibri"/>
                <w:color w:val="46565E"/>
                <w:sz w:val="19"/>
                <w:szCs w:val="19"/>
              </w:rPr>
              <w:t>Section 338 duties take effect at 12:01 a.m. ET; the Steering Group issues its first statement inside the Annex 16 frame: stabilisation, open doors, de-escalation pathways</w:t>
            </w:r>
          </w:p>
        </w:tc>
        <w:tc>
          <w:tcPr>
            <w:tcW w:w="2346" w:type="dxa"/>
          </w:tcPr>
          <w:p w14:paraId="397ECD3E" w14:textId="77777777" w:rsidR="00A502D4" w:rsidRDefault="00000000">
            <w:pPr>
              <w:spacing w:before="30" w:after="30" w:line="264" w:lineRule="auto"/>
              <w:jc w:val="left"/>
            </w:pPr>
            <w:r>
              <w:rPr>
                <w:rFonts w:cs="Calibri"/>
                <w:color w:val="46565E"/>
                <w:sz w:val="19"/>
                <w:szCs w:val="19"/>
              </w:rPr>
              <w:t>Provisional Steering Group</w:t>
            </w:r>
          </w:p>
        </w:tc>
      </w:tr>
    </w:tbl>
    <w:p w14:paraId="7146005E" w14:textId="77777777" w:rsidR="00A502D4" w:rsidRDefault="00A502D4">
      <w:pPr>
        <w:spacing w:after="160"/>
      </w:pPr>
    </w:p>
    <w:p w14:paraId="2589075E" w14:textId="77777777" w:rsidR="00A502D4" w:rsidRDefault="00000000">
      <w:pPr>
        <w:pStyle w:val="Heading2"/>
      </w:pPr>
      <w:r>
        <w:rPr>
          <w:rFonts w:cs="Calibri"/>
          <w:szCs w:val="26"/>
        </w:rPr>
        <w:t>7.2 The 90-Day Plan</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1660"/>
        <w:gridCol w:w="4798"/>
        <w:gridCol w:w="2768"/>
      </w:tblGrid>
      <w:tr w:rsidR="00A502D4" w14:paraId="2B21D294" w14:textId="77777777">
        <w:trPr>
          <w:cantSplit/>
          <w:tblHeader/>
        </w:trPr>
        <w:tc>
          <w:tcPr>
            <w:tcW w:w="1624" w:type="dxa"/>
            <w:shd w:val="clear" w:color="auto" w:fill="EDF2F4"/>
          </w:tcPr>
          <w:p w14:paraId="14EC664F" w14:textId="77777777" w:rsidR="00A502D4" w:rsidRDefault="00000000">
            <w:pPr>
              <w:spacing w:before="30" w:after="30" w:line="264" w:lineRule="auto"/>
              <w:jc w:val="left"/>
            </w:pPr>
            <w:r>
              <w:rPr>
                <w:rFonts w:cs="Calibri"/>
                <w:b/>
                <w:sz w:val="19"/>
                <w:szCs w:val="19"/>
              </w:rPr>
              <w:t>Window</w:t>
            </w:r>
          </w:p>
        </w:tc>
        <w:tc>
          <w:tcPr>
            <w:tcW w:w="4693" w:type="dxa"/>
            <w:shd w:val="clear" w:color="auto" w:fill="EDF2F4"/>
          </w:tcPr>
          <w:p w14:paraId="4C1DB147" w14:textId="77777777" w:rsidR="00A502D4" w:rsidRDefault="00000000">
            <w:pPr>
              <w:spacing w:before="30" w:after="30" w:line="264" w:lineRule="auto"/>
              <w:jc w:val="left"/>
            </w:pPr>
            <w:r>
              <w:rPr>
                <w:rFonts w:cs="Calibri"/>
                <w:b/>
                <w:sz w:val="19"/>
                <w:szCs w:val="19"/>
              </w:rPr>
              <w:t>Action</w:t>
            </w:r>
          </w:p>
        </w:tc>
        <w:tc>
          <w:tcPr>
            <w:tcW w:w="2707" w:type="dxa"/>
            <w:shd w:val="clear" w:color="auto" w:fill="EDF2F4"/>
          </w:tcPr>
          <w:p w14:paraId="2A26BCB2" w14:textId="77777777" w:rsidR="00A502D4" w:rsidRDefault="00000000">
            <w:pPr>
              <w:spacing w:before="30" w:after="30" w:line="264" w:lineRule="auto"/>
              <w:jc w:val="left"/>
            </w:pPr>
            <w:r>
              <w:rPr>
                <w:rFonts w:cs="Calibri"/>
                <w:b/>
                <w:sz w:val="19"/>
                <w:szCs w:val="19"/>
              </w:rPr>
              <w:t>Provision anchor</w:t>
            </w:r>
          </w:p>
        </w:tc>
      </w:tr>
      <w:tr w:rsidR="00A502D4" w14:paraId="21E3E863" w14:textId="77777777">
        <w:tc>
          <w:tcPr>
            <w:tcW w:w="1624" w:type="dxa"/>
          </w:tcPr>
          <w:p w14:paraId="4B985068" w14:textId="77777777" w:rsidR="00A502D4" w:rsidRDefault="00000000">
            <w:pPr>
              <w:spacing w:before="30" w:after="30" w:line="264" w:lineRule="auto"/>
              <w:jc w:val="left"/>
            </w:pPr>
            <w:r>
              <w:rPr>
                <w:rFonts w:cs="Calibri"/>
                <w:color w:val="46565E"/>
                <w:sz w:val="19"/>
                <w:szCs w:val="19"/>
              </w:rPr>
              <w:t>Days 8 to 30</w:t>
            </w:r>
          </w:p>
        </w:tc>
        <w:tc>
          <w:tcPr>
            <w:tcW w:w="4693" w:type="dxa"/>
          </w:tcPr>
          <w:p w14:paraId="2D517B0D" w14:textId="77777777" w:rsidR="00A502D4" w:rsidRDefault="00000000">
            <w:pPr>
              <w:spacing w:before="30" w:after="30" w:line="264" w:lineRule="auto"/>
              <w:jc w:val="left"/>
            </w:pPr>
            <w:r>
              <w:rPr>
                <w:rFonts w:cs="Calibri"/>
                <w:color w:val="46565E"/>
                <w:sz w:val="19"/>
                <w:szCs w:val="19"/>
              </w:rPr>
              <w:t>File the WTO formation notification; request observer status and committee observer standing; stand up the proto-IEWC with seconded analysts</w:t>
            </w:r>
          </w:p>
        </w:tc>
        <w:tc>
          <w:tcPr>
            <w:tcW w:w="2707" w:type="dxa"/>
          </w:tcPr>
          <w:p w14:paraId="29EA7053" w14:textId="77777777" w:rsidR="00A502D4" w:rsidRDefault="00000000">
            <w:pPr>
              <w:spacing w:before="30" w:after="30" w:line="264" w:lineRule="auto"/>
              <w:jc w:val="left"/>
            </w:pPr>
            <w:r>
              <w:rPr>
                <w:rFonts w:cs="Calibri"/>
                <w:color w:val="46565E"/>
                <w:sz w:val="19"/>
                <w:szCs w:val="19"/>
              </w:rPr>
              <w:t>Section 9.1; Section 10A.2</w:t>
            </w:r>
          </w:p>
        </w:tc>
      </w:tr>
      <w:tr w:rsidR="00A502D4" w14:paraId="7E22E559" w14:textId="77777777">
        <w:tc>
          <w:tcPr>
            <w:tcW w:w="1624" w:type="dxa"/>
          </w:tcPr>
          <w:p w14:paraId="3F56D556" w14:textId="77777777" w:rsidR="00A502D4" w:rsidRDefault="00000000">
            <w:pPr>
              <w:spacing w:before="30" w:after="30" w:line="264" w:lineRule="auto"/>
              <w:jc w:val="left"/>
            </w:pPr>
            <w:r>
              <w:rPr>
                <w:rFonts w:cs="Calibri"/>
                <w:color w:val="46565E"/>
                <w:sz w:val="19"/>
                <w:szCs w:val="19"/>
              </w:rPr>
              <w:t>Days 10 to 30</w:t>
            </w:r>
          </w:p>
        </w:tc>
        <w:tc>
          <w:tcPr>
            <w:tcW w:w="4693" w:type="dxa"/>
          </w:tcPr>
          <w:p w14:paraId="01432700" w14:textId="77777777" w:rsidR="00A502D4" w:rsidRDefault="00000000">
            <w:pPr>
              <w:spacing w:before="30" w:after="30" w:line="264" w:lineRule="auto"/>
              <w:jc w:val="left"/>
            </w:pPr>
            <w:r>
              <w:rPr>
                <w:rFonts w:cs="Calibri"/>
                <w:color w:val="46565E"/>
                <w:sz w:val="19"/>
                <w:szCs w:val="19"/>
              </w:rPr>
              <w:t>Request IEWC-format certification of the tariff campaign; document the Proportionality Certification Memo; transmit per the notification windows</w:t>
            </w:r>
          </w:p>
        </w:tc>
        <w:tc>
          <w:tcPr>
            <w:tcW w:w="2707" w:type="dxa"/>
          </w:tcPr>
          <w:p w14:paraId="083BEDEA" w14:textId="77777777" w:rsidR="00A502D4" w:rsidRDefault="00000000">
            <w:pPr>
              <w:spacing w:before="30" w:after="30" w:line="264" w:lineRule="auto"/>
              <w:jc w:val="left"/>
            </w:pPr>
            <w:r>
              <w:rPr>
                <w:rFonts w:cs="Calibri"/>
                <w:color w:val="46565E"/>
                <w:sz w:val="19"/>
                <w:szCs w:val="19"/>
              </w:rPr>
              <w:t>Section 9.1B; Section 5.5B</w:t>
            </w:r>
          </w:p>
        </w:tc>
      </w:tr>
      <w:tr w:rsidR="00A502D4" w14:paraId="470C10A3" w14:textId="77777777">
        <w:tc>
          <w:tcPr>
            <w:tcW w:w="1624" w:type="dxa"/>
          </w:tcPr>
          <w:p w14:paraId="1BC58DA5" w14:textId="77777777" w:rsidR="00A502D4" w:rsidRDefault="00000000">
            <w:pPr>
              <w:spacing w:before="30" w:after="30" w:line="264" w:lineRule="auto"/>
              <w:jc w:val="left"/>
            </w:pPr>
            <w:r>
              <w:rPr>
                <w:rFonts w:cs="Calibri"/>
                <w:color w:val="46565E"/>
                <w:sz w:val="19"/>
                <w:szCs w:val="19"/>
              </w:rPr>
              <w:t>Days 15 to 45</w:t>
            </w:r>
          </w:p>
        </w:tc>
        <w:tc>
          <w:tcPr>
            <w:tcW w:w="4693" w:type="dxa"/>
          </w:tcPr>
          <w:p w14:paraId="04D7AA05" w14:textId="77777777" w:rsidR="00A502D4" w:rsidRDefault="00000000">
            <w:pPr>
              <w:spacing w:before="30" w:after="30" w:line="264" w:lineRule="auto"/>
              <w:jc w:val="left"/>
            </w:pPr>
            <w:r>
              <w:rPr>
                <w:rFonts w:cs="Calibri"/>
                <w:color w:val="46565E"/>
                <w:sz w:val="19"/>
                <w:szCs w:val="19"/>
              </w:rPr>
              <w:t>Run Ring 2 outreach: India, Indonesia, Malaysia via the Tariff Refugee Pathway and Tariff Shock Accession Window; offer India Protective Association terms</w:t>
            </w:r>
          </w:p>
        </w:tc>
        <w:tc>
          <w:tcPr>
            <w:tcW w:w="2707" w:type="dxa"/>
          </w:tcPr>
          <w:p w14:paraId="60A22255" w14:textId="77777777" w:rsidR="00A502D4" w:rsidRDefault="00000000">
            <w:pPr>
              <w:spacing w:before="30" w:after="30" w:line="264" w:lineRule="auto"/>
              <w:jc w:val="left"/>
            </w:pPr>
            <w:r>
              <w:rPr>
                <w:rFonts w:cs="Calibri"/>
                <w:color w:val="46565E"/>
                <w:sz w:val="19"/>
                <w:szCs w:val="19"/>
              </w:rPr>
              <w:t>Sections 3.1A, 3.9</w:t>
            </w:r>
          </w:p>
        </w:tc>
      </w:tr>
      <w:tr w:rsidR="00A502D4" w14:paraId="2994401C" w14:textId="77777777">
        <w:tc>
          <w:tcPr>
            <w:tcW w:w="1624" w:type="dxa"/>
          </w:tcPr>
          <w:p w14:paraId="34E71D6C" w14:textId="77777777" w:rsidR="00A502D4" w:rsidRDefault="00000000">
            <w:pPr>
              <w:spacing w:before="30" w:after="30" w:line="264" w:lineRule="auto"/>
              <w:jc w:val="left"/>
            </w:pPr>
            <w:r>
              <w:rPr>
                <w:rFonts w:cs="Calibri"/>
                <w:color w:val="46565E"/>
                <w:sz w:val="19"/>
                <w:szCs w:val="19"/>
              </w:rPr>
              <w:t>Days 20 to 60</w:t>
            </w:r>
          </w:p>
        </w:tc>
        <w:tc>
          <w:tcPr>
            <w:tcW w:w="4693" w:type="dxa"/>
          </w:tcPr>
          <w:p w14:paraId="21609AC4" w14:textId="77777777" w:rsidR="00A502D4" w:rsidRDefault="00000000">
            <w:pPr>
              <w:spacing w:before="30" w:after="30" w:line="264" w:lineRule="auto"/>
              <w:jc w:val="left"/>
            </w:pPr>
            <w:r>
              <w:rPr>
                <w:rFonts w:cs="Calibri"/>
                <w:color w:val="46565E"/>
                <w:sz w:val="19"/>
                <w:szCs w:val="19"/>
              </w:rPr>
              <w:t>Charter the pilot office; adopt the Phase-0 rulebook; open joint procurement design in two to three strategic sectors</w:t>
            </w:r>
          </w:p>
        </w:tc>
        <w:tc>
          <w:tcPr>
            <w:tcW w:w="2707" w:type="dxa"/>
          </w:tcPr>
          <w:p w14:paraId="121E2593" w14:textId="77777777" w:rsidR="00A502D4" w:rsidRDefault="00000000">
            <w:pPr>
              <w:spacing w:before="30" w:after="30" w:line="264" w:lineRule="auto"/>
              <w:jc w:val="left"/>
            </w:pPr>
            <w:r>
              <w:rPr>
                <w:rFonts w:cs="Calibri"/>
                <w:color w:val="46565E"/>
                <w:sz w:val="19"/>
                <w:szCs w:val="19"/>
              </w:rPr>
              <w:t>Section 10A.2; Section 3.13</w:t>
            </w:r>
          </w:p>
        </w:tc>
      </w:tr>
      <w:tr w:rsidR="00A502D4" w14:paraId="3236CE05" w14:textId="77777777">
        <w:tc>
          <w:tcPr>
            <w:tcW w:w="1624" w:type="dxa"/>
          </w:tcPr>
          <w:p w14:paraId="376C457E" w14:textId="77777777" w:rsidR="00A502D4" w:rsidRDefault="00000000">
            <w:pPr>
              <w:spacing w:before="30" w:after="30" w:line="264" w:lineRule="auto"/>
              <w:jc w:val="left"/>
            </w:pPr>
            <w:r>
              <w:rPr>
                <w:rFonts w:cs="Calibri"/>
                <w:color w:val="46565E"/>
                <w:sz w:val="19"/>
                <w:szCs w:val="19"/>
              </w:rPr>
              <w:t>Days 30 to 60</w:t>
            </w:r>
          </w:p>
        </w:tc>
        <w:tc>
          <w:tcPr>
            <w:tcW w:w="4693" w:type="dxa"/>
          </w:tcPr>
          <w:p w14:paraId="4FB2CC03" w14:textId="77777777" w:rsidR="00A502D4" w:rsidRDefault="00000000">
            <w:pPr>
              <w:spacing w:before="30" w:after="30" w:line="264" w:lineRule="auto"/>
              <w:jc w:val="left"/>
            </w:pPr>
            <w:r>
              <w:rPr>
                <w:rFonts w:cs="Calibri"/>
                <w:color w:val="46565E"/>
                <w:sz w:val="19"/>
                <w:szCs w:val="19"/>
              </w:rPr>
              <w:t>Table the "Principles for Mutual Economic Security" paper at the OECD and the WTO Committee on Trade and Development</w:t>
            </w:r>
          </w:p>
        </w:tc>
        <w:tc>
          <w:tcPr>
            <w:tcW w:w="2707" w:type="dxa"/>
          </w:tcPr>
          <w:p w14:paraId="194975BF" w14:textId="77777777" w:rsidR="00A502D4" w:rsidRDefault="00000000">
            <w:pPr>
              <w:spacing w:before="30" w:after="30" w:line="264" w:lineRule="auto"/>
              <w:jc w:val="left"/>
            </w:pPr>
            <w:r>
              <w:rPr>
                <w:rFonts w:cs="Calibri"/>
                <w:color w:val="46565E"/>
                <w:sz w:val="19"/>
                <w:szCs w:val="19"/>
              </w:rPr>
              <w:t>Pathway Four; Section 10A.3</w:t>
            </w:r>
          </w:p>
        </w:tc>
      </w:tr>
      <w:tr w:rsidR="00A502D4" w14:paraId="4B767236" w14:textId="77777777">
        <w:tc>
          <w:tcPr>
            <w:tcW w:w="1624" w:type="dxa"/>
          </w:tcPr>
          <w:p w14:paraId="7B8A610B" w14:textId="77777777" w:rsidR="00A502D4" w:rsidRDefault="00000000">
            <w:pPr>
              <w:spacing w:before="30" w:after="30" w:line="264" w:lineRule="auto"/>
              <w:jc w:val="left"/>
            </w:pPr>
            <w:r>
              <w:rPr>
                <w:rFonts w:cs="Calibri"/>
                <w:color w:val="46565E"/>
                <w:sz w:val="19"/>
                <w:szCs w:val="19"/>
              </w:rPr>
              <w:t>Days 45 to 90</w:t>
            </w:r>
          </w:p>
        </w:tc>
        <w:tc>
          <w:tcPr>
            <w:tcW w:w="4693" w:type="dxa"/>
          </w:tcPr>
          <w:p w14:paraId="06B9CAED" w14:textId="77777777" w:rsidR="00A502D4" w:rsidRDefault="00000000">
            <w:pPr>
              <w:spacing w:before="30" w:after="30" w:line="264" w:lineRule="auto"/>
              <w:jc w:val="left"/>
            </w:pPr>
            <w:r>
              <w:rPr>
                <w:rFonts w:cs="Calibri"/>
                <w:color w:val="46565E"/>
                <w:sz w:val="19"/>
                <w:szCs w:val="19"/>
              </w:rPr>
              <w:t>File the fourth WTO consultation request covering Section 338; complete the forum election analysis (WTO versus CUSMA)</w:t>
            </w:r>
          </w:p>
        </w:tc>
        <w:tc>
          <w:tcPr>
            <w:tcW w:w="2707" w:type="dxa"/>
          </w:tcPr>
          <w:p w14:paraId="20AA972E" w14:textId="77777777" w:rsidR="00A502D4" w:rsidRDefault="00000000">
            <w:pPr>
              <w:spacing w:before="30" w:after="30" w:line="264" w:lineRule="auto"/>
              <w:jc w:val="left"/>
            </w:pPr>
            <w:r>
              <w:rPr>
                <w:rFonts w:cs="Calibri"/>
                <w:color w:val="46565E"/>
                <w:sz w:val="19"/>
                <w:szCs w:val="19"/>
              </w:rPr>
              <w:t>Part IV, Section 4.4 [S</w:t>
            </w:r>
            <w:proofErr w:type="gramStart"/>
            <w:r>
              <w:rPr>
                <w:rFonts w:cs="Calibri"/>
                <w:color w:val="46565E"/>
                <w:sz w:val="19"/>
                <w:szCs w:val="19"/>
              </w:rPr>
              <w:t>33][</w:t>
            </w:r>
            <w:proofErr w:type="gramEnd"/>
            <w:r>
              <w:rPr>
                <w:rFonts w:cs="Calibri"/>
                <w:color w:val="46565E"/>
                <w:sz w:val="19"/>
                <w:szCs w:val="19"/>
              </w:rPr>
              <w:t>S34]</w:t>
            </w:r>
          </w:p>
        </w:tc>
      </w:tr>
      <w:tr w:rsidR="00A502D4" w14:paraId="0C35B918" w14:textId="77777777">
        <w:tc>
          <w:tcPr>
            <w:tcW w:w="1624" w:type="dxa"/>
          </w:tcPr>
          <w:p w14:paraId="1A086BCB" w14:textId="77777777" w:rsidR="00A502D4" w:rsidRDefault="00000000">
            <w:pPr>
              <w:spacing w:before="30" w:after="30" w:line="264" w:lineRule="auto"/>
              <w:jc w:val="left"/>
            </w:pPr>
            <w:r>
              <w:rPr>
                <w:rFonts w:cs="Calibri"/>
                <w:color w:val="46565E"/>
                <w:sz w:val="19"/>
                <w:szCs w:val="19"/>
              </w:rPr>
              <w:t>Days 60 to 90</w:t>
            </w:r>
          </w:p>
        </w:tc>
        <w:tc>
          <w:tcPr>
            <w:tcW w:w="4693" w:type="dxa"/>
          </w:tcPr>
          <w:p w14:paraId="501C0CFB" w14:textId="77777777" w:rsidR="00A502D4" w:rsidRDefault="00000000">
            <w:pPr>
              <w:spacing w:before="30" w:after="30" w:line="264" w:lineRule="auto"/>
              <w:jc w:val="left"/>
            </w:pPr>
            <w:r>
              <w:rPr>
                <w:rFonts w:cs="Calibri"/>
                <w:color w:val="46565E"/>
                <w:sz w:val="19"/>
                <w:szCs w:val="19"/>
              </w:rPr>
              <w:t>Publish the EU-IMESI concordance with the Commission; complete the first Annex 13 stress-test exercise</w:t>
            </w:r>
          </w:p>
        </w:tc>
        <w:tc>
          <w:tcPr>
            <w:tcW w:w="2707" w:type="dxa"/>
          </w:tcPr>
          <w:p w14:paraId="5F2AE8E6" w14:textId="77777777" w:rsidR="00A502D4" w:rsidRDefault="00000000">
            <w:pPr>
              <w:spacing w:before="30" w:after="30" w:line="264" w:lineRule="auto"/>
              <w:jc w:val="left"/>
            </w:pPr>
            <w:r>
              <w:rPr>
                <w:rFonts w:cs="Calibri"/>
                <w:color w:val="46565E"/>
                <w:sz w:val="19"/>
                <w:szCs w:val="19"/>
              </w:rPr>
              <w:t>Pathway Five; Annex 13</w:t>
            </w:r>
          </w:p>
        </w:tc>
      </w:tr>
    </w:tbl>
    <w:p w14:paraId="040A72AA" w14:textId="77777777" w:rsidR="00A502D4" w:rsidRDefault="00A502D4">
      <w:pPr>
        <w:spacing w:after="160"/>
      </w:pPr>
    </w:p>
    <w:p w14:paraId="1FDD85ED" w14:textId="77777777" w:rsidR="00A502D4" w:rsidRDefault="00000000">
      <w:pPr>
        <w:pStyle w:val="Heading2"/>
      </w:pPr>
      <w:r>
        <w:rPr>
          <w:rFonts w:cs="Calibri"/>
          <w:szCs w:val="26"/>
        </w:rPr>
        <w:t>7.3 The 12-Month Plan</w:t>
      </w:r>
    </w:p>
    <w:p w14:paraId="1067A859" w14:textId="77777777" w:rsidR="00A502D4" w:rsidRDefault="00000000">
      <w:pPr>
        <w:numPr>
          <w:ilvl w:val="0"/>
          <w:numId w:val="1"/>
        </w:numPr>
        <w:spacing w:after="120"/>
      </w:pPr>
      <w:r>
        <w:rPr>
          <w:rFonts w:cs="Calibri"/>
          <w:b/>
          <w:szCs w:val="21"/>
        </w:rPr>
        <w:t>Months 3 to 6:</w:t>
      </w:r>
      <w:r>
        <w:rPr>
          <w:rFonts w:cs="Calibri"/>
          <w:szCs w:val="21"/>
        </w:rPr>
        <w:t xml:space="preserve"> execute the first Track A demonstration case (liquidity, rerouting advisories, procurement lots); convert Pledge signatories toward provisional accession instruments; reach double-digit membership across three regions.</w:t>
      </w:r>
    </w:p>
    <w:p w14:paraId="73B20A3D" w14:textId="77777777" w:rsidR="00A502D4" w:rsidRDefault="00000000">
      <w:pPr>
        <w:numPr>
          <w:ilvl w:val="0"/>
          <w:numId w:val="1"/>
        </w:numPr>
        <w:spacing w:after="120"/>
      </w:pPr>
      <w:r>
        <w:rPr>
          <w:rFonts w:cs="Calibri"/>
          <w:b/>
          <w:szCs w:val="21"/>
        </w:rPr>
        <w:lastRenderedPageBreak/>
        <w:t>Months 6 to 9:</w:t>
      </w:r>
      <w:r>
        <w:rPr>
          <w:rFonts w:cs="Calibri"/>
          <w:szCs w:val="21"/>
        </w:rPr>
        <w:t xml:space="preserve"> convene the drafting conference; deposit indicative capitalisation commitments at the 0.05 to 0.1 percent of GDP band; finalise the hosting decision among London, Geneva, and Singapore (Annex 23).</w:t>
      </w:r>
    </w:p>
    <w:p w14:paraId="103FB0F0" w14:textId="77777777" w:rsidR="00A502D4" w:rsidRDefault="00000000">
      <w:pPr>
        <w:numPr>
          <w:ilvl w:val="0"/>
          <w:numId w:val="1"/>
        </w:numPr>
        <w:spacing w:after="120"/>
      </w:pPr>
      <w:r>
        <w:rPr>
          <w:rFonts w:cs="Calibri"/>
          <w:b/>
          <w:szCs w:val="21"/>
        </w:rPr>
        <w:t>Months 9 to 12:</w:t>
      </w:r>
      <w:r>
        <w:rPr>
          <w:rFonts w:cs="Calibri"/>
          <w:szCs w:val="21"/>
        </w:rPr>
        <w:t xml:space="preserve"> open the signature window for the Charter; run the Year 1 pilot review; activate the Pre-Activated Core standing functions (supply-chain intelligence, procurement pilots, early-warning dashboards) as permanent operations (Section 10A.2D).</w:t>
      </w:r>
    </w:p>
    <w:p w14:paraId="76739484" w14:textId="77777777" w:rsidR="00A502D4" w:rsidRDefault="00000000">
      <w:pPr>
        <w:numPr>
          <w:ilvl w:val="0"/>
          <w:numId w:val="1"/>
        </w:numPr>
        <w:spacing w:after="120"/>
      </w:pPr>
      <w:r>
        <w:rPr>
          <w:rFonts w:cs="Calibri"/>
          <w:b/>
          <w:szCs w:val="21"/>
        </w:rPr>
        <w:t>Continuous:</w:t>
      </w:r>
      <w:r>
        <w:rPr>
          <w:rFonts w:cs="Calibri"/>
          <w:szCs w:val="21"/>
        </w:rPr>
        <w:t xml:space="preserve"> maintain the Washington quiet channel; hold the Monthly Strategic Pulse discipline inside any active case; publish every Dashboard telemetry point on schedule.</w:t>
      </w:r>
    </w:p>
    <w:p w14:paraId="4B158809" w14:textId="77777777" w:rsidR="00A502D4" w:rsidRDefault="00000000">
      <w:pPr>
        <w:pStyle w:val="Heading2"/>
      </w:pPr>
      <w:r>
        <w:rPr>
          <w:rFonts w:cs="Calibri"/>
          <w:szCs w:val="26"/>
        </w:rPr>
        <w:t>7.4 Ownership Matrix</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2767"/>
        <w:gridCol w:w="6459"/>
      </w:tblGrid>
      <w:tr w:rsidR="00A502D4" w14:paraId="52AAFD3A" w14:textId="77777777">
        <w:trPr>
          <w:cantSplit/>
          <w:tblHeader/>
        </w:trPr>
        <w:tc>
          <w:tcPr>
            <w:tcW w:w="2707" w:type="dxa"/>
            <w:shd w:val="clear" w:color="auto" w:fill="EDF2F4"/>
          </w:tcPr>
          <w:p w14:paraId="14109352" w14:textId="77777777" w:rsidR="00A502D4" w:rsidRDefault="00000000">
            <w:pPr>
              <w:spacing w:before="30" w:after="30" w:line="264" w:lineRule="auto"/>
              <w:jc w:val="left"/>
            </w:pPr>
            <w:r>
              <w:rPr>
                <w:rFonts w:cs="Calibri"/>
                <w:b/>
                <w:sz w:val="19"/>
                <w:szCs w:val="19"/>
              </w:rPr>
              <w:t>Office</w:t>
            </w:r>
          </w:p>
        </w:tc>
        <w:tc>
          <w:tcPr>
            <w:tcW w:w="6318" w:type="dxa"/>
            <w:shd w:val="clear" w:color="auto" w:fill="EDF2F4"/>
          </w:tcPr>
          <w:p w14:paraId="5AF0604B" w14:textId="77777777" w:rsidR="00A502D4" w:rsidRDefault="00000000">
            <w:pPr>
              <w:spacing w:before="30" w:after="30" w:line="264" w:lineRule="auto"/>
              <w:jc w:val="left"/>
            </w:pPr>
            <w:r>
              <w:rPr>
                <w:rFonts w:cs="Calibri"/>
                <w:b/>
                <w:sz w:val="19"/>
                <w:szCs w:val="19"/>
              </w:rPr>
              <w:t>Owns</w:t>
            </w:r>
          </w:p>
        </w:tc>
      </w:tr>
      <w:tr w:rsidR="00A502D4" w14:paraId="4220EFA8" w14:textId="77777777">
        <w:tc>
          <w:tcPr>
            <w:tcW w:w="2707" w:type="dxa"/>
          </w:tcPr>
          <w:p w14:paraId="04C18E10" w14:textId="77777777" w:rsidR="00A502D4" w:rsidRDefault="00000000">
            <w:pPr>
              <w:spacing w:before="30" w:after="30" w:line="264" w:lineRule="auto"/>
              <w:jc w:val="left"/>
            </w:pPr>
            <w:r>
              <w:rPr>
                <w:rFonts w:cs="Calibri"/>
                <w:color w:val="46565E"/>
                <w:sz w:val="19"/>
                <w:szCs w:val="19"/>
              </w:rPr>
              <w:t>Prime Minister's Office</w:t>
            </w:r>
          </w:p>
        </w:tc>
        <w:tc>
          <w:tcPr>
            <w:tcW w:w="6318" w:type="dxa"/>
          </w:tcPr>
          <w:p w14:paraId="1073B62F" w14:textId="77777777" w:rsidR="00A502D4" w:rsidRDefault="00000000">
            <w:pPr>
              <w:spacing w:before="30" w:after="30" w:line="264" w:lineRule="auto"/>
              <w:jc w:val="left"/>
            </w:pPr>
            <w:r>
              <w:rPr>
                <w:rFonts w:cs="Calibri"/>
                <w:color w:val="46565E"/>
                <w:sz w:val="19"/>
                <w:szCs w:val="19"/>
              </w:rPr>
              <w:t>Founding calls, communiqué, domestic frame, provincial table</w:t>
            </w:r>
          </w:p>
        </w:tc>
      </w:tr>
      <w:tr w:rsidR="00A502D4" w14:paraId="7A5A960E" w14:textId="77777777">
        <w:tc>
          <w:tcPr>
            <w:tcW w:w="2707" w:type="dxa"/>
          </w:tcPr>
          <w:p w14:paraId="0496DDEC" w14:textId="77777777" w:rsidR="00A502D4" w:rsidRDefault="00000000">
            <w:pPr>
              <w:spacing w:before="30" w:after="30" w:line="264" w:lineRule="auto"/>
              <w:jc w:val="left"/>
            </w:pPr>
            <w:r>
              <w:rPr>
                <w:rFonts w:cs="Calibri"/>
                <w:color w:val="46565E"/>
                <w:sz w:val="19"/>
                <w:szCs w:val="19"/>
              </w:rPr>
              <w:t>Global Affairs Canada</w:t>
            </w:r>
          </w:p>
        </w:tc>
        <w:tc>
          <w:tcPr>
            <w:tcW w:w="6318" w:type="dxa"/>
          </w:tcPr>
          <w:p w14:paraId="2ACC4AB4" w14:textId="77777777" w:rsidR="00A502D4" w:rsidRDefault="00000000">
            <w:pPr>
              <w:spacing w:before="30" w:after="30" w:line="264" w:lineRule="auto"/>
              <w:jc w:val="left"/>
            </w:pPr>
            <w:r>
              <w:rPr>
                <w:rFonts w:cs="Calibri"/>
                <w:color w:val="46565E"/>
                <w:sz w:val="19"/>
                <w:szCs w:val="19"/>
              </w:rPr>
              <w:t>Sherpa track, Geneva mission, WTO notifications, partner démarches, MPEP agenda</w:t>
            </w:r>
          </w:p>
        </w:tc>
      </w:tr>
      <w:tr w:rsidR="00A502D4" w14:paraId="5F2D4925" w14:textId="77777777">
        <w:tc>
          <w:tcPr>
            <w:tcW w:w="2707" w:type="dxa"/>
          </w:tcPr>
          <w:p w14:paraId="003B9FE9" w14:textId="77777777" w:rsidR="00A502D4" w:rsidRDefault="00000000">
            <w:pPr>
              <w:spacing w:before="30" w:after="30" w:line="264" w:lineRule="auto"/>
              <w:jc w:val="left"/>
            </w:pPr>
            <w:r>
              <w:rPr>
                <w:rFonts w:cs="Calibri"/>
                <w:color w:val="46565E"/>
                <w:sz w:val="19"/>
                <w:szCs w:val="19"/>
              </w:rPr>
              <w:t>Finance Canada</w:t>
            </w:r>
          </w:p>
        </w:tc>
        <w:tc>
          <w:tcPr>
            <w:tcW w:w="6318" w:type="dxa"/>
          </w:tcPr>
          <w:p w14:paraId="0A7254D6" w14:textId="77777777" w:rsidR="00A502D4" w:rsidRDefault="00000000">
            <w:pPr>
              <w:spacing w:before="30" w:after="30" w:line="264" w:lineRule="auto"/>
              <w:jc w:val="left"/>
            </w:pPr>
            <w:r>
              <w:rPr>
                <w:rFonts w:cs="Calibri"/>
                <w:color w:val="46565E"/>
                <w:sz w:val="19"/>
                <w:szCs w:val="19"/>
              </w:rPr>
              <w:t>Fund design, contribution modelling, capitalisation commitments, IMF coordination</w:t>
            </w:r>
          </w:p>
        </w:tc>
      </w:tr>
      <w:tr w:rsidR="00A502D4" w14:paraId="3024A350" w14:textId="77777777">
        <w:tc>
          <w:tcPr>
            <w:tcW w:w="2707" w:type="dxa"/>
          </w:tcPr>
          <w:p w14:paraId="675BE985" w14:textId="77777777" w:rsidR="00A502D4" w:rsidRDefault="00000000">
            <w:pPr>
              <w:spacing w:before="30" w:after="30" w:line="264" w:lineRule="auto"/>
              <w:jc w:val="left"/>
            </w:pPr>
            <w:r>
              <w:rPr>
                <w:rFonts w:cs="Calibri"/>
                <w:color w:val="46565E"/>
                <w:sz w:val="19"/>
                <w:szCs w:val="19"/>
              </w:rPr>
              <w:t>Trade Minister's Office</w:t>
            </w:r>
          </w:p>
        </w:tc>
        <w:tc>
          <w:tcPr>
            <w:tcW w:w="6318" w:type="dxa"/>
          </w:tcPr>
          <w:p w14:paraId="4C1A831C" w14:textId="77777777" w:rsidR="00A502D4" w:rsidRDefault="00000000">
            <w:pPr>
              <w:spacing w:before="30" w:after="30" w:line="264" w:lineRule="auto"/>
              <w:jc w:val="left"/>
            </w:pPr>
            <w:r>
              <w:rPr>
                <w:rFonts w:cs="Calibri"/>
                <w:color w:val="46565E"/>
                <w:sz w:val="19"/>
                <w:szCs w:val="19"/>
              </w:rPr>
              <w:t>Washington channel, USMCA track, exporter support, Business Council interface</w:t>
            </w:r>
          </w:p>
        </w:tc>
      </w:tr>
      <w:tr w:rsidR="00A502D4" w14:paraId="72E90378" w14:textId="77777777">
        <w:tc>
          <w:tcPr>
            <w:tcW w:w="2707" w:type="dxa"/>
          </w:tcPr>
          <w:p w14:paraId="0899FB40" w14:textId="77777777" w:rsidR="00A502D4" w:rsidRDefault="00000000">
            <w:pPr>
              <w:spacing w:before="30" w:after="30" w:line="264" w:lineRule="auto"/>
              <w:jc w:val="left"/>
            </w:pPr>
            <w:r>
              <w:rPr>
                <w:rFonts w:cs="Calibri"/>
                <w:color w:val="46565E"/>
                <w:sz w:val="19"/>
                <w:szCs w:val="19"/>
              </w:rPr>
              <w:t>Department of Justice / trade counsel</w:t>
            </w:r>
          </w:p>
        </w:tc>
        <w:tc>
          <w:tcPr>
            <w:tcW w:w="6318" w:type="dxa"/>
          </w:tcPr>
          <w:p w14:paraId="164868CB" w14:textId="77777777" w:rsidR="00A502D4" w:rsidRDefault="00000000">
            <w:pPr>
              <w:spacing w:before="30" w:after="30" w:line="264" w:lineRule="auto"/>
              <w:jc w:val="left"/>
            </w:pPr>
            <w:r>
              <w:rPr>
                <w:rFonts w:cs="Calibri"/>
                <w:color w:val="46565E"/>
                <w:sz w:val="19"/>
                <w:szCs w:val="19"/>
              </w:rPr>
              <w:t>Forum elections, dispute filings, Article XXI documentation review, CIT monitoring</w:t>
            </w:r>
          </w:p>
        </w:tc>
      </w:tr>
      <w:tr w:rsidR="00A502D4" w14:paraId="24BE441B" w14:textId="77777777">
        <w:tc>
          <w:tcPr>
            <w:tcW w:w="2707" w:type="dxa"/>
          </w:tcPr>
          <w:p w14:paraId="7036F69F" w14:textId="77777777" w:rsidR="00A502D4" w:rsidRDefault="00000000">
            <w:pPr>
              <w:spacing w:before="30" w:after="30" w:line="264" w:lineRule="auto"/>
              <w:jc w:val="left"/>
            </w:pPr>
            <w:r>
              <w:rPr>
                <w:rFonts w:cs="Calibri"/>
                <w:color w:val="46565E"/>
                <w:sz w:val="19"/>
                <w:szCs w:val="19"/>
              </w:rPr>
              <w:t>Provincial governments</w:t>
            </w:r>
          </w:p>
        </w:tc>
        <w:tc>
          <w:tcPr>
            <w:tcW w:w="6318" w:type="dxa"/>
          </w:tcPr>
          <w:p w14:paraId="07A01E7D" w14:textId="77777777" w:rsidR="00A502D4" w:rsidRDefault="00000000">
            <w:pPr>
              <w:spacing w:before="30" w:after="30" w:line="264" w:lineRule="auto"/>
              <w:jc w:val="left"/>
            </w:pPr>
            <w:r>
              <w:rPr>
                <w:rFonts w:cs="Calibri"/>
                <w:color w:val="46565E"/>
                <w:sz w:val="19"/>
                <w:szCs w:val="19"/>
              </w:rPr>
              <w:t>Alcohol and retail files, sectoral adjustment, communications alignment</w:t>
            </w:r>
          </w:p>
        </w:tc>
      </w:tr>
    </w:tbl>
    <w:p w14:paraId="3247771B" w14:textId="77777777" w:rsidR="00A502D4" w:rsidRDefault="00A502D4">
      <w:pPr>
        <w:spacing w:after="160"/>
      </w:pPr>
    </w:p>
    <w:p w14:paraId="7AB12298" w14:textId="77777777" w:rsidR="00A502D4" w:rsidRDefault="00000000">
      <w:pPr>
        <w:pStyle w:val="Heading1"/>
      </w:pPr>
      <w:r>
        <w:rPr>
          <w:rFonts w:cs="Calibri"/>
          <w:szCs w:val="32"/>
        </w:rPr>
        <w:t>Part VIII: Risk Register and Red Team Answers</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2029"/>
        <w:gridCol w:w="2399"/>
        <w:gridCol w:w="4798"/>
      </w:tblGrid>
      <w:tr w:rsidR="00A502D4" w14:paraId="332B7FB0" w14:textId="77777777">
        <w:trPr>
          <w:cantSplit/>
          <w:tblHeader/>
        </w:trPr>
        <w:tc>
          <w:tcPr>
            <w:tcW w:w="1985" w:type="dxa"/>
            <w:shd w:val="clear" w:color="auto" w:fill="EDF2F4"/>
          </w:tcPr>
          <w:p w14:paraId="78890E9C" w14:textId="77777777" w:rsidR="00A502D4" w:rsidRDefault="00000000">
            <w:pPr>
              <w:spacing w:before="30" w:after="30" w:line="264" w:lineRule="auto"/>
              <w:jc w:val="left"/>
            </w:pPr>
            <w:r>
              <w:rPr>
                <w:rFonts w:cs="Calibri"/>
                <w:b/>
                <w:sz w:val="19"/>
                <w:szCs w:val="19"/>
              </w:rPr>
              <w:t>Risk</w:t>
            </w:r>
          </w:p>
        </w:tc>
        <w:tc>
          <w:tcPr>
            <w:tcW w:w="2346" w:type="dxa"/>
            <w:shd w:val="clear" w:color="auto" w:fill="EDF2F4"/>
          </w:tcPr>
          <w:p w14:paraId="3D027E5E" w14:textId="77777777" w:rsidR="00A502D4" w:rsidRDefault="00000000">
            <w:pPr>
              <w:spacing w:before="30" w:after="30" w:line="264" w:lineRule="auto"/>
              <w:jc w:val="left"/>
            </w:pPr>
            <w:r>
              <w:rPr>
                <w:rFonts w:cs="Calibri"/>
                <w:b/>
                <w:sz w:val="19"/>
                <w:szCs w:val="19"/>
              </w:rPr>
              <w:t>Assessment</w:t>
            </w:r>
          </w:p>
        </w:tc>
        <w:tc>
          <w:tcPr>
            <w:tcW w:w="4693" w:type="dxa"/>
            <w:shd w:val="clear" w:color="auto" w:fill="EDF2F4"/>
          </w:tcPr>
          <w:p w14:paraId="23B6B431" w14:textId="77777777" w:rsidR="00A502D4" w:rsidRDefault="00000000">
            <w:pPr>
              <w:spacing w:before="30" w:after="30" w:line="264" w:lineRule="auto"/>
              <w:jc w:val="left"/>
            </w:pPr>
            <w:r>
              <w:rPr>
                <w:rFonts w:cs="Calibri"/>
                <w:b/>
                <w:sz w:val="19"/>
                <w:szCs w:val="19"/>
              </w:rPr>
              <w:t>Mitigation and IMESI anchor</w:t>
            </w:r>
          </w:p>
        </w:tc>
      </w:tr>
      <w:tr w:rsidR="00A502D4" w14:paraId="4087F679" w14:textId="77777777">
        <w:tc>
          <w:tcPr>
            <w:tcW w:w="1985" w:type="dxa"/>
          </w:tcPr>
          <w:p w14:paraId="26CE4C25" w14:textId="77777777" w:rsidR="00A502D4" w:rsidRDefault="00000000">
            <w:pPr>
              <w:spacing w:before="30" w:after="30" w:line="264" w:lineRule="auto"/>
              <w:jc w:val="left"/>
            </w:pPr>
            <w:r>
              <w:rPr>
                <w:rFonts w:cs="Calibri"/>
                <w:color w:val="46565E"/>
                <w:sz w:val="19"/>
                <w:szCs w:val="19"/>
              </w:rPr>
              <w:t>Washington retaliates against founders for signing</w:t>
            </w:r>
          </w:p>
        </w:tc>
        <w:tc>
          <w:tcPr>
            <w:tcW w:w="2346" w:type="dxa"/>
          </w:tcPr>
          <w:p w14:paraId="534BECAD" w14:textId="77777777" w:rsidR="00A502D4" w:rsidRDefault="00000000">
            <w:pPr>
              <w:spacing w:before="30" w:after="30" w:line="264" w:lineRule="auto"/>
              <w:jc w:val="left"/>
            </w:pPr>
            <w:r>
              <w:rPr>
                <w:rFonts w:cs="Calibri"/>
                <w:color w:val="46565E"/>
                <w:sz w:val="19"/>
                <w:szCs w:val="19"/>
              </w:rPr>
              <w:t>High likelihood; the Prospective Member Shield exists for precisely this case</w:t>
            </w:r>
          </w:p>
        </w:tc>
        <w:tc>
          <w:tcPr>
            <w:tcW w:w="4693" w:type="dxa"/>
          </w:tcPr>
          <w:p w14:paraId="22C37C65" w14:textId="77777777" w:rsidR="00A502D4" w:rsidRDefault="00000000">
            <w:pPr>
              <w:spacing w:before="30" w:after="30" w:line="264" w:lineRule="auto"/>
              <w:jc w:val="left"/>
            </w:pPr>
            <w:r>
              <w:rPr>
                <w:rFonts w:cs="Calibri"/>
                <w:color w:val="46565E"/>
                <w:sz w:val="19"/>
                <w:szCs w:val="19"/>
              </w:rPr>
              <w:t>First-Mover Protection Window reserves 10 to 15 percent of reserves for the first 10 ratifiers facing retaliation (Section 8.9D); pressure on participation counts as an attack on the institution and triggers expedited support (Section 6.12J)</w:t>
            </w:r>
          </w:p>
        </w:tc>
      </w:tr>
      <w:tr w:rsidR="00A502D4" w14:paraId="62673DCD" w14:textId="77777777">
        <w:tc>
          <w:tcPr>
            <w:tcW w:w="1985" w:type="dxa"/>
          </w:tcPr>
          <w:p w14:paraId="3B075A3F" w14:textId="77777777" w:rsidR="00A502D4" w:rsidRDefault="00000000">
            <w:pPr>
              <w:spacing w:before="30" w:after="30" w:line="264" w:lineRule="auto"/>
              <w:jc w:val="left"/>
            </w:pPr>
            <w:r>
              <w:rPr>
                <w:rFonts w:cs="Calibri"/>
                <w:color w:val="46565E"/>
                <w:sz w:val="19"/>
                <w:szCs w:val="19"/>
              </w:rPr>
              <w:t>A core partner defects to a bilateral deal</w:t>
            </w:r>
          </w:p>
        </w:tc>
        <w:tc>
          <w:tcPr>
            <w:tcW w:w="2346" w:type="dxa"/>
          </w:tcPr>
          <w:p w14:paraId="241DF802" w14:textId="77777777" w:rsidR="00A502D4" w:rsidRDefault="00000000">
            <w:pPr>
              <w:spacing w:before="30" w:after="30" w:line="264" w:lineRule="auto"/>
              <w:jc w:val="left"/>
            </w:pPr>
            <w:r>
              <w:rPr>
                <w:rFonts w:cs="Calibri"/>
                <w:color w:val="46565E"/>
                <w:sz w:val="19"/>
                <w:szCs w:val="19"/>
              </w:rPr>
              <w:t>Medium; Mexico navigates live bilateral pressure [S7]</w:t>
            </w:r>
          </w:p>
        </w:tc>
        <w:tc>
          <w:tcPr>
            <w:tcW w:w="4693" w:type="dxa"/>
          </w:tcPr>
          <w:p w14:paraId="2CC02564" w14:textId="77777777" w:rsidR="00A502D4" w:rsidRDefault="00000000">
            <w:pPr>
              <w:spacing w:before="30" w:after="30" w:line="264" w:lineRule="auto"/>
              <w:jc w:val="left"/>
            </w:pPr>
            <w:r>
              <w:rPr>
                <w:rFonts w:cs="Calibri"/>
                <w:color w:val="46565E"/>
                <w:sz w:val="19"/>
                <w:szCs w:val="19"/>
              </w:rPr>
              <w:t xml:space="preserve">Bilateral Deal Insurance and Solidarity </w:t>
            </w:r>
            <w:proofErr w:type="gramStart"/>
            <w:r>
              <w:rPr>
                <w:rFonts w:cs="Calibri"/>
                <w:color w:val="46565E"/>
                <w:sz w:val="19"/>
                <w:szCs w:val="19"/>
              </w:rPr>
              <w:t>Counter-Offer</w:t>
            </w:r>
            <w:proofErr w:type="gramEnd"/>
            <w:r>
              <w:rPr>
                <w:rFonts w:cs="Calibri"/>
                <w:color w:val="46565E"/>
                <w:sz w:val="19"/>
                <w:szCs w:val="19"/>
              </w:rPr>
              <w:t xml:space="preserve"> (Section 6.12G): the </w:t>
            </w:r>
            <w:proofErr w:type="gramStart"/>
            <w:r>
              <w:rPr>
                <w:rFonts w:cs="Calibri"/>
                <w:color w:val="46565E"/>
                <w:sz w:val="19"/>
                <w:szCs w:val="19"/>
              </w:rPr>
              <w:t>counter-offer</w:t>
            </w:r>
            <w:proofErr w:type="gramEnd"/>
            <w:r>
              <w:rPr>
                <w:rFonts w:cs="Calibri"/>
                <w:color w:val="46565E"/>
                <w:sz w:val="19"/>
                <w:szCs w:val="19"/>
              </w:rPr>
              <w:t xml:space="preserve"> reaches Mexico City pre-positioned in week one, before any American offer (Section 2.5); every coercer offer meets a better coalition package within 72 hours; Automatic Coalition Expansion on any verified bilateral offer (Section 6.3)</w:t>
            </w:r>
          </w:p>
        </w:tc>
      </w:tr>
      <w:tr w:rsidR="00A502D4" w14:paraId="4A9E8CC1" w14:textId="77777777">
        <w:tc>
          <w:tcPr>
            <w:tcW w:w="1985" w:type="dxa"/>
          </w:tcPr>
          <w:p w14:paraId="2DBABE76" w14:textId="77777777" w:rsidR="00A502D4" w:rsidRDefault="00000000">
            <w:pPr>
              <w:spacing w:before="30" w:after="30" w:line="264" w:lineRule="auto"/>
              <w:jc w:val="left"/>
            </w:pPr>
            <w:r>
              <w:rPr>
                <w:rFonts w:cs="Calibri"/>
                <w:color w:val="46565E"/>
                <w:sz w:val="19"/>
                <w:szCs w:val="19"/>
              </w:rPr>
              <w:t xml:space="preserve">Domestic politics: "sovereignty </w:t>
            </w:r>
            <w:r>
              <w:rPr>
                <w:rFonts w:cs="Calibri"/>
                <w:color w:val="46565E"/>
                <w:sz w:val="19"/>
                <w:szCs w:val="19"/>
              </w:rPr>
              <w:lastRenderedPageBreak/>
              <w:t>surrender" framing</w:t>
            </w:r>
          </w:p>
        </w:tc>
        <w:tc>
          <w:tcPr>
            <w:tcW w:w="2346" w:type="dxa"/>
          </w:tcPr>
          <w:p w14:paraId="7029784D" w14:textId="77777777" w:rsidR="00A502D4" w:rsidRDefault="00000000">
            <w:pPr>
              <w:spacing w:before="30" w:after="30" w:line="264" w:lineRule="auto"/>
              <w:jc w:val="left"/>
            </w:pPr>
            <w:r>
              <w:rPr>
                <w:rFonts w:cs="Calibri"/>
                <w:color w:val="46565E"/>
                <w:sz w:val="19"/>
                <w:szCs w:val="19"/>
              </w:rPr>
              <w:lastRenderedPageBreak/>
              <w:t>Medium; addressed by design</w:t>
            </w:r>
          </w:p>
        </w:tc>
        <w:tc>
          <w:tcPr>
            <w:tcW w:w="4693" w:type="dxa"/>
          </w:tcPr>
          <w:p w14:paraId="01F90E19" w14:textId="77777777" w:rsidR="00A502D4" w:rsidRDefault="00000000">
            <w:pPr>
              <w:spacing w:before="30" w:after="30" w:line="264" w:lineRule="auto"/>
              <w:jc w:val="left"/>
            </w:pPr>
            <w:r>
              <w:rPr>
                <w:rFonts w:cs="Calibri"/>
                <w:color w:val="46565E"/>
                <w:sz w:val="19"/>
                <w:szCs w:val="19"/>
              </w:rPr>
              <w:t xml:space="preserve">Annex 22's plain-language caps; Annex 16B counter-narratives; parliamentary consent gates at every escalation </w:t>
            </w:r>
            <w:r>
              <w:rPr>
                <w:rFonts w:cs="Calibri"/>
                <w:color w:val="46565E"/>
                <w:sz w:val="19"/>
                <w:szCs w:val="19"/>
              </w:rPr>
              <w:lastRenderedPageBreak/>
              <w:t>(Article III; Section 5.5B)</w:t>
            </w:r>
          </w:p>
        </w:tc>
      </w:tr>
      <w:tr w:rsidR="00A502D4" w14:paraId="47B36D8B" w14:textId="77777777">
        <w:tc>
          <w:tcPr>
            <w:tcW w:w="1985" w:type="dxa"/>
          </w:tcPr>
          <w:p w14:paraId="3F8AA062" w14:textId="77777777" w:rsidR="00A502D4" w:rsidRDefault="00000000">
            <w:pPr>
              <w:spacing w:before="30" w:after="30" w:line="264" w:lineRule="auto"/>
              <w:jc w:val="left"/>
            </w:pPr>
            <w:r>
              <w:rPr>
                <w:rFonts w:cs="Calibri"/>
                <w:color w:val="46565E"/>
                <w:sz w:val="19"/>
                <w:szCs w:val="19"/>
              </w:rPr>
              <w:lastRenderedPageBreak/>
              <w:t>WTO challenge to coalition measures</w:t>
            </w:r>
          </w:p>
        </w:tc>
        <w:tc>
          <w:tcPr>
            <w:tcW w:w="2346" w:type="dxa"/>
          </w:tcPr>
          <w:p w14:paraId="44379908" w14:textId="77777777" w:rsidR="00A502D4" w:rsidRDefault="00000000">
            <w:pPr>
              <w:spacing w:before="30" w:after="30" w:line="264" w:lineRule="auto"/>
              <w:jc w:val="left"/>
            </w:pPr>
            <w:r>
              <w:rPr>
                <w:rFonts w:cs="Calibri"/>
                <w:color w:val="46565E"/>
                <w:sz w:val="19"/>
                <w:szCs w:val="19"/>
              </w:rPr>
              <w:t>Medium likelihood, low severity after anchoring</w:t>
            </w:r>
          </w:p>
        </w:tc>
        <w:tc>
          <w:tcPr>
            <w:tcW w:w="4693" w:type="dxa"/>
          </w:tcPr>
          <w:p w14:paraId="23F6A20C" w14:textId="77777777" w:rsidR="00A502D4" w:rsidRDefault="00000000">
            <w:pPr>
              <w:spacing w:before="30" w:after="30" w:line="264" w:lineRule="auto"/>
              <w:jc w:val="left"/>
            </w:pPr>
            <w:r>
              <w:rPr>
                <w:rFonts w:cs="Calibri"/>
                <w:color w:val="46565E"/>
                <w:sz w:val="19"/>
                <w:szCs w:val="19"/>
              </w:rPr>
              <w:t>Part IV track: Article XXI pre-certification, notification offensive, MPIA network, waiver fallback</w:t>
            </w:r>
          </w:p>
        </w:tc>
      </w:tr>
      <w:tr w:rsidR="00A502D4" w14:paraId="57E30274" w14:textId="77777777">
        <w:tc>
          <w:tcPr>
            <w:tcW w:w="1985" w:type="dxa"/>
          </w:tcPr>
          <w:p w14:paraId="497E3667" w14:textId="77777777" w:rsidR="00A502D4" w:rsidRDefault="00000000">
            <w:pPr>
              <w:spacing w:before="30" w:after="30" w:line="264" w:lineRule="auto"/>
              <w:jc w:val="left"/>
            </w:pPr>
            <w:r>
              <w:rPr>
                <w:rFonts w:cs="Calibri"/>
                <w:color w:val="46565E"/>
                <w:sz w:val="19"/>
                <w:szCs w:val="19"/>
              </w:rPr>
              <w:t>Coalition reads as anti-US bloc</w:t>
            </w:r>
          </w:p>
        </w:tc>
        <w:tc>
          <w:tcPr>
            <w:tcW w:w="2346" w:type="dxa"/>
          </w:tcPr>
          <w:p w14:paraId="09F9DD25" w14:textId="77777777" w:rsidR="00A502D4" w:rsidRDefault="00000000">
            <w:pPr>
              <w:spacing w:before="30" w:after="30" w:line="264" w:lineRule="auto"/>
              <w:jc w:val="left"/>
            </w:pPr>
            <w:r>
              <w:rPr>
                <w:rFonts w:cs="Calibri"/>
                <w:color w:val="46565E"/>
                <w:sz w:val="19"/>
                <w:szCs w:val="19"/>
              </w:rPr>
              <w:t>Medium; narrative risk</w:t>
            </w:r>
          </w:p>
        </w:tc>
        <w:tc>
          <w:tcPr>
            <w:tcW w:w="4693" w:type="dxa"/>
          </w:tcPr>
          <w:p w14:paraId="51A5921B" w14:textId="77777777" w:rsidR="00A502D4" w:rsidRDefault="00000000">
            <w:pPr>
              <w:spacing w:before="30" w:after="30" w:line="264" w:lineRule="auto"/>
              <w:jc w:val="left"/>
            </w:pPr>
            <w:r>
              <w:rPr>
                <w:rFonts w:cs="Calibri"/>
                <w:color w:val="46565E"/>
                <w:sz w:val="19"/>
                <w:szCs w:val="19"/>
              </w:rPr>
              <w:t>Non-targeting design; open accession including the United States; systemic-economy cooperation track; Narrative Neutrality Rule (Annex 16)</w:t>
            </w:r>
          </w:p>
        </w:tc>
      </w:tr>
      <w:tr w:rsidR="00A502D4" w14:paraId="0678E8D8" w14:textId="77777777">
        <w:tc>
          <w:tcPr>
            <w:tcW w:w="1985" w:type="dxa"/>
          </w:tcPr>
          <w:p w14:paraId="3AE20484" w14:textId="77777777" w:rsidR="00A502D4" w:rsidRDefault="00000000">
            <w:pPr>
              <w:spacing w:before="30" w:after="30" w:line="264" w:lineRule="auto"/>
              <w:jc w:val="left"/>
            </w:pPr>
            <w:r>
              <w:rPr>
                <w:rFonts w:cs="Calibri"/>
                <w:color w:val="46565E"/>
                <w:sz w:val="19"/>
                <w:szCs w:val="19"/>
              </w:rPr>
              <w:t>China track leaks or misreads</w:t>
            </w:r>
          </w:p>
        </w:tc>
        <w:tc>
          <w:tcPr>
            <w:tcW w:w="2346" w:type="dxa"/>
          </w:tcPr>
          <w:p w14:paraId="0BD416C5" w14:textId="77777777" w:rsidR="00A502D4" w:rsidRDefault="00000000">
            <w:pPr>
              <w:spacing w:before="30" w:after="30" w:line="264" w:lineRule="auto"/>
              <w:jc w:val="left"/>
            </w:pPr>
            <w:r>
              <w:rPr>
                <w:rFonts w:cs="Calibri"/>
                <w:color w:val="46565E"/>
                <w:sz w:val="19"/>
                <w:szCs w:val="19"/>
              </w:rPr>
              <w:t>Medium; amplified by the 100 percent threat [S19]</w:t>
            </w:r>
          </w:p>
        </w:tc>
        <w:tc>
          <w:tcPr>
            <w:tcW w:w="4693" w:type="dxa"/>
          </w:tcPr>
          <w:p w14:paraId="627A3CBC" w14:textId="77777777" w:rsidR="00A502D4" w:rsidRDefault="00000000">
            <w:pPr>
              <w:spacing w:before="30" w:after="30" w:line="264" w:lineRule="auto"/>
              <w:jc w:val="left"/>
            </w:pPr>
            <w:r>
              <w:rPr>
                <w:rFonts w:cs="Calibri"/>
                <w:color w:val="46565E"/>
                <w:sz w:val="19"/>
                <w:szCs w:val="19"/>
              </w:rPr>
              <w:t>Section 9.5 disciplines: logged engagement, no deal negotiations inside the track, full transparency to partners (Section 6.4A)</w:t>
            </w:r>
          </w:p>
        </w:tc>
      </w:tr>
      <w:tr w:rsidR="00A502D4" w14:paraId="7BC2DB13" w14:textId="77777777">
        <w:tc>
          <w:tcPr>
            <w:tcW w:w="1985" w:type="dxa"/>
          </w:tcPr>
          <w:p w14:paraId="67895333" w14:textId="77777777" w:rsidR="00A502D4" w:rsidRDefault="00000000">
            <w:pPr>
              <w:spacing w:before="30" w:after="30" w:line="264" w:lineRule="auto"/>
              <w:jc w:val="left"/>
            </w:pPr>
            <w:r>
              <w:rPr>
                <w:rFonts w:cs="Calibri"/>
                <w:color w:val="46565E"/>
                <w:sz w:val="19"/>
                <w:szCs w:val="19"/>
              </w:rPr>
              <w:t>Escalation outruns parliaments</w:t>
            </w:r>
          </w:p>
        </w:tc>
        <w:tc>
          <w:tcPr>
            <w:tcW w:w="2346" w:type="dxa"/>
          </w:tcPr>
          <w:p w14:paraId="1A49B63A" w14:textId="77777777" w:rsidR="00A502D4" w:rsidRDefault="00000000">
            <w:pPr>
              <w:spacing w:before="30" w:after="30" w:line="264" w:lineRule="auto"/>
              <w:jc w:val="left"/>
            </w:pPr>
            <w:r>
              <w:rPr>
                <w:rFonts w:cs="Calibri"/>
                <w:color w:val="46565E"/>
                <w:sz w:val="19"/>
                <w:szCs w:val="19"/>
              </w:rPr>
              <w:t>Low by design</w:t>
            </w:r>
          </w:p>
        </w:tc>
        <w:tc>
          <w:tcPr>
            <w:tcW w:w="4693" w:type="dxa"/>
          </w:tcPr>
          <w:p w14:paraId="18E09BBA" w14:textId="77777777" w:rsidR="00A502D4" w:rsidRDefault="00000000">
            <w:pPr>
              <w:spacing w:before="30" w:after="30" w:line="264" w:lineRule="auto"/>
              <w:jc w:val="left"/>
            </w:pPr>
            <w:r>
              <w:rPr>
                <w:rFonts w:cs="Calibri"/>
                <w:color w:val="46565E"/>
                <w:sz w:val="19"/>
                <w:szCs w:val="19"/>
              </w:rPr>
              <w:t>First-Use Calibration Protocol; Phase 1-only modules for the first 60 days; human confirmation at Phase 2 and above (Sections 5.0, 5.5B)</w:t>
            </w:r>
          </w:p>
        </w:tc>
      </w:tr>
      <w:tr w:rsidR="00A502D4" w14:paraId="00BCBAF2" w14:textId="77777777">
        <w:tc>
          <w:tcPr>
            <w:tcW w:w="1985" w:type="dxa"/>
          </w:tcPr>
          <w:p w14:paraId="7D5B640E" w14:textId="77777777" w:rsidR="00A502D4" w:rsidRDefault="00000000">
            <w:pPr>
              <w:spacing w:before="30" w:after="30" w:line="264" w:lineRule="auto"/>
              <w:jc w:val="left"/>
            </w:pPr>
            <w:r>
              <w:rPr>
                <w:rFonts w:cs="Calibri"/>
                <w:color w:val="46565E"/>
                <w:sz w:val="19"/>
                <w:szCs w:val="19"/>
              </w:rPr>
              <w:t>Pilot underfunding or vacancy failure</w:t>
            </w:r>
          </w:p>
        </w:tc>
        <w:tc>
          <w:tcPr>
            <w:tcW w:w="2346" w:type="dxa"/>
          </w:tcPr>
          <w:p w14:paraId="361A6C8A" w14:textId="77777777" w:rsidR="00A502D4" w:rsidRDefault="00000000">
            <w:pPr>
              <w:spacing w:before="30" w:after="30" w:line="264" w:lineRule="auto"/>
              <w:jc w:val="left"/>
            </w:pPr>
            <w:r>
              <w:rPr>
                <w:rFonts w:cs="Calibri"/>
                <w:color w:val="46565E"/>
                <w:sz w:val="19"/>
                <w:szCs w:val="19"/>
              </w:rPr>
              <w:t>Low</w:t>
            </w:r>
          </w:p>
        </w:tc>
        <w:tc>
          <w:tcPr>
            <w:tcW w:w="4693" w:type="dxa"/>
          </w:tcPr>
          <w:p w14:paraId="2EC2C2ED" w14:textId="77777777" w:rsidR="00A502D4" w:rsidRDefault="00000000">
            <w:pPr>
              <w:spacing w:before="30" w:after="30" w:line="264" w:lineRule="auto"/>
              <w:jc w:val="left"/>
            </w:pPr>
            <w:r>
              <w:rPr>
                <w:rFonts w:cs="Calibri"/>
                <w:color w:val="46565E"/>
                <w:sz w:val="19"/>
                <w:szCs w:val="19"/>
              </w:rPr>
              <w:t>Phase-0 profile's light overhead (roughly USD 8 million IEWC core); staffing tables and succession rules in Article IV; in-kind contributions accepted (Section 10A.2)</w:t>
            </w:r>
          </w:p>
        </w:tc>
      </w:tr>
    </w:tbl>
    <w:p w14:paraId="635C75E8" w14:textId="77777777" w:rsidR="00A502D4" w:rsidRDefault="00A502D4">
      <w:pPr>
        <w:spacing w:after="160"/>
      </w:pPr>
    </w:p>
    <w:p w14:paraId="6D2434A0" w14:textId="77777777" w:rsidR="00A502D4" w:rsidRDefault="00000000">
      <w:pPr>
        <w:pStyle w:val="Heading1"/>
      </w:pPr>
      <w:r>
        <w:rPr>
          <w:rFonts w:cs="Calibri"/>
          <w:szCs w:val="32"/>
        </w:rPr>
        <w:t>Annex A: The Tariff Record in Key Dates</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1661"/>
        <w:gridCol w:w="5905"/>
        <w:gridCol w:w="1660"/>
      </w:tblGrid>
      <w:tr w:rsidR="00A502D4" w14:paraId="623165B6" w14:textId="77777777">
        <w:trPr>
          <w:cantSplit/>
          <w:tblHeader/>
        </w:trPr>
        <w:tc>
          <w:tcPr>
            <w:tcW w:w="1624" w:type="dxa"/>
            <w:shd w:val="clear" w:color="auto" w:fill="EDF2F4"/>
          </w:tcPr>
          <w:p w14:paraId="2103C049" w14:textId="77777777" w:rsidR="00A502D4" w:rsidRDefault="00000000">
            <w:pPr>
              <w:spacing w:before="30" w:after="30" w:line="264" w:lineRule="auto"/>
              <w:jc w:val="left"/>
            </w:pPr>
            <w:r>
              <w:rPr>
                <w:rFonts w:cs="Calibri"/>
                <w:b/>
                <w:sz w:val="19"/>
                <w:szCs w:val="19"/>
              </w:rPr>
              <w:t>Date</w:t>
            </w:r>
          </w:p>
        </w:tc>
        <w:tc>
          <w:tcPr>
            <w:tcW w:w="5776" w:type="dxa"/>
            <w:shd w:val="clear" w:color="auto" w:fill="EDF2F4"/>
          </w:tcPr>
          <w:p w14:paraId="27F46233" w14:textId="77777777" w:rsidR="00A502D4" w:rsidRDefault="00000000">
            <w:pPr>
              <w:spacing w:before="30" w:after="30" w:line="264" w:lineRule="auto"/>
              <w:jc w:val="left"/>
            </w:pPr>
            <w:r>
              <w:rPr>
                <w:rFonts w:cs="Calibri"/>
                <w:b/>
                <w:sz w:val="19"/>
                <w:szCs w:val="19"/>
              </w:rPr>
              <w:t>Event</w:t>
            </w:r>
          </w:p>
        </w:tc>
        <w:tc>
          <w:tcPr>
            <w:tcW w:w="1624" w:type="dxa"/>
            <w:shd w:val="clear" w:color="auto" w:fill="EDF2F4"/>
          </w:tcPr>
          <w:p w14:paraId="65680269" w14:textId="77777777" w:rsidR="00A502D4" w:rsidRDefault="00000000">
            <w:pPr>
              <w:spacing w:before="30" w:after="30" w:line="264" w:lineRule="auto"/>
              <w:jc w:val="left"/>
            </w:pPr>
            <w:r>
              <w:rPr>
                <w:rFonts w:cs="Calibri"/>
                <w:b/>
                <w:sz w:val="19"/>
                <w:szCs w:val="19"/>
              </w:rPr>
              <w:t>Source</w:t>
            </w:r>
          </w:p>
        </w:tc>
      </w:tr>
      <w:tr w:rsidR="00A502D4" w14:paraId="4178F871" w14:textId="77777777">
        <w:tc>
          <w:tcPr>
            <w:tcW w:w="1624" w:type="dxa"/>
          </w:tcPr>
          <w:p w14:paraId="1C17E2B7" w14:textId="77777777" w:rsidR="00A502D4" w:rsidRDefault="00000000">
            <w:pPr>
              <w:spacing w:before="30" w:after="30" w:line="264" w:lineRule="auto"/>
              <w:jc w:val="left"/>
            </w:pPr>
            <w:r>
              <w:rPr>
                <w:rFonts w:cs="Calibri"/>
                <w:color w:val="46565E"/>
                <w:sz w:val="19"/>
                <w:szCs w:val="19"/>
              </w:rPr>
              <w:t>March 4, 2025</w:t>
            </w:r>
          </w:p>
        </w:tc>
        <w:tc>
          <w:tcPr>
            <w:tcW w:w="5776" w:type="dxa"/>
          </w:tcPr>
          <w:p w14:paraId="5B615A06" w14:textId="77777777" w:rsidR="00A502D4" w:rsidRDefault="00000000">
            <w:pPr>
              <w:spacing w:before="30" w:after="30" w:line="264" w:lineRule="auto"/>
              <w:jc w:val="left"/>
            </w:pPr>
            <w:r>
              <w:rPr>
                <w:rFonts w:cs="Calibri"/>
                <w:color w:val="46565E"/>
                <w:sz w:val="19"/>
                <w:szCs w:val="19"/>
              </w:rPr>
              <w:t>US imposes 25 percent IEEPA tariffs on Canadian goods (10 percent on energy); Canada answers with counter-tariffs</w:t>
            </w:r>
          </w:p>
        </w:tc>
        <w:tc>
          <w:tcPr>
            <w:tcW w:w="1624" w:type="dxa"/>
          </w:tcPr>
          <w:p w14:paraId="40C78653" w14:textId="77777777" w:rsidR="00A502D4" w:rsidRDefault="00000000">
            <w:pPr>
              <w:spacing w:before="30" w:after="30" w:line="264" w:lineRule="auto"/>
              <w:jc w:val="left"/>
            </w:pPr>
            <w:r>
              <w:rPr>
                <w:rFonts w:cs="Calibri"/>
                <w:color w:val="46565E"/>
                <w:sz w:val="19"/>
                <w:szCs w:val="19"/>
              </w:rPr>
              <w:t>[S12]</w:t>
            </w:r>
          </w:p>
        </w:tc>
      </w:tr>
      <w:tr w:rsidR="00A502D4" w14:paraId="36630348" w14:textId="77777777">
        <w:tc>
          <w:tcPr>
            <w:tcW w:w="1624" w:type="dxa"/>
          </w:tcPr>
          <w:p w14:paraId="58DFDC2B" w14:textId="77777777" w:rsidR="00A502D4" w:rsidRDefault="00000000">
            <w:pPr>
              <w:spacing w:before="30" w:after="30" w:line="264" w:lineRule="auto"/>
              <w:jc w:val="left"/>
            </w:pPr>
            <w:r>
              <w:rPr>
                <w:rFonts w:cs="Calibri"/>
                <w:color w:val="46565E"/>
                <w:sz w:val="19"/>
                <w:szCs w:val="19"/>
              </w:rPr>
              <w:t>March 5, 2025</w:t>
            </w:r>
          </w:p>
        </w:tc>
        <w:tc>
          <w:tcPr>
            <w:tcW w:w="5776" w:type="dxa"/>
          </w:tcPr>
          <w:p w14:paraId="1F0E44A6" w14:textId="77777777" w:rsidR="00A502D4" w:rsidRDefault="00000000">
            <w:pPr>
              <w:spacing w:before="30" w:after="30" w:line="264" w:lineRule="auto"/>
              <w:jc w:val="left"/>
            </w:pPr>
            <w:r>
              <w:rPr>
                <w:rFonts w:cs="Calibri"/>
                <w:color w:val="46565E"/>
                <w:sz w:val="19"/>
                <w:szCs w:val="19"/>
              </w:rPr>
              <w:t>Canada requests WTO consultations on the US tariff measures, expedited perishables procedure</w:t>
            </w:r>
          </w:p>
        </w:tc>
        <w:tc>
          <w:tcPr>
            <w:tcW w:w="1624" w:type="dxa"/>
          </w:tcPr>
          <w:p w14:paraId="016C64C8" w14:textId="77777777" w:rsidR="00A502D4" w:rsidRDefault="00000000">
            <w:pPr>
              <w:spacing w:before="30" w:after="30" w:line="264" w:lineRule="auto"/>
              <w:jc w:val="left"/>
            </w:pPr>
            <w:r>
              <w:rPr>
                <w:rFonts w:cs="Calibri"/>
                <w:color w:val="46565E"/>
                <w:sz w:val="19"/>
                <w:szCs w:val="19"/>
              </w:rPr>
              <w:t>[S33]</w:t>
            </w:r>
          </w:p>
        </w:tc>
      </w:tr>
      <w:tr w:rsidR="00A502D4" w14:paraId="1FEDB74D" w14:textId="77777777">
        <w:tc>
          <w:tcPr>
            <w:tcW w:w="1624" w:type="dxa"/>
          </w:tcPr>
          <w:p w14:paraId="0F81A499" w14:textId="77777777" w:rsidR="00A502D4" w:rsidRDefault="00000000">
            <w:pPr>
              <w:spacing w:before="30" w:after="30" w:line="264" w:lineRule="auto"/>
              <w:jc w:val="left"/>
            </w:pPr>
            <w:r>
              <w:rPr>
                <w:rFonts w:cs="Calibri"/>
                <w:color w:val="46565E"/>
                <w:sz w:val="19"/>
                <w:szCs w:val="19"/>
              </w:rPr>
              <w:t>March 13, 2025</w:t>
            </w:r>
          </w:p>
        </w:tc>
        <w:tc>
          <w:tcPr>
            <w:tcW w:w="5776" w:type="dxa"/>
          </w:tcPr>
          <w:p w14:paraId="7B942C70" w14:textId="77777777" w:rsidR="00A502D4" w:rsidRDefault="00000000">
            <w:pPr>
              <w:spacing w:before="30" w:after="30" w:line="264" w:lineRule="auto"/>
              <w:jc w:val="left"/>
            </w:pPr>
            <w:r>
              <w:rPr>
                <w:rFonts w:cs="Calibri"/>
                <w:color w:val="46565E"/>
                <w:sz w:val="19"/>
                <w:szCs w:val="19"/>
              </w:rPr>
              <w:t>Canada requests WTO consultations on US steel and aluminum duties</w:t>
            </w:r>
          </w:p>
        </w:tc>
        <w:tc>
          <w:tcPr>
            <w:tcW w:w="1624" w:type="dxa"/>
          </w:tcPr>
          <w:p w14:paraId="7E79C0FD" w14:textId="77777777" w:rsidR="00A502D4" w:rsidRDefault="00000000">
            <w:pPr>
              <w:spacing w:before="30" w:after="30" w:line="264" w:lineRule="auto"/>
              <w:jc w:val="left"/>
            </w:pPr>
            <w:r>
              <w:rPr>
                <w:rFonts w:cs="Calibri"/>
                <w:color w:val="46565E"/>
                <w:sz w:val="19"/>
                <w:szCs w:val="19"/>
              </w:rPr>
              <w:t>[S33]</w:t>
            </w:r>
          </w:p>
        </w:tc>
      </w:tr>
      <w:tr w:rsidR="00A502D4" w14:paraId="6CD3FC42" w14:textId="77777777">
        <w:tc>
          <w:tcPr>
            <w:tcW w:w="1624" w:type="dxa"/>
          </w:tcPr>
          <w:p w14:paraId="7D9DD584" w14:textId="77777777" w:rsidR="00A502D4" w:rsidRDefault="00000000">
            <w:pPr>
              <w:spacing w:before="30" w:after="30" w:line="264" w:lineRule="auto"/>
              <w:jc w:val="left"/>
            </w:pPr>
            <w:r>
              <w:rPr>
                <w:rFonts w:cs="Calibri"/>
                <w:color w:val="46565E"/>
                <w:sz w:val="19"/>
                <w:szCs w:val="19"/>
              </w:rPr>
              <w:t>April 2, 2025</w:t>
            </w:r>
          </w:p>
        </w:tc>
        <w:tc>
          <w:tcPr>
            <w:tcW w:w="5776" w:type="dxa"/>
          </w:tcPr>
          <w:p w14:paraId="2B153346" w14:textId="77777777" w:rsidR="00A502D4" w:rsidRDefault="00000000">
            <w:pPr>
              <w:spacing w:before="30" w:after="30" w:line="264" w:lineRule="auto"/>
              <w:jc w:val="left"/>
            </w:pPr>
            <w:r>
              <w:rPr>
                <w:rFonts w:cs="Calibri"/>
                <w:color w:val="46565E"/>
                <w:sz w:val="19"/>
                <w:szCs w:val="19"/>
              </w:rPr>
              <w:t>"Liberation Day" architecture; 25 percent on non-CUSMA goods; 25 percent on non-US-built autos</w:t>
            </w:r>
          </w:p>
        </w:tc>
        <w:tc>
          <w:tcPr>
            <w:tcW w:w="1624" w:type="dxa"/>
          </w:tcPr>
          <w:p w14:paraId="675CC3E4" w14:textId="77777777" w:rsidR="00A502D4" w:rsidRDefault="00000000">
            <w:pPr>
              <w:spacing w:before="30" w:after="30" w:line="264" w:lineRule="auto"/>
              <w:jc w:val="left"/>
            </w:pPr>
            <w:r>
              <w:rPr>
                <w:rFonts w:cs="Calibri"/>
                <w:color w:val="46565E"/>
                <w:sz w:val="19"/>
                <w:szCs w:val="19"/>
              </w:rPr>
              <w:t>[S12]</w:t>
            </w:r>
          </w:p>
        </w:tc>
      </w:tr>
      <w:tr w:rsidR="00A502D4" w14:paraId="3B20D1B5" w14:textId="77777777">
        <w:tc>
          <w:tcPr>
            <w:tcW w:w="1624" w:type="dxa"/>
          </w:tcPr>
          <w:p w14:paraId="1B81688A" w14:textId="77777777" w:rsidR="00A502D4" w:rsidRDefault="00000000">
            <w:pPr>
              <w:spacing w:before="30" w:after="30" w:line="264" w:lineRule="auto"/>
              <w:jc w:val="left"/>
            </w:pPr>
            <w:r>
              <w:rPr>
                <w:rFonts w:cs="Calibri"/>
                <w:color w:val="46565E"/>
                <w:sz w:val="19"/>
                <w:szCs w:val="19"/>
              </w:rPr>
              <w:t>April 7, 2025</w:t>
            </w:r>
          </w:p>
        </w:tc>
        <w:tc>
          <w:tcPr>
            <w:tcW w:w="5776" w:type="dxa"/>
          </w:tcPr>
          <w:p w14:paraId="4E9433A6" w14:textId="77777777" w:rsidR="00A502D4" w:rsidRDefault="00000000">
            <w:pPr>
              <w:spacing w:before="30" w:after="30" w:line="264" w:lineRule="auto"/>
              <w:jc w:val="left"/>
            </w:pPr>
            <w:r>
              <w:rPr>
                <w:rFonts w:cs="Calibri"/>
                <w:color w:val="46565E"/>
                <w:sz w:val="19"/>
                <w:szCs w:val="19"/>
              </w:rPr>
              <w:t>Canada requests WTO consultations on the 25 percent auto duties</w:t>
            </w:r>
          </w:p>
        </w:tc>
        <w:tc>
          <w:tcPr>
            <w:tcW w:w="1624" w:type="dxa"/>
          </w:tcPr>
          <w:p w14:paraId="268E4604" w14:textId="77777777" w:rsidR="00A502D4" w:rsidRDefault="00000000">
            <w:pPr>
              <w:spacing w:before="30" w:after="30" w:line="264" w:lineRule="auto"/>
              <w:jc w:val="left"/>
            </w:pPr>
            <w:r>
              <w:rPr>
                <w:rFonts w:cs="Calibri"/>
                <w:color w:val="46565E"/>
                <w:sz w:val="19"/>
                <w:szCs w:val="19"/>
              </w:rPr>
              <w:t>[S33]</w:t>
            </w:r>
          </w:p>
        </w:tc>
      </w:tr>
      <w:tr w:rsidR="00A502D4" w14:paraId="15054D20" w14:textId="77777777">
        <w:tc>
          <w:tcPr>
            <w:tcW w:w="1624" w:type="dxa"/>
          </w:tcPr>
          <w:p w14:paraId="7519E6D1" w14:textId="77777777" w:rsidR="00A502D4" w:rsidRDefault="00000000">
            <w:pPr>
              <w:spacing w:before="30" w:after="30" w:line="264" w:lineRule="auto"/>
              <w:jc w:val="left"/>
            </w:pPr>
            <w:r>
              <w:rPr>
                <w:rFonts w:cs="Calibri"/>
                <w:color w:val="46565E"/>
                <w:sz w:val="19"/>
                <w:szCs w:val="19"/>
              </w:rPr>
              <w:t>June 4, 2025</w:t>
            </w:r>
          </w:p>
        </w:tc>
        <w:tc>
          <w:tcPr>
            <w:tcW w:w="5776" w:type="dxa"/>
          </w:tcPr>
          <w:p w14:paraId="7DB8C680" w14:textId="77777777" w:rsidR="00A502D4" w:rsidRDefault="00000000">
            <w:pPr>
              <w:spacing w:before="30" w:after="30" w:line="264" w:lineRule="auto"/>
              <w:jc w:val="left"/>
            </w:pPr>
            <w:r>
              <w:rPr>
                <w:rFonts w:cs="Calibri"/>
                <w:color w:val="46565E"/>
                <w:sz w:val="19"/>
                <w:szCs w:val="19"/>
              </w:rPr>
              <w:t>Steel and aluminum tariffs rise from 25 to 50 percent</w:t>
            </w:r>
          </w:p>
        </w:tc>
        <w:tc>
          <w:tcPr>
            <w:tcW w:w="1624" w:type="dxa"/>
          </w:tcPr>
          <w:p w14:paraId="34A40FF7" w14:textId="77777777" w:rsidR="00A502D4" w:rsidRDefault="00000000">
            <w:pPr>
              <w:spacing w:before="30" w:after="30" w:line="264" w:lineRule="auto"/>
              <w:jc w:val="left"/>
            </w:pPr>
            <w:r>
              <w:rPr>
                <w:rFonts w:cs="Calibri"/>
                <w:color w:val="46565E"/>
                <w:sz w:val="19"/>
                <w:szCs w:val="19"/>
              </w:rPr>
              <w:t>[S12]</w:t>
            </w:r>
          </w:p>
        </w:tc>
      </w:tr>
      <w:tr w:rsidR="00A502D4" w14:paraId="476F20EB" w14:textId="77777777">
        <w:tc>
          <w:tcPr>
            <w:tcW w:w="1624" w:type="dxa"/>
          </w:tcPr>
          <w:p w14:paraId="076C88AA" w14:textId="77777777" w:rsidR="00A502D4" w:rsidRDefault="00000000">
            <w:pPr>
              <w:spacing w:before="30" w:after="30" w:line="264" w:lineRule="auto"/>
              <w:jc w:val="left"/>
            </w:pPr>
            <w:r>
              <w:rPr>
                <w:rFonts w:cs="Calibri"/>
                <w:color w:val="46565E"/>
                <w:sz w:val="19"/>
                <w:szCs w:val="19"/>
              </w:rPr>
              <w:t>August 1, 2025</w:t>
            </w:r>
          </w:p>
        </w:tc>
        <w:tc>
          <w:tcPr>
            <w:tcW w:w="5776" w:type="dxa"/>
          </w:tcPr>
          <w:p w14:paraId="69C39289" w14:textId="77777777" w:rsidR="00A502D4" w:rsidRDefault="00000000">
            <w:pPr>
              <w:spacing w:before="30" w:after="30" w:line="264" w:lineRule="auto"/>
              <w:jc w:val="left"/>
            </w:pPr>
            <w:r>
              <w:rPr>
                <w:rFonts w:cs="Calibri"/>
                <w:color w:val="46565E"/>
                <w:sz w:val="19"/>
                <w:szCs w:val="19"/>
              </w:rPr>
              <w:t>Copper at 50 percent; non-CUSMA Canada rate raised to 35 percent</w:t>
            </w:r>
          </w:p>
        </w:tc>
        <w:tc>
          <w:tcPr>
            <w:tcW w:w="1624" w:type="dxa"/>
          </w:tcPr>
          <w:p w14:paraId="0ED97521" w14:textId="77777777" w:rsidR="00A502D4" w:rsidRDefault="00000000">
            <w:pPr>
              <w:spacing w:before="30" w:after="30" w:line="264" w:lineRule="auto"/>
              <w:jc w:val="left"/>
            </w:pPr>
            <w:r>
              <w:rPr>
                <w:rFonts w:cs="Calibri"/>
                <w:color w:val="46565E"/>
                <w:sz w:val="19"/>
                <w:szCs w:val="19"/>
              </w:rPr>
              <w:t>[S12]</w:t>
            </w:r>
          </w:p>
        </w:tc>
      </w:tr>
      <w:tr w:rsidR="00A502D4" w14:paraId="726E558B" w14:textId="77777777">
        <w:tc>
          <w:tcPr>
            <w:tcW w:w="1624" w:type="dxa"/>
          </w:tcPr>
          <w:p w14:paraId="0D4EBE7A" w14:textId="77777777" w:rsidR="00A502D4" w:rsidRDefault="00000000">
            <w:pPr>
              <w:spacing w:before="30" w:after="30" w:line="264" w:lineRule="auto"/>
              <w:jc w:val="left"/>
            </w:pPr>
            <w:r>
              <w:rPr>
                <w:rFonts w:cs="Calibri"/>
                <w:color w:val="46565E"/>
                <w:sz w:val="19"/>
                <w:szCs w:val="19"/>
              </w:rPr>
              <w:t>September 1, 2025</w:t>
            </w:r>
          </w:p>
        </w:tc>
        <w:tc>
          <w:tcPr>
            <w:tcW w:w="5776" w:type="dxa"/>
          </w:tcPr>
          <w:p w14:paraId="20EDFF67" w14:textId="77777777" w:rsidR="00A502D4" w:rsidRDefault="00000000">
            <w:pPr>
              <w:spacing w:before="30" w:after="30" w:line="264" w:lineRule="auto"/>
              <w:jc w:val="left"/>
            </w:pPr>
            <w:r>
              <w:rPr>
                <w:rFonts w:cs="Calibri"/>
                <w:color w:val="46565E"/>
                <w:sz w:val="19"/>
                <w:szCs w:val="19"/>
              </w:rPr>
              <w:t>Canada removes most federal counter-tariffs; steel, aluminum, and auto measures remain</w:t>
            </w:r>
          </w:p>
        </w:tc>
        <w:tc>
          <w:tcPr>
            <w:tcW w:w="1624" w:type="dxa"/>
          </w:tcPr>
          <w:p w14:paraId="656BC4EB" w14:textId="77777777" w:rsidR="00A502D4" w:rsidRDefault="00000000">
            <w:pPr>
              <w:spacing w:before="30" w:after="30" w:line="264" w:lineRule="auto"/>
              <w:jc w:val="left"/>
            </w:pPr>
            <w:r>
              <w:rPr>
                <w:rFonts w:cs="Calibri"/>
                <w:color w:val="46565E"/>
                <w:sz w:val="19"/>
                <w:szCs w:val="19"/>
              </w:rPr>
              <w:t>[S12]</w:t>
            </w:r>
          </w:p>
        </w:tc>
      </w:tr>
      <w:tr w:rsidR="00A502D4" w14:paraId="60EAF039" w14:textId="77777777">
        <w:tc>
          <w:tcPr>
            <w:tcW w:w="1624" w:type="dxa"/>
          </w:tcPr>
          <w:p w14:paraId="0DD49E19" w14:textId="77777777" w:rsidR="00A502D4" w:rsidRDefault="00000000">
            <w:pPr>
              <w:spacing w:before="30" w:after="30" w:line="264" w:lineRule="auto"/>
              <w:jc w:val="left"/>
            </w:pPr>
            <w:r>
              <w:rPr>
                <w:rFonts w:cs="Calibri"/>
                <w:color w:val="46565E"/>
                <w:sz w:val="19"/>
                <w:szCs w:val="19"/>
              </w:rPr>
              <w:t>October 14, 2025</w:t>
            </w:r>
          </w:p>
        </w:tc>
        <w:tc>
          <w:tcPr>
            <w:tcW w:w="5776" w:type="dxa"/>
          </w:tcPr>
          <w:p w14:paraId="30C1EE70" w14:textId="77777777" w:rsidR="00A502D4" w:rsidRDefault="00000000">
            <w:pPr>
              <w:spacing w:before="30" w:after="30" w:line="264" w:lineRule="auto"/>
              <w:jc w:val="left"/>
            </w:pPr>
            <w:r>
              <w:rPr>
                <w:rFonts w:cs="Calibri"/>
                <w:color w:val="46565E"/>
                <w:sz w:val="19"/>
                <w:szCs w:val="19"/>
              </w:rPr>
              <w:t>Softwood lumber at 10 percent; furniture measures announced</w:t>
            </w:r>
          </w:p>
        </w:tc>
        <w:tc>
          <w:tcPr>
            <w:tcW w:w="1624" w:type="dxa"/>
          </w:tcPr>
          <w:p w14:paraId="1AE511DC" w14:textId="77777777" w:rsidR="00A502D4" w:rsidRDefault="00000000">
            <w:pPr>
              <w:spacing w:before="30" w:after="30" w:line="264" w:lineRule="auto"/>
              <w:jc w:val="left"/>
            </w:pPr>
            <w:r>
              <w:rPr>
                <w:rFonts w:cs="Calibri"/>
                <w:color w:val="46565E"/>
                <w:sz w:val="19"/>
                <w:szCs w:val="19"/>
              </w:rPr>
              <w:t>[S12]</w:t>
            </w:r>
          </w:p>
        </w:tc>
      </w:tr>
      <w:tr w:rsidR="00A502D4" w14:paraId="48AB8B50" w14:textId="77777777">
        <w:tc>
          <w:tcPr>
            <w:tcW w:w="1624" w:type="dxa"/>
          </w:tcPr>
          <w:p w14:paraId="300EA99A" w14:textId="77777777" w:rsidR="00A502D4" w:rsidRDefault="00000000">
            <w:pPr>
              <w:spacing w:before="30" w:after="30" w:line="264" w:lineRule="auto"/>
              <w:jc w:val="left"/>
            </w:pPr>
            <w:r>
              <w:rPr>
                <w:rFonts w:cs="Calibri"/>
                <w:color w:val="46565E"/>
                <w:sz w:val="19"/>
                <w:szCs w:val="19"/>
              </w:rPr>
              <w:t>January 17, 2026</w:t>
            </w:r>
          </w:p>
        </w:tc>
        <w:tc>
          <w:tcPr>
            <w:tcW w:w="5776" w:type="dxa"/>
          </w:tcPr>
          <w:p w14:paraId="3D8D4C31" w14:textId="77777777" w:rsidR="00A502D4" w:rsidRDefault="00000000">
            <w:pPr>
              <w:spacing w:before="30" w:after="30" w:line="264" w:lineRule="auto"/>
              <w:jc w:val="left"/>
            </w:pPr>
            <w:r>
              <w:rPr>
                <w:rFonts w:cs="Calibri"/>
                <w:color w:val="46565E"/>
                <w:sz w:val="19"/>
                <w:szCs w:val="19"/>
              </w:rPr>
              <w:t>Greenland tariff threat against eight European countries (withdrawn January 21)</w:t>
            </w:r>
          </w:p>
        </w:tc>
        <w:tc>
          <w:tcPr>
            <w:tcW w:w="1624" w:type="dxa"/>
          </w:tcPr>
          <w:p w14:paraId="70B0C612" w14:textId="77777777" w:rsidR="00A502D4" w:rsidRDefault="00000000">
            <w:pPr>
              <w:spacing w:before="30" w:after="30" w:line="264" w:lineRule="auto"/>
              <w:jc w:val="left"/>
            </w:pPr>
            <w:r>
              <w:rPr>
                <w:rFonts w:cs="Calibri"/>
                <w:color w:val="46565E"/>
                <w:sz w:val="19"/>
                <w:szCs w:val="19"/>
              </w:rPr>
              <w:t>[S</w:t>
            </w:r>
            <w:proofErr w:type="gramStart"/>
            <w:r>
              <w:rPr>
                <w:rFonts w:cs="Calibri"/>
                <w:color w:val="46565E"/>
                <w:sz w:val="19"/>
                <w:szCs w:val="19"/>
              </w:rPr>
              <w:t>19][</w:t>
            </w:r>
            <w:proofErr w:type="gramEnd"/>
            <w:r>
              <w:rPr>
                <w:rFonts w:cs="Calibri"/>
                <w:color w:val="46565E"/>
                <w:sz w:val="19"/>
                <w:szCs w:val="19"/>
              </w:rPr>
              <w:t>S25]</w:t>
            </w:r>
          </w:p>
        </w:tc>
      </w:tr>
      <w:tr w:rsidR="00A502D4" w14:paraId="647AB07C" w14:textId="77777777">
        <w:tc>
          <w:tcPr>
            <w:tcW w:w="1624" w:type="dxa"/>
          </w:tcPr>
          <w:p w14:paraId="780C4FC1" w14:textId="77777777" w:rsidR="00A502D4" w:rsidRDefault="00000000">
            <w:pPr>
              <w:spacing w:before="30" w:after="30" w:line="264" w:lineRule="auto"/>
              <w:jc w:val="left"/>
            </w:pPr>
            <w:r>
              <w:rPr>
                <w:rFonts w:cs="Calibri"/>
                <w:color w:val="46565E"/>
                <w:sz w:val="19"/>
                <w:szCs w:val="19"/>
              </w:rPr>
              <w:t>January 24, 2026</w:t>
            </w:r>
          </w:p>
        </w:tc>
        <w:tc>
          <w:tcPr>
            <w:tcW w:w="5776" w:type="dxa"/>
          </w:tcPr>
          <w:p w14:paraId="0B5C9B33" w14:textId="77777777" w:rsidR="00A502D4" w:rsidRDefault="00000000">
            <w:pPr>
              <w:spacing w:before="30" w:after="30" w:line="264" w:lineRule="auto"/>
              <w:jc w:val="left"/>
            </w:pPr>
            <w:r>
              <w:rPr>
                <w:rFonts w:cs="Calibri"/>
                <w:color w:val="46565E"/>
                <w:sz w:val="19"/>
                <w:szCs w:val="19"/>
              </w:rPr>
              <w:t>Threat of 100 percent additional tariffs on Canada over any Canada-China trade deal</w:t>
            </w:r>
          </w:p>
        </w:tc>
        <w:tc>
          <w:tcPr>
            <w:tcW w:w="1624" w:type="dxa"/>
          </w:tcPr>
          <w:p w14:paraId="7ABA9F35" w14:textId="77777777" w:rsidR="00A502D4" w:rsidRDefault="00000000">
            <w:pPr>
              <w:spacing w:before="30" w:after="30" w:line="264" w:lineRule="auto"/>
              <w:jc w:val="left"/>
            </w:pPr>
            <w:r>
              <w:rPr>
                <w:rFonts w:cs="Calibri"/>
                <w:color w:val="46565E"/>
                <w:sz w:val="19"/>
                <w:szCs w:val="19"/>
              </w:rPr>
              <w:t>[S19]</w:t>
            </w:r>
          </w:p>
        </w:tc>
      </w:tr>
      <w:tr w:rsidR="00A502D4" w14:paraId="6F88BF10" w14:textId="77777777">
        <w:tc>
          <w:tcPr>
            <w:tcW w:w="1624" w:type="dxa"/>
          </w:tcPr>
          <w:p w14:paraId="51D1652E" w14:textId="77777777" w:rsidR="00A502D4" w:rsidRDefault="00000000">
            <w:pPr>
              <w:spacing w:before="30" w:after="30" w:line="264" w:lineRule="auto"/>
              <w:jc w:val="left"/>
            </w:pPr>
            <w:r>
              <w:rPr>
                <w:rFonts w:cs="Calibri"/>
                <w:color w:val="46565E"/>
                <w:sz w:val="19"/>
                <w:szCs w:val="19"/>
              </w:rPr>
              <w:lastRenderedPageBreak/>
              <w:t>February 20, 2026</w:t>
            </w:r>
          </w:p>
        </w:tc>
        <w:tc>
          <w:tcPr>
            <w:tcW w:w="5776" w:type="dxa"/>
          </w:tcPr>
          <w:p w14:paraId="69237145" w14:textId="77777777" w:rsidR="00A502D4" w:rsidRDefault="00000000">
            <w:pPr>
              <w:spacing w:before="30" w:after="30" w:line="264" w:lineRule="auto"/>
              <w:jc w:val="left"/>
            </w:pPr>
            <w:r>
              <w:rPr>
                <w:rFonts w:cs="Calibri"/>
                <w:color w:val="46565E"/>
                <w:sz w:val="19"/>
                <w:szCs w:val="19"/>
              </w:rPr>
              <w:t>Supreme Court strikes down IEEPA tariffs in Learning Resources v. Trump; Section 122 surcharge proclaimed the same day</w:t>
            </w:r>
          </w:p>
        </w:tc>
        <w:tc>
          <w:tcPr>
            <w:tcW w:w="1624" w:type="dxa"/>
          </w:tcPr>
          <w:p w14:paraId="0FBD62EC" w14:textId="77777777" w:rsidR="00A502D4" w:rsidRDefault="00000000">
            <w:pPr>
              <w:spacing w:before="30" w:after="30" w:line="264" w:lineRule="auto"/>
              <w:jc w:val="left"/>
            </w:pPr>
            <w:r>
              <w:rPr>
                <w:rFonts w:cs="Calibri"/>
                <w:color w:val="46565E"/>
                <w:sz w:val="19"/>
                <w:szCs w:val="19"/>
              </w:rPr>
              <w:t>[S</w:t>
            </w:r>
            <w:proofErr w:type="gramStart"/>
            <w:r>
              <w:rPr>
                <w:rFonts w:cs="Calibri"/>
                <w:color w:val="46565E"/>
                <w:sz w:val="19"/>
                <w:szCs w:val="19"/>
              </w:rPr>
              <w:t>15][</w:t>
            </w:r>
            <w:proofErr w:type="gramEnd"/>
            <w:r>
              <w:rPr>
                <w:rFonts w:cs="Calibri"/>
                <w:color w:val="46565E"/>
                <w:sz w:val="19"/>
                <w:szCs w:val="19"/>
              </w:rPr>
              <w:t>S16]</w:t>
            </w:r>
          </w:p>
        </w:tc>
      </w:tr>
      <w:tr w:rsidR="00A502D4" w14:paraId="08530A55" w14:textId="77777777">
        <w:tc>
          <w:tcPr>
            <w:tcW w:w="1624" w:type="dxa"/>
          </w:tcPr>
          <w:p w14:paraId="6C16C604" w14:textId="77777777" w:rsidR="00A502D4" w:rsidRDefault="00000000">
            <w:pPr>
              <w:spacing w:before="30" w:after="30" w:line="264" w:lineRule="auto"/>
              <w:jc w:val="left"/>
            </w:pPr>
            <w:r>
              <w:rPr>
                <w:rFonts w:cs="Calibri"/>
                <w:color w:val="46565E"/>
                <w:sz w:val="19"/>
                <w:szCs w:val="19"/>
              </w:rPr>
              <w:t>March 11, 2026</w:t>
            </w:r>
          </w:p>
        </w:tc>
        <w:tc>
          <w:tcPr>
            <w:tcW w:w="5776" w:type="dxa"/>
          </w:tcPr>
          <w:p w14:paraId="40B77560" w14:textId="77777777" w:rsidR="00A502D4" w:rsidRDefault="00000000">
            <w:pPr>
              <w:spacing w:before="30" w:after="30" w:line="264" w:lineRule="auto"/>
              <w:jc w:val="left"/>
            </w:pPr>
            <w:r>
              <w:rPr>
                <w:rFonts w:cs="Calibri"/>
                <w:color w:val="46565E"/>
                <w:sz w:val="19"/>
                <w:szCs w:val="19"/>
              </w:rPr>
              <w:t>USTR opens Section 301 excess-capacity investigations against 16 economies</w:t>
            </w:r>
          </w:p>
        </w:tc>
        <w:tc>
          <w:tcPr>
            <w:tcW w:w="1624" w:type="dxa"/>
          </w:tcPr>
          <w:p w14:paraId="591EA955" w14:textId="77777777" w:rsidR="00A502D4" w:rsidRDefault="00000000">
            <w:pPr>
              <w:spacing w:before="30" w:after="30" w:line="264" w:lineRule="auto"/>
              <w:jc w:val="left"/>
            </w:pPr>
            <w:r>
              <w:rPr>
                <w:rFonts w:cs="Calibri"/>
                <w:color w:val="46565E"/>
                <w:sz w:val="19"/>
                <w:szCs w:val="19"/>
              </w:rPr>
              <w:t>[S13]</w:t>
            </w:r>
          </w:p>
        </w:tc>
      </w:tr>
      <w:tr w:rsidR="00A502D4" w14:paraId="6EDEE4DE" w14:textId="77777777">
        <w:tc>
          <w:tcPr>
            <w:tcW w:w="1624" w:type="dxa"/>
          </w:tcPr>
          <w:p w14:paraId="74C01A4B" w14:textId="77777777" w:rsidR="00A502D4" w:rsidRDefault="00000000">
            <w:pPr>
              <w:spacing w:before="30" w:after="30" w:line="264" w:lineRule="auto"/>
              <w:jc w:val="left"/>
            </w:pPr>
            <w:r>
              <w:rPr>
                <w:rFonts w:cs="Calibri"/>
                <w:color w:val="46565E"/>
                <w:sz w:val="19"/>
                <w:szCs w:val="19"/>
              </w:rPr>
              <w:t>March 2026</w:t>
            </w:r>
          </w:p>
        </w:tc>
        <w:tc>
          <w:tcPr>
            <w:tcW w:w="5776" w:type="dxa"/>
          </w:tcPr>
          <w:p w14:paraId="08BDB107" w14:textId="77777777" w:rsidR="00A502D4" w:rsidRDefault="00000000">
            <w:pPr>
              <w:spacing w:before="30" w:after="30" w:line="264" w:lineRule="auto"/>
              <w:jc w:val="left"/>
            </w:pPr>
            <w:r>
              <w:rPr>
                <w:rFonts w:cs="Calibri"/>
                <w:color w:val="46565E"/>
                <w:sz w:val="19"/>
                <w:szCs w:val="19"/>
              </w:rPr>
              <w:t>The President refers to Prime Minister Carney as "the future Governor of Canada"</w:t>
            </w:r>
          </w:p>
        </w:tc>
        <w:tc>
          <w:tcPr>
            <w:tcW w:w="1624" w:type="dxa"/>
          </w:tcPr>
          <w:p w14:paraId="703CFDBB" w14:textId="77777777" w:rsidR="00A502D4" w:rsidRDefault="00000000">
            <w:pPr>
              <w:spacing w:before="30" w:after="30" w:line="264" w:lineRule="auto"/>
              <w:jc w:val="left"/>
            </w:pPr>
            <w:r>
              <w:rPr>
                <w:rFonts w:cs="Calibri"/>
                <w:color w:val="46565E"/>
                <w:sz w:val="19"/>
                <w:szCs w:val="19"/>
              </w:rPr>
              <w:t>[S18]</w:t>
            </w:r>
          </w:p>
        </w:tc>
      </w:tr>
      <w:tr w:rsidR="00A502D4" w14:paraId="7D3B47E2" w14:textId="77777777">
        <w:tc>
          <w:tcPr>
            <w:tcW w:w="1624" w:type="dxa"/>
          </w:tcPr>
          <w:p w14:paraId="77FF1540" w14:textId="77777777" w:rsidR="00A502D4" w:rsidRDefault="00000000">
            <w:pPr>
              <w:spacing w:before="30" w:after="30" w:line="264" w:lineRule="auto"/>
              <w:jc w:val="left"/>
            </w:pPr>
            <w:r>
              <w:rPr>
                <w:rFonts w:cs="Calibri"/>
                <w:color w:val="46565E"/>
                <w:sz w:val="19"/>
                <w:szCs w:val="19"/>
              </w:rPr>
              <w:t>April 2, 2026</w:t>
            </w:r>
          </w:p>
        </w:tc>
        <w:tc>
          <w:tcPr>
            <w:tcW w:w="5776" w:type="dxa"/>
          </w:tcPr>
          <w:p w14:paraId="0FDF3B27" w14:textId="77777777" w:rsidR="00A502D4" w:rsidRDefault="00000000">
            <w:pPr>
              <w:spacing w:before="30" w:after="30" w:line="264" w:lineRule="auto"/>
              <w:jc w:val="left"/>
            </w:pPr>
            <w:r>
              <w:rPr>
                <w:rFonts w:cs="Calibri"/>
                <w:color w:val="46565E"/>
                <w:sz w:val="19"/>
                <w:szCs w:val="19"/>
              </w:rPr>
              <w:t>Section 232 revision: full-customs-value basis, restructured derivative rates</w:t>
            </w:r>
          </w:p>
        </w:tc>
        <w:tc>
          <w:tcPr>
            <w:tcW w:w="1624" w:type="dxa"/>
          </w:tcPr>
          <w:p w14:paraId="01ED073C" w14:textId="77777777" w:rsidR="00A502D4" w:rsidRDefault="00000000">
            <w:pPr>
              <w:spacing w:before="30" w:after="30" w:line="264" w:lineRule="auto"/>
              <w:jc w:val="left"/>
            </w:pPr>
            <w:r>
              <w:rPr>
                <w:rFonts w:cs="Calibri"/>
                <w:color w:val="46565E"/>
                <w:sz w:val="19"/>
                <w:szCs w:val="19"/>
              </w:rPr>
              <w:t>[S10]</w:t>
            </w:r>
          </w:p>
        </w:tc>
      </w:tr>
      <w:tr w:rsidR="00A502D4" w14:paraId="308410A0" w14:textId="77777777">
        <w:tc>
          <w:tcPr>
            <w:tcW w:w="1624" w:type="dxa"/>
          </w:tcPr>
          <w:p w14:paraId="6641A70E" w14:textId="77777777" w:rsidR="00A502D4" w:rsidRDefault="00000000">
            <w:pPr>
              <w:spacing w:before="30" w:after="30" w:line="264" w:lineRule="auto"/>
              <w:jc w:val="left"/>
            </w:pPr>
            <w:r>
              <w:rPr>
                <w:rFonts w:cs="Calibri"/>
                <w:color w:val="46565E"/>
                <w:sz w:val="19"/>
                <w:szCs w:val="19"/>
              </w:rPr>
              <w:t>April 26, 2026</w:t>
            </w:r>
          </w:p>
        </w:tc>
        <w:tc>
          <w:tcPr>
            <w:tcW w:w="5776" w:type="dxa"/>
          </w:tcPr>
          <w:p w14:paraId="7FB2C1E3" w14:textId="77777777" w:rsidR="00A502D4" w:rsidRDefault="00000000">
            <w:pPr>
              <w:spacing w:before="30" w:after="30" w:line="264" w:lineRule="auto"/>
              <w:jc w:val="left"/>
            </w:pPr>
            <w:r>
              <w:rPr>
                <w:rFonts w:cs="Calibri"/>
                <w:color w:val="46565E"/>
                <w:sz w:val="19"/>
                <w:szCs w:val="19"/>
              </w:rPr>
              <w:t>British Chambers of Commerce calls for a UK anti-coercion "trade bazooka"</w:t>
            </w:r>
          </w:p>
        </w:tc>
        <w:tc>
          <w:tcPr>
            <w:tcW w:w="1624" w:type="dxa"/>
          </w:tcPr>
          <w:p w14:paraId="07C520B2" w14:textId="77777777" w:rsidR="00A502D4" w:rsidRDefault="00000000">
            <w:pPr>
              <w:spacing w:before="30" w:after="30" w:line="264" w:lineRule="auto"/>
              <w:jc w:val="left"/>
            </w:pPr>
            <w:r>
              <w:rPr>
                <w:rFonts w:cs="Calibri"/>
                <w:color w:val="46565E"/>
                <w:sz w:val="19"/>
                <w:szCs w:val="19"/>
              </w:rPr>
              <w:t>[S24]</w:t>
            </w:r>
          </w:p>
        </w:tc>
      </w:tr>
      <w:tr w:rsidR="00A502D4" w14:paraId="00DFFD46" w14:textId="77777777">
        <w:tc>
          <w:tcPr>
            <w:tcW w:w="1624" w:type="dxa"/>
          </w:tcPr>
          <w:p w14:paraId="557E9A4C" w14:textId="77777777" w:rsidR="00A502D4" w:rsidRDefault="00000000">
            <w:pPr>
              <w:spacing w:before="30" w:after="30" w:line="264" w:lineRule="auto"/>
              <w:jc w:val="left"/>
            </w:pPr>
            <w:r>
              <w:rPr>
                <w:rFonts w:cs="Calibri"/>
                <w:color w:val="46565E"/>
                <w:sz w:val="19"/>
                <w:szCs w:val="19"/>
              </w:rPr>
              <w:t>May 7, 2026</w:t>
            </w:r>
          </w:p>
        </w:tc>
        <w:tc>
          <w:tcPr>
            <w:tcW w:w="5776" w:type="dxa"/>
          </w:tcPr>
          <w:p w14:paraId="74F23D15" w14:textId="77777777" w:rsidR="00A502D4" w:rsidRDefault="00000000">
            <w:pPr>
              <w:spacing w:before="30" w:after="30" w:line="264" w:lineRule="auto"/>
              <w:jc w:val="left"/>
            </w:pPr>
            <w:r>
              <w:rPr>
                <w:rFonts w:cs="Calibri"/>
                <w:color w:val="46565E"/>
                <w:sz w:val="19"/>
                <w:szCs w:val="19"/>
              </w:rPr>
              <w:t>Court of International Trade invalidates the Section 122 surcharge; relief limited to plaintiffs</w:t>
            </w:r>
          </w:p>
        </w:tc>
        <w:tc>
          <w:tcPr>
            <w:tcW w:w="1624" w:type="dxa"/>
          </w:tcPr>
          <w:p w14:paraId="0C1E48EA" w14:textId="77777777" w:rsidR="00A502D4" w:rsidRDefault="00000000">
            <w:pPr>
              <w:spacing w:before="30" w:after="30" w:line="264" w:lineRule="auto"/>
              <w:jc w:val="left"/>
            </w:pPr>
            <w:r>
              <w:rPr>
                <w:rFonts w:cs="Calibri"/>
                <w:color w:val="46565E"/>
                <w:sz w:val="19"/>
                <w:szCs w:val="19"/>
              </w:rPr>
              <w:t>[S</w:t>
            </w:r>
            <w:proofErr w:type="gramStart"/>
            <w:r>
              <w:rPr>
                <w:rFonts w:cs="Calibri"/>
                <w:color w:val="46565E"/>
                <w:sz w:val="19"/>
                <w:szCs w:val="19"/>
              </w:rPr>
              <w:t>16][</w:t>
            </w:r>
            <w:proofErr w:type="gramEnd"/>
            <w:r>
              <w:rPr>
                <w:rFonts w:cs="Calibri"/>
                <w:color w:val="46565E"/>
                <w:sz w:val="19"/>
                <w:szCs w:val="19"/>
              </w:rPr>
              <w:t>S17]</w:t>
            </w:r>
          </w:p>
        </w:tc>
      </w:tr>
      <w:tr w:rsidR="00A502D4" w14:paraId="2B3FF2BD" w14:textId="77777777">
        <w:tc>
          <w:tcPr>
            <w:tcW w:w="1624" w:type="dxa"/>
          </w:tcPr>
          <w:p w14:paraId="2C0405C0" w14:textId="77777777" w:rsidR="00A502D4" w:rsidRDefault="00000000">
            <w:pPr>
              <w:spacing w:before="30" w:after="30" w:line="264" w:lineRule="auto"/>
              <w:jc w:val="left"/>
            </w:pPr>
            <w:r>
              <w:rPr>
                <w:rFonts w:cs="Calibri"/>
                <w:color w:val="46565E"/>
                <w:sz w:val="19"/>
                <w:szCs w:val="19"/>
              </w:rPr>
              <w:t>June 1, 2026</w:t>
            </w:r>
          </w:p>
        </w:tc>
        <w:tc>
          <w:tcPr>
            <w:tcW w:w="5776" w:type="dxa"/>
          </w:tcPr>
          <w:p w14:paraId="315D6DBE" w14:textId="77777777" w:rsidR="00A502D4" w:rsidRDefault="00000000">
            <w:pPr>
              <w:spacing w:before="30" w:after="30" w:line="264" w:lineRule="auto"/>
              <w:jc w:val="left"/>
            </w:pPr>
            <w:r>
              <w:rPr>
                <w:rFonts w:cs="Calibri"/>
                <w:color w:val="46565E"/>
                <w:sz w:val="19"/>
                <w:szCs w:val="19"/>
              </w:rPr>
              <w:t>Section 232 proclamation adds selective relief and the CUSMA non-US-content formula</w:t>
            </w:r>
          </w:p>
        </w:tc>
        <w:tc>
          <w:tcPr>
            <w:tcW w:w="1624" w:type="dxa"/>
          </w:tcPr>
          <w:p w14:paraId="6847F2F1" w14:textId="77777777" w:rsidR="00A502D4" w:rsidRDefault="00000000">
            <w:pPr>
              <w:spacing w:before="30" w:after="30" w:line="264" w:lineRule="auto"/>
              <w:jc w:val="left"/>
            </w:pPr>
            <w:r>
              <w:rPr>
                <w:rFonts w:cs="Calibri"/>
                <w:color w:val="46565E"/>
                <w:sz w:val="19"/>
                <w:szCs w:val="19"/>
              </w:rPr>
              <w:t>[S11]</w:t>
            </w:r>
          </w:p>
        </w:tc>
      </w:tr>
      <w:tr w:rsidR="00A502D4" w14:paraId="21C3775D" w14:textId="77777777">
        <w:tc>
          <w:tcPr>
            <w:tcW w:w="1624" w:type="dxa"/>
          </w:tcPr>
          <w:p w14:paraId="4F4FFD19" w14:textId="77777777" w:rsidR="00A502D4" w:rsidRDefault="00000000">
            <w:pPr>
              <w:spacing w:before="30" w:after="30" w:line="264" w:lineRule="auto"/>
              <w:jc w:val="left"/>
            </w:pPr>
            <w:r>
              <w:rPr>
                <w:rFonts w:cs="Calibri"/>
                <w:color w:val="46565E"/>
                <w:sz w:val="19"/>
                <w:szCs w:val="19"/>
              </w:rPr>
              <w:t>July 1, 2026</w:t>
            </w:r>
          </w:p>
        </w:tc>
        <w:tc>
          <w:tcPr>
            <w:tcW w:w="5776" w:type="dxa"/>
          </w:tcPr>
          <w:p w14:paraId="4AAD8A03" w14:textId="77777777" w:rsidR="00A502D4" w:rsidRDefault="00000000">
            <w:pPr>
              <w:spacing w:before="30" w:after="30" w:line="264" w:lineRule="auto"/>
              <w:jc w:val="left"/>
            </w:pPr>
            <w:r>
              <w:rPr>
                <w:rFonts w:cs="Calibri"/>
                <w:color w:val="46565E"/>
                <w:sz w:val="19"/>
                <w:szCs w:val="19"/>
              </w:rPr>
              <w:t>USMCA joint review: the United States declines to renew; annual reviews begin</w:t>
            </w:r>
          </w:p>
        </w:tc>
        <w:tc>
          <w:tcPr>
            <w:tcW w:w="1624" w:type="dxa"/>
          </w:tcPr>
          <w:p w14:paraId="7E947E6F" w14:textId="77777777" w:rsidR="00A502D4" w:rsidRDefault="00000000">
            <w:pPr>
              <w:spacing w:before="30" w:after="30" w:line="264" w:lineRule="auto"/>
              <w:jc w:val="left"/>
            </w:pPr>
            <w:r>
              <w:rPr>
                <w:rFonts w:cs="Calibri"/>
                <w:color w:val="46565E"/>
                <w:sz w:val="19"/>
                <w:szCs w:val="19"/>
              </w:rPr>
              <w:t>[S</w:t>
            </w:r>
            <w:proofErr w:type="gramStart"/>
            <w:r>
              <w:rPr>
                <w:rFonts w:cs="Calibri"/>
                <w:color w:val="46565E"/>
                <w:sz w:val="19"/>
                <w:szCs w:val="19"/>
              </w:rPr>
              <w:t>7][</w:t>
            </w:r>
            <w:proofErr w:type="gramEnd"/>
            <w:r>
              <w:rPr>
                <w:rFonts w:cs="Calibri"/>
                <w:color w:val="46565E"/>
                <w:sz w:val="19"/>
                <w:szCs w:val="19"/>
              </w:rPr>
              <w:t>S8]</w:t>
            </w:r>
          </w:p>
        </w:tc>
      </w:tr>
      <w:tr w:rsidR="00A502D4" w14:paraId="6FFDD92D" w14:textId="77777777">
        <w:tc>
          <w:tcPr>
            <w:tcW w:w="1624" w:type="dxa"/>
          </w:tcPr>
          <w:p w14:paraId="62C6FB2E" w14:textId="77777777" w:rsidR="00A502D4" w:rsidRDefault="00000000">
            <w:pPr>
              <w:spacing w:before="30" w:after="30" w:line="264" w:lineRule="auto"/>
              <w:jc w:val="left"/>
            </w:pPr>
            <w:r>
              <w:rPr>
                <w:rFonts w:cs="Calibri"/>
                <w:color w:val="46565E"/>
                <w:sz w:val="19"/>
                <w:szCs w:val="19"/>
              </w:rPr>
              <w:t>July 20, 2026</w:t>
            </w:r>
          </w:p>
        </w:tc>
        <w:tc>
          <w:tcPr>
            <w:tcW w:w="5776" w:type="dxa"/>
          </w:tcPr>
          <w:p w14:paraId="069F1019" w14:textId="77777777" w:rsidR="00A502D4" w:rsidRDefault="00000000">
            <w:pPr>
              <w:spacing w:before="30" w:after="30" w:line="264" w:lineRule="auto"/>
              <w:jc w:val="left"/>
            </w:pPr>
            <w:r>
              <w:rPr>
                <w:rFonts w:cs="Calibri"/>
                <w:color w:val="46565E"/>
                <w:sz w:val="19"/>
                <w:szCs w:val="19"/>
              </w:rPr>
              <w:t>Three Section 338 proclamations signed: 50 percent on listed Canadian goods</w:t>
            </w:r>
          </w:p>
        </w:tc>
        <w:tc>
          <w:tcPr>
            <w:tcW w:w="1624" w:type="dxa"/>
          </w:tcPr>
          <w:p w14:paraId="1F393047" w14:textId="77777777" w:rsidR="00A502D4" w:rsidRDefault="00000000">
            <w:pPr>
              <w:spacing w:before="30" w:after="30" w:line="264" w:lineRule="auto"/>
              <w:jc w:val="left"/>
            </w:pPr>
            <w:r>
              <w:rPr>
                <w:rFonts w:cs="Calibri"/>
                <w:color w:val="46565E"/>
                <w:sz w:val="19"/>
                <w:szCs w:val="19"/>
              </w:rPr>
              <w:t>[S</w:t>
            </w:r>
            <w:proofErr w:type="gramStart"/>
            <w:r>
              <w:rPr>
                <w:rFonts w:cs="Calibri"/>
                <w:color w:val="46565E"/>
                <w:sz w:val="19"/>
                <w:szCs w:val="19"/>
              </w:rPr>
              <w:t>1][</w:t>
            </w:r>
            <w:proofErr w:type="gramEnd"/>
            <w:r>
              <w:rPr>
                <w:rFonts w:cs="Calibri"/>
                <w:color w:val="46565E"/>
                <w:sz w:val="19"/>
                <w:szCs w:val="19"/>
              </w:rPr>
              <w:t>S2]</w:t>
            </w:r>
          </w:p>
        </w:tc>
      </w:tr>
      <w:tr w:rsidR="00A502D4" w14:paraId="4B431BFB" w14:textId="77777777">
        <w:tc>
          <w:tcPr>
            <w:tcW w:w="1624" w:type="dxa"/>
          </w:tcPr>
          <w:p w14:paraId="788174D4" w14:textId="77777777" w:rsidR="00A502D4" w:rsidRDefault="00000000">
            <w:pPr>
              <w:spacing w:before="30" w:after="30" w:line="264" w:lineRule="auto"/>
              <w:jc w:val="left"/>
            </w:pPr>
            <w:r>
              <w:rPr>
                <w:rFonts w:cs="Calibri"/>
                <w:color w:val="46565E"/>
                <w:sz w:val="19"/>
                <w:szCs w:val="19"/>
              </w:rPr>
              <w:t>July 21, 2026</w:t>
            </w:r>
          </w:p>
        </w:tc>
        <w:tc>
          <w:tcPr>
            <w:tcW w:w="5776" w:type="dxa"/>
          </w:tcPr>
          <w:p w14:paraId="196BCEFF" w14:textId="77777777" w:rsidR="00A502D4" w:rsidRDefault="00000000">
            <w:pPr>
              <w:spacing w:before="30" w:after="30" w:line="264" w:lineRule="auto"/>
              <w:jc w:val="left"/>
            </w:pPr>
            <w:r>
              <w:rPr>
                <w:rFonts w:cs="Calibri"/>
                <w:color w:val="46565E"/>
                <w:sz w:val="19"/>
                <w:szCs w:val="19"/>
              </w:rPr>
              <w:t>"Without us, there's no way they can survive"; Carney and the President agree to intensify talks</w:t>
            </w:r>
          </w:p>
        </w:tc>
        <w:tc>
          <w:tcPr>
            <w:tcW w:w="1624" w:type="dxa"/>
          </w:tcPr>
          <w:p w14:paraId="57F0C85A" w14:textId="77777777" w:rsidR="00A502D4" w:rsidRDefault="00000000">
            <w:pPr>
              <w:spacing w:before="30" w:after="30" w:line="264" w:lineRule="auto"/>
              <w:jc w:val="left"/>
            </w:pPr>
            <w:r>
              <w:rPr>
                <w:rFonts w:cs="Calibri"/>
                <w:color w:val="46565E"/>
                <w:sz w:val="19"/>
                <w:szCs w:val="19"/>
              </w:rPr>
              <w:t>[S9]</w:t>
            </w:r>
          </w:p>
        </w:tc>
      </w:tr>
      <w:tr w:rsidR="00A502D4" w14:paraId="20F9DB90" w14:textId="77777777">
        <w:tc>
          <w:tcPr>
            <w:tcW w:w="1624" w:type="dxa"/>
          </w:tcPr>
          <w:p w14:paraId="68954C9D" w14:textId="77777777" w:rsidR="00A502D4" w:rsidRDefault="00000000">
            <w:pPr>
              <w:spacing w:before="30" w:after="30" w:line="264" w:lineRule="auto"/>
              <w:jc w:val="left"/>
            </w:pPr>
            <w:r>
              <w:rPr>
                <w:rFonts w:cs="Calibri"/>
                <w:color w:val="46565E"/>
                <w:sz w:val="19"/>
                <w:szCs w:val="19"/>
              </w:rPr>
              <w:t>July 24, 2026</w:t>
            </w:r>
          </w:p>
        </w:tc>
        <w:tc>
          <w:tcPr>
            <w:tcW w:w="5776" w:type="dxa"/>
          </w:tcPr>
          <w:p w14:paraId="42A91A79" w14:textId="77777777" w:rsidR="00A502D4" w:rsidRDefault="00000000">
            <w:pPr>
              <w:spacing w:before="30" w:after="30" w:line="264" w:lineRule="auto"/>
              <w:jc w:val="left"/>
            </w:pPr>
            <w:r>
              <w:rPr>
                <w:rFonts w:cs="Calibri"/>
                <w:color w:val="46565E"/>
                <w:sz w:val="19"/>
                <w:szCs w:val="19"/>
              </w:rPr>
              <w:t>Section 301 forced-labor tariffs (10 to 12.5 percent) take effect across 60 economies</w:t>
            </w:r>
          </w:p>
        </w:tc>
        <w:tc>
          <w:tcPr>
            <w:tcW w:w="1624" w:type="dxa"/>
          </w:tcPr>
          <w:p w14:paraId="6C695BF6" w14:textId="77777777" w:rsidR="00A502D4" w:rsidRDefault="00000000">
            <w:pPr>
              <w:spacing w:before="30" w:after="30" w:line="264" w:lineRule="auto"/>
              <w:jc w:val="left"/>
            </w:pPr>
            <w:r>
              <w:rPr>
                <w:rFonts w:cs="Calibri"/>
                <w:color w:val="46565E"/>
                <w:sz w:val="19"/>
                <w:szCs w:val="19"/>
              </w:rPr>
              <w:t>[S</w:t>
            </w:r>
            <w:proofErr w:type="gramStart"/>
            <w:r>
              <w:rPr>
                <w:rFonts w:cs="Calibri"/>
                <w:color w:val="46565E"/>
                <w:sz w:val="19"/>
                <w:szCs w:val="19"/>
              </w:rPr>
              <w:t>5][</w:t>
            </w:r>
            <w:proofErr w:type="gramEnd"/>
            <w:r>
              <w:rPr>
                <w:rFonts w:cs="Calibri"/>
                <w:color w:val="46565E"/>
                <w:sz w:val="19"/>
                <w:szCs w:val="19"/>
              </w:rPr>
              <w:t>S6]</w:t>
            </w:r>
          </w:p>
        </w:tc>
      </w:tr>
      <w:tr w:rsidR="00A502D4" w14:paraId="452E3722" w14:textId="77777777">
        <w:tc>
          <w:tcPr>
            <w:tcW w:w="1624" w:type="dxa"/>
          </w:tcPr>
          <w:p w14:paraId="2C68EC12" w14:textId="77777777" w:rsidR="00A502D4" w:rsidRDefault="00000000">
            <w:pPr>
              <w:spacing w:before="30" w:after="30" w:line="264" w:lineRule="auto"/>
              <w:jc w:val="left"/>
            </w:pPr>
            <w:r>
              <w:rPr>
                <w:rFonts w:cs="Calibri"/>
                <w:color w:val="46565E"/>
                <w:sz w:val="19"/>
                <w:szCs w:val="19"/>
              </w:rPr>
              <w:t>August 19, 2026</w:t>
            </w:r>
          </w:p>
        </w:tc>
        <w:tc>
          <w:tcPr>
            <w:tcW w:w="5776" w:type="dxa"/>
          </w:tcPr>
          <w:p w14:paraId="50353053" w14:textId="77777777" w:rsidR="00A502D4" w:rsidRDefault="00000000">
            <w:pPr>
              <w:spacing w:before="30" w:after="30" w:line="264" w:lineRule="auto"/>
              <w:jc w:val="left"/>
            </w:pPr>
            <w:r>
              <w:rPr>
                <w:rFonts w:cs="Calibri"/>
                <w:color w:val="46565E"/>
                <w:sz w:val="19"/>
                <w:szCs w:val="19"/>
              </w:rPr>
              <w:t>Section 338 duties take effect at 12:01 a.m. ET</w:t>
            </w:r>
          </w:p>
        </w:tc>
        <w:tc>
          <w:tcPr>
            <w:tcW w:w="1624" w:type="dxa"/>
          </w:tcPr>
          <w:p w14:paraId="238BCC6D" w14:textId="77777777" w:rsidR="00A502D4" w:rsidRDefault="00000000">
            <w:pPr>
              <w:spacing w:before="30" w:after="30" w:line="264" w:lineRule="auto"/>
              <w:jc w:val="left"/>
            </w:pPr>
            <w:r>
              <w:rPr>
                <w:rFonts w:cs="Calibri"/>
                <w:color w:val="46565E"/>
                <w:sz w:val="19"/>
                <w:szCs w:val="19"/>
              </w:rPr>
              <w:t>[S</w:t>
            </w:r>
            <w:proofErr w:type="gramStart"/>
            <w:r>
              <w:rPr>
                <w:rFonts w:cs="Calibri"/>
                <w:color w:val="46565E"/>
                <w:sz w:val="19"/>
                <w:szCs w:val="19"/>
              </w:rPr>
              <w:t>1][</w:t>
            </w:r>
            <w:proofErr w:type="gramEnd"/>
            <w:r>
              <w:rPr>
                <w:rFonts w:cs="Calibri"/>
                <w:color w:val="46565E"/>
                <w:sz w:val="19"/>
                <w:szCs w:val="19"/>
              </w:rPr>
              <w:t>S2]</w:t>
            </w:r>
          </w:p>
        </w:tc>
      </w:tr>
    </w:tbl>
    <w:p w14:paraId="1905DC69" w14:textId="77777777" w:rsidR="00A502D4" w:rsidRDefault="00A502D4">
      <w:pPr>
        <w:spacing w:after="160"/>
      </w:pPr>
    </w:p>
    <w:p w14:paraId="10E55F72" w14:textId="77777777" w:rsidR="00A502D4" w:rsidRDefault="00000000">
      <w:pPr>
        <w:pStyle w:val="Heading1"/>
      </w:pPr>
      <w:r>
        <w:rPr>
          <w:rFonts w:cs="Calibri"/>
          <w:szCs w:val="32"/>
        </w:rPr>
        <w:t>Annex B: IMESI Provision Cross-Reference</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50" w:type="dxa"/>
          <w:left w:w="100" w:type="dxa"/>
          <w:bottom w:w="50" w:type="dxa"/>
          <w:right w:w="100" w:type="dxa"/>
        </w:tblCellMar>
        <w:tblLook w:val="0000" w:firstRow="0" w:lastRow="0" w:firstColumn="0" w:lastColumn="0" w:noHBand="0" w:noVBand="0"/>
      </w:tblPr>
      <w:tblGrid>
        <w:gridCol w:w="2398"/>
        <w:gridCol w:w="2953"/>
        <w:gridCol w:w="3875"/>
      </w:tblGrid>
      <w:tr w:rsidR="00A502D4" w14:paraId="30DBFC54" w14:textId="77777777">
        <w:trPr>
          <w:cantSplit/>
          <w:tblHeader/>
        </w:trPr>
        <w:tc>
          <w:tcPr>
            <w:tcW w:w="2346" w:type="dxa"/>
            <w:shd w:val="clear" w:color="auto" w:fill="EDF2F4"/>
          </w:tcPr>
          <w:p w14:paraId="4A8B4DD6" w14:textId="77777777" w:rsidR="00A502D4" w:rsidRDefault="00000000">
            <w:pPr>
              <w:spacing w:before="30" w:after="30" w:line="264" w:lineRule="auto"/>
              <w:jc w:val="left"/>
            </w:pPr>
            <w:r>
              <w:rPr>
                <w:rFonts w:cs="Calibri"/>
                <w:b/>
                <w:sz w:val="19"/>
                <w:szCs w:val="19"/>
              </w:rPr>
              <w:t>Founding need</w:t>
            </w:r>
          </w:p>
        </w:tc>
        <w:tc>
          <w:tcPr>
            <w:tcW w:w="2888" w:type="dxa"/>
            <w:shd w:val="clear" w:color="auto" w:fill="EDF2F4"/>
          </w:tcPr>
          <w:p w14:paraId="5D35F823" w14:textId="77777777" w:rsidR="00A502D4" w:rsidRDefault="00000000">
            <w:pPr>
              <w:spacing w:before="30" w:after="30" w:line="264" w:lineRule="auto"/>
              <w:jc w:val="left"/>
            </w:pPr>
            <w:r>
              <w:rPr>
                <w:rFonts w:cs="Calibri"/>
                <w:b/>
                <w:sz w:val="19"/>
                <w:szCs w:val="19"/>
              </w:rPr>
              <w:t>Provision</w:t>
            </w:r>
          </w:p>
        </w:tc>
        <w:tc>
          <w:tcPr>
            <w:tcW w:w="3790" w:type="dxa"/>
            <w:shd w:val="clear" w:color="auto" w:fill="EDF2F4"/>
          </w:tcPr>
          <w:p w14:paraId="7A7D380B" w14:textId="77777777" w:rsidR="00A502D4" w:rsidRDefault="00000000">
            <w:pPr>
              <w:spacing w:before="30" w:after="30" w:line="264" w:lineRule="auto"/>
              <w:jc w:val="left"/>
            </w:pPr>
            <w:r>
              <w:rPr>
                <w:rFonts w:cs="Calibri"/>
                <w:b/>
                <w:sz w:val="19"/>
                <w:szCs w:val="19"/>
              </w:rPr>
              <w:t>What it supplies</w:t>
            </w:r>
          </w:p>
        </w:tc>
      </w:tr>
      <w:tr w:rsidR="00A502D4" w14:paraId="0FF90A85" w14:textId="77777777">
        <w:tc>
          <w:tcPr>
            <w:tcW w:w="2346" w:type="dxa"/>
          </w:tcPr>
          <w:p w14:paraId="026BDF96" w14:textId="77777777" w:rsidR="00A502D4" w:rsidRDefault="00000000">
            <w:pPr>
              <w:spacing w:before="30" w:after="30" w:line="264" w:lineRule="auto"/>
              <w:jc w:val="left"/>
            </w:pPr>
            <w:r>
              <w:rPr>
                <w:rFonts w:cs="Calibri"/>
                <w:color w:val="46565E"/>
                <w:sz w:val="19"/>
                <w:szCs w:val="19"/>
              </w:rPr>
              <w:t>Political founding instrument</w:t>
            </w:r>
          </w:p>
        </w:tc>
        <w:tc>
          <w:tcPr>
            <w:tcW w:w="2888" w:type="dxa"/>
          </w:tcPr>
          <w:p w14:paraId="7F6D3263" w14:textId="77777777" w:rsidR="00A502D4" w:rsidRDefault="00000000">
            <w:pPr>
              <w:spacing w:before="30" w:after="30" w:line="264" w:lineRule="auto"/>
              <w:jc w:val="left"/>
            </w:pPr>
            <w:r>
              <w:rPr>
                <w:rFonts w:cs="Calibri"/>
                <w:color w:val="46565E"/>
                <w:sz w:val="19"/>
                <w:szCs w:val="19"/>
              </w:rPr>
              <w:t>Annex 22 (Founding Coalition Pledge)</w:t>
            </w:r>
          </w:p>
        </w:tc>
        <w:tc>
          <w:tcPr>
            <w:tcW w:w="3790" w:type="dxa"/>
          </w:tcPr>
          <w:p w14:paraId="1B330950" w14:textId="77777777" w:rsidR="00A502D4" w:rsidRDefault="00000000">
            <w:pPr>
              <w:spacing w:before="30" w:after="30" w:line="264" w:lineRule="auto"/>
              <w:jc w:val="left"/>
            </w:pPr>
            <w:r>
              <w:rPr>
                <w:rFonts w:cs="Calibri"/>
                <w:color w:val="46565E"/>
                <w:sz w:val="19"/>
                <w:szCs w:val="19"/>
              </w:rPr>
              <w:t>Non-binding declaration with plain-language Tier 2 obligations and cost caps</w:t>
            </w:r>
          </w:p>
        </w:tc>
      </w:tr>
      <w:tr w:rsidR="00A502D4" w14:paraId="7B8AD9AD" w14:textId="77777777">
        <w:tc>
          <w:tcPr>
            <w:tcW w:w="2346" w:type="dxa"/>
          </w:tcPr>
          <w:p w14:paraId="60155C97" w14:textId="77777777" w:rsidR="00A502D4" w:rsidRDefault="00000000">
            <w:pPr>
              <w:spacing w:before="30" w:after="30" w:line="264" w:lineRule="auto"/>
              <w:jc w:val="left"/>
            </w:pPr>
            <w:r>
              <w:rPr>
                <w:rFonts w:cs="Calibri"/>
                <w:color w:val="46565E"/>
                <w:sz w:val="19"/>
                <w:szCs w:val="19"/>
              </w:rPr>
              <w:t>Instant benefits at signature</w:t>
            </w:r>
          </w:p>
        </w:tc>
        <w:tc>
          <w:tcPr>
            <w:tcW w:w="2888" w:type="dxa"/>
          </w:tcPr>
          <w:p w14:paraId="2E8E099D" w14:textId="77777777" w:rsidR="00A502D4" w:rsidRDefault="00000000">
            <w:pPr>
              <w:spacing w:before="30" w:after="30" w:line="264" w:lineRule="auto"/>
              <w:jc w:val="left"/>
            </w:pPr>
            <w:r>
              <w:rPr>
                <w:rFonts w:cs="Calibri"/>
                <w:color w:val="46565E"/>
                <w:sz w:val="19"/>
                <w:szCs w:val="19"/>
              </w:rPr>
              <w:t>Section 3.1A (Transitional Access Window)</w:t>
            </w:r>
          </w:p>
        </w:tc>
        <w:tc>
          <w:tcPr>
            <w:tcW w:w="3790" w:type="dxa"/>
          </w:tcPr>
          <w:p w14:paraId="1A139013" w14:textId="77777777" w:rsidR="00A502D4" w:rsidRDefault="00000000">
            <w:pPr>
              <w:spacing w:before="30" w:after="30" w:line="264" w:lineRule="auto"/>
              <w:jc w:val="left"/>
            </w:pPr>
            <w:r>
              <w:rPr>
                <w:rFonts w:cs="Calibri"/>
                <w:color w:val="46565E"/>
                <w:sz w:val="19"/>
                <w:szCs w:val="19"/>
              </w:rPr>
              <w:t>Observer+ status, intelligence, procurement, SFI humanitarian window from Day 1</w:t>
            </w:r>
          </w:p>
        </w:tc>
      </w:tr>
      <w:tr w:rsidR="00A502D4" w14:paraId="1DEBCB64" w14:textId="77777777">
        <w:tc>
          <w:tcPr>
            <w:tcW w:w="2346" w:type="dxa"/>
          </w:tcPr>
          <w:p w14:paraId="18CDCB92" w14:textId="77777777" w:rsidR="00A502D4" w:rsidRDefault="00000000">
            <w:pPr>
              <w:spacing w:before="30" w:after="30" w:line="264" w:lineRule="auto"/>
              <w:jc w:val="left"/>
            </w:pPr>
            <w:r>
              <w:rPr>
                <w:rFonts w:cs="Calibri"/>
                <w:color w:val="46565E"/>
                <w:sz w:val="19"/>
                <w:szCs w:val="19"/>
              </w:rPr>
              <w:t>Fast accession under threat</w:t>
            </w:r>
          </w:p>
        </w:tc>
        <w:tc>
          <w:tcPr>
            <w:tcW w:w="2888" w:type="dxa"/>
          </w:tcPr>
          <w:p w14:paraId="2A074E1F" w14:textId="77777777" w:rsidR="00A502D4" w:rsidRDefault="00000000">
            <w:pPr>
              <w:spacing w:before="30" w:after="30" w:line="264" w:lineRule="auto"/>
              <w:jc w:val="left"/>
            </w:pPr>
            <w:r>
              <w:rPr>
                <w:rFonts w:cs="Calibri"/>
                <w:color w:val="46565E"/>
                <w:sz w:val="19"/>
                <w:szCs w:val="19"/>
              </w:rPr>
              <w:t>Section 3.15 (Emergency Accession Protocol) and v15.0 Rapid Expansion addendum</w:t>
            </w:r>
          </w:p>
        </w:tc>
        <w:tc>
          <w:tcPr>
            <w:tcW w:w="3790" w:type="dxa"/>
          </w:tcPr>
          <w:p w14:paraId="754CC9EF" w14:textId="77777777" w:rsidR="00A502D4" w:rsidRDefault="00000000">
            <w:pPr>
              <w:spacing w:before="30" w:after="30" w:line="264" w:lineRule="auto"/>
              <w:jc w:val="left"/>
            </w:pPr>
            <w:r>
              <w:rPr>
                <w:rFonts w:cs="Calibri"/>
                <w:color w:val="46565E"/>
                <w:sz w:val="19"/>
                <w:szCs w:val="19"/>
              </w:rPr>
              <w:t>24-hour review, 7-day Tier 1, 12-month contribution holiday, accession cap suspended for 180 days</w:t>
            </w:r>
          </w:p>
        </w:tc>
      </w:tr>
      <w:tr w:rsidR="00A502D4" w14:paraId="336FB538" w14:textId="77777777">
        <w:tc>
          <w:tcPr>
            <w:tcW w:w="2346" w:type="dxa"/>
          </w:tcPr>
          <w:p w14:paraId="79E66EA7" w14:textId="77777777" w:rsidR="00A502D4" w:rsidRDefault="00000000">
            <w:pPr>
              <w:spacing w:before="30" w:after="30" w:line="264" w:lineRule="auto"/>
              <w:jc w:val="left"/>
            </w:pPr>
            <w:r>
              <w:rPr>
                <w:rFonts w:cs="Calibri"/>
                <w:color w:val="46565E"/>
                <w:sz w:val="19"/>
                <w:szCs w:val="19"/>
              </w:rPr>
              <w:t>Zero-obligation trial entry</w:t>
            </w:r>
          </w:p>
        </w:tc>
        <w:tc>
          <w:tcPr>
            <w:tcW w:w="2888" w:type="dxa"/>
          </w:tcPr>
          <w:p w14:paraId="182FE6C5" w14:textId="77777777" w:rsidR="00A502D4" w:rsidRDefault="00000000">
            <w:pPr>
              <w:spacing w:before="30" w:after="30" w:line="264" w:lineRule="auto"/>
              <w:jc w:val="left"/>
            </w:pPr>
            <w:r>
              <w:rPr>
                <w:rFonts w:cs="Calibri"/>
                <w:color w:val="46565E"/>
                <w:sz w:val="19"/>
                <w:szCs w:val="19"/>
              </w:rPr>
              <w:t>Section 3.2C (Founding Observer Track)</w:t>
            </w:r>
          </w:p>
        </w:tc>
        <w:tc>
          <w:tcPr>
            <w:tcW w:w="3790" w:type="dxa"/>
          </w:tcPr>
          <w:p w14:paraId="00B4CED7" w14:textId="77777777" w:rsidR="00A502D4" w:rsidRDefault="00000000">
            <w:pPr>
              <w:spacing w:before="30" w:after="30" w:line="264" w:lineRule="auto"/>
              <w:jc w:val="left"/>
            </w:pPr>
            <w:r>
              <w:rPr>
                <w:rFonts w:cs="Calibri"/>
                <w:color w:val="46565E"/>
                <w:sz w:val="19"/>
                <w:szCs w:val="19"/>
              </w:rPr>
              <w:t>12 to 24 months, intelligence and procurement access, no measure obligations</w:t>
            </w:r>
          </w:p>
        </w:tc>
      </w:tr>
      <w:tr w:rsidR="00A502D4" w14:paraId="64208AE3" w14:textId="77777777">
        <w:tc>
          <w:tcPr>
            <w:tcW w:w="2346" w:type="dxa"/>
          </w:tcPr>
          <w:p w14:paraId="5F87F824" w14:textId="77777777" w:rsidR="00A502D4" w:rsidRDefault="00000000">
            <w:pPr>
              <w:spacing w:before="30" w:after="30" w:line="264" w:lineRule="auto"/>
              <w:jc w:val="left"/>
            </w:pPr>
            <w:r>
              <w:rPr>
                <w:rFonts w:cs="Calibri"/>
                <w:color w:val="46565E"/>
                <w:sz w:val="19"/>
                <w:szCs w:val="19"/>
              </w:rPr>
              <w:lastRenderedPageBreak/>
              <w:t>Shock-driven accession</w:t>
            </w:r>
          </w:p>
        </w:tc>
        <w:tc>
          <w:tcPr>
            <w:tcW w:w="2888" w:type="dxa"/>
          </w:tcPr>
          <w:p w14:paraId="7E475767" w14:textId="77777777" w:rsidR="00A502D4" w:rsidRDefault="00000000">
            <w:pPr>
              <w:spacing w:before="30" w:after="30" w:line="264" w:lineRule="auto"/>
              <w:jc w:val="left"/>
            </w:pPr>
            <w:r>
              <w:rPr>
                <w:rFonts w:cs="Calibri"/>
                <w:color w:val="46565E"/>
                <w:sz w:val="19"/>
                <w:szCs w:val="19"/>
              </w:rPr>
              <w:t>Section 3.1A (Tariff Shock Accession Window; Extended Tariff Refugee Pathway)</w:t>
            </w:r>
          </w:p>
        </w:tc>
        <w:tc>
          <w:tcPr>
            <w:tcW w:w="3790" w:type="dxa"/>
          </w:tcPr>
          <w:p w14:paraId="11F0F62B" w14:textId="77777777" w:rsidR="00A502D4" w:rsidRDefault="00000000">
            <w:pPr>
              <w:spacing w:before="30" w:after="30" w:line="264" w:lineRule="auto"/>
              <w:jc w:val="left"/>
            </w:pPr>
            <w:r>
              <w:rPr>
                <w:rFonts w:cs="Calibri"/>
                <w:color w:val="46565E"/>
                <w:sz w:val="19"/>
                <w:szCs w:val="19"/>
              </w:rPr>
              <w:t>Tier 1 in 14 days; 90-day zero-obligation refugee window</w:t>
            </w:r>
          </w:p>
        </w:tc>
      </w:tr>
      <w:tr w:rsidR="00A502D4" w14:paraId="6C95E37B" w14:textId="77777777">
        <w:tc>
          <w:tcPr>
            <w:tcW w:w="2346" w:type="dxa"/>
          </w:tcPr>
          <w:p w14:paraId="4F7D1A4E" w14:textId="77777777" w:rsidR="00A502D4" w:rsidRDefault="00000000">
            <w:pPr>
              <w:spacing w:before="30" w:after="30" w:line="264" w:lineRule="auto"/>
              <w:jc w:val="left"/>
            </w:pPr>
            <w:r>
              <w:rPr>
                <w:rFonts w:cs="Calibri"/>
                <w:color w:val="46565E"/>
                <w:sz w:val="19"/>
                <w:szCs w:val="19"/>
              </w:rPr>
              <w:t>Protection for joining</w:t>
            </w:r>
          </w:p>
        </w:tc>
        <w:tc>
          <w:tcPr>
            <w:tcW w:w="2888" w:type="dxa"/>
          </w:tcPr>
          <w:p w14:paraId="0D66F523" w14:textId="77777777" w:rsidR="00A502D4" w:rsidRDefault="00000000">
            <w:pPr>
              <w:spacing w:before="30" w:after="30" w:line="264" w:lineRule="auto"/>
              <w:jc w:val="left"/>
            </w:pPr>
            <w:r>
              <w:rPr>
                <w:rFonts w:cs="Calibri"/>
                <w:color w:val="46565E"/>
                <w:sz w:val="19"/>
                <w:szCs w:val="19"/>
              </w:rPr>
              <w:t>Section 3.15 (Prospective Member Shield); Section 6.12J (Solidarity Protection Protocol)</w:t>
            </w:r>
          </w:p>
        </w:tc>
        <w:tc>
          <w:tcPr>
            <w:tcW w:w="3790" w:type="dxa"/>
          </w:tcPr>
          <w:p w14:paraId="41D6E82D" w14:textId="77777777" w:rsidR="00A502D4" w:rsidRDefault="00000000">
            <w:pPr>
              <w:spacing w:before="30" w:after="30" w:line="264" w:lineRule="auto"/>
              <w:jc w:val="left"/>
            </w:pPr>
            <w:r>
              <w:rPr>
                <w:rFonts w:cs="Calibri"/>
                <w:color w:val="46565E"/>
                <w:sz w:val="19"/>
                <w:szCs w:val="19"/>
              </w:rPr>
              <w:t>Observer+ protections from application date; pressure on participation triggers expedited support</w:t>
            </w:r>
          </w:p>
        </w:tc>
      </w:tr>
      <w:tr w:rsidR="00A502D4" w14:paraId="32157DE7" w14:textId="77777777">
        <w:tc>
          <w:tcPr>
            <w:tcW w:w="2346" w:type="dxa"/>
          </w:tcPr>
          <w:p w14:paraId="4D44DD6B" w14:textId="77777777" w:rsidR="00A502D4" w:rsidRDefault="00000000">
            <w:pPr>
              <w:spacing w:before="30" w:after="30" w:line="264" w:lineRule="auto"/>
              <w:jc w:val="left"/>
            </w:pPr>
            <w:r>
              <w:rPr>
                <w:rFonts w:cs="Calibri"/>
                <w:color w:val="46565E"/>
                <w:sz w:val="19"/>
                <w:szCs w:val="19"/>
              </w:rPr>
              <w:t>Retaliation cover for first movers</w:t>
            </w:r>
          </w:p>
        </w:tc>
        <w:tc>
          <w:tcPr>
            <w:tcW w:w="2888" w:type="dxa"/>
          </w:tcPr>
          <w:p w14:paraId="65EF35E6" w14:textId="77777777" w:rsidR="00A502D4" w:rsidRDefault="00000000">
            <w:pPr>
              <w:spacing w:before="30" w:after="30" w:line="264" w:lineRule="auto"/>
              <w:jc w:val="left"/>
            </w:pPr>
            <w:r>
              <w:rPr>
                <w:rFonts w:cs="Calibri"/>
                <w:color w:val="46565E"/>
                <w:sz w:val="19"/>
                <w:szCs w:val="19"/>
              </w:rPr>
              <w:t>Section 8.9D (First-Mover Protection Window)</w:t>
            </w:r>
          </w:p>
        </w:tc>
        <w:tc>
          <w:tcPr>
            <w:tcW w:w="3790" w:type="dxa"/>
          </w:tcPr>
          <w:p w14:paraId="24F3A534" w14:textId="77777777" w:rsidR="00A502D4" w:rsidRDefault="00000000">
            <w:pPr>
              <w:spacing w:before="30" w:after="30" w:line="264" w:lineRule="auto"/>
              <w:jc w:val="left"/>
            </w:pPr>
            <w:r>
              <w:rPr>
                <w:rFonts w:cs="Calibri"/>
                <w:color w:val="46565E"/>
                <w:sz w:val="19"/>
                <w:szCs w:val="19"/>
              </w:rPr>
              <w:t>10 to 15 percent of capitalised reserves for the first 10 ratifiers facing retaliation</w:t>
            </w:r>
          </w:p>
        </w:tc>
      </w:tr>
      <w:tr w:rsidR="00A502D4" w14:paraId="144921F9" w14:textId="77777777">
        <w:tc>
          <w:tcPr>
            <w:tcW w:w="2346" w:type="dxa"/>
          </w:tcPr>
          <w:p w14:paraId="7D8BE1BA" w14:textId="77777777" w:rsidR="00A502D4" w:rsidRDefault="00000000">
            <w:pPr>
              <w:spacing w:before="30" w:after="30" w:line="264" w:lineRule="auto"/>
              <w:jc w:val="left"/>
            </w:pPr>
            <w:r>
              <w:rPr>
                <w:rFonts w:cs="Calibri"/>
                <w:color w:val="46565E"/>
                <w:sz w:val="19"/>
                <w:szCs w:val="19"/>
              </w:rPr>
              <w:t>Non-member supplier buffer</w:t>
            </w:r>
          </w:p>
        </w:tc>
        <w:tc>
          <w:tcPr>
            <w:tcW w:w="2888" w:type="dxa"/>
          </w:tcPr>
          <w:p w14:paraId="7A5FA277" w14:textId="77777777" w:rsidR="00A502D4" w:rsidRDefault="00000000">
            <w:pPr>
              <w:spacing w:before="30" w:after="30" w:line="264" w:lineRule="auto"/>
              <w:jc w:val="left"/>
            </w:pPr>
            <w:r>
              <w:rPr>
                <w:rFonts w:cs="Calibri"/>
                <w:color w:val="46565E"/>
                <w:sz w:val="19"/>
                <w:szCs w:val="19"/>
              </w:rPr>
              <w:t>Section 3.9 (Protective Association)</w:t>
            </w:r>
          </w:p>
        </w:tc>
        <w:tc>
          <w:tcPr>
            <w:tcW w:w="3790" w:type="dxa"/>
          </w:tcPr>
          <w:p w14:paraId="41E89FD9" w14:textId="77777777" w:rsidR="00A502D4" w:rsidRDefault="00000000">
            <w:pPr>
              <w:spacing w:before="30" w:after="30" w:line="264" w:lineRule="auto"/>
              <w:jc w:val="left"/>
            </w:pPr>
            <w:r>
              <w:rPr>
                <w:rFonts w:cs="Calibri"/>
                <w:color w:val="46565E"/>
                <w:sz w:val="19"/>
                <w:szCs w:val="19"/>
              </w:rPr>
              <w:t>50 percent Fund rate, intelligence, SFI access for critical-input suppliers</w:t>
            </w:r>
          </w:p>
        </w:tc>
      </w:tr>
      <w:tr w:rsidR="00A502D4" w14:paraId="62985D98" w14:textId="77777777">
        <w:tc>
          <w:tcPr>
            <w:tcW w:w="2346" w:type="dxa"/>
          </w:tcPr>
          <w:p w14:paraId="54A914A3" w14:textId="77777777" w:rsidR="00A502D4" w:rsidRDefault="00000000">
            <w:pPr>
              <w:spacing w:before="30" w:after="30" w:line="264" w:lineRule="auto"/>
              <w:jc w:val="left"/>
            </w:pPr>
            <w:r>
              <w:rPr>
                <w:rFonts w:cs="Calibri"/>
                <w:color w:val="46565E"/>
                <w:sz w:val="19"/>
                <w:szCs w:val="19"/>
              </w:rPr>
              <w:t>Legal anchor</w:t>
            </w:r>
          </w:p>
        </w:tc>
        <w:tc>
          <w:tcPr>
            <w:tcW w:w="2888" w:type="dxa"/>
          </w:tcPr>
          <w:p w14:paraId="7589A07B" w14:textId="77777777" w:rsidR="00A502D4" w:rsidRDefault="00000000">
            <w:pPr>
              <w:spacing w:before="30" w:after="30" w:line="264" w:lineRule="auto"/>
              <w:jc w:val="left"/>
            </w:pPr>
            <w:r>
              <w:rPr>
                <w:rFonts w:cs="Calibri"/>
                <w:color w:val="46565E"/>
                <w:sz w:val="19"/>
                <w:szCs w:val="19"/>
              </w:rPr>
              <w:t>Section 9.1B (GATT Article XXI Pre-Certification); Section 9.4C</w:t>
            </w:r>
          </w:p>
        </w:tc>
        <w:tc>
          <w:tcPr>
            <w:tcW w:w="3790" w:type="dxa"/>
          </w:tcPr>
          <w:p w14:paraId="3BDE84C5" w14:textId="77777777" w:rsidR="00A502D4" w:rsidRDefault="00000000">
            <w:pPr>
              <w:spacing w:before="30" w:after="30" w:line="264" w:lineRule="auto"/>
              <w:jc w:val="left"/>
            </w:pPr>
            <w:r>
              <w:rPr>
                <w:rFonts w:cs="Calibri"/>
                <w:color w:val="46565E"/>
                <w:sz w:val="19"/>
                <w:szCs w:val="19"/>
              </w:rPr>
              <w:t>Certification as emergency determination; security exception affirmed as a right of all members</w:t>
            </w:r>
          </w:p>
        </w:tc>
      </w:tr>
      <w:tr w:rsidR="00A502D4" w14:paraId="4EB1A8C9" w14:textId="77777777">
        <w:tc>
          <w:tcPr>
            <w:tcW w:w="2346" w:type="dxa"/>
          </w:tcPr>
          <w:p w14:paraId="0A4B7CDE" w14:textId="77777777" w:rsidR="00A502D4" w:rsidRDefault="00000000">
            <w:pPr>
              <w:spacing w:before="30" w:after="30" w:line="264" w:lineRule="auto"/>
              <w:jc w:val="left"/>
            </w:pPr>
            <w:r>
              <w:rPr>
                <w:rFonts w:cs="Calibri"/>
                <w:color w:val="46565E"/>
                <w:sz w:val="19"/>
                <w:szCs w:val="19"/>
              </w:rPr>
              <w:t>WTO engagement</w:t>
            </w:r>
          </w:p>
        </w:tc>
        <w:tc>
          <w:tcPr>
            <w:tcW w:w="2888" w:type="dxa"/>
          </w:tcPr>
          <w:p w14:paraId="0D0212AA" w14:textId="77777777" w:rsidR="00A502D4" w:rsidRDefault="00000000">
            <w:pPr>
              <w:spacing w:before="30" w:after="30" w:line="264" w:lineRule="auto"/>
              <w:jc w:val="left"/>
            </w:pPr>
            <w:r>
              <w:rPr>
                <w:rFonts w:cs="Calibri"/>
                <w:color w:val="46565E"/>
                <w:sz w:val="19"/>
                <w:szCs w:val="19"/>
              </w:rPr>
              <w:t>Sections 9.1, 9.1A, 9.2A, 9.2B, 9.4B</w:t>
            </w:r>
          </w:p>
        </w:tc>
        <w:tc>
          <w:tcPr>
            <w:tcW w:w="3790" w:type="dxa"/>
          </w:tcPr>
          <w:p w14:paraId="2392B836" w14:textId="77777777" w:rsidR="00A502D4" w:rsidRDefault="00000000">
            <w:pPr>
              <w:spacing w:before="30" w:after="30" w:line="264" w:lineRule="auto"/>
              <w:jc w:val="left"/>
            </w:pPr>
            <w:r>
              <w:rPr>
                <w:rFonts w:cs="Calibri"/>
                <w:color w:val="46565E"/>
                <w:sz w:val="19"/>
                <w:szCs w:val="19"/>
              </w:rPr>
              <w:t>Notification, observer status, deference clause, joint working group, defence unit, non-violation rebuttal</w:t>
            </w:r>
          </w:p>
        </w:tc>
      </w:tr>
      <w:tr w:rsidR="00A502D4" w14:paraId="7EB90D55" w14:textId="77777777">
        <w:tc>
          <w:tcPr>
            <w:tcW w:w="2346" w:type="dxa"/>
          </w:tcPr>
          <w:p w14:paraId="10A51791" w14:textId="77777777" w:rsidR="00A502D4" w:rsidRDefault="00000000">
            <w:pPr>
              <w:spacing w:before="30" w:after="30" w:line="264" w:lineRule="auto"/>
              <w:jc w:val="left"/>
            </w:pPr>
            <w:r>
              <w:rPr>
                <w:rFonts w:cs="Calibri"/>
                <w:color w:val="46565E"/>
                <w:sz w:val="19"/>
                <w:szCs w:val="19"/>
              </w:rPr>
              <w:t>Founding scale</w:t>
            </w:r>
          </w:p>
        </w:tc>
        <w:tc>
          <w:tcPr>
            <w:tcW w:w="2888" w:type="dxa"/>
          </w:tcPr>
          <w:p w14:paraId="2885C269" w14:textId="77777777" w:rsidR="00A502D4" w:rsidRDefault="00000000">
            <w:pPr>
              <w:spacing w:before="30" w:after="30" w:line="264" w:lineRule="auto"/>
              <w:jc w:val="left"/>
            </w:pPr>
            <w:r>
              <w:rPr>
                <w:rFonts w:cs="Calibri"/>
                <w:color w:val="46565E"/>
                <w:sz w:val="19"/>
                <w:szCs w:val="19"/>
              </w:rPr>
              <w:t>Section 10A.2B (Minimum Viable Coalition); Section 10A.2 (Phase-0 Profile)</w:t>
            </w:r>
          </w:p>
        </w:tc>
        <w:tc>
          <w:tcPr>
            <w:tcW w:w="3790" w:type="dxa"/>
          </w:tcPr>
          <w:p w14:paraId="2E7FFA7B" w14:textId="77777777" w:rsidR="00A502D4" w:rsidRDefault="00000000">
            <w:pPr>
              <w:spacing w:before="30" w:after="30" w:line="264" w:lineRule="auto"/>
              <w:jc w:val="left"/>
            </w:pPr>
            <w:r>
              <w:rPr>
                <w:rFonts w:cs="Calibri"/>
                <w:color w:val="46565E"/>
                <w:sz w:val="19"/>
                <w:szCs w:val="19"/>
              </w:rPr>
              <w:t>6 members, 15 percent of global GDP, 3 regions; six-module light launch</w:t>
            </w:r>
          </w:p>
        </w:tc>
      </w:tr>
      <w:tr w:rsidR="00A502D4" w14:paraId="00D7A2F0" w14:textId="77777777">
        <w:tc>
          <w:tcPr>
            <w:tcW w:w="2346" w:type="dxa"/>
          </w:tcPr>
          <w:p w14:paraId="1C416F1E" w14:textId="77777777" w:rsidR="00A502D4" w:rsidRDefault="00000000">
            <w:pPr>
              <w:spacing w:before="30" w:after="30" w:line="264" w:lineRule="auto"/>
              <w:jc w:val="left"/>
            </w:pPr>
            <w:r>
              <w:rPr>
                <w:rFonts w:cs="Calibri"/>
                <w:color w:val="46565E"/>
                <w:sz w:val="19"/>
                <w:szCs w:val="19"/>
              </w:rPr>
              <w:t>Institutional home</w:t>
            </w:r>
          </w:p>
        </w:tc>
        <w:tc>
          <w:tcPr>
            <w:tcW w:w="2888" w:type="dxa"/>
          </w:tcPr>
          <w:p w14:paraId="1550817B" w14:textId="77777777" w:rsidR="00A502D4" w:rsidRDefault="00000000">
            <w:pPr>
              <w:spacing w:before="30" w:after="30" w:line="264" w:lineRule="auto"/>
              <w:jc w:val="left"/>
            </w:pPr>
            <w:r>
              <w:rPr>
                <w:rFonts w:cs="Calibri"/>
                <w:color w:val="46565E"/>
                <w:sz w:val="19"/>
                <w:szCs w:val="19"/>
              </w:rPr>
              <w:t>Annex 23 (Hosting Determination)</w:t>
            </w:r>
          </w:p>
        </w:tc>
        <w:tc>
          <w:tcPr>
            <w:tcW w:w="3790" w:type="dxa"/>
          </w:tcPr>
          <w:p w14:paraId="4C840C45" w14:textId="77777777" w:rsidR="00A502D4" w:rsidRDefault="00000000">
            <w:pPr>
              <w:spacing w:before="30" w:after="30" w:line="264" w:lineRule="auto"/>
              <w:jc w:val="left"/>
            </w:pPr>
            <w:r>
              <w:rPr>
                <w:rFonts w:cs="Calibri"/>
                <w:color w:val="46565E"/>
                <w:sz w:val="19"/>
                <w:szCs w:val="19"/>
              </w:rPr>
              <w:t>Three hosting models; 60 percent CC vote; binding hosting agreement</w:t>
            </w:r>
          </w:p>
        </w:tc>
      </w:tr>
      <w:tr w:rsidR="00A502D4" w14:paraId="7974929D" w14:textId="77777777">
        <w:tc>
          <w:tcPr>
            <w:tcW w:w="2346" w:type="dxa"/>
          </w:tcPr>
          <w:p w14:paraId="6B928BEE" w14:textId="77777777" w:rsidR="00A502D4" w:rsidRDefault="00000000">
            <w:pPr>
              <w:spacing w:before="30" w:after="30" w:line="264" w:lineRule="auto"/>
              <w:jc w:val="left"/>
            </w:pPr>
            <w:r>
              <w:rPr>
                <w:rFonts w:cs="Calibri"/>
                <w:color w:val="46565E"/>
                <w:sz w:val="19"/>
                <w:szCs w:val="19"/>
              </w:rPr>
              <w:t>Defection management</w:t>
            </w:r>
          </w:p>
        </w:tc>
        <w:tc>
          <w:tcPr>
            <w:tcW w:w="2888" w:type="dxa"/>
          </w:tcPr>
          <w:p w14:paraId="700F12E2" w14:textId="77777777" w:rsidR="00A502D4" w:rsidRDefault="00000000">
            <w:pPr>
              <w:spacing w:before="30" w:after="30" w:line="264" w:lineRule="auto"/>
              <w:jc w:val="left"/>
            </w:pPr>
            <w:r>
              <w:rPr>
                <w:rFonts w:cs="Calibri"/>
                <w:color w:val="46565E"/>
                <w:sz w:val="19"/>
                <w:szCs w:val="19"/>
              </w:rPr>
              <w:t>Sections 6.3, 6.12B, 6.12G</w:t>
            </w:r>
          </w:p>
        </w:tc>
        <w:tc>
          <w:tcPr>
            <w:tcW w:w="3790" w:type="dxa"/>
          </w:tcPr>
          <w:p w14:paraId="0D54635D" w14:textId="77777777" w:rsidR="00A502D4" w:rsidRDefault="00000000">
            <w:pPr>
              <w:spacing w:before="30" w:after="30" w:line="264" w:lineRule="auto"/>
              <w:jc w:val="left"/>
            </w:pPr>
            <w:r>
              <w:rPr>
                <w:rFonts w:cs="Calibri"/>
                <w:color w:val="46565E"/>
                <w:sz w:val="19"/>
                <w:szCs w:val="19"/>
              </w:rPr>
              <w:t>Automatic Coalition Expansion; 24-hour offer notification; solidarity counter-offer facility</w:t>
            </w:r>
          </w:p>
        </w:tc>
      </w:tr>
      <w:tr w:rsidR="00A502D4" w14:paraId="406164C3" w14:textId="77777777">
        <w:tc>
          <w:tcPr>
            <w:tcW w:w="2346" w:type="dxa"/>
          </w:tcPr>
          <w:p w14:paraId="08299B35" w14:textId="77777777" w:rsidR="00A502D4" w:rsidRDefault="00000000">
            <w:pPr>
              <w:spacing w:before="30" w:after="30" w:line="264" w:lineRule="auto"/>
              <w:jc w:val="left"/>
            </w:pPr>
            <w:r>
              <w:rPr>
                <w:rFonts w:cs="Calibri"/>
                <w:color w:val="46565E"/>
                <w:sz w:val="19"/>
                <w:szCs w:val="19"/>
              </w:rPr>
              <w:t>Communications</w:t>
            </w:r>
          </w:p>
        </w:tc>
        <w:tc>
          <w:tcPr>
            <w:tcW w:w="2888" w:type="dxa"/>
          </w:tcPr>
          <w:p w14:paraId="3F33F1A2" w14:textId="77777777" w:rsidR="00A502D4" w:rsidRDefault="00000000">
            <w:pPr>
              <w:spacing w:before="30" w:after="30" w:line="264" w:lineRule="auto"/>
              <w:jc w:val="left"/>
            </w:pPr>
            <w:r>
              <w:rPr>
                <w:rFonts w:cs="Calibri"/>
                <w:color w:val="46565E"/>
                <w:sz w:val="19"/>
                <w:szCs w:val="19"/>
              </w:rPr>
              <w:t>Annexes 16, 16B, 16C</w:t>
            </w:r>
          </w:p>
        </w:tc>
        <w:tc>
          <w:tcPr>
            <w:tcW w:w="3790" w:type="dxa"/>
          </w:tcPr>
          <w:p w14:paraId="46C9A23A" w14:textId="77777777" w:rsidR="00A502D4" w:rsidRDefault="00000000">
            <w:pPr>
              <w:spacing w:before="30" w:after="30" w:line="264" w:lineRule="auto"/>
              <w:jc w:val="left"/>
            </w:pPr>
            <w:r>
              <w:rPr>
                <w:rFonts w:cs="Calibri"/>
                <w:color w:val="46565E"/>
                <w:sz w:val="19"/>
                <w:szCs w:val="19"/>
              </w:rPr>
              <w:t>Neutrality rule, transparency ladder, domestic guidance, talking points</w:t>
            </w:r>
          </w:p>
        </w:tc>
      </w:tr>
      <w:tr w:rsidR="00A502D4" w14:paraId="3BD2A10E" w14:textId="77777777">
        <w:tc>
          <w:tcPr>
            <w:tcW w:w="2346" w:type="dxa"/>
          </w:tcPr>
          <w:p w14:paraId="73635092" w14:textId="77777777" w:rsidR="00A502D4" w:rsidRDefault="00000000">
            <w:pPr>
              <w:spacing w:before="30" w:after="30" w:line="264" w:lineRule="auto"/>
              <w:jc w:val="left"/>
            </w:pPr>
            <w:r>
              <w:rPr>
                <w:rFonts w:cs="Calibri"/>
                <w:color w:val="46565E"/>
                <w:sz w:val="19"/>
                <w:szCs w:val="19"/>
              </w:rPr>
              <w:t>China and systemic economies</w:t>
            </w:r>
          </w:p>
        </w:tc>
        <w:tc>
          <w:tcPr>
            <w:tcW w:w="2888" w:type="dxa"/>
          </w:tcPr>
          <w:p w14:paraId="4416F909" w14:textId="77777777" w:rsidR="00A502D4" w:rsidRDefault="00000000">
            <w:pPr>
              <w:spacing w:before="30" w:after="30" w:line="264" w:lineRule="auto"/>
              <w:jc w:val="left"/>
            </w:pPr>
            <w:r>
              <w:rPr>
                <w:rFonts w:cs="Calibri"/>
                <w:color w:val="46565E"/>
                <w:sz w:val="19"/>
                <w:szCs w:val="19"/>
              </w:rPr>
              <w:t>Section 9.5 (Systemic-Economy Cooperation Track)</w:t>
            </w:r>
          </w:p>
        </w:tc>
        <w:tc>
          <w:tcPr>
            <w:tcW w:w="3790" w:type="dxa"/>
          </w:tcPr>
          <w:p w14:paraId="405C9BD2" w14:textId="77777777" w:rsidR="00A502D4" w:rsidRDefault="00000000">
            <w:pPr>
              <w:spacing w:before="30" w:after="30" w:line="264" w:lineRule="auto"/>
              <w:jc w:val="left"/>
            </w:pPr>
            <w:r>
              <w:rPr>
                <w:rFonts w:cs="Calibri"/>
                <w:color w:val="46565E"/>
                <w:sz w:val="19"/>
                <w:szCs w:val="19"/>
              </w:rPr>
              <w:t>Structured non-membership engagement</w:t>
            </w:r>
          </w:p>
        </w:tc>
      </w:tr>
      <w:tr w:rsidR="00A502D4" w14:paraId="7C1D4A44" w14:textId="77777777">
        <w:tc>
          <w:tcPr>
            <w:tcW w:w="2346" w:type="dxa"/>
          </w:tcPr>
          <w:p w14:paraId="1A7960CB" w14:textId="77777777" w:rsidR="00A502D4" w:rsidRDefault="00000000">
            <w:pPr>
              <w:spacing w:before="30" w:after="30" w:line="264" w:lineRule="auto"/>
              <w:jc w:val="left"/>
            </w:pPr>
            <w:r>
              <w:rPr>
                <w:rFonts w:cs="Calibri"/>
                <w:color w:val="46565E"/>
                <w:sz w:val="19"/>
                <w:szCs w:val="19"/>
              </w:rPr>
              <w:t>De-escalation machinery</w:t>
            </w:r>
          </w:p>
        </w:tc>
        <w:tc>
          <w:tcPr>
            <w:tcW w:w="2888" w:type="dxa"/>
          </w:tcPr>
          <w:p w14:paraId="3D8302E5" w14:textId="77777777" w:rsidR="00A502D4" w:rsidRDefault="00000000">
            <w:pPr>
              <w:spacing w:before="30" w:after="30" w:line="264" w:lineRule="auto"/>
              <w:jc w:val="left"/>
            </w:pPr>
            <w:r>
              <w:rPr>
                <w:rFonts w:cs="Calibri"/>
                <w:color w:val="46565E"/>
                <w:sz w:val="19"/>
                <w:szCs w:val="19"/>
              </w:rPr>
              <w:t>Sections 5.0, 5.3A, 5.3G; Article IV</w:t>
            </w:r>
          </w:p>
        </w:tc>
        <w:tc>
          <w:tcPr>
            <w:tcW w:w="3790" w:type="dxa"/>
          </w:tcPr>
          <w:p w14:paraId="6612D90A" w14:textId="77777777" w:rsidR="00A502D4" w:rsidRDefault="00000000">
            <w:pPr>
              <w:spacing w:before="30" w:after="30" w:line="264" w:lineRule="auto"/>
              <w:jc w:val="left"/>
            </w:pPr>
            <w:r>
              <w:rPr>
                <w:rFonts w:cs="Calibri"/>
                <w:color w:val="46565E"/>
                <w:sz w:val="19"/>
                <w:szCs w:val="19"/>
              </w:rPr>
              <w:t>Mediation-first mandate, automatic de-escalation triggers, fast-track mediation, quiet diplomatic channel</w:t>
            </w:r>
          </w:p>
        </w:tc>
      </w:tr>
    </w:tbl>
    <w:p w14:paraId="0AB719A7" w14:textId="77777777" w:rsidR="00A502D4" w:rsidRDefault="00A502D4">
      <w:pPr>
        <w:spacing w:after="160"/>
      </w:pPr>
    </w:p>
    <w:p w14:paraId="2D5FD464" w14:textId="77777777" w:rsidR="00A502D4" w:rsidRDefault="00000000">
      <w:pPr>
        <w:pStyle w:val="Heading1"/>
      </w:pPr>
      <w:r>
        <w:rPr>
          <w:rFonts w:cs="Calibri"/>
          <w:szCs w:val="32"/>
        </w:rPr>
        <w:t>Annex C: Model Language</w:t>
      </w:r>
    </w:p>
    <w:p w14:paraId="5063C70F" w14:textId="77777777" w:rsidR="00A502D4" w:rsidRDefault="00000000">
      <w:pPr>
        <w:pStyle w:val="Heading2"/>
      </w:pPr>
      <w:r>
        <w:rPr>
          <w:rFonts w:cs="Calibri"/>
          <w:szCs w:val="26"/>
        </w:rPr>
        <w:t>C.1 Founding Communiqué Skeleton</w:t>
      </w:r>
    </w:p>
    <w:p w14:paraId="1ED87646" w14:textId="77777777" w:rsidR="00A502D4" w:rsidRDefault="00000000">
      <w:r>
        <w:rPr>
          <w:rFonts w:cs="Calibri"/>
          <w:szCs w:val="21"/>
        </w:rPr>
        <w:t xml:space="preserve">"The Governments of Canada, Mexico, the United Kingdom, and the European Union today sign the Founding Coalition Pledge establishing the International Mutual Economic Security Instrument as a rules-based, non-aligned mutual insurance mechanism. The Pledge declares a shared intent: no member faces economic coercion or systemic trade disruption alone. The Instrument operates as insurance, not alliance. </w:t>
      </w:r>
      <w:r>
        <w:rPr>
          <w:rFonts w:cs="Calibri"/>
          <w:szCs w:val="21"/>
        </w:rPr>
        <w:lastRenderedPageBreak/>
        <w:t xml:space="preserve">It forms no trade bloc, requires no geopolitical alignment, and delegates no trade sovereignty. It applies equally to coercion from any source and names no state. Membership stands open to every WTO member on identical terms. The founding governments establish a Provisional Steering Group, open a </w:t>
      </w:r>
      <w:proofErr w:type="gramStart"/>
      <w:r>
        <w:rPr>
          <w:rFonts w:cs="Calibri"/>
          <w:szCs w:val="21"/>
        </w:rPr>
        <w:t>12 to 18 month</w:t>
      </w:r>
      <w:proofErr w:type="gramEnd"/>
      <w:r>
        <w:rPr>
          <w:rFonts w:cs="Calibri"/>
          <w:szCs w:val="21"/>
        </w:rPr>
        <w:t xml:space="preserve"> pilot covering tariff response and basic liquidity, and file formal notification with the World Trade Organization within 30 days. The founding governments affirm their commitment to the multilateral trading system and to de-escalation: verified withdrawal of coercive measures triggers proportional reduction of stabilisation measures within 30 days."</w:t>
      </w:r>
    </w:p>
    <w:p w14:paraId="713E1D84" w14:textId="77777777" w:rsidR="00A502D4" w:rsidRDefault="00000000">
      <w:pPr>
        <w:pStyle w:val="Heading2"/>
      </w:pPr>
      <w:r>
        <w:rPr>
          <w:rFonts w:cs="Calibri"/>
          <w:szCs w:val="26"/>
        </w:rPr>
        <w:t>C.2 Leader Talking Points (adapted from Annex 16C)</w:t>
      </w:r>
    </w:p>
    <w:p w14:paraId="76FF32BB" w14:textId="77777777" w:rsidR="00A502D4" w:rsidRDefault="00000000">
      <w:pPr>
        <w:numPr>
          <w:ilvl w:val="0"/>
          <w:numId w:val="1"/>
        </w:numPr>
        <w:spacing w:after="120"/>
      </w:pPr>
      <w:r>
        <w:rPr>
          <w:rFonts w:cs="Calibri"/>
          <w:szCs w:val="21"/>
        </w:rPr>
        <w:t>"IMESI does not set tariffs, negotiate trade deals, or change any trade policy. Our Parliament remains the sole authority over our trade policy."</w:t>
      </w:r>
    </w:p>
    <w:p w14:paraId="374A31C9" w14:textId="77777777" w:rsidR="00A502D4" w:rsidRDefault="00000000">
      <w:pPr>
        <w:numPr>
          <w:ilvl w:val="0"/>
          <w:numId w:val="1"/>
        </w:numPr>
        <w:spacing w:after="120"/>
      </w:pPr>
      <w:r>
        <w:rPr>
          <w:rFonts w:cs="Calibri"/>
          <w:szCs w:val="21"/>
        </w:rPr>
        <w:t>"This is economic insurance, like fire insurance for your house. You hope never to use it, and you need it before the fire starts."</w:t>
      </w:r>
    </w:p>
    <w:p w14:paraId="3464BD9E" w14:textId="77777777" w:rsidR="00A502D4" w:rsidRDefault="00000000">
      <w:pPr>
        <w:numPr>
          <w:ilvl w:val="0"/>
          <w:numId w:val="1"/>
        </w:numPr>
        <w:spacing w:after="120"/>
      </w:pPr>
      <w:r>
        <w:rPr>
          <w:rFonts w:cs="Calibri"/>
          <w:szCs w:val="21"/>
        </w:rPr>
        <w:t>"When a trade shock hits, IMESI provides immediate supply-chain alternatives, bridging support, and procurement demand. Our workers and businesses no longer absorb the cost alone."</w:t>
      </w:r>
    </w:p>
    <w:p w14:paraId="17CB28D3" w14:textId="77777777" w:rsidR="00A502D4" w:rsidRDefault="00000000">
      <w:pPr>
        <w:numPr>
          <w:ilvl w:val="0"/>
          <w:numId w:val="1"/>
        </w:numPr>
        <w:spacing w:after="120"/>
      </w:pPr>
      <w:r>
        <w:rPr>
          <w:rFonts w:cs="Calibri"/>
          <w:szCs w:val="21"/>
        </w:rPr>
        <w:t>"The door stands open to every economy, including the economy whose measures made this necessary. Insurance against coercion is an invitation to stability, not a rejection of anyone."</w:t>
      </w:r>
    </w:p>
    <w:p w14:paraId="67E9D2A2" w14:textId="77777777" w:rsidR="00A502D4" w:rsidRDefault="00000000">
      <w:pPr>
        <w:pStyle w:val="Heading2"/>
      </w:pPr>
      <w:r>
        <w:rPr>
          <w:rFonts w:cs="Calibri"/>
          <w:szCs w:val="26"/>
        </w:rPr>
        <w:t>C.3 The One-Paragraph Pitch for Partner Capitals</w:t>
      </w:r>
    </w:p>
    <w:p w14:paraId="10428299" w14:textId="77777777" w:rsidR="00A502D4" w:rsidRDefault="00000000">
      <w:r>
        <w:rPr>
          <w:rFonts w:cs="Calibri"/>
          <w:szCs w:val="21"/>
        </w:rPr>
        <w:t>"IMESI is a rules-based mutual insurance mechanism that protects your supply chains and market access against economic coercion, without requiring geopolitical alignment, trade bloc formation, or sovereignty delegation. Your initial commitment is a fraction of 1 percent of GDP. Your immediate benefits include joint procurement savings, early-warning intelligence, and settlement access. Membership makes coercion strategically irrational by guaranteeing a collective, certified, lawful response, and it keeps the de-escalation door open to the coercing state from the first day."</w:t>
      </w:r>
    </w:p>
    <w:p w14:paraId="6298D0B7" w14:textId="77777777" w:rsidR="00A502D4" w:rsidRDefault="00000000">
      <w:pPr>
        <w:pStyle w:val="Heading1"/>
      </w:pPr>
      <w:r>
        <w:rPr>
          <w:rFonts w:cs="Calibri"/>
          <w:szCs w:val="32"/>
        </w:rPr>
        <w:t>Annex D: Source Register</w:t>
      </w:r>
    </w:p>
    <w:p w14:paraId="1B8BF1F8" w14:textId="77777777" w:rsidR="00A502D4" w:rsidRDefault="00000000">
      <w:r>
        <w:rPr>
          <w:rFonts w:cs="Calibri"/>
          <w:szCs w:val="21"/>
        </w:rPr>
        <w:t>All external facts in this guide carry tags to this register. Dates given are publication or event dates. Action owners re-verify before execution.</w:t>
      </w:r>
    </w:p>
    <w:tbl>
      <w:tblPr>
        <w:tblW w:w="5000" w:type="pct"/>
        <w:tblInd w:w="100" w:type="dxa"/>
        <w:tblBorders>
          <w:top w:val="single" w:sz="12" w:space="0" w:color="1F3A4D"/>
          <w:left w:val="nil"/>
          <w:bottom w:val="single" w:sz="12" w:space="0" w:color="1F3A4D"/>
          <w:right w:val="nil"/>
          <w:insideH w:val="single" w:sz="4" w:space="0" w:color="C7D3D8"/>
          <w:insideV w:val="nil"/>
        </w:tblBorders>
        <w:tblCellMar>
          <w:top w:w="30" w:type="dxa"/>
          <w:left w:w="100" w:type="dxa"/>
          <w:bottom w:w="30" w:type="dxa"/>
          <w:right w:w="100" w:type="dxa"/>
        </w:tblCellMar>
        <w:tblLook w:val="0000" w:firstRow="0" w:lastRow="0" w:firstColumn="0" w:lastColumn="0" w:noHBand="0" w:noVBand="0"/>
      </w:tblPr>
      <w:tblGrid>
        <w:gridCol w:w="1107"/>
        <w:gridCol w:w="6274"/>
        <w:gridCol w:w="1845"/>
      </w:tblGrid>
      <w:tr w:rsidR="00A502D4" w14:paraId="11CFB4CE" w14:textId="77777777">
        <w:trPr>
          <w:cantSplit/>
          <w:tblHeader/>
        </w:trPr>
        <w:tc>
          <w:tcPr>
            <w:tcW w:w="1083" w:type="dxa"/>
            <w:shd w:val="clear" w:color="auto" w:fill="EDF2F4"/>
          </w:tcPr>
          <w:p w14:paraId="62CE89BD" w14:textId="77777777" w:rsidR="00A502D4" w:rsidRDefault="00000000">
            <w:pPr>
              <w:spacing w:before="4" w:after="4" w:line="218" w:lineRule="auto"/>
              <w:jc w:val="left"/>
            </w:pPr>
            <w:r>
              <w:rPr>
                <w:rFonts w:cs="Calibri"/>
                <w:b/>
                <w:sz w:val="17"/>
                <w:szCs w:val="17"/>
              </w:rPr>
              <w:t>Tag</w:t>
            </w:r>
          </w:p>
        </w:tc>
        <w:tc>
          <w:tcPr>
            <w:tcW w:w="6137" w:type="dxa"/>
            <w:shd w:val="clear" w:color="auto" w:fill="EDF2F4"/>
          </w:tcPr>
          <w:p w14:paraId="2886FEEA" w14:textId="77777777" w:rsidR="00A502D4" w:rsidRDefault="00000000">
            <w:pPr>
              <w:spacing w:before="4" w:after="4" w:line="218" w:lineRule="auto"/>
              <w:jc w:val="left"/>
            </w:pPr>
            <w:r>
              <w:rPr>
                <w:rFonts w:cs="Calibri"/>
                <w:b/>
                <w:sz w:val="17"/>
                <w:szCs w:val="17"/>
              </w:rPr>
              <w:t>Source</w:t>
            </w:r>
          </w:p>
        </w:tc>
        <w:tc>
          <w:tcPr>
            <w:tcW w:w="1805" w:type="dxa"/>
            <w:shd w:val="clear" w:color="auto" w:fill="EDF2F4"/>
          </w:tcPr>
          <w:p w14:paraId="5DEE1605" w14:textId="77777777" w:rsidR="00A502D4" w:rsidRDefault="00000000">
            <w:pPr>
              <w:spacing w:before="4" w:after="4" w:line="218" w:lineRule="auto"/>
              <w:jc w:val="left"/>
            </w:pPr>
            <w:r>
              <w:rPr>
                <w:rFonts w:cs="Calibri"/>
                <w:b/>
                <w:sz w:val="17"/>
                <w:szCs w:val="17"/>
              </w:rPr>
              <w:t>Date</w:t>
            </w:r>
          </w:p>
        </w:tc>
      </w:tr>
      <w:tr w:rsidR="00A502D4" w14:paraId="4C3AF965" w14:textId="77777777">
        <w:trPr>
          <w:cantSplit/>
        </w:trPr>
        <w:tc>
          <w:tcPr>
            <w:tcW w:w="1083" w:type="dxa"/>
          </w:tcPr>
          <w:p w14:paraId="68580765" w14:textId="77777777" w:rsidR="00A502D4" w:rsidRDefault="00000000">
            <w:pPr>
              <w:spacing w:before="4" w:after="4" w:line="218" w:lineRule="auto"/>
              <w:jc w:val="left"/>
            </w:pPr>
            <w:r>
              <w:rPr>
                <w:rFonts w:cs="Calibri"/>
                <w:color w:val="46565E"/>
                <w:sz w:val="17"/>
                <w:szCs w:val="17"/>
              </w:rPr>
              <w:t>S1</w:t>
            </w:r>
          </w:p>
        </w:tc>
        <w:tc>
          <w:tcPr>
            <w:tcW w:w="6137" w:type="dxa"/>
          </w:tcPr>
          <w:p w14:paraId="14208F40" w14:textId="77777777" w:rsidR="00A502D4" w:rsidRDefault="00000000">
            <w:pPr>
              <w:spacing w:before="4" w:after="4" w:line="218" w:lineRule="auto"/>
              <w:jc w:val="left"/>
            </w:pPr>
            <w:r>
              <w:rPr>
                <w:rFonts w:cs="Calibri"/>
                <w:color w:val="46565E"/>
                <w:sz w:val="17"/>
                <w:szCs w:val="17"/>
              </w:rPr>
              <w:t>Wiley Rein LLP, "President Trump Imposes New 50% Tariffs on Certain Canadian Imports"</w:t>
            </w:r>
          </w:p>
        </w:tc>
        <w:tc>
          <w:tcPr>
            <w:tcW w:w="1805" w:type="dxa"/>
          </w:tcPr>
          <w:p w14:paraId="402450C2" w14:textId="77777777" w:rsidR="00A502D4" w:rsidRDefault="00000000">
            <w:pPr>
              <w:spacing w:before="4" w:after="4" w:line="218" w:lineRule="auto"/>
              <w:jc w:val="left"/>
            </w:pPr>
            <w:r>
              <w:rPr>
                <w:rFonts w:cs="Calibri"/>
                <w:color w:val="46565E"/>
                <w:sz w:val="17"/>
                <w:szCs w:val="17"/>
              </w:rPr>
              <w:t>July 27, 2026</w:t>
            </w:r>
          </w:p>
        </w:tc>
      </w:tr>
      <w:tr w:rsidR="00A502D4" w14:paraId="6020146F" w14:textId="77777777">
        <w:trPr>
          <w:cantSplit/>
        </w:trPr>
        <w:tc>
          <w:tcPr>
            <w:tcW w:w="1083" w:type="dxa"/>
          </w:tcPr>
          <w:p w14:paraId="0D7E6625" w14:textId="77777777" w:rsidR="00A502D4" w:rsidRDefault="00000000">
            <w:pPr>
              <w:spacing w:before="4" w:after="4" w:line="218" w:lineRule="auto"/>
              <w:jc w:val="left"/>
            </w:pPr>
            <w:r>
              <w:rPr>
                <w:rFonts w:cs="Calibri"/>
                <w:color w:val="46565E"/>
                <w:sz w:val="17"/>
                <w:szCs w:val="17"/>
              </w:rPr>
              <w:t>S2</w:t>
            </w:r>
          </w:p>
        </w:tc>
        <w:tc>
          <w:tcPr>
            <w:tcW w:w="6137" w:type="dxa"/>
          </w:tcPr>
          <w:p w14:paraId="452153BC" w14:textId="77777777" w:rsidR="00A502D4" w:rsidRDefault="00000000">
            <w:pPr>
              <w:spacing w:before="4" w:after="4" w:line="218" w:lineRule="auto"/>
              <w:jc w:val="left"/>
            </w:pPr>
            <w:r>
              <w:rPr>
                <w:rFonts w:cs="Calibri"/>
                <w:color w:val="46565E"/>
                <w:sz w:val="17"/>
                <w:szCs w:val="17"/>
              </w:rPr>
              <w:t>Holland &amp; Knight, "50 Percent Opening Bid: Canadian Imports Subject to Section 338 Tariffs Amid USMCA Talks"</w:t>
            </w:r>
          </w:p>
        </w:tc>
        <w:tc>
          <w:tcPr>
            <w:tcW w:w="1805" w:type="dxa"/>
          </w:tcPr>
          <w:p w14:paraId="2A963947" w14:textId="77777777" w:rsidR="00A502D4" w:rsidRDefault="00000000">
            <w:pPr>
              <w:spacing w:before="4" w:after="4" w:line="218" w:lineRule="auto"/>
              <w:jc w:val="left"/>
            </w:pPr>
            <w:r>
              <w:rPr>
                <w:rFonts w:cs="Calibri"/>
                <w:color w:val="46565E"/>
                <w:sz w:val="17"/>
                <w:szCs w:val="17"/>
              </w:rPr>
              <w:t>July 29, 2026</w:t>
            </w:r>
          </w:p>
        </w:tc>
      </w:tr>
      <w:tr w:rsidR="00A502D4" w14:paraId="7509C953" w14:textId="77777777">
        <w:trPr>
          <w:cantSplit/>
        </w:trPr>
        <w:tc>
          <w:tcPr>
            <w:tcW w:w="1083" w:type="dxa"/>
          </w:tcPr>
          <w:p w14:paraId="49BCD6A4" w14:textId="77777777" w:rsidR="00A502D4" w:rsidRDefault="00000000">
            <w:pPr>
              <w:spacing w:before="4" w:after="4" w:line="218" w:lineRule="auto"/>
              <w:jc w:val="left"/>
            </w:pPr>
            <w:r>
              <w:rPr>
                <w:rFonts w:cs="Calibri"/>
                <w:color w:val="46565E"/>
                <w:sz w:val="17"/>
                <w:szCs w:val="17"/>
              </w:rPr>
              <w:t>S3</w:t>
            </w:r>
          </w:p>
        </w:tc>
        <w:tc>
          <w:tcPr>
            <w:tcW w:w="6137" w:type="dxa"/>
          </w:tcPr>
          <w:p w14:paraId="6C833621" w14:textId="77777777" w:rsidR="00A502D4" w:rsidRDefault="00000000">
            <w:pPr>
              <w:spacing w:before="4" w:after="4" w:line="218" w:lineRule="auto"/>
              <w:jc w:val="left"/>
            </w:pPr>
            <w:proofErr w:type="spellStart"/>
            <w:r>
              <w:rPr>
                <w:rFonts w:cs="Calibri"/>
                <w:color w:val="46565E"/>
                <w:sz w:val="17"/>
                <w:szCs w:val="17"/>
              </w:rPr>
              <w:t>TariffsTool</w:t>
            </w:r>
            <w:proofErr w:type="spellEnd"/>
            <w:r>
              <w:rPr>
                <w:rFonts w:cs="Calibri"/>
                <w:color w:val="46565E"/>
                <w:sz w:val="17"/>
                <w:szCs w:val="17"/>
              </w:rPr>
              <w:t>, "New 50% Tariff on Canadian Goods: Section 338 Takes Effect August 19, 2026"</w:t>
            </w:r>
          </w:p>
        </w:tc>
        <w:tc>
          <w:tcPr>
            <w:tcW w:w="1805" w:type="dxa"/>
          </w:tcPr>
          <w:p w14:paraId="00C0870E" w14:textId="77777777" w:rsidR="00A502D4" w:rsidRDefault="00000000">
            <w:pPr>
              <w:spacing w:before="4" w:after="4" w:line="218" w:lineRule="auto"/>
              <w:jc w:val="left"/>
            </w:pPr>
            <w:r>
              <w:rPr>
                <w:rFonts w:cs="Calibri"/>
                <w:color w:val="46565E"/>
                <w:sz w:val="17"/>
                <w:szCs w:val="17"/>
              </w:rPr>
              <w:t>July 21, 2026</w:t>
            </w:r>
          </w:p>
        </w:tc>
      </w:tr>
      <w:tr w:rsidR="00A502D4" w14:paraId="48141650" w14:textId="77777777">
        <w:trPr>
          <w:cantSplit/>
        </w:trPr>
        <w:tc>
          <w:tcPr>
            <w:tcW w:w="1083" w:type="dxa"/>
          </w:tcPr>
          <w:p w14:paraId="137D598F" w14:textId="77777777" w:rsidR="00A502D4" w:rsidRDefault="00000000">
            <w:pPr>
              <w:spacing w:before="4" w:after="4" w:line="218" w:lineRule="auto"/>
              <w:jc w:val="left"/>
            </w:pPr>
            <w:r>
              <w:rPr>
                <w:rFonts w:cs="Calibri"/>
                <w:color w:val="46565E"/>
                <w:sz w:val="17"/>
                <w:szCs w:val="17"/>
              </w:rPr>
              <w:t>S4</w:t>
            </w:r>
          </w:p>
        </w:tc>
        <w:tc>
          <w:tcPr>
            <w:tcW w:w="6137" w:type="dxa"/>
          </w:tcPr>
          <w:p w14:paraId="4AE19140" w14:textId="77777777" w:rsidR="00A502D4" w:rsidRDefault="00000000">
            <w:pPr>
              <w:spacing w:before="4" w:after="4" w:line="218" w:lineRule="auto"/>
              <w:jc w:val="left"/>
            </w:pPr>
            <w:r>
              <w:rPr>
                <w:rFonts w:cs="Calibri"/>
                <w:color w:val="46565E"/>
                <w:sz w:val="17"/>
                <w:szCs w:val="17"/>
              </w:rPr>
              <w:t>PwC Canada, "US tariffs on steel, aluminum and copper imports from Canada (June 2026 update)"</w:t>
            </w:r>
          </w:p>
        </w:tc>
        <w:tc>
          <w:tcPr>
            <w:tcW w:w="1805" w:type="dxa"/>
          </w:tcPr>
          <w:p w14:paraId="4A8E16F8" w14:textId="77777777" w:rsidR="00A502D4" w:rsidRDefault="00000000">
            <w:pPr>
              <w:spacing w:before="4" w:after="4" w:line="218" w:lineRule="auto"/>
              <w:jc w:val="left"/>
            </w:pPr>
            <w:r>
              <w:rPr>
                <w:rFonts w:cs="Calibri"/>
                <w:color w:val="46565E"/>
                <w:sz w:val="17"/>
                <w:szCs w:val="17"/>
              </w:rPr>
              <w:t>June 17, 2026</w:t>
            </w:r>
          </w:p>
        </w:tc>
      </w:tr>
      <w:tr w:rsidR="00A502D4" w14:paraId="2DB5E030" w14:textId="77777777">
        <w:trPr>
          <w:cantSplit/>
        </w:trPr>
        <w:tc>
          <w:tcPr>
            <w:tcW w:w="1083" w:type="dxa"/>
          </w:tcPr>
          <w:p w14:paraId="45A8DC52" w14:textId="77777777" w:rsidR="00A502D4" w:rsidRDefault="00000000">
            <w:pPr>
              <w:spacing w:before="4" w:after="4" w:line="218" w:lineRule="auto"/>
              <w:jc w:val="left"/>
            </w:pPr>
            <w:r>
              <w:rPr>
                <w:rFonts w:cs="Calibri"/>
                <w:color w:val="46565E"/>
                <w:sz w:val="17"/>
                <w:szCs w:val="17"/>
              </w:rPr>
              <w:t>S5</w:t>
            </w:r>
          </w:p>
        </w:tc>
        <w:tc>
          <w:tcPr>
            <w:tcW w:w="6137" w:type="dxa"/>
          </w:tcPr>
          <w:p w14:paraId="7A1906C9" w14:textId="77777777" w:rsidR="00A502D4" w:rsidRDefault="00000000">
            <w:pPr>
              <w:spacing w:before="4" w:after="4" w:line="218" w:lineRule="auto"/>
              <w:jc w:val="left"/>
            </w:pPr>
            <w:r>
              <w:rPr>
                <w:rFonts w:cs="Calibri"/>
                <w:color w:val="46565E"/>
                <w:sz w:val="17"/>
                <w:szCs w:val="17"/>
              </w:rPr>
              <w:t>Holland &amp; Knight, "And the (Tariff) Beat Goes On: New Section 301 Forced-Labor Tariffs Imposed on 60 Countries"</w:t>
            </w:r>
          </w:p>
        </w:tc>
        <w:tc>
          <w:tcPr>
            <w:tcW w:w="1805" w:type="dxa"/>
          </w:tcPr>
          <w:p w14:paraId="2D26346C" w14:textId="77777777" w:rsidR="00A502D4" w:rsidRDefault="00000000">
            <w:pPr>
              <w:spacing w:before="4" w:after="4" w:line="218" w:lineRule="auto"/>
              <w:jc w:val="left"/>
            </w:pPr>
            <w:r>
              <w:rPr>
                <w:rFonts w:cs="Calibri"/>
                <w:color w:val="46565E"/>
                <w:sz w:val="17"/>
                <w:szCs w:val="17"/>
              </w:rPr>
              <w:t>July 30, 2026</w:t>
            </w:r>
          </w:p>
        </w:tc>
      </w:tr>
      <w:tr w:rsidR="00A502D4" w14:paraId="240CCCBF" w14:textId="77777777">
        <w:trPr>
          <w:cantSplit/>
        </w:trPr>
        <w:tc>
          <w:tcPr>
            <w:tcW w:w="1083" w:type="dxa"/>
          </w:tcPr>
          <w:p w14:paraId="356659D2" w14:textId="77777777" w:rsidR="00A502D4" w:rsidRDefault="00000000">
            <w:pPr>
              <w:spacing w:before="4" w:after="4" w:line="218" w:lineRule="auto"/>
              <w:jc w:val="left"/>
            </w:pPr>
            <w:r>
              <w:rPr>
                <w:rFonts w:cs="Calibri"/>
                <w:color w:val="46565E"/>
                <w:sz w:val="17"/>
                <w:szCs w:val="17"/>
              </w:rPr>
              <w:lastRenderedPageBreak/>
              <w:t>S6</w:t>
            </w:r>
          </w:p>
        </w:tc>
        <w:tc>
          <w:tcPr>
            <w:tcW w:w="6137" w:type="dxa"/>
          </w:tcPr>
          <w:p w14:paraId="32909299" w14:textId="77777777" w:rsidR="00A502D4" w:rsidRDefault="00000000">
            <w:pPr>
              <w:spacing w:before="4" w:after="4" w:line="218" w:lineRule="auto"/>
              <w:jc w:val="left"/>
            </w:pPr>
            <w:r>
              <w:rPr>
                <w:rFonts w:cs="Calibri"/>
                <w:color w:val="46565E"/>
                <w:sz w:val="17"/>
                <w:szCs w:val="17"/>
              </w:rPr>
              <w:t>USTR, "USTR Takes Action in Forced Labor Section 301 Investigations" (press release)</w:t>
            </w:r>
          </w:p>
        </w:tc>
        <w:tc>
          <w:tcPr>
            <w:tcW w:w="1805" w:type="dxa"/>
          </w:tcPr>
          <w:p w14:paraId="6F54D218" w14:textId="77777777" w:rsidR="00A502D4" w:rsidRDefault="00000000">
            <w:pPr>
              <w:spacing w:before="4" w:after="4" w:line="218" w:lineRule="auto"/>
              <w:jc w:val="left"/>
            </w:pPr>
            <w:r>
              <w:rPr>
                <w:rFonts w:cs="Calibri"/>
                <w:color w:val="46565E"/>
                <w:sz w:val="17"/>
                <w:szCs w:val="17"/>
              </w:rPr>
              <w:t>July 23, 2026</w:t>
            </w:r>
          </w:p>
        </w:tc>
      </w:tr>
      <w:tr w:rsidR="00A502D4" w14:paraId="0AF9D05A" w14:textId="77777777">
        <w:trPr>
          <w:cantSplit/>
        </w:trPr>
        <w:tc>
          <w:tcPr>
            <w:tcW w:w="1083" w:type="dxa"/>
          </w:tcPr>
          <w:p w14:paraId="1A176FC4" w14:textId="77777777" w:rsidR="00A502D4" w:rsidRDefault="00000000">
            <w:pPr>
              <w:spacing w:before="4" w:after="4" w:line="218" w:lineRule="auto"/>
              <w:jc w:val="left"/>
            </w:pPr>
            <w:r>
              <w:rPr>
                <w:rFonts w:cs="Calibri"/>
                <w:color w:val="46565E"/>
                <w:sz w:val="17"/>
                <w:szCs w:val="17"/>
              </w:rPr>
              <w:t>S7</w:t>
            </w:r>
          </w:p>
        </w:tc>
        <w:tc>
          <w:tcPr>
            <w:tcW w:w="6137" w:type="dxa"/>
          </w:tcPr>
          <w:p w14:paraId="10276469" w14:textId="77777777" w:rsidR="00A502D4" w:rsidRDefault="00000000">
            <w:pPr>
              <w:spacing w:before="4" w:after="4" w:line="218" w:lineRule="auto"/>
              <w:jc w:val="left"/>
            </w:pPr>
            <w:r>
              <w:rPr>
                <w:rFonts w:cs="Calibri"/>
                <w:color w:val="46565E"/>
                <w:sz w:val="17"/>
                <w:szCs w:val="17"/>
              </w:rPr>
              <w:t>White &amp; Case, "USMCA 2026 Joint Review: United States declines to extend Agreement, triggering annual reviews"</w:t>
            </w:r>
          </w:p>
        </w:tc>
        <w:tc>
          <w:tcPr>
            <w:tcW w:w="1805" w:type="dxa"/>
          </w:tcPr>
          <w:p w14:paraId="5243B815" w14:textId="77777777" w:rsidR="00A502D4" w:rsidRDefault="00000000">
            <w:pPr>
              <w:spacing w:before="4" w:after="4" w:line="218" w:lineRule="auto"/>
              <w:jc w:val="left"/>
            </w:pPr>
            <w:r>
              <w:rPr>
                <w:rFonts w:cs="Calibri"/>
                <w:color w:val="46565E"/>
                <w:sz w:val="17"/>
                <w:szCs w:val="17"/>
              </w:rPr>
              <w:t>July 2, 2026</w:t>
            </w:r>
          </w:p>
        </w:tc>
      </w:tr>
      <w:tr w:rsidR="00A502D4" w14:paraId="114E939D" w14:textId="77777777">
        <w:trPr>
          <w:cantSplit/>
        </w:trPr>
        <w:tc>
          <w:tcPr>
            <w:tcW w:w="1083" w:type="dxa"/>
          </w:tcPr>
          <w:p w14:paraId="2CBAD48E" w14:textId="77777777" w:rsidR="00A502D4" w:rsidRDefault="00000000">
            <w:pPr>
              <w:spacing w:before="4" w:after="4" w:line="218" w:lineRule="auto"/>
              <w:jc w:val="left"/>
            </w:pPr>
            <w:r>
              <w:rPr>
                <w:rFonts w:cs="Calibri"/>
                <w:color w:val="46565E"/>
                <w:sz w:val="17"/>
                <w:szCs w:val="17"/>
              </w:rPr>
              <w:t>S8</w:t>
            </w:r>
          </w:p>
        </w:tc>
        <w:tc>
          <w:tcPr>
            <w:tcW w:w="6137" w:type="dxa"/>
          </w:tcPr>
          <w:p w14:paraId="1679067C" w14:textId="77777777" w:rsidR="00A502D4" w:rsidRDefault="00000000">
            <w:pPr>
              <w:spacing w:before="4" w:after="4" w:line="218" w:lineRule="auto"/>
              <w:jc w:val="left"/>
            </w:pPr>
            <w:r>
              <w:rPr>
                <w:rFonts w:cs="Calibri"/>
                <w:color w:val="46565E"/>
                <w:sz w:val="17"/>
                <w:szCs w:val="17"/>
              </w:rPr>
              <w:t>USTR, "Ambassador Greer Issues Statement on the USMCA Joint Review"</w:t>
            </w:r>
          </w:p>
        </w:tc>
        <w:tc>
          <w:tcPr>
            <w:tcW w:w="1805" w:type="dxa"/>
          </w:tcPr>
          <w:p w14:paraId="3BFA6DAF" w14:textId="77777777" w:rsidR="00A502D4" w:rsidRDefault="00000000">
            <w:pPr>
              <w:spacing w:before="4" w:after="4" w:line="218" w:lineRule="auto"/>
              <w:jc w:val="left"/>
            </w:pPr>
            <w:r>
              <w:rPr>
                <w:rFonts w:cs="Calibri"/>
                <w:color w:val="46565E"/>
                <w:sz w:val="17"/>
                <w:szCs w:val="17"/>
              </w:rPr>
              <w:t>July 1, 2026</w:t>
            </w:r>
          </w:p>
        </w:tc>
      </w:tr>
      <w:tr w:rsidR="00A502D4" w14:paraId="0937401A" w14:textId="77777777">
        <w:trPr>
          <w:cantSplit/>
        </w:trPr>
        <w:tc>
          <w:tcPr>
            <w:tcW w:w="1083" w:type="dxa"/>
          </w:tcPr>
          <w:p w14:paraId="0E81BAFD" w14:textId="77777777" w:rsidR="00A502D4" w:rsidRDefault="00000000">
            <w:pPr>
              <w:spacing w:before="4" w:after="4" w:line="218" w:lineRule="auto"/>
              <w:jc w:val="left"/>
            </w:pPr>
            <w:r>
              <w:rPr>
                <w:rFonts w:cs="Calibri"/>
                <w:color w:val="46565E"/>
                <w:sz w:val="17"/>
                <w:szCs w:val="17"/>
              </w:rPr>
              <w:t>S9</w:t>
            </w:r>
          </w:p>
        </w:tc>
        <w:tc>
          <w:tcPr>
            <w:tcW w:w="6137" w:type="dxa"/>
          </w:tcPr>
          <w:p w14:paraId="21EF444B" w14:textId="77777777" w:rsidR="00A502D4" w:rsidRDefault="00000000">
            <w:pPr>
              <w:spacing w:before="4" w:after="4" w:line="218" w:lineRule="auto"/>
              <w:jc w:val="left"/>
            </w:pPr>
            <w:r>
              <w:rPr>
                <w:rFonts w:cs="Calibri"/>
                <w:color w:val="46565E"/>
                <w:sz w:val="17"/>
                <w:szCs w:val="17"/>
              </w:rPr>
              <w:t>Australian Associated Press via The Canberra Times, "Canada cannot survive without US: Trump defends tariffs"</w:t>
            </w:r>
          </w:p>
        </w:tc>
        <w:tc>
          <w:tcPr>
            <w:tcW w:w="1805" w:type="dxa"/>
          </w:tcPr>
          <w:p w14:paraId="731BB68D" w14:textId="77777777" w:rsidR="00A502D4" w:rsidRDefault="00000000">
            <w:pPr>
              <w:spacing w:before="4" w:after="4" w:line="218" w:lineRule="auto"/>
              <w:jc w:val="left"/>
            </w:pPr>
            <w:r>
              <w:rPr>
                <w:rFonts w:cs="Calibri"/>
                <w:color w:val="46565E"/>
                <w:sz w:val="17"/>
                <w:szCs w:val="17"/>
              </w:rPr>
              <w:t>July 22, 2026</w:t>
            </w:r>
          </w:p>
        </w:tc>
      </w:tr>
      <w:tr w:rsidR="00A502D4" w14:paraId="78BB8401" w14:textId="77777777">
        <w:trPr>
          <w:cantSplit/>
        </w:trPr>
        <w:tc>
          <w:tcPr>
            <w:tcW w:w="1083" w:type="dxa"/>
          </w:tcPr>
          <w:p w14:paraId="27A2E91B" w14:textId="77777777" w:rsidR="00A502D4" w:rsidRDefault="00000000">
            <w:pPr>
              <w:spacing w:before="4" w:after="4" w:line="218" w:lineRule="auto"/>
              <w:jc w:val="left"/>
            </w:pPr>
            <w:r>
              <w:rPr>
                <w:rFonts w:cs="Calibri"/>
                <w:color w:val="46565E"/>
                <w:sz w:val="17"/>
                <w:szCs w:val="17"/>
              </w:rPr>
              <w:t>S10</w:t>
            </w:r>
          </w:p>
        </w:tc>
        <w:tc>
          <w:tcPr>
            <w:tcW w:w="6137" w:type="dxa"/>
          </w:tcPr>
          <w:p w14:paraId="2FD58B79" w14:textId="77777777" w:rsidR="00A502D4" w:rsidRDefault="00000000">
            <w:pPr>
              <w:spacing w:before="4" w:after="4" w:line="218" w:lineRule="auto"/>
              <w:jc w:val="left"/>
            </w:pPr>
            <w:r>
              <w:rPr>
                <w:rFonts w:cs="Calibri"/>
                <w:color w:val="46565E"/>
                <w:sz w:val="17"/>
                <w:szCs w:val="17"/>
              </w:rPr>
              <w:t>White &amp; Case, "United States modifies steel, aluminum and copper Section 232 tariffs"</w:t>
            </w:r>
          </w:p>
        </w:tc>
        <w:tc>
          <w:tcPr>
            <w:tcW w:w="1805" w:type="dxa"/>
          </w:tcPr>
          <w:p w14:paraId="2E54728E" w14:textId="77777777" w:rsidR="00A502D4" w:rsidRDefault="00000000">
            <w:pPr>
              <w:spacing w:before="4" w:after="4" w:line="218" w:lineRule="auto"/>
              <w:jc w:val="left"/>
            </w:pPr>
            <w:r>
              <w:rPr>
                <w:rFonts w:cs="Calibri"/>
                <w:color w:val="46565E"/>
                <w:sz w:val="17"/>
                <w:szCs w:val="17"/>
              </w:rPr>
              <w:t>April 7, 2026</w:t>
            </w:r>
          </w:p>
        </w:tc>
      </w:tr>
      <w:tr w:rsidR="00A502D4" w14:paraId="60BD1E0B" w14:textId="77777777">
        <w:trPr>
          <w:cantSplit/>
        </w:trPr>
        <w:tc>
          <w:tcPr>
            <w:tcW w:w="1083" w:type="dxa"/>
          </w:tcPr>
          <w:p w14:paraId="4CC41313" w14:textId="77777777" w:rsidR="00A502D4" w:rsidRDefault="00000000">
            <w:pPr>
              <w:spacing w:before="4" w:after="4" w:line="218" w:lineRule="auto"/>
              <w:jc w:val="left"/>
            </w:pPr>
            <w:r>
              <w:rPr>
                <w:rFonts w:cs="Calibri"/>
                <w:color w:val="46565E"/>
                <w:sz w:val="17"/>
                <w:szCs w:val="17"/>
              </w:rPr>
              <w:t>S11</w:t>
            </w:r>
          </w:p>
        </w:tc>
        <w:tc>
          <w:tcPr>
            <w:tcW w:w="6137" w:type="dxa"/>
          </w:tcPr>
          <w:p w14:paraId="191C8B5C" w14:textId="77777777" w:rsidR="00A502D4" w:rsidRDefault="00000000">
            <w:pPr>
              <w:spacing w:before="4" w:after="4" w:line="218" w:lineRule="auto"/>
              <w:jc w:val="left"/>
            </w:pPr>
            <w:r>
              <w:rPr>
                <w:rFonts w:cs="Calibri"/>
                <w:color w:val="46565E"/>
                <w:sz w:val="17"/>
                <w:szCs w:val="17"/>
              </w:rPr>
              <w:t>Thompson Hine, "President Trump Modifies Section 232 Tariffs on Aluminum, Copper and Steel Imports"</w:t>
            </w:r>
          </w:p>
        </w:tc>
        <w:tc>
          <w:tcPr>
            <w:tcW w:w="1805" w:type="dxa"/>
          </w:tcPr>
          <w:p w14:paraId="771AF886" w14:textId="77777777" w:rsidR="00A502D4" w:rsidRDefault="00000000">
            <w:pPr>
              <w:spacing w:before="4" w:after="4" w:line="218" w:lineRule="auto"/>
              <w:jc w:val="left"/>
            </w:pPr>
            <w:r>
              <w:rPr>
                <w:rFonts w:cs="Calibri"/>
                <w:color w:val="46565E"/>
                <w:sz w:val="17"/>
                <w:szCs w:val="17"/>
              </w:rPr>
              <w:t>June 10, 2026</w:t>
            </w:r>
          </w:p>
        </w:tc>
      </w:tr>
      <w:tr w:rsidR="00A502D4" w14:paraId="57FA9E59" w14:textId="77777777">
        <w:trPr>
          <w:cantSplit/>
        </w:trPr>
        <w:tc>
          <w:tcPr>
            <w:tcW w:w="1083" w:type="dxa"/>
          </w:tcPr>
          <w:p w14:paraId="52368574" w14:textId="77777777" w:rsidR="00A502D4" w:rsidRDefault="00000000">
            <w:pPr>
              <w:spacing w:before="4" w:after="4" w:line="218" w:lineRule="auto"/>
              <w:jc w:val="left"/>
            </w:pPr>
            <w:r>
              <w:rPr>
                <w:rFonts w:cs="Calibri"/>
                <w:color w:val="46565E"/>
                <w:sz w:val="17"/>
                <w:szCs w:val="17"/>
              </w:rPr>
              <w:t>S12</w:t>
            </w:r>
          </w:p>
        </w:tc>
        <w:tc>
          <w:tcPr>
            <w:tcW w:w="6137" w:type="dxa"/>
          </w:tcPr>
          <w:p w14:paraId="10AA9DD7" w14:textId="77777777" w:rsidR="00A502D4" w:rsidRDefault="00000000">
            <w:pPr>
              <w:spacing w:before="4" w:after="4" w:line="218" w:lineRule="auto"/>
              <w:jc w:val="left"/>
            </w:pPr>
            <w:r>
              <w:rPr>
                <w:rFonts w:cs="Calibri"/>
                <w:color w:val="46565E"/>
                <w:sz w:val="17"/>
                <w:szCs w:val="17"/>
              </w:rPr>
              <w:t>Atlantic Council, "The US just threatened new tariffs on Canada. Here's why they may not work"</w:t>
            </w:r>
          </w:p>
        </w:tc>
        <w:tc>
          <w:tcPr>
            <w:tcW w:w="1805" w:type="dxa"/>
          </w:tcPr>
          <w:p w14:paraId="7C760DC1" w14:textId="77777777" w:rsidR="00A502D4" w:rsidRDefault="00000000">
            <w:pPr>
              <w:spacing w:before="4" w:after="4" w:line="218" w:lineRule="auto"/>
              <w:jc w:val="left"/>
            </w:pPr>
            <w:r>
              <w:rPr>
                <w:rFonts w:cs="Calibri"/>
                <w:color w:val="46565E"/>
                <w:sz w:val="17"/>
                <w:szCs w:val="17"/>
              </w:rPr>
              <w:t>July 22, 2026</w:t>
            </w:r>
          </w:p>
        </w:tc>
      </w:tr>
      <w:tr w:rsidR="00A502D4" w14:paraId="55433FEA" w14:textId="77777777">
        <w:trPr>
          <w:cantSplit/>
        </w:trPr>
        <w:tc>
          <w:tcPr>
            <w:tcW w:w="1083" w:type="dxa"/>
          </w:tcPr>
          <w:p w14:paraId="44999246" w14:textId="77777777" w:rsidR="00A502D4" w:rsidRDefault="00000000">
            <w:pPr>
              <w:spacing w:before="4" w:after="4" w:line="218" w:lineRule="auto"/>
              <w:jc w:val="left"/>
            </w:pPr>
            <w:r>
              <w:rPr>
                <w:rFonts w:cs="Calibri"/>
                <w:color w:val="46565E"/>
                <w:sz w:val="17"/>
                <w:szCs w:val="17"/>
              </w:rPr>
              <w:t>S13</w:t>
            </w:r>
          </w:p>
        </w:tc>
        <w:tc>
          <w:tcPr>
            <w:tcW w:w="6137" w:type="dxa"/>
          </w:tcPr>
          <w:p w14:paraId="528D6E61" w14:textId="77777777" w:rsidR="00A502D4" w:rsidRDefault="00000000">
            <w:pPr>
              <w:spacing w:before="4" w:after="4" w:line="218" w:lineRule="auto"/>
              <w:jc w:val="left"/>
            </w:pPr>
            <w:r>
              <w:rPr>
                <w:rFonts w:cs="Calibri"/>
                <w:color w:val="46565E"/>
                <w:sz w:val="17"/>
                <w:szCs w:val="17"/>
              </w:rPr>
              <w:t>Thompson Hine, "USTR Initiates Section 301 Investigations into Structural Excess Capacity (16 economies)"</w:t>
            </w:r>
          </w:p>
        </w:tc>
        <w:tc>
          <w:tcPr>
            <w:tcW w:w="1805" w:type="dxa"/>
          </w:tcPr>
          <w:p w14:paraId="16D06F1C" w14:textId="77777777" w:rsidR="00A502D4" w:rsidRDefault="00000000">
            <w:pPr>
              <w:spacing w:before="4" w:after="4" w:line="218" w:lineRule="auto"/>
              <w:jc w:val="left"/>
            </w:pPr>
            <w:r>
              <w:rPr>
                <w:rFonts w:cs="Calibri"/>
                <w:color w:val="46565E"/>
                <w:sz w:val="17"/>
                <w:szCs w:val="17"/>
              </w:rPr>
              <w:t>March 12, 2026</w:t>
            </w:r>
          </w:p>
        </w:tc>
      </w:tr>
      <w:tr w:rsidR="00A502D4" w14:paraId="42B1F304" w14:textId="77777777">
        <w:trPr>
          <w:cantSplit/>
        </w:trPr>
        <w:tc>
          <w:tcPr>
            <w:tcW w:w="1083" w:type="dxa"/>
          </w:tcPr>
          <w:p w14:paraId="0FF7DD6F" w14:textId="77777777" w:rsidR="00A502D4" w:rsidRDefault="00000000">
            <w:pPr>
              <w:spacing w:before="4" w:after="4" w:line="218" w:lineRule="auto"/>
              <w:jc w:val="left"/>
            </w:pPr>
            <w:r>
              <w:rPr>
                <w:rFonts w:cs="Calibri"/>
                <w:color w:val="46565E"/>
                <w:sz w:val="17"/>
                <w:szCs w:val="17"/>
              </w:rPr>
              <w:t>S14</w:t>
            </w:r>
          </w:p>
        </w:tc>
        <w:tc>
          <w:tcPr>
            <w:tcW w:w="6137" w:type="dxa"/>
          </w:tcPr>
          <w:p w14:paraId="32F6B49B" w14:textId="77777777" w:rsidR="00A502D4" w:rsidRDefault="00000000">
            <w:pPr>
              <w:spacing w:before="4" w:after="4" w:line="218" w:lineRule="auto"/>
              <w:jc w:val="left"/>
            </w:pPr>
            <w:r>
              <w:rPr>
                <w:rFonts w:cs="Calibri"/>
                <w:color w:val="46565E"/>
                <w:sz w:val="17"/>
                <w:szCs w:val="17"/>
              </w:rPr>
              <w:t>White &amp; Case, "USTR initiates Section 301 investigations of 16 US trade partners targeting industrial excess capacity"</w:t>
            </w:r>
          </w:p>
        </w:tc>
        <w:tc>
          <w:tcPr>
            <w:tcW w:w="1805" w:type="dxa"/>
          </w:tcPr>
          <w:p w14:paraId="3D7B6A83" w14:textId="77777777" w:rsidR="00A502D4" w:rsidRDefault="00000000">
            <w:pPr>
              <w:spacing w:before="4" w:after="4" w:line="218" w:lineRule="auto"/>
              <w:jc w:val="left"/>
            </w:pPr>
            <w:r>
              <w:rPr>
                <w:rFonts w:cs="Calibri"/>
                <w:color w:val="46565E"/>
                <w:sz w:val="17"/>
                <w:szCs w:val="17"/>
              </w:rPr>
              <w:t>March 12, 2026</w:t>
            </w:r>
          </w:p>
        </w:tc>
      </w:tr>
      <w:tr w:rsidR="00A502D4" w14:paraId="4C068749" w14:textId="77777777">
        <w:trPr>
          <w:cantSplit/>
        </w:trPr>
        <w:tc>
          <w:tcPr>
            <w:tcW w:w="1083" w:type="dxa"/>
          </w:tcPr>
          <w:p w14:paraId="3FC4A89C" w14:textId="77777777" w:rsidR="00A502D4" w:rsidRDefault="00000000">
            <w:pPr>
              <w:spacing w:before="4" w:after="4" w:line="218" w:lineRule="auto"/>
              <w:jc w:val="left"/>
            </w:pPr>
            <w:r>
              <w:rPr>
                <w:rFonts w:cs="Calibri"/>
                <w:color w:val="46565E"/>
                <w:sz w:val="17"/>
                <w:szCs w:val="17"/>
              </w:rPr>
              <w:t>S15</w:t>
            </w:r>
          </w:p>
        </w:tc>
        <w:tc>
          <w:tcPr>
            <w:tcW w:w="6137" w:type="dxa"/>
          </w:tcPr>
          <w:p w14:paraId="76853F70" w14:textId="77777777" w:rsidR="00A502D4" w:rsidRDefault="00000000">
            <w:pPr>
              <w:spacing w:before="4" w:after="4" w:line="218" w:lineRule="auto"/>
              <w:jc w:val="left"/>
            </w:pPr>
            <w:r>
              <w:rPr>
                <w:rFonts w:cs="Calibri"/>
                <w:color w:val="46565E"/>
                <w:sz w:val="17"/>
                <w:szCs w:val="17"/>
              </w:rPr>
              <w:t>Tax Foundation, "Failing to Renew USMCA Would Result in Tariff Uncertainty"</w:t>
            </w:r>
          </w:p>
        </w:tc>
        <w:tc>
          <w:tcPr>
            <w:tcW w:w="1805" w:type="dxa"/>
          </w:tcPr>
          <w:p w14:paraId="70DF9290" w14:textId="77777777" w:rsidR="00A502D4" w:rsidRDefault="00000000">
            <w:pPr>
              <w:spacing w:before="4" w:after="4" w:line="218" w:lineRule="auto"/>
              <w:jc w:val="left"/>
            </w:pPr>
            <w:r>
              <w:rPr>
                <w:rFonts w:cs="Calibri"/>
                <w:color w:val="46565E"/>
                <w:sz w:val="17"/>
                <w:szCs w:val="17"/>
              </w:rPr>
              <w:t>June 23, 2026</w:t>
            </w:r>
          </w:p>
        </w:tc>
      </w:tr>
      <w:tr w:rsidR="00A502D4" w14:paraId="4A8A5847" w14:textId="77777777">
        <w:trPr>
          <w:cantSplit/>
        </w:trPr>
        <w:tc>
          <w:tcPr>
            <w:tcW w:w="1083" w:type="dxa"/>
          </w:tcPr>
          <w:p w14:paraId="3180E7CB" w14:textId="77777777" w:rsidR="00A502D4" w:rsidRDefault="00000000">
            <w:pPr>
              <w:spacing w:before="4" w:after="4" w:line="218" w:lineRule="auto"/>
              <w:jc w:val="left"/>
            </w:pPr>
            <w:r>
              <w:rPr>
                <w:rFonts w:cs="Calibri"/>
                <w:color w:val="46565E"/>
                <w:sz w:val="17"/>
                <w:szCs w:val="17"/>
              </w:rPr>
              <w:t>S16</w:t>
            </w:r>
          </w:p>
        </w:tc>
        <w:tc>
          <w:tcPr>
            <w:tcW w:w="6137" w:type="dxa"/>
          </w:tcPr>
          <w:p w14:paraId="39491C48" w14:textId="77777777" w:rsidR="00A502D4" w:rsidRDefault="00000000">
            <w:pPr>
              <w:spacing w:before="4" w:after="4" w:line="218" w:lineRule="auto"/>
              <w:jc w:val="left"/>
            </w:pPr>
            <w:r>
              <w:rPr>
                <w:rFonts w:cs="Calibri"/>
                <w:color w:val="46565E"/>
                <w:sz w:val="17"/>
                <w:szCs w:val="17"/>
              </w:rPr>
              <w:t>Skadden, "U.S. Trade Court Strikes Down Section 122 Tariffs"</w:t>
            </w:r>
          </w:p>
        </w:tc>
        <w:tc>
          <w:tcPr>
            <w:tcW w:w="1805" w:type="dxa"/>
          </w:tcPr>
          <w:p w14:paraId="44CEBF36" w14:textId="77777777" w:rsidR="00A502D4" w:rsidRDefault="00000000">
            <w:pPr>
              <w:spacing w:before="4" w:after="4" w:line="218" w:lineRule="auto"/>
              <w:jc w:val="left"/>
            </w:pPr>
            <w:r>
              <w:rPr>
                <w:rFonts w:cs="Calibri"/>
                <w:color w:val="46565E"/>
                <w:sz w:val="17"/>
                <w:szCs w:val="17"/>
              </w:rPr>
              <w:t>May 20, 2026</w:t>
            </w:r>
          </w:p>
        </w:tc>
      </w:tr>
      <w:tr w:rsidR="00A502D4" w14:paraId="36693D09" w14:textId="77777777">
        <w:trPr>
          <w:cantSplit/>
        </w:trPr>
        <w:tc>
          <w:tcPr>
            <w:tcW w:w="1083" w:type="dxa"/>
          </w:tcPr>
          <w:p w14:paraId="38697795" w14:textId="77777777" w:rsidR="00A502D4" w:rsidRDefault="00000000">
            <w:pPr>
              <w:spacing w:before="4" w:after="4" w:line="218" w:lineRule="auto"/>
              <w:jc w:val="left"/>
            </w:pPr>
            <w:r>
              <w:rPr>
                <w:rFonts w:cs="Calibri"/>
                <w:color w:val="46565E"/>
                <w:sz w:val="17"/>
                <w:szCs w:val="17"/>
              </w:rPr>
              <w:t>S17</w:t>
            </w:r>
          </w:p>
        </w:tc>
        <w:tc>
          <w:tcPr>
            <w:tcW w:w="6137" w:type="dxa"/>
          </w:tcPr>
          <w:p w14:paraId="411D5629" w14:textId="77777777" w:rsidR="00A502D4" w:rsidRDefault="00000000">
            <w:pPr>
              <w:spacing w:before="4" w:after="4" w:line="218" w:lineRule="auto"/>
              <w:jc w:val="left"/>
            </w:pPr>
            <w:r>
              <w:rPr>
                <w:rFonts w:cs="Calibri"/>
                <w:color w:val="46565E"/>
                <w:sz w:val="17"/>
                <w:szCs w:val="17"/>
              </w:rPr>
              <w:t>PwC Canada, "US Court of International Trade strikes down section 122 tariffs"</w:t>
            </w:r>
          </w:p>
        </w:tc>
        <w:tc>
          <w:tcPr>
            <w:tcW w:w="1805" w:type="dxa"/>
          </w:tcPr>
          <w:p w14:paraId="1D7F443B" w14:textId="77777777" w:rsidR="00A502D4" w:rsidRDefault="00000000">
            <w:pPr>
              <w:spacing w:before="4" w:after="4" w:line="218" w:lineRule="auto"/>
              <w:jc w:val="left"/>
            </w:pPr>
            <w:r>
              <w:rPr>
                <w:rFonts w:cs="Calibri"/>
                <w:color w:val="46565E"/>
                <w:sz w:val="17"/>
                <w:szCs w:val="17"/>
              </w:rPr>
              <w:t>May 22, 2026</w:t>
            </w:r>
          </w:p>
        </w:tc>
      </w:tr>
      <w:tr w:rsidR="00A502D4" w14:paraId="687B61C5" w14:textId="77777777">
        <w:trPr>
          <w:cantSplit/>
        </w:trPr>
        <w:tc>
          <w:tcPr>
            <w:tcW w:w="1083" w:type="dxa"/>
          </w:tcPr>
          <w:p w14:paraId="7E57658C" w14:textId="77777777" w:rsidR="00A502D4" w:rsidRDefault="00000000">
            <w:pPr>
              <w:spacing w:before="4" w:after="4" w:line="218" w:lineRule="auto"/>
              <w:jc w:val="left"/>
            </w:pPr>
            <w:r>
              <w:rPr>
                <w:rFonts w:cs="Calibri"/>
                <w:color w:val="46565E"/>
                <w:sz w:val="17"/>
                <w:szCs w:val="17"/>
              </w:rPr>
              <w:t>S18</w:t>
            </w:r>
          </w:p>
        </w:tc>
        <w:tc>
          <w:tcPr>
            <w:tcW w:w="6137" w:type="dxa"/>
          </w:tcPr>
          <w:p w14:paraId="79DF9F8C" w14:textId="77777777" w:rsidR="00A502D4" w:rsidRDefault="00000000">
            <w:pPr>
              <w:spacing w:before="4" w:after="4" w:line="218" w:lineRule="auto"/>
              <w:jc w:val="left"/>
            </w:pPr>
            <w:r>
              <w:rPr>
                <w:rFonts w:cs="Calibri"/>
                <w:color w:val="46565E"/>
                <w:sz w:val="17"/>
                <w:szCs w:val="17"/>
              </w:rPr>
              <w:t>CIC News, "Trump says Canada should join America. These Americans are joining Canada instead"</w:t>
            </w:r>
          </w:p>
        </w:tc>
        <w:tc>
          <w:tcPr>
            <w:tcW w:w="1805" w:type="dxa"/>
          </w:tcPr>
          <w:p w14:paraId="12F8A916" w14:textId="77777777" w:rsidR="00A502D4" w:rsidRDefault="00000000">
            <w:pPr>
              <w:spacing w:before="4" w:after="4" w:line="218" w:lineRule="auto"/>
              <w:jc w:val="left"/>
            </w:pPr>
            <w:r>
              <w:rPr>
                <w:rFonts w:cs="Calibri"/>
                <w:color w:val="46565E"/>
                <w:sz w:val="17"/>
                <w:szCs w:val="17"/>
              </w:rPr>
              <w:t>April 3, 2026</w:t>
            </w:r>
          </w:p>
        </w:tc>
      </w:tr>
      <w:tr w:rsidR="00A502D4" w14:paraId="2EDF5362" w14:textId="77777777">
        <w:trPr>
          <w:cantSplit/>
        </w:trPr>
        <w:tc>
          <w:tcPr>
            <w:tcW w:w="1083" w:type="dxa"/>
          </w:tcPr>
          <w:p w14:paraId="6062A5EB" w14:textId="77777777" w:rsidR="00A502D4" w:rsidRDefault="00000000">
            <w:pPr>
              <w:spacing w:before="4" w:after="4" w:line="218" w:lineRule="auto"/>
              <w:jc w:val="left"/>
            </w:pPr>
            <w:r>
              <w:rPr>
                <w:rFonts w:cs="Calibri"/>
                <w:color w:val="46565E"/>
                <w:sz w:val="17"/>
                <w:szCs w:val="17"/>
              </w:rPr>
              <w:t>S19</w:t>
            </w:r>
          </w:p>
        </w:tc>
        <w:tc>
          <w:tcPr>
            <w:tcW w:w="6137" w:type="dxa"/>
          </w:tcPr>
          <w:p w14:paraId="43842307" w14:textId="77777777" w:rsidR="00A502D4" w:rsidRDefault="00000000">
            <w:pPr>
              <w:spacing w:before="4" w:after="4" w:line="218" w:lineRule="auto"/>
              <w:jc w:val="left"/>
            </w:pPr>
            <w:r>
              <w:rPr>
                <w:rFonts w:cs="Calibri"/>
                <w:color w:val="46565E"/>
                <w:sz w:val="17"/>
                <w:szCs w:val="17"/>
              </w:rPr>
              <w:t>Trade Compliance Resource Hub, "Trump 2.0 tariff tracker"</w:t>
            </w:r>
          </w:p>
        </w:tc>
        <w:tc>
          <w:tcPr>
            <w:tcW w:w="1805" w:type="dxa"/>
          </w:tcPr>
          <w:p w14:paraId="3F40AAA5" w14:textId="77777777" w:rsidR="00A502D4" w:rsidRDefault="00000000">
            <w:pPr>
              <w:spacing w:before="4" w:after="4" w:line="218" w:lineRule="auto"/>
              <w:jc w:val="left"/>
            </w:pPr>
            <w:r>
              <w:rPr>
                <w:rFonts w:cs="Calibri"/>
                <w:color w:val="46565E"/>
                <w:sz w:val="17"/>
                <w:szCs w:val="17"/>
              </w:rPr>
              <w:t>July 27, 2026</w:t>
            </w:r>
          </w:p>
        </w:tc>
      </w:tr>
      <w:tr w:rsidR="00A502D4" w14:paraId="4911E32C" w14:textId="77777777">
        <w:trPr>
          <w:cantSplit/>
        </w:trPr>
        <w:tc>
          <w:tcPr>
            <w:tcW w:w="1083" w:type="dxa"/>
          </w:tcPr>
          <w:p w14:paraId="488EAF77" w14:textId="77777777" w:rsidR="00A502D4" w:rsidRDefault="00000000">
            <w:pPr>
              <w:spacing w:before="4" w:after="4" w:line="218" w:lineRule="auto"/>
              <w:jc w:val="left"/>
            </w:pPr>
            <w:r>
              <w:rPr>
                <w:rFonts w:cs="Calibri"/>
                <w:color w:val="46565E"/>
                <w:sz w:val="17"/>
                <w:szCs w:val="17"/>
              </w:rPr>
              <w:t>S20</w:t>
            </w:r>
          </w:p>
        </w:tc>
        <w:tc>
          <w:tcPr>
            <w:tcW w:w="6137" w:type="dxa"/>
          </w:tcPr>
          <w:p w14:paraId="24EE5268" w14:textId="77777777" w:rsidR="00A502D4" w:rsidRDefault="00000000">
            <w:pPr>
              <w:spacing w:before="4" w:after="4" w:line="218" w:lineRule="auto"/>
              <w:jc w:val="left"/>
            </w:pPr>
            <w:r>
              <w:rPr>
                <w:rFonts w:cs="Calibri"/>
                <w:color w:val="46565E"/>
                <w:sz w:val="17"/>
                <w:szCs w:val="17"/>
              </w:rPr>
              <w:t>TD Economics, "Canadian Quarterly Economic Forecast"</w:t>
            </w:r>
          </w:p>
        </w:tc>
        <w:tc>
          <w:tcPr>
            <w:tcW w:w="1805" w:type="dxa"/>
          </w:tcPr>
          <w:p w14:paraId="65DC2204" w14:textId="77777777" w:rsidR="00A502D4" w:rsidRDefault="00000000">
            <w:pPr>
              <w:spacing w:before="4" w:after="4" w:line="218" w:lineRule="auto"/>
              <w:jc w:val="left"/>
            </w:pPr>
            <w:r>
              <w:rPr>
                <w:rFonts w:cs="Calibri"/>
                <w:color w:val="46565E"/>
                <w:sz w:val="17"/>
                <w:szCs w:val="17"/>
              </w:rPr>
              <w:t>June 18, 2026</w:t>
            </w:r>
          </w:p>
        </w:tc>
      </w:tr>
      <w:tr w:rsidR="00A502D4" w14:paraId="57CBBDAD" w14:textId="77777777">
        <w:trPr>
          <w:cantSplit/>
        </w:trPr>
        <w:tc>
          <w:tcPr>
            <w:tcW w:w="1083" w:type="dxa"/>
          </w:tcPr>
          <w:p w14:paraId="4E44E227" w14:textId="77777777" w:rsidR="00A502D4" w:rsidRDefault="00000000">
            <w:pPr>
              <w:spacing w:before="4" w:after="4" w:line="218" w:lineRule="auto"/>
              <w:jc w:val="left"/>
            </w:pPr>
            <w:r>
              <w:rPr>
                <w:rFonts w:cs="Calibri"/>
                <w:color w:val="46565E"/>
                <w:sz w:val="17"/>
                <w:szCs w:val="17"/>
              </w:rPr>
              <w:t>S21</w:t>
            </w:r>
          </w:p>
        </w:tc>
        <w:tc>
          <w:tcPr>
            <w:tcW w:w="6137" w:type="dxa"/>
          </w:tcPr>
          <w:p w14:paraId="43A4E3D6" w14:textId="77777777" w:rsidR="00A502D4" w:rsidRDefault="00000000">
            <w:pPr>
              <w:spacing w:before="4" w:after="4" w:line="218" w:lineRule="auto"/>
              <w:jc w:val="left"/>
            </w:pPr>
            <w:r>
              <w:rPr>
                <w:rFonts w:cs="Calibri"/>
                <w:color w:val="46565E"/>
                <w:sz w:val="17"/>
                <w:szCs w:val="17"/>
              </w:rPr>
              <w:t>Global Affairs Canada, Office of the Chief Economist, "Quarterly Economic and Trade Report: Winter 2026" (Bank of Canada October MPR figures)</w:t>
            </w:r>
          </w:p>
        </w:tc>
        <w:tc>
          <w:tcPr>
            <w:tcW w:w="1805" w:type="dxa"/>
          </w:tcPr>
          <w:p w14:paraId="27C55146" w14:textId="77777777" w:rsidR="00A502D4" w:rsidRDefault="00000000">
            <w:pPr>
              <w:spacing w:before="4" w:after="4" w:line="218" w:lineRule="auto"/>
              <w:jc w:val="left"/>
            </w:pPr>
            <w:r>
              <w:rPr>
                <w:rFonts w:cs="Calibri"/>
                <w:color w:val="46565E"/>
                <w:sz w:val="17"/>
                <w:szCs w:val="17"/>
              </w:rPr>
              <w:t>October 2025</w:t>
            </w:r>
          </w:p>
        </w:tc>
      </w:tr>
      <w:tr w:rsidR="00A502D4" w14:paraId="257D458F" w14:textId="77777777">
        <w:trPr>
          <w:cantSplit/>
        </w:trPr>
        <w:tc>
          <w:tcPr>
            <w:tcW w:w="1083" w:type="dxa"/>
          </w:tcPr>
          <w:p w14:paraId="3E38681F" w14:textId="77777777" w:rsidR="00A502D4" w:rsidRDefault="00000000">
            <w:pPr>
              <w:spacing w:before="4" w:after="4" w:line="218" w:lineRule="auto"/>
              <w:jc w:val="left"/>
            </w:pPr>
            <w:r>
              <w:rPr>
                <w:rFonts w:cs="Calibri"/>
                <w:color w:val="46565E"/>
                <w:sz w:val="17"/>
                <w:szCs w:val="17"/>
              </w:rPr>
              <w:t>S22</w:t>
            </w:r>
          </w:p>
        </w:tc>
        <w:tc>
          <w:tcPr>
            <w:tcW w:w="6137" w:type="dxa"/>
          </w:tcPr>
          <w:p w14:paraId="14FF31AD" w14:textId="77777777" w:rsidR="00A502D4" w:rsidRDefault="00000000">
            <w:pPr>
              <w:spacing w:before="4" w:after="4" w:line="218" w:lineRule="auto"/>
              <w:jc w:val="left"/>
            </w:pPr>
            <w:r>
              <w:rPr>
                <w:rFonts w:cs="Calibri"/>
                <w:color w:val="46565E"/>
                <w:sz w:val="17"/>
                <w:szCs w:val="17"/>
              </w:rPr>
              <w:t>Financial Accountability Office of Ontario, "The Potential Impacts of US Tariffs on the Ontario Economy"</w:t>
            </w:r>
          </w:p>
        </w:tc>
        <w:tc>
          <w:tcPr>
            <w:tcW w:w="1805" w:type="dxa"/>
          </w:tcPr>
          <w:p w14:paraId="1D21671B" w14:textId="77777777" w:rsidR="00A502D4" w:rsidRDefault="00000000">
            <w:pPr>
              <w:spacing w:before="4" w:after="4" w:line="218" w:lineRule="auto"/>
              <w:jc w:val="left"/>
            </w:pPr>
            <w:r>
              <w:rPr>
                <w:rFonts w:cs="Calibri"/>
                <w:color w:val="46565E"/>
                <w:sz w:val="17"/>
                <w:szCs w:val="17"/>
              </w:rPr>
              <w:t>April 2025</w:t>
            </w:r>
          </w:p>
        </w:tc>
      </w:tr>
      <w:tr w:rsidR="00A502D4" w14:paraId="49D96D9C" w14:textId="77777777">
        <w:trPr>
          <w:cantSplit/>
        </w:trPr>
        <w:tc>
          <w:tcPr>
            <w:tcW w:w="1083" w:type="dxa"/>
          </w:tcPr>
          <w:p w14:paraId="51E2551E" w14:textId="77777777" w:rsidR="00A502D4" w:rsidRDefault="00000000">
            <w:pPr>
              <w:spacing w:before="4" w:after="4" w:line="218" w:lineRule="auto"/>
              <w:jc w:val="left"/>
            </w:pPr>
            <w:r>
              <w:rPr>
                <w:rFonts w:cs="Calibri"/>
                <w:color w:val="46565E"/>
                <w:sz w:val="17"/>
                <w:szCs w:val="17"/>
              </w:rPr>
              <w:t>S23</w:t>
            </w:r>
          </w:p>
        </w:tc>
        <w:tc>
          <w:tcPr>
            <w:tcW w:w="6137" w:type="dxa"/>
          </w:tcPr>
          <w:p w14:paraId="72E83564" w14:textId="77777777" w:rsidR="00A502D4" w:rsidRDefault="00000000">
            <w:pPr>
              <w:spacing w:before="4" w:after="4" w:line="218" w:lineRule="auto"/>
              <w:jc w:val="left"/>
            </w:pPr>
            <w:r>
              <w:rPr>
                <w:rFonts w:cs="Calibri"/>
                <w:color w:val="46565E"/>
                <w:sz w:val="17"/>
                <w:szCs w:val="17"/>
              </w:rPr>
              <w:t>JD Supra, "Hot Topics in International Trade" (MPEP middle-power coalition analysis)</w:t>
            </w:r>
          </w:p>
        </w:tc>
        <w:tc>
          <w:tcPr>
            <w:tcW w:w="1805" w:type="dxa"/>
          </w:tcPr>
          <w:p w14:paraId="515520D5" w14:textId="77777777" w:rsidR="00A502D4" w:rsidRDefault="00000000">
            <w:pPr>
              <w:spacing w:before="4" w:after="4" w:line="218" w:lineRule="auto"/>
              <w:jc w:val="left"/>
            </w:pPr>
            <w:r>
              <w:rPr>
                <w:rFonts w:cs="Calibri"/>
                <w:color w:val="46565E"/>
                <w:sz w:val="17"/>
                <w:szCs w:val="17"/>
              </w:rPr>
              <w:t>March 19, 2026</w:t>
            </w:r>
          </w:p>
        </w:tc>
      </w:tr>
      <w:tr w:rsidR="00A502D4" w14:paraId="4BE7B2BE" w14:textId="77777777">
        <w:trPr>
          <w:cantSplit/>
        </w:trPr>
        <w:tc>
          <w:tcPr>
            <w:tcW w:w="1083" w:type="dxa"/>
          </w:tcPr>
          <w:p w14:paraId="354ED888" w14:textId="77777777" w:rsidR="00A502D4" w:rsidRDefault="00000000">
            <w:pPr>
              <w:spacing w:before="4" w:after="4" w:line="218" w:lineRule="auto"/>
              <w:jc w:val="left"/>
            </w:pPr>
            <w:r>
              <w:rPr>
                <w:rFonts w:cs="Calibri"/>
                <w:color w:val="46565E"/>
                <w:sz w:val="17"/>
                <w:szCs w:val="17"/>
              </w:rPr>
              <w:t>S24</w:t>
            </w:r>
          </w:p>
        </w:tc>
        <w:tc>
          <w:tcPr>
            <w:tcW w:w="6137" w:type="dxa"/>
          </w:tcPr>
          <w:p w14:paraId="2CD5B199" w14:textId="77777777" w:rsidR="00A502D4" w:rsidRDefault="00000000">
            <w:pPr>
              <w:spacing w:before="4" w:after="4" w:line="218" w:lineRule="auto"/>
              <w:jc w:val="left"/>
            </w:pPr>
            <w:r>
              <w:rPr>
                <w:rFonts w:cs="Calibri"/>
                <w:color w:val="46565E"/>
                <w:sz w:val="17"/>
                <w:szCs w:val="17"/>
              </w:rPr>
              <w:t>Wikipedia, "Anti-Coercion Instrument" (British Chambers of Commerce call, April 26, 2026)</w:t>
            </w:r>
          </w:p>
        </w:tc>
        <w:tc>
          <w:tcPr>
            <w:tcW w:w="1805" w:type="dxa"/>
          </w:tcPr>
          <w:p w14:paraId="1D0B0C68" w14:textId="77777777" w:rsidR="00A502D4" w:rsidRDefault="00000000">
            <w:pPr>
              <w:spacing w:before="4" w:after="4" w:line="218" w:lineRule="auto"/>
              <w:jc w:val="left"/>
            </w:pPr>
            <w:r>
              <w:rPr>
                <w:rFonts w:cs="Calibri"/>
                <w:color w:val="46565E"/>
                <w:sz w:val="17"/>
                <w:szCs w:val="17"/>
              </w:rPr>
              <w:t>April 2026</w:t>
            </w:r>
          </w:p>
        </w:tc>
      </w:tr>
      <w:tr w:rsidR="00A502D4" w14:paraId="6E4735FF" w14:textId="77777777">
        <w:trPr>
          <w:cantSplit/>
        </w:trPr>
        <w:tc>
          <w:tcPr>
            <w:tcW w:w="1083" w:type="dxa"/>
          </w:tcPr>
          <w:p w14:paraId="12C10F5F" w14:textId="77777777" w:rsidR="00A502D4" w:rsidRDefault="00000000">
            <w:pPr>
              <w:spacing w:before="4" w:after="4" w:line="218" w:lineRule="auto"/>
              <w:jc w:val="left"/>
            </w:pPr>
            <w:r>
              <w:rPr>
                <w:rFonts w:cs="Calibri"/>
                <w:color w:val="46565E"/>
                <w:sz w:val="17"/>
                <w:szCs w:val="17"/>
              </w:rPr>
              <w:t>S25</w:t>
            </w:r>
          </w:p>
        </w:tc>
        <w:tc>
          <w:tcPr>
            <w:tcW w:w="6137" w:type="dxa"/>
          </w:tcPr>
          <w:p w14:paraId="13777C04" w14:textId="77777777" w:rsidR="00A502D4" w:rsidRDefault="00000000">
            <w:pPr>
              <w:spacing w:before="4" w:after="4" w:line="218" w:lineRule="auto"/>
              <w:jc w:val="left"/>
            </w:pPr>
            <w:r>
              <w:rPr>
                <w:rFonts w:cs="Calibri"/>
                <w:color w:val="46565E"/>
                <w:sz w:val="17"/>
                <w:szCs w:val="17"/>
              </w:rPr>
              <w:t>European Relations, "EU weighs first activation of Anti-Coercion Instrument amid Trump tariff threats"</w:t>
            </w:r>
          </w:p>
        </w:tc>
        <w:tc>
          <w:tcPr>
            <w:tcW w:w="1805" w:type="dxa"/>
          </w:tcPr>
          <w:p w14:paraId="69DD6A63" w14:textId="77777777" w:rsidR="00A502D4" w:rsidRDefault="00000000">
            <w:pPr>
              <w:spacing w:before="4" w:after="4" w:line="218" w:lineRule="auto"/>
              <w:jc w:val="left"/>
            </w:pPr>
            <w:r>
              <w:rPr>
                <w:rFonts w:cs="Calibri"/>
                <w:color w:val="46565E"/>
                <w:sz w:val="17"/>
                <w:szCs w:val="17"/>
              </w:rPr>
              <w:t>January 21, 2026</w:t>
            </w:r>
          </w:p>
        </w:tc>
      </w:tr>
      <w:tr w:rsidR="00A502D4" w14:paraId="0DF9CA53" w14:textId="77777777">
        <w:trPr>
          <w:cantSplit/>
        </w:trPr>
        <w:tc>
          <w:tcPr>
            <w:tcW w:w="1083" w:type="dxa"/>
          </w:tcPr>
          <w:p w14:paraId="3CEF7644" w14:textId="77777777" w:rsidR="00A502D4" w:rsidRDefault="00000000">
            <w:pPr>
              <w:spacing w:before="4" w:after="4" w:line="218" w:lineRule="auto"/>
              <w:jc w:val="left"/>
            </w:pPr>
            <w:r>
              <w:rPr>
                <w:rFonts w:cs="Calibri"/>
                <w:color w:val="46565E"/>
                <w:sz w:val="17"/>
                <w:szCs w:val="17"/>
              </w:rPr>
              <w:t>S26</w:t>
            </w:r>
          </w:p>
        </w:tc>
        <w:tc>
          <w:tcPr>
            <w:tcW w:w="6137" w:type="dxa"/>
          </w:tcPr>
          <w:p w14:paraId="4998E7A5" w14:textId="77777777" w:rsidR="00A502D4" w:rsidRDefault="00000000">
            <w:pPr>
              <w:spacing w:before="4" w:after="4" w:line="218" w:lineRule="auto"/>
              <w:jc w:val="left"/>
            </w:pPr>
            <w:r>
              <w:rPr>
                <w:rFonts w:cs="Calibri"/>
                <w:color w:val="46565E"/>
                <w:sz w:val="17"/>
                <w:szCs w:val="17"/>
              </w:rPr>
              <w:t>Skadden, "The EU's Response to US Tariffs: Response Measures Under the Anti-Coercion Instrument" (Regulation (EU) 2023/2675)</w:t>
            </w:r>
          </w:p>
        </w:tc>
        <w:tc>
          <w:tcPr>
            <w:tcW w:w="1805" w:type="dxa"/>
          </w:tcPr>
          <w:p w14:paraId="09FB6FB9" w14:textId="77777777" w:rsidR="00A502D4" w:rsidRDefault="00000000">
            <w:pPr>
              <w:spacing w:before="4" w:after="4" w:line="218" w:lineRule="auto"/>
              <w:jc w:val="left"/>
            </w:pPr>
            <w:r>
              <w:rPr>
                <w:rFonts w:cs="Calibri"/>
                <w:color w:val="46565E"/>
                <w:sz w:val="17"/>
                <w:szCs w:val="17"/>
              </w:rPr>
              <w:t>March 24, 2025</w:t>
            </w:r>
          </w:p>
        </w:tc>
      </w:tr>
      <w:tr w:rsidR="00A502D4" w14:paraId="67F0ABF7" w14:textId="77777777">
        <w:trPr>
          <w:cantSplit/>
        </w:trPr>
        <w:tc>
          <w:tcPr>
            <w:tcW w:w="1083" w:type="dxa"/>
          </w:tcPr>
          <w:p w14:paraId="42D39BE2" w14:textId="77777777" w:rsidR="00A502D4" w:rsidRDefault="00000000">
            <w:pPr>
              <w:spacing w:before="4" w:after="4" w:line="218" w:lineRule="auto"/>
              <w:jc w:val="left"/>
            </w:pPr>
            <w:r>
              <w:rPr>
                <w:rFonts w:cs="Calibri"/>
                <w:color w:val="46565E"/>
                <w:sz w:val="17"/>
                <w:szCs w:val="17"/>
              </w:rPr>
              <w:t>S27</w:t>
            </w:r>
          </w:p>
        </w:tc>
        <w:tc>
          <w:tcPr>
            <w:tcW w:w="6137" w:type="dxa"/>
          </w:tcPr>
          <w:p w14:paraId="4B0FFCC0" w14:textId="77777777" w:rsidR="00A502D4" w:rsidRDefault="00000000">
            <w:pPr>
              <w:spacing w:before="4" w:after="4" w:line="218" w:lineRule="auto"/>
              <w:jc w:val="left"/>
            </w:pPr>
            <w:r>
              <w:rPr>
                <w:rFonts w:cs="Calibri"/>
                <w:color w:val="46565E"/>
                <w:sz w:val="17"/>
                <w:szCs w:val="17"/>
              </w:rPr>
              <w:t>LSE European Politics Blog, "Can the EU's anti-coercion instrument counter Trump's tariffs?"</w:t>
            </w:r>
          </w:p>
        </w:tc>
        <w:tc>
          <w:tcPr>
            <w:tcW w:w="1805" w:type="dxa"/>
          </w:tcPr>
          <w:p w14:paraId="3F602ED0" w14:textId="77777777" w:rsidR="00A502D4" w:rsidRDefault="00000000">
            <w:pPr>
              <w:spacing w:before="4" w:after="4" w:line="218" w:lineRule="auto"/>
              <w:jc w:val="left"/>
            </w:pPr>
            <w:r>
              <w:rPr>
                <w:rFonts w:cs="Calibri"/>
                <w:color w:val="46565E"/>
                <w:sz w:val="17"/>
                <w:szCs w:val="17"/>
              </w:rPr>
              <w:t>January 20, 2026</w:t>
            </w:r>
          </w:p>
        </w:tc>
      </w:tr>
      <w:tr w:rsidR="00A502D4" w14:paraId="4A3670C6" w14:textId="77777777">
        <w:trPr>
          <w:cantSplit/>
        </w:trPr>
        <w:tc>
          <w:tcPr>
            <w:tcW w:w="1083" w:type="dxa"/>
          </w:tcPr>
          <w:p w14:paraId="17020ABC" w14:textId="77777777" w:rsidR="00A502D4" w:rsidRDefault="00000000">
            <w:pPr>
              <w:spacing w:before="4" w:after="4" w:line="218" w:lineRule="auto"/>
              <w:jc w:val="left"/>
            </w:pPr>
            <w:r>
              <w:rPr>
                <w:rFonts w:cs="Calibri"/>
                <w:color w:val="46565E"/>
                <w:sz w:val="17"/>
                <w:szCs w:val="17"/>
              </w:rPr>
              <w:t>S28</w:t>
            </w:r>
          </w:p>
        </w:tc>
        <w:tc>
          <w:tcPr>
            <w:tcW w:w="6137" w:type="dxa"/>
          </w:tcPr>
          <w:p w14:paraId="44628645" w14:textId="77777777" w:rsidR="00A502D4" w:rsidRDefault="00000000">
            <w:pPr>
              <w:spacing w:before="4" w:after="4" w:line="218" w:lineRule="auto"/>
              <w:jc w:val="left"/>
            </w:pPr>
            <w:r>
              <w:rPr>
                <w:rFonts w:cs="Calibri"/>
                <w:color w:val="46565E"/>
                <w:sz w:val="17"/>
                <w:szCs w:val="17"/>
              </w:rPr>
              <w:t>WTO Panel Report, Russia: Traffic in Transit (DS512); QIL analysis</w:t>
            </w:r>
          </w:p>
        </w:tc>
        <w:tc>
          <w:tcPr>
            <w:tcW w:w="1805" w:type="dxa"/>
          </w:tcPr>
          <w:p w14:paraId="12C5D2D8" w14:textId="77777777" w:rsidR="00A502D4" w:rsidRDefault="00000000">
            <w:pPr>
              <w:spacing w:before="4" w:after="4" w:line="218" w:lineRule="auto"/>
              <w:jc w:val="left"/>
            </w:pPr>
            <w:r>
              <w:rPr>
                <w:rFonts w:cs="Calibri"/>
                <w:color w:val="46565E"/>
                <w:sz w:val="17"/>
                <w:szCs w:val="17"/>
              </w:rPr>
              <w:t>April 2019</w:t>
            </w:r>
          </w:p>
        </w:tc>
      </w:tr>
      <w:tr w:rsidR="00A502D4" w14:paraId="6F9D9DD9" w14:textId="77777777">
        <w:trPr>
          <w:cantSplit/>
        </w:trPr>
        <w:tc>
          <w:tcPr>
            <w:tcW w:w="1083" w:type="dxa"/>
          </w:tcPr>
          <w:p w14:paraId="259140A3" w14:textId="77777777" w:rsidR="00A502D4" w:rsidRDefault="00000000">
            <w:pPr>
              <w:spacing w:before="4" w:after="4" w:line="218" w:lineRule="auto"/>
              <w:jc w:val="left"/>
            </w:pPr>
            <w:r>
              <w:rPr>
                <w:rFonts w:cs="Calibri"/>
                <w:color w:val="46565E"/>
                <w:sz w:val="17"/>
                <w:szCs w:val="17"/>
              </w:rPr>
              <w:t>S29</w:t>
            </w:r>
          </w:p>
        </w:tc>
        <w:tc>
          <w:tcPr>
            <w:tcW w:w="6137" w:type="dxa"/>
          </w:tcPr>
          <w:p w14:paraId="5069657C" w14:textId="77777777" w:rsidR="00A502D4" w:rsidRDefault="00000000">
            <w:pPr>
              <w:spacing w:before="4" w:after="4" w:line="218" w:lineRule="auto"/>
              <w:jc w:val="left"/>
            </w:pPr>
            <w:r>
              <w:rPr>
                <w:rFonts w:cs="Calibri"/>
                <w:color w:val="46565E"/>
                <w:sz w:val="17"/>
                <w:szCs w:val="17"/>
              </w:rPr>
              <w:t xml:space="preserve">WTO </w:t>
            </w:r>
            <w:proofErr w:type="spellStart"/>
            <w:r>
              <w:rPr>
                <w:rFonts w:cs="Calibri"/>
                <w:color w:val="46565E"/>
                <w:sz w:val="17"/>
                <w:szCs w:val="17"/>
              </w:rPr>
              <w:t>Plurilaterals</w:t>
            </w:r>
            <w:proofErr w:type="spellEnd"/>
            <w:r>
              <w:rPr>
                <w:rFonts w:cs="Calibri"/>
                <w:color w:val="46565E"/>
                <w:sz w:val="17"/>
                <w:szCs w:val="17"/>
              </w:rPr>
              <w:t xml:space="preserve"> Initiative, "The MPIA" (Appellate Body status)</w:t>
            </w:r>
          </w:p>
        </w:tc>
        <w:tc>
          <w:tcPr>
            <w:tcW w:w="1805" w:type="dxa"/>
          </w:tcPr>
          <w:p w14:paraId="76672FB1" w14:textId="77777777" w:rsidR="00A502D4" w:rsidRDefault="00000000">
            <w:pPr>
              <w:spacing w:before="4" w:after="4" w:line="218" w:lineRule="auto"/>
              <w:jc w:val="left"/>
            </w:pPr>
            <w:r>
              <w:rPr>
                <w:rFonts w:cs="Calibri"/>
                <w:color w:val="46565E"/>
                <w:sz w:val="17"/>
                <w:szCs w:val="17"/>
              </w:rPr>
              <w:t>March 2026</w:t>
            </w:r>
          </w:p>
        </w:tc>
      </w:tr>
      <w:tr w:rsidR="00A502D4" w14:paraId="23650D83" w14:textId="77777777">
        <w:trPr>
          <w:cantSplit/>
        </w:trPr>
        <w:tc>
          <w:tcPr>
            <w:tcW w:w="1083" w:type="dxa"/>
          </w:tcPr>
          <w:p w14:paraId="0CBD741D" w14:textId="77777777" w:rsidR="00A502D4" w:rsidRDefault="00000000">
            <w:pPr>
              <w:spacing w:before="4" w:after="4" w:line="218" w:lineRule="auto"/>
              <w:jc w:val="left"/>
            </w:pPr>
            <w:r>
              <w:rPr>
                <w:rFonts w:cs="Calibri"/>
                <w:color w:val="46565E"/>
                <w:sz w:val="17"/>
                <w:szCs w:val="17"/>
              </w:rPr>
              <w:t>S30</w:t>
            </w:r>
          </w:p>
        </w:tc>
        <w:tc>
          <w:tcPr>
            <w:tcW w:w="6137" w:type="dxa"/>
          </w:tcPr>
          <w:p w14:paraId="5B1C2DC3" w14:textId="77777777" w:rsidR="00A502D4" w:rsidRDefault="00000000">
            <w:pPr>
              <w:spacing w:before="4" w:after="4" w:line="218" w:lineRule="auto"/>
              <w:jc w:val="left"/>
            </w:pPr>
            <w:r>
              <w:rPr>
                <w:rFonts w:cs="Calibri"/>
                <w:color w:val="46565E"/>
                <w:sz w:val="17"/>
                <w:szCs w:val="17"/>
              </w:rPr>
              <w:t>WTO, "Alternative Dispute Resolution Procedures: MPIA participants"</w:t>
            </w:r>
          </w:p>
        </w:tc>
        <w:tc>
          <w:tcPr>
            <w:tcW w:w="1805" w:type="dxa"/>
          </w:tcPr>
          <w:p w14:paraId="631478A4" w14:textId="77777777" w:rsidR="00A502D4" w:rsidRDefault="00000000">
            <w:pPr>
              <w:spacing w:before="4" w:after="4" w:line="218" w:lineRule="auto"/>
              <w:jc w:val="left"/>
            </w:pPr>
            <w:r>
              <w:rPr>
                <w:rFonts w:cs="Calibri"/>
                <w:color w:val="46565E"/>
                <w:sz w:val="17"/>
                <w:szCs w:val="17"/>
              </w:rPr>
              <w:t>Current list</w:t>
            </w:r>
          </w:p>
        </w:tc>
      </w:tr>
      <w:tr w:rsidR="00A502D4" w14:paraId="61B983C6" w14:textId="77777777">
        <w:trPr>
          <w:cantSplit/>
        </w:trPr>
        <w:tc>
          <w:tcPr>
            <w:tcW w:w="1083" w:type="dxa"/>
          </w:tcPr>
          <w:p w14:paraId="76C41D93" w14:textId="77777777" w:rsidR="00A502D4" w:rsidRDefault="00000000">
            <w:pPr>
              <w:spacing w:before="4" w:after="4" w:line="218" w:lineRule="auto"/>
              <w:jc w:val="left"/>
            </w:pPr>
            <w:r>
              <w:rPr>
                <w:rFonts w:cs="Calibri"/>
                <w:color w:val="46565E"/>
                <w:sz w:val="17"/>
                <w:szCs w:val="17"/>
              </w:rPr>
              <w:t>S31</w:t>
            </w:r>
          </w:p>
        </w:tc>
        <w:tc>
          <w:tcPr>
            <w:tcW w:w="6137" w:type="dxa"/>
          </w:tcPr>
          <w:p w14:paraId="5CAF7913" w14:textId="77777777" w:rsidR="00A502D4" w:rsidRDefault="00000000">
            <w:pPr>
              <w:spacing w:before="4" w:after="4" w:line="218" w:lineRule="auto"/>
              <w:jc w:val="left"/>
            </w:pPr>
            <w:r>
              <w:rPr>
                <w:rFonts w:cs="Calibri"/>
                <w:color w:val="46565E"/>
                <w:sz w:val="17"/>
                <w:szCs w:val="17"/>
              </w:rPr>
              <w:t>Wolters Kluwer Arbitration Blog, "Three Years of the MPIA"</w:t>
            </w:r>
          </w:p>
        </w:tc>
        <w:tc>
          <w:tcPr>
            <w:tcW w:w="1805" w:type="dxa"/>
          </w:tcPr>
          <w:p w14:paraId="52C4C4AA" w14:textId="77777777" w:rsidR="00A502D4" w:rsidRDefault="00000000">
            <w:pPr>
              <w:spacing w:before="4" w:after="4" w:line="218" w:lineRule="auto"/>
              <w:jc w:val="left"/>
            </w:pPr>
            <w:r>
              <w:rPr>
                <w:rFonts w:cs="Calibri"/>
                <w:color w:val="46565E"/>
                <w:sz w:val="17"/>
                <w:szCs w:val="17"/>
              </w:rPr>
              <w:t>August 2023</w:t>
            </w:r>
          </w:p>
        </w:tc>
      </w:tr>
      <w:tr w:rsidR="00A502D4" w14:paraId="53EFA9CA" w14:textId="77777777">
        <w:trPr>
          <w:cantSplit/>
        </w:trPr>
        <w:tc>
          <w:tcPr>
            <w:tcW w:w="1083" w:type="dxa"/>
          </w:tcPr>
          <w:p w14:paraId="250130DA" w14:textId="77777777" w:rsidR="00A502D4" w:rsidRDefault="00000000">
            <w:pPr>
              <w:spacing w:before="4" w:after="4" w:line="218" w:lineRule="auto"/>
              <w:jc w:val="left"/>
            </w:pPr>
            <w:r>
              <w:rPr>
                <w:rFonts w:cs="Calibri"/>
                <w:color w:val="46565E"/>
                <w:sz w:val="17"/>
                <w:szCs w:val="17"/>
              </w:rPr>
              <w:t>S32</w:t>
            </w:r>
          </w:p>
        </w:tc>
        <w:tc>
          <w:tcPr>
            <w:tcW w:w="6137" w:type="dxa"/>
          </w:tcPr>
          <w:p w14:paraId="39BBE094" w14:textId="77777777" w:rsidR="00A502D4" w:rsidRDefault="00000000">
            <w:pPr>
              <w:spacing w:before="4" w:after="4" w:line="218" w:lineRule="auto"/>
              <w:jc w:val="left"/>
            </w:pPr>
            <w:r>
              <w:rPr>
                <w:rFonts w:cs="Calibri"/>
                <w:color w:val="46565E"/>
                <w:sz w:val="17"/>
                <w:szCs w:val="17"/>
              </w:rPr>
              <w:t>Trade Beta Blog, "WTO report's adoption and the binding nature of appeal-by-arbitration" (DS591)</w:t>
            </w:r>
          </w:p>
        </w:tc>
        <w:tc>
          <w:tcPr>
            <w:tcW w:w="1805" w:type="dxa"/>
          </w:tcPr>
          <w:p w14:paraId="77A36F3F" w14:textId="77777777" w:rsidR="00A502D4" w:rsidRDefault="00000000">
            <w:pPr>
              <w:spacing w:before="4" w:after="4" w:line="218" w:lineRule="auto"/>
              <w:jc w:val="left"/>
            </w:pPr>
            <w:r>
              <w:rPr>
                <w:rFonts w:cs="Calibri"/>
                <w:color w:val="46565E"/>
                <w:sz w:val="17"/>
                <w:szCs w:val="17"/>
              </w:rPr>
              <w:t>November 26, 2025</w:t>
            </w:r>
          </w:p>
        </w:tc>
      </w:tr>
      <w:tr w:rsidR="00A502D4" w14:paraId="3ED15BF5" w14:textId="77777777">
        <w:trPr>
          <w:cantSplit/>
        </w:trPr>
        <w:tc>
          <w:tcPr>
            <w:tcW w:w="1083" w:type="dxa"/>
          </w:tcPr>
          <w:p w14:paraId="2C51856C" w14:textId="77777777" w:rsidR="00A502D4" w:rsidRDefault="00000000">
            <w:pPr>
              <w:spacing w:before="4" w:after="4" w:line="218" w:lineRule="auto"/>
              <w:jc w:val="left"/>
            </w:pPr>
            <w:r>
              <w:rPr>
                <w:rFonts w:cs="Calibri"/>
                <w:color w:val="46565E"/>
                <w:sz w:val="17"/>
                <w:szCs w:val="17"/>
              </w:rPr>
              <w:t>S33</w:t>
            </w:r>
          </w:p>
        </w:tc>
        <w:tc>
          <w:tcPr>
            <w:tcW w:w="6137" w:type="dxa"/>
          </w:tcPr>
          <w:p w14:paraId="4E784E4F" w14:textId="77777777" w:rsidR="00A502D4" w:rsidRDefault="00000000">
            <w:pPr>
              <w:spacing w:before="4" w:after="4" w:line="218" w:lineRule="auto"/>
              <w:jc w:val="left"/>
            </w:pPr>
            <w:r>
              <w:rPr>
                <w:rFonts w:cs="Calibri"/>
                <w:color w:val="46565E"/>
                <w:sz w:val="17"/>
                <w:szCs w:val="17"/>
              </w:rPr>
              <w:t>WTO, "Canada: dispute settlement news archive"</w:t>
            </w:r>
          </w:p>
        </w:tc>
        <w:tc>
          <w:tcPr>
            <w:tcW w:w="1805" w:type="dxa"/>
          </w:tcPr>
          <w:p w14:paraId="786110E0" w14:textId="77777777" w:rsidR="00A502D4" w:rsidRDefault="00000000">
            <w:pPr>
              <w:spacing w:before="4" w:after="4" w:line="218" w:lineRule="auto"/>
              <w:jc w:val="left"/>
            </w:pPr>
            <w:r>
              <w:rPr>
                <w:rFonts w:cs="Calibri"/>
                <w:color w:val="46565E"/>
                <w:sz w:val="17"/>
                <w:szCs w:val="17"/>
              </w:rPr>
              <w:t>2025 filings</w:t>
            </w:r>
          </w:p>
        </w:tc>
      </w:tr>
      <w:tr w:rsidR="00A502D4" w14:paraId="12E8775B" w14:textId="77777777">
        <w:trPr>
          <w:cantSplit/>
        </w:trPr>
        <w:tc>
          <w:tcPr>
            <w:tcW w:w="1083" w:type="dxa"/>
          </w:tcPr>
          <w:p w14:paraId="00C1A624" w14:textId="77777777" w:rsidR="00A502D4" w:rsidRDefault="00000000">
            <w:pPr>
              <w:spacing w:before="4" w:after="4" w:line="218" w:lineRule="auto"/>
              <w:jc w:val="left"/>
            </w:pPr>
            <w:r>
              <w:rPr>
                <w:rFonts w:cs="Calibri"/>
                <w:color w:val="46565E"/>
                <w:sz w:val="17"/>
                <w:szCs w:val="17"/>
              </w:rPr>
              <w:t>S34</w:t>
            </w:r>
          </w:p>
        </w:tc>
        <w:tc>
          <w:tcPr>
            <w:tcW w:w="6137" w:type="dxa"/>
          </w:tcPr>
          <w:p w14:paraId="200F6848" w14:textId="77777777" w:rsidR="00A502D4" w:rsidRDefault="00000000">
            <w:pPr>
              <w:spacing w:before="4" w:after="4" w:line="218" w:lineRule="auto"/>
              <w:jc w:val="left"/>
            </w:pPr>
            <w:r>
              <w:rPr>
                <w:rFonts w:cs="Calibri"/>
                <w:color w:val="46565E"/>
                <w:sz w:val="17"/>
                <w:szCs w:val="17"/>
              </w:rPr>
              <w:t>Blake, Cassels &amp; Graydon, "Canada Initiates WTO Dispute Consultations Over Tariffs" (forum election)</w:t>
            </w:r>
          </w:p>
        </w:tc>
        <w:tc>
          <w:tcPr>
            <w:tcW w:w="1805" w:type="dxa"/>
          </w:tcPr>
          <w:p w14:paraId="0A20444A" w14:textId="77777777" w:rsidR="00A502D4" w:rsidRDefault="00000000">
            <w:pPr>
              <w:spacing w:before="4" w:after="4" w:line="218" w:lineRule="auto"/>
              <w:jc w:val="left"/>
            </w:pPr>
            <w:r>
              <w:rPr>
                <w:rFonts w:cs="Calibri"/>
                <w:color w:val="46565E"/>
                <w:sz w:val="17"/>
                <w:szCs w:val="17"/>
              </w:rPr>
              <w:t>March 20, 2025</w:t>
            </w:r>
          </w:p>
        </w:tc>
      </w:tr>
      <w:tr w:rsidR="00A502D4" w14:paraId="48BD42BE" w14:textId="77777777">
        <w:trPr>
          <w:cantSplit/>
        </w:trPr>
        <w:tc>
          <w:tcPr>
            <w:tcW w:w="1083" w:type="dxa"/>
          </w:tcPr>
          <w:p w14:paraId="7B379D2F" w14:textId="77777777" w:rsidR="00A502D4" w:rsidRDefault="00000000">
            <w:pPr>
              <w:spacing w:before="4" w:after="4" w:line="218" w:lineRule="auto"/>
              <w:jc w:val="left"/>
            </w:pPr>
            <w:r>
              <w:rPr>
                <w:rFonts w:cs="Calibri"/>
                <w:color w:val="46565E"/>
                <w:sz w:val="17"/>
                <w:szCs w:val="17"/>
              </w:rPr>
              <w:t>S35</w:t>
            </w:r>
          </w:p>
        </w:tc>
        <w:tc>
          <w:tcPr>
            <w:tcW w:w="6137" w:type="dxa"/>
          </w:tcPr>
          <w:p w14:paraId="1F960255" w14:textId="77777777" w:rsidR="00A502D4" w:rsidRDefault="00000000">
            <w:pPr>
              <w:spacing w:before="4" w:after="4" w:line="218" w:lineRule="auto"/>
              <w:jc w:val="left"/>
            </w:pPr>
            <w:r>
              <w:rPr>
                <w:rFonts w:cs="Calibri"/>
                <w:color w:val="46565E"/>
                <w:sz w:val="17"/>
                <w:szCs w:val="17"/>
              </w:rPr>
              <w:t>WTO Analytical Index, Article IX (waiver practice); Congressional Research Service LSB10599</w:t>
            </w:r>
          </w:p>
        </w:tc>
        <w:tc>
          <w:tcPr>
            <w:tcW w:w="1805" w:type="dxa"/>
          </w:tcPr>
          <w:p w14:paraId="58E4487A" w14:textId="77777777" w:rsidR="00A502D4" w:rsidRDefault="00000000">
            <w:pPr>
              <w:spacing w:before="4" w:after="4" w:line="218" w:lineRule="auto"/>
              <w:jc w:val="left"/>
            </w:pPr>
            <w:r>
              <w:rPr>
                <w:rFonts w:cs="Calibri"/>
                <w:color w:val="46565E"/>
                <w:sz w:val="17"/>
                <w:szCs w:val="17"/>
              </w:rPr>
              <w:t>Current</w:t>
            </w:r>
          </w:p>
        </w:tc>
      </w:tr>
    </w:tbl>
    <w:p w14:paraId="1FB6455F" w14:textId="77777777" w:rsidR="00A502D4" w:rsidRDefault="00000000">
      <w:pPr>
        <w:pStyle w:val="Heading2"/>
        <w:spacing w:before="120"/>
      </w:pPr>
      <w:r>
        <w:rPr>
          <w:rFonts w:cs="Calibri"/>
          <w:szCs w:val="26"/>
        </w:rPr>
        <w:t>Verification Note</w:t>
      </w:r>
    </w:p>
    <w:p w14:paraId="2E9018E4" w14:textId="77777777" w:rsidR="00A502D4" w:rsidRDefault="00000000">
      <w:r>
        <w:rPr>
          <w:rFonts w:cs="Calibri"/>
          <w:szCs w:val="21"/>
        </w:rPr>
        <w:t>This register reflects the public record as of August 11, 2026. The Section 338 duties take effect August 19, 2026; the Section 301 excess-capacity determinations, the Section 122 appeal, and the USMCA annual review all carry active dockets. The founding cell assigns one officer to maintain a living update of this register inside the pilot office.</w:t>
      </w:r>
    </w:p>
    <w:sectPr w:rsidR="00A502D4">
      <w:headerReference w:type="default" r:id="rId13"/>
      <w:footerReference w:type="default" r:id="rId14"/>
      <w:pgSz w:w="11906" w:h="16838"/>
      <w:pgMar w:top="180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CEBAD" w14:textId="77777777" w:rsidR="00BA3305" w:rsidRDefault="00BA3305">
      <w:pPr>
        <w:spacing w:after="0" w:line="240" w:lineRule="auto"/>
      </w:pPr>
      <w:r>
        <w:separator/>
      </w:r>
    </w:p>
  </w:endnote>
  <w:endnote w:type="continuationSeparator" w:id="0">
    <w:p w14:paraId="525CF15A" w14:textId="77777777" w:rsidR="00BA3305" w:rsidRDefault="00BA3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2553" w14:textId="77777777" w:rsidR="0060098E" w:rsidRDefault="006009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C8D6" w14:textId="77777777" w:rsidR="0060098E" w:rsidRDefault="006009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DB56C" w14:textId="77777777" w:rsidR="0060098E" w:rsidRDefault="006009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C35C" w14:textId="77777777" w:rsidR="00A502D4" w:rsidRDefault="00000000">
    <w:pPr>
      <w:jc w:val="center"/>
    </w:pPr>
    <w:r>
      <w:rPr>
        <w:color w:val="7A9199"/>
        <w:sz w:val="16"/>
      </w:rPr>
      <w:fldChar w:fldCharType="begin"/>
    </w:r>
    <w:r>
      <w:rPr>
        <w:color w:val="7A9199"/>
        <w:sz w:val="16"/>
      </w:rPr>
      <w:instrText xml:space="preserve"> PAGE </w:instrText>
    </w:r>
    <w:r>
      <w:rPr>
        <w:color w:val="7A9199"/>
        <w:sz w:val="16"/>
      </w:rPr>
      <w:fldChar w:fldCharType="separate"/>
    </w:r>
    <w:r>
      <w:rPr>
        <w:color w:val="7A9199"/>
        <w:sz w:val="16"/>
      </w:rPr>
      <w:t>1</w:t>
    </w:r>
    <w:r>
      <w:rPr>
        <w:color w:val="7A9199"/>
        <w:sz w:val="16"/>
      </w:rPr>
      <w:fldChar w:fldCharType="end"/>
    </w:r>
    <w:r>
      <w:rPr>
        <w:color w:val="7A9199"/>
        <w:sz w:val="16"/>
      </w:rPr>
      <w:t xml:space="preserve"> of </w:t>
    </w:r>
    <w:r>
      <w:rPr>
        <w:color w:val="7A9199"/>
        <w:sz w:val="16"/>
      </w:rPr>
      <w:fldChar w:fldCharType="begin"/>
    </w:r>
    <w:r>
      <w:rPr>
        <w:color w:val="7A9199"/>
        <w:sz w:val="16"/>
      </w:rPr>
      <w:instrText xml:space="preserve"> NUMPAGES </w:instrText>
    </w:r>
    <w:r>
      <w:rPr>
        <w:color w:val="7A9199"/>
        <w:sz w:val="16"/>
      </w:rPr>
      <w:fldChar w:fldCharType="separate"/>
    </w:r>
    <w:r>
      <w:rPr>
        <w:color w:val="7A9199"/>
        <w:sz w:val="16"/>
      </w:rPr>
      <w:t>1</w:t>
    </w:r>
    <w:r>
      <w:rPr>
        <w:color w:val="7A919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31B9D" w14:textId="77777777" w:rsidR="00BA3305" w:rsidRDefault="00BA3305">
      <w:pPr>
        <w:spacing w:after="0" w:line="240" w:lineRule="auto"/>
      </w:pPr>
      <w:r>
        <w:separator/>
      </w:r>
    </w:p>
  </w:footnote>
  <w:footnote w:type="continuationSeparator" w:id="0">
    <w:p w14:paraId="232D72D5" w14:textId="77777777" w:rsidR="00BA3305" w:rsidRDefault="00BA3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502B" w14:textId="77777777" w:rsidR="0060098E" w:rsidRDefault="006009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7B70A" w14:textId="77777777" w:rsidR="0060098E" w:rsidRDefault="006009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C2FA1" w14:textId="77777777" w:rsidR="0060098E" w:rsidRDefault="006009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7C290" w14:textId="77777777" w:rsidR="00A502D4" w:rsidRDefault="00000000">
    <w:pPr>
      <w:pBdr>
        <w:bottom w:val="single" w:sz="4" w:space="4" w:color="C7D3D8"/>
      </w:pBdr>
      <w:jc w:val="right"/>
    </w:pPr>
    <w:r>
      <w:rPr>
        <w:color w:val="7A9199"/>
        <w:sz w:val="16"/>
      </w:rPr>
      <w:t xml:space="preserve">IMESI </w:t>
    </w:r>
    <w:proofErr w:type="gramStart"/>
    <w:r>
      <w:rPr>
        <w:color w:val="7A9199"/>
        <w:sz w:val="16"/>
      </w:rPr>
      <w:t>v15.0  |</w:t>
    </w:r>
    <w:proofErr w:type="gramEnd"/>
    <w:r>
      <w:rPr>
        <w:color w:val="7A9199"/>
        <w:sz w:val="16"/>
      </w:rPr>
      <w:t xml:space="preserve">  Canadian Founding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64EF4"/>
    <w:multiLevelType w:val="multilevel"/>
    <w:tmpl w:val="0D20F994"/>
    <w:lvl w:ilvl="0">
      <w:numFmt w:val="decimal"/>
      <w:lvlText w:val="%1."/>
      <w:lvlJc w:val="left"/>
      <w:pPr>
        <w:ind w:left="5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CC84C66"/>
    <w:multiLevelType w:val="multilevel"/>
    <w:tmpl w:val="47BC58FE"/>
    <w:lvl w:ilvl="0">
      <w:numFmt w:val="bullet"/>
      <w:lvlText w:val="•"/>
      <w:lvlJc w:val="left"/>
      <w:pPr>
        <w:ind w:left="54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36750708">
    <w:abstractNumId w:val="1"/>
  </w:num>
  <w:num w:numId="2" w16cid:durableId="988479523">
    <w:abstractNumId w:val="0"/>
    <w:lvlOverride w:ilvl="0">
      <w:startOverride w:val="1"/>
    </w:lvlOverride>
  </w:num>
  <w:num w:numId="3" w16cid:durableId="754788075">
    <w:abstractNumId w:val="0"/>
    <w:lvlOverride w:ilvl="0">
      <w:startOverride w:val="1"/>
    </w:lvlOverride>
  </w:num>
  <w:num w:numId="4" w16cid:durableId="710375039">
    <w:abstractNumId w:val="0"/>
    <w:lvlOverride w:ilvl="0">
      <w:startOverride w:val="1"/>
    </w:lvlOverride>
  </w:num>
  <w:num w:numId="5" w16cid:durableId="154154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502D4"/>
    <w:rsid w:val="0060098E"/>
    <w:rsid w:val="00A502D4"/>
    <w:rsid w:val="00BA3305"/>
    <w:rsid w:val="00CE41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372CB"/>
  <w15:docId w15:val="{259B7257-C040-4DE2-A782-376343CA5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00" w:lineRule="auto"/>
      <w:jc w:val="both"/>
    </w:pPr>
    <w:rPr>
      <w:rFonts w:ascii="Calibri" w:eastAsia="Microsoft YaHei" w:hAnsi="Calibri"/>
      <w:color w:val="263238"/>
      <w:sz w:val="21"/>
    </w:rPr>
  </w:style>
  <w:style w:type="paragraph" w:styleId="Heading1">
    <w:name w:val="heading 1"/>
    <w:basedOn w:val="Normal"/>
    <w:uiPriority w:val="9"/>
    <w:qFormat/>
    <w:pPr>
      <w:keepNext/>
      <w:keepLines/>
      <w:spacing w:before="480" w:after="280"/>
      <w:outlineLvl w:val="0"/>
    </w:pPr>
    <w:rPr>
      <w:b/>
      <w:color w:val="1F3A4D"/>
      <w:sz w:val="32"/>
    </w:rPr>
  </w:style>
  <w:style w:type="paragraph" w:styleId="Heading2">
    <w:name w:val="heading 2"/>
    <w:basedOn w:val="Normal"/>
    <w:uiPriority w:val="9"/>
    <w:unhideWhenUsed/>
    <w:qFormat/>
    <w:pPr>
      <w:keepNext/>
      <w:keepLines/>
      <w:spacing w:before="360" w:after="140"/>
      <w:outlineLvl w:val="1"/>
    </w:pPr>
    <w:rPr>
      <w:b/>
      <w:color w:val="2E5468"/>
      <w:sz w:val="26"/>
    </w:rPr>
  </w:style>
  <w:style w:type="paragraph" w:styleId="Heading3">
    <w:name w:val="heading 3"/>
    <w:basedOn w:val="Normal"/>
    <w:uiPriority w:val="9"/>
    <w:semiHidden/>
    <w:unhideWhenUsed/>
    <w:qFormat/>
    <w:pPr>
      <w:keepNext/>
      <w:keepLines/>
      <w:spacing w:before="240" w:after="100"/>
      <w:outlineLvl w:val="2"/>
    </w:pPr>
    <w:rPr>
      <w:b/>
      <w:color w:val="4A6B7C"/>
      <w:sz w:val="23"/>
    </w:rPr>
  </w:style>
  <w:style w:type="paragraph" w:styleId="Heading4">
    <w:name w:val="heading 4"/>
    <w:basedOn w:val="Normal"/>
    <w:next w:val="Normal"/>
    <w:link w:val="Heading4Char"/>
    <w:uiPriority w:val="9"/>
    <w:semiHidden/>
    <w:unhideWhenUsed/>
    <w:qFormat/>
    <w:rsid w:val="0060098E"/>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0098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0098E"/>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60098E"/>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0098E"/>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60098E"/>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40"/>
      <w:jc w:val="center"/>
    </w:pPr>
    <w:rPr>
      <w:color w:val="7A9199"/>
      <w:sz w:val="18"/>
    </w:rPr>
  </w:style>
  <w:style w:type="paragraph" w:styleId="TOC1">
    <w:name w:val="toc 1"/>
    <w:basedOn w:val="Normal"/>
    <w:pPr>
      <w:tabs>
        <w:tab w:val="right" w:leader="dot" w:pos="9026"/>
      </w:tabs>
      <w:spacing w:before="160" w:after="60"/>
    </w:pPr>
    <w:rPr>
      <w:b/>
    </w:rPr>
  </w:style>
  <w:style w:type="paragraph" w:styleId="TOC2">
    <w:name w:val="toc 2"/>
    <w:basedOn w:val="Normal"/>
    <w:pPr>
      <w:tabs>
        <w:tab w:val="right" w:leader="dot" w:pos="9026"/>
      </w:tabs>
      <w:spacing w:before="40" w:after="60"/>
      <w:ind w:left="360"/>
    </w:pPr>
    <w:rPr>
      <w:color w:val="46565E"/>
    </w:rPr>
  </w:style>
  <w:style w:type="paragraph" w:styleId="Header">
    <w:name w:val="header"/>
    <w:basedOn w:val="Normal"/>
    <w:link w:val="HeaderChar"/>
    <w:uiPriority w:val="99"/>
    <w:unhideWhenUsed/>
    <w:rsid w:val="00600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98E"/>
    <w:rPr>
      <w:rFonts w:ascii="Calibri" w:eastAsia="Microsoft YaHei" w:hAnsi="Calibri"/>
      <w:color w:val="263238"/>
      <w:sz w:val="21"/>
    </w:rPr>
  </w:style>
  <w:style w:type="paragraph" w:styleId="Footer">
    <w:name w:val="footer"/>
    <w:basedOn w:val="Normal"/>
    <w:link w:val="FooterChar"/>
    <w:uiPriority w:val="99"/>
    <w:unhideWhenUsed/>
    <w:rsid w:val="00600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98E"/>
    <w:rPr>
      <w:rFonts w:ascii="Calibri" w:eastAsia="Microsoft YaHei" w:hAnsi="Calibri"/>
      <w:color w:val="263238"/>
      <w:sz w:val="21"/>
    </w:rPr>
  </w:style>
  <w:style w:type="character" w:styleId="BookTitle">
    <w:name w:val="Book Title"/>
    <w:basedOn w:val="DefaultParagraphFont"/>
    <w:uiPriority w:val="33"/>
    <w:qFormat/>
    <w:rsid w:val="0060098E"/>
    <w:rPr>
      <w:b/>
      <w:bCs/>
      <w:i/>
      <w:iCs/>
      <w:spacing w:val="5"/>
    </w:rPr>
  </w:style>
  <w:style w:type="character" w:styleId="Emphasis">
    <w:name w:val="Emphasis"/>
    <w:basedOn w:val="DefaultParagraphFont"/>
    <w:uiPriority w:val="20"/>
    <w:qFormat/>
    <w:rsid w:val="0060098E"/>
    <w:rPr>
      <w:i/>
      <w:iCs/>
    </w:rPr>
  </w:style>
  <w:style w:type="character" w:customStyle="1" w:styleId="Heading4Char">
    <w:name w:val="Heading 4 Char"/>
    <w:basedOn w:val="DefaultParagraphFont"/>
    <w:link w:val="Heading4"/>
    <w:uiPriority w:val="9"/>
    <w:semiHidden/>
    <w:rsid w:val="0060098E"/>
    <w:rPr>
      <w:rFonts w:asciiTheme="majorHAnsi" w:eastAsiaTheme="majorEastAsia" w:hAnsiTheme="majorHAnsi" w:cstheme="majorBidi"/>
      <w:i/>
      <w:iCs/>
      <w:color w:val="0F4761" w:themeColor="accent1" w:themeShade="BF"/>
      <w:sz w:val="21"/>
    </w:rPr>
  </w:style>
  <w:style w:type="character" w:customStyle="1" w:styleId="Heading5Char">
    <w:name w:val="Heading 5 Char"/>
    <w:basedOn w:val="DefaultParagraphFont"/>
    <w:link w:val="Heading5"/>
    <w:uiPriority w:val="9"/>
    <w:semiHidden/>
    <w:rsid w:val="0060098E"/>
    <w:rPr>
      <w:rFonts w:asciiTheme="majorHAnsi" w:eastAsiaTheme="majorEastAsia" w:hAnsiTheme="majorHAnsi" w:cstheme="majorBidi"/>
      <w:color w:val="0F4761" w:themeColor="accent1" w:themeShade="BF"/>
      <w:sz w:val="21"/>
    </w:rPr>
  </w:style>
  <w:style w:type="character" w:customStyle="1" w:styleId="Heading6Char">
    <w:name w:val="Heading 6 Char"/>
    <w:basedOn w:val="DefaultParagraphFont"/>
    <w:link w:val="Heading6"/>
    <w:uiPriority w:val="9"/>
    <w:semiHidden/>
    <w:rsid w:val="0060098E"/>
    <w:rPr>
      <w:rFonts w:asciiTheme="majorHAnsi" w:eastAsiaTheme="majorEastAsia" w:hAnsiTheme="majorHAnsi" w:cstheme="majorBidi"/>
      <w:color w:val="0A2F40" w:themeColor="accent1" w:themeShade="7F"/>
      <w:sz w:val="21"/>
    </w:rPr>
  </w:style>
  <w:style w:type="character" w:customStyle="1" w:styleId="Heading7Char">
    <w:name w:val="Heading 7 Char"/>
    <w:basedOn w:val="DefaultParagraphFont"/>
    <w:link w:val="Heading7"/>
    <w:uiPriority w:val="9"/>
    <w:semiHidden/>
    <w:rsid w:val="0060098E"/>
    <w:rPr>
      <w:rFonts w:asciiTheme="majorHAnsi" w:eastAsiaTheme="majorEastAsia" w:hAnsiTheme="majorHAnsi" w:cstheme="majorBidi"/>
      <w:i/>
      <w:iCs/>
      <w:color w:val="0A2F40" w:themeColor="accent1" w:themeShade="7F"/>
      <w:sz w:val="21"/>
    </w:rPr>
  </w:style>
  <w:style w:type="character" w:customStyle="1" w:styleId="Heading8Char">
    <w:name w:val="Heading 8 Char"/>
    <w:basedOn w:val="DefaultParagraphFont"/>
    <w:link w:val="Heading8"/>
    <w:uiPriority w:val="9"/>
    <w:semiHidden/>
    <w:rsid w:val="0060098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0098E"/>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60098E"/>
    <w:rPr>
      <w:i/>
      <w:iCs/>
      <w:color w:val="156082" w:themeColor="accent1"/>
    </w:rPr>
  </w:style>
  <w:style w:type="paragraph" w:styleId="IntenseQuote">
    <w:name w:val="Intense Quote"/>
    <w:basedOn w:val="Normal"/>
    <w:next w:val="Normal"/>
    <w:link w:val="IntenseQuoteChar"/>
    <w:uiPriority w:val="30"/>
    <w:qFormat/>
    <w:rsid w:val="0060098E"/>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60098E"/>
    <w:rPr>
      <w:rFonts w:ascii="Calibri" w:eastAsia="Microsoft YaHei" w:hAnsi="Calibri"/>
      <w:i/>
      <w:iCs/>
      <w:color w:val="156082" w:themeColor="accent1"/>
      <w:sz w:val="21"/>
    </w:rPr>
  </w:style>
  <w:style w:type="character" w:styleId="IntenseReference">
    <w:name w:val="Intense Reference"/>
    <w:basedOn w:val="DefaultParagraphFont"/>
    <w:uiPriority w:val="32"/>
    <w:qFormat/>
    <w:rsid w:val="0060098E"/>
    <w:rPr>
      <w:b/>
      <w:bCs/>
      <w:smallCaps/>
      <w:color w:val="156082" w:themeColor="accent1"/>
      <w:spacing w:val="5"/>
    </w:rPr>
  </w:style>
  <w:style w:type="paragraph" w:styleId="ListParagraph">
    <w:name w:val="List Paragraph"/>
    <w:basedOn w:val="Normal"/>
    <w:uiPriority w:val="34"/>
    <w:qFormat/>
    <w:rsid w:val="0060098E"/>
    <w:pPr>
      <w:ind w:left="720"/>
      <w:contextualSpacing/>
    </w:pPr>
  </w:style>
  <w:style w:type="paragraph" w:styleId="NoSpacing">
    <w:name w:val="No Spacing"/>
    <w:uiPriority w:val="1"/>
    <w:qFormat/>
    <w:rsid w:val="0060098E"/>
    <w:pPr>
      <w:spacing w:after="0" w:line="240" w:lineRule="auto"/>
      <w:jc w:val="both"/>
    </w:pPr>
    <w:rPr>
      <w:rFonts w:ascii="Calibri" w:eastAsia="Microsoft YaHei" w:hAnsi="Calibri"/>
      <w:color w:val="263238"/>
      <w:sz w:val="21"/>
    </w:rPr>
  </w:style>
  <w:style w:type="paragraph" w:styleId="Quote">
    <w:name w:val="Quote"/>
    <w:basedOn w:val="Normal"/>
    <w:next w:val="Normal"/>
    <w:link w:val="QuoteChar"/>
    <w:uiPriority w:val="29"/>
    <w:qFormat/>
    <w:rsid w:val="0060098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0098E"/>
    <w:rPr>
      <w:rFonts w:ascii="Calibri" w:eastAsia="Microsoft YaHei" w:hAnsi="Calibri"/>
      <w:i/>
      <w:iCs/>
      <w:color w:val="404040" w:themeColor="text1" w:themeTint="BF"/>
      <w:sz w:val="21"/>
    </w:rPr>
  </w:style>
  <w:style w:type="character" w:styleId="Strong">
    <w:name w:val="Strong"/>
    <w:basedOn w:val="DefaultParagraphFont"/>
    <w:uiPriority w:val="22"/>
    <w:qFormat/>
    <w:rsid w:val="0060098E"/>
    <w:rPr>
      <w:b/>
      <w:bCs/>
    </w:rPr>
  </w:style>
  <w:style w:type="paragraph" w:styleId="Subtitle">
    <w:name w:val="Subtitle"/>
    <w:basedOn w:val="Normal"/>
    <w:next w:val="Normal"/>
    <w:link w:val="SubtitleChar"/>
    <w:uiPriority w:val="11"/>
    <w:qFormat/>
    <w:rsid w:val="0060098E"/>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60098E"/>
    <w:rPr>
      <w:color w:val="5A5A5A" w:themeColor="text1" w:themeTint="A5"/>
      <w:spacing w:val="15"/>
      <w:sz w:val="22"/>
      <w:szCs w:val="22"/>
    </w:rPr>
  </w:style>
  <w:style w:type="character" w:styleId="SubtleEmphasis">
    <w:name w:val="Subtle Emphasis"/>
    <w:basedOn w:val="DefaultParagraphFont"/>
    <w:uiPriority w:val="19"/>
    <w:qFormat/>
    <w:rsid w:val="0060098E"/>
    <w:rPr>
      <w:i/>
      <w:iCs/>
      <w:color w:val="404040" w:themeColor="text1" w:themeTint="BF"/>
    </w:rPr>
  </w:style>
  <w:style w:type="character" w:styleId="SubtleReference">
    <w:name w:val="Subtle Reference"/>
    <w:basedOn w:val="DefaultParagraphFont"/>
    <w:uiPriority w:val="31"/>
    <w:qFormat/>
    <w:rsid w:val="0060098E"/>
    <w:rPr>
      <w:smallCaps/>
      <w:color w:val="5A5A5A" w:themeColor="text1" w:themeTint="A5"/>
    </w:rPr>
  </w:style>
  <w:style w:type="paragraph" w:styleId="Title">
    <w:name w:val="Title"/>
    <w:basedOn w:val="Normal"/>
    <w:next w:val="Normal"/>
    <w:link w:val="TitleChar"/>
    <w:uiPriority w:val="10"/>
    <w:qFormat/>
    <w:rsid w:val="0060098E"/>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0098E"/>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60098E"/>
    <w:pPr>
      <w:spacing w:before="240" w:after="0"/>
      <w:outlineLvl w:val="9"/>
    </w:pPr>
    <w:rPr>
      <w:rFonts w:asciiTheme="majorHAnsi" w:eastAsiaTheme="majorEastAsia" w:hAnsiTheme="majorHAnsi" w:cstheme="majorBidi"/>
      <w:b w:val="0"/>
      <w:color w:val="0F4761"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11563</Words>
  <Characters>67762</Characters>
  <Application>Microsoft Office Word</Application>
  <DocSecurity>0</DocSecurity>
  <Lines>1737</Lines>
  <Paragraphs>933</Paragraphs>
  <ScaleCrop>false</ScaleCrop>
  <Company/>
  <LinksUpToDate>false</LinksUpToDate>
  <CharactersWithSpaces>78392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2026-08-13T09:51:00Z</dcterms:created>
  <dcterms:modified xsi:type="dcterms:W3CDTF">2026-08-13T09:52:00Z</dcterms:modified>
</cp:coreProperties>
</file>