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07db77d571b34ac4"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w:body>
    <w:tbl>
      <w:tblPr>
        <w:tblW w:w="11906" w:type="dxa"/>
        <w:tblBorders>
          <w:top w:val="nil"/>
          <w:left w:val="nil"/>
          <w:bottom w:val="nil"/>
          <w:right w:val="nil"/>
          <w:insideH w:val="nil"/>
          <w:insideV w:val="nil"/>
        </w:tblBorders>
        <w:tblLayout w:type="fixed"/>
      </w:tblPr>
      <w:tblGrid>
        <w:gridCol w:w="11906"/>
      </w:tblGrid>
      <w:tr>
        <w:trPr>
          <w:trHeight w:val="16818" w:hRule="exact"/>
        </w:trPr>
        <w:tc>
          <w:tcPr>
            <w:tcW w:w="11906" w:type="dxa"/>
            <w:shd w:val="clear" w:color="auto" w:fill="151929"/>
            <w:tcMar>
              <w:top w:w="0" w:type="dxa"/>
              <w:left w:w="1440" w:type="dxa"/>
              <w:bottom w:w="0" w:type="dxa"/>
              <w:right w:w="1440" w:type="dxa"/>
            </w:tcMar>
            <w:vAlign w:val="center"/>
          </w:tcPr>
          <w:p>
            <w:pPr>
              <w:pBdr>
                <w:bottom w:val="single" w:color="C5A44E" w:sz="6" w:space="1"/>
              </w:pBdr>
              <w:spacing w:before="0" w:after="0" w:line="60" w:lineRule="exact"/>
              <w:ind w:left="1440" w:right="1440"/>
              <w:jc w:val="center"/>
            </w:pPr>
            <w:r>
              <w:rPr>
                <w:sz w:val="2"/>
              </w:rPr>
            </w:r>
          </w:p>
          <w:p>
            <w:pPr>
              <w:spacing w:before="420" w:after="200" w:line="300" w:lineRule="auto"/>
              <w:jc w:val="center"/>
            </w:pPr>
            <w:r>
              <w:rPr>
                <w:rFonts w:ascii="Calibri" w:hAnsi="Calibri" w:eastAsia="Calibri"/>
                <w:b/>
                <w:color w:val="FFFFFF"/>
                <w:spacing w:val="60"/>
                <w:sz w:val="104"/>
              </w:rPr>
              <w:t xml:space="preserve">IMESI</w:t>
            </w:r>
          </w:p>
          <w:p>
            <w:pPr>
              <w:spacing w:before="0" w:after="320" w:line="300" w:lineRule="auto"/>
              <w:jc w:val="center"/>
            </w:pPr>
            <w:r>
              <w:rPr>
                <w:rFonts w:ascii="Calibri" w:hAnsi="Calibri" w:eastAsia="Calibri"/>
                <w:color w:val="C5A44E"/>
                <w:spacing w:val="26"/>
                <w:sz w:val="26"/>
              </w:rPr>
              <w:t xml:space="preserve">International Mutual Economic Security Instrument</w:t>
            </w:r>
          </w:p>
          <w:p>
            <w:pPr>
              <w:spacing w:before="0" w:after="220" w:line="300" w:lineRule="auto"/>
              <w:jc w:val="center"/>
            </w:pPr>
            <w:r>
              <w:rPr>
                <w:rFonts w:ascii="Calibri" w:hAnsi="Calibri" w:eastAsia="Calibri"/>
                <w:b/>
                <w:color w:val="FFFFFF"/>
                <w:sz w:val="40"/>
              </w:rPr>
              <w:t xml:space="preserve">Ministerial Digest</w:t>
            </w:r>
          </w:p>
          <w:p>
            <w:pPr>
              <w:spacing w:before="0" w:after="60" w:line="300" w:lineRule="auto"/>
              <w:jc w:val="center"/>
            </w:pPr>
            <w:r>
              <w:rPr>
                <w:rFonts w:ascii="Calibri" w:hAnsi="Calibri" w:eastAsia="Calibri"/>
                <w:color w:val="A9B0C4"/>
                <w:sz w:val="24"/>
              </w:rPr>
              <w:t xml:space="preserve">Version 15.0 (Hardened)</w:t>
            </w:r>
          </w:p>
          <w:p>
            <w:pPr>
              <w:spacing w:before="0" w:after="380" w:line="300" w:lineRule="auto"/>
              <w:jc w:val="center"/>
            </w:pPr>
            <w:r>
              <w:rPr>
                <w:rFonts w:ascii="Calibri" w:hAnsi="Calibri" w:eastAsia="Calibri"/>
                <w:color w:val="A9B0C4"/>
                <w:sz w:val="24"/>
              </w:rPr>
              <w:t xml:space="preserve">August 2026</w:t>
            </w:r>
          </w:p>
          <w:p>
            <w:pPr>
              <w:pBdr>
                <w:top w:val="single" w:color="C5A44E" w:sz="6" w:space="1"/>
              </w:pBdr>
              <w:spacing w:before="0" w:after="0" w:line="60" w:lineRule="exact"/>
              <w:ind w:left="1440" w:right="1440"/>
              <w:jc w:val="center"/>
            </w:pPr>
            <w:r>
              <w:rPr>
                <w:sz w:val="2"/>
              </w:rPr>
            </w:r>
          </w:p>
          <w:p>
            <w:pPr>
              <w:spacing w:before="280" w:after="260" w:line="300" w:lineRule="auto"/>
              <w:jc w:val="center"/>
            </w:pPr>
            <w:r>
              <w:rPr>
                <w:rFonts w:ascii="Calibri" w:hAnsi="Calibri" w:eastAsia="Calibri"/>
                <w:color w:val="A9B0C4"/>
                <w:sz w:val="21"/>
              </w:rPr>
              <w:t xml:space="preserve">Summary for Ministers and Senior Officials</w:t>
            </w:r>
          </w:p>
          <w:p>
            <w:pPr>
              <w:spacing w:before="0" w:after="0" w:line="300" w:lineRule="auto"/>
              <w:jc w:val="center"/>
            </w:pPr>
            <w:r>
              <w:rPr>
                <w:rFonts w:ascii="Calibri" w:hAnsi="Calibri" w:eastAsia="Calibri"/>
                <w:b/>
                <w:color w:val="C5A44E"/>
                <w:spacing w:val="30"/>
                <w:sz w:val="19"/>
              </w:rPr>
              <w:t xml:space="preserve">REFERENCE ARCHITECTURE  |  FOR OPEN CIRCULATION</w:t>
            </w:r>
          </w:p>
        </w:tc>
      </w:tr>
    </w:tbl>
    <w:p>
      <w:pPr>
        <w:spacing w:before="0" w:after="0" w:line="20" w:lineRule="exact"/>
        <w:sectPr>
          <w:type w:val="nextPage"/>
          <w:pgSz w:w="11906" w:h="16838"/>
          <w:pgMar w:top="0" w:right="0" w:bottom="0" w:left="0" w:header="0" w:footer="0"/>
        </w:sectPr>
      </w:pPr>
      <w:r>
        <w:rPr>
          <w:sz w:val="2"/>
        </w:rPr>
      </w:r>
    </w:p>
    <w:p>
      <w:r>
        <w:rPr>
          <w:b/>
          <w:sz w:val="28"/>
        </w:rPr>
        <w:t>Table of Contents</w:t>
      </w:r>
    </w:p>
    <w:p>
      <w:pPr>
        <w:pStyle w:val="toc1"/>
        <w:tabs>
          <w:tab w:val="right" w:leader="dot" w:pos="9000"/>
        </w:tabs>
      </w:pPr>
      <w:hyperlink w:anchor="imesi_900">
        <w:r>
          <w:t>WHAT IMESI IS</w:t>
        </w:r>
      </w:hyperlink>
      <w:r>
        <w:tab/>
        <w:t>3</w:t>
      </w:r>
    </w:p>
    <w:p>
      <w:pPr>
        <w:pStyle w:val="toc2"/>
        <w:tabs>
          <w:tab w:val="right" w:leader="dot" w:pos="9000"/>
        </w:tabs>
      </w:pPr>
      <w:hyperlink w:anchor="imesi_901">
        <w:r>
          <w:t>Four Core Functions</w:t>
        </w:r>
      </w:hyperlink>
      <w:r>
        <w:tab/>
        <w:t>3</w:t>
      </w:r>
    </w:p>
    <w:p>
      <w:pPr>
        <w:pStyle w:val="toc2"/>
        <w:tabs>
          <w:tab w:val="right" w:leader="dot" w:pos="9000"/>
        </w:tabs>
      </w:pPr>
      <w:hyperlink w:anchor="imesi_902">
        <w:r>
          <w:t>Universal Protection Scope</w:t>
        </w:r>
      </w:hyperlink>
      <w:r>
        <w:tab/>
        <w:t>3</w:t>
      </w:r>
    </w:p>
    <w:p>
      <w:pPr>
        <w:pStyle w:val="toc2"/>
        <w:tabs>
          <w:tab w:val="right" w:leader="dot" w:pos="9000"/>
        </w:tabs>
      </w:pPr>
      <w:hyperlink w:anchor="imesi_903">
        <w:r>
          <w:t>What IMESI Is Not</w:t>
        </w:r>
      </w:hyperlink>
      <w:r>
        <w:tab/>
        <w:t>3</w:t>
      </w:r>
    </w:p>
    <w:p>
      <w:pPr>
        <w:pStyle w:val="toc1"/>
        <w:tabs>
          <w:tab w:val="right" w:leader="dot" w:pos="9000"/>
        </w:tabs>
      </w:pPr>
      <w:hyperlink w:anchor="imesi_904">
        <w:r>
          <w:t>WHAT IS NEW IN VERSION 15.0</w:t>
        </w:r>
      </w:hyperlink>
      <w:r>
        <w:tab/>
        <w:t>3</w:t>
      </w:r>
    </w:p>
    <w:p>
      <w:pPr>
        <w:pStyle w:val="toc1"/>
        <w:tabs>
          <w:tab w:val="right" w:leader="dot" w:pos="9000"/>
        </w:tabs>
      </w:pPr>
      <w:hyperlink w:anchor="imesi_905">
        <w:r>
          <w:t>HOW IMESI WORKS: THREE CLOCKS</w:t>
        </w:r>
      </w:hyperlink>
      <w:r>
        <w:tab/>
        <w:t>4</w:t>
      </w:r>
    </w:p>
    <w:p>
      <w:pPr>
        <w:pStyle w:val="toc1"/>
        <w:tabs>
          <w:tab w:val="right" w:leader="dot" w:pos="9000"/>
        </w:tabs>
      </w:pPr>
      <w:hyperlink w:anchor="imesi_906">
        <w:r>
          <w:t>TIMEFRAMES AND THRESHOLD BANDS</w:t>
        </w:r>
      </w:hyperlink>
      <w:r>
        <w:tab/>
        <w:t>5</w:t>
      </w:r>
    </w:p>
    <w:p>
      <w:pPr>
        <w:pStyle w:val="toc1"/>
        <w:tabs>
          <w:tab w:val="right" w:leader="dot" w:pos="9000"/>
        </w:tabs>
      </w:pPr>
      <w:hyperlink w:anchor="imesi_907">
        <w:r>
          <w:t>HOW IMESI WORKS IN PRACTICE</w:t>
        </w:r>
      </w:hyperlink>
      <w:r>
        <w:tab/>
        <w:t>5</w:t>
      </w:r>
    </w:p>
    <w:p>
      <w:pPr>
        <w:pStyle w:val="toc2"/>
        <w:tabs>
          <w:tab w:val="right" w:leader="dot" w:pos="9000"/>
        </w:tabs>
      </w:pPr>
      <w:hyperlink w:anchor="imesi_908">
        <w:r>
          <w:t>Scenario 1: Targeted Coercion Against a Member</w:t>
        </w:r>
      </w:hyperlink>
      <w:r>
        <w:tab/>
        <w:t>5</w:t>
      </w:r>
    </w:p>
    <w:p>
      <w:pPr>
        <w:pStyle w:val="toc2"/>
        <w:tabs>
          <w:tab w:val="right" w:leader="dot" w:pos="9000"/>
        </w:tabs>
      </w:pPr>
      <w:hyperlink w:anchor="imesi_909">
        <w:r>
          <w:t>Scenario 2: Systemic Economic Disruption</w:t>
        </w:r>
      </w:hyperlink>
      <w:r>
        <w:tab/>
        <w:t>5</w:t>
      </w:r>
    </w:p>
    <w:p>
      <w:pPr>
        <w:pStyle w:val="toc2"/>
        <w:tabs>
          <w:tab w:val="right" w:leader="dot" w:pos="9000"/>
        </w:tabs>
      </w:pPr>
      <w:hyperlink w:anchor="imesi_910">
        <w:r>
          <w:t>Scenario 3: Small-State Cluster Coercion</w:t>
        </w:r>
      </w:hyperlink>
      <w:r>
        <w:tab/>
        <w:t>5</w:t>
      </w:r>
    </w:p>
    <w:p>
      <w:pPr>
        <w:pStyle w:val="toc2"/>
        <w:tabs>
          <w:tab w:val="right" w:leader="dot" w:pos="9000"/>
        </w:tabs>
      </w:pPr>
      <w:hyperlink w:anchor="imesi_911">
        <w:r>
          <w:t>Worked Example: A 25% Tariff Shock on a Mid-Size Member</w:t>
        </w:r>
      </w:hyperlink>
      <w:r>
        <w:tab/>
        <w:t>6</w:t>
      </w:r>
    </w:p>
    <w:p>
      <w:pPr>
        <w:pStyle w:val="toc1"/>
        <w:tabs>
          <w:tab w:val="right" w:leader="dot" w:pos="9000"/>
        </w:tabs>
      </w:pPr>
      <w:hyperlink w:anchor="imesi_912">
        <w:r>
          <w:t>PATTERNS IMESI IS BUILT FOR</w:t>
        </w:r>
      </w:hyperlink>
      <w:r>
        <w:tab/>
        <w:t>6</w:t>
      </w:r>
    </w:p>
    <w:p>
      <w:pPr>
        <w:pStyle w:val="toc1"/>
        <w:tabs>
          <w:tab w:val="right" w:leader="dot" w:pos="9000"/>
        </w:tabs>
      </w:pPr>
      <w:hyperlink w:anchor="imesi_913">
        <w:r>
          <w:t>GOVERNANCE AND CONTROL</w:t>
        </w:r>
      </w:hyperlink>
      <w:r>
        <w:tab/>
        <w:t>6</w:t>
      </w:r>
    </w:p>
    <w:p>
      <w:pPr>
        <w:pStyle w:val="toc2"/>
        <w:tabs>
          <w:tab w:val="right" w:leader="dot" w:pos="9000"/>
        </w:tabs>
      </w:pPr>
      <w:hyperlink w:anchor="imesi_914">
        <w:r>
          <w:t>Who Controls It</w:t>
        </w:r>
      </w:hyperlink>
      <w:r>
        <w:tab/>
        <w:t>6</w:t>
      </w:r>
    </w:p>
    <w:p>
      <w:pPr>
        <w:pStyle w:val="toc2"/>
        <w:tabs>
          <w:tab w:val="right" w:leader="dot" w:pos="9000"/>
        </w:tabs>
      </w:pPr>
      <w:hyperlink w:anchor="imesi_915">
        <w:r>
          <w:t>How Members Keep Sovereignty</w:t>
        </w:r>
      </w:hyperlink>
      <w:r>
        <w:tab/>
        <w:t>7</w:t>
      </w:r>
    </w:p>
    <w:p>
      <w:pPr>
        <w:pStyle w:val="toc2"/>
        <w:tabs>
          <w:tab w:val="right" w:leader="dot" w:pos="9000"/>
        </w:tabs>
      </w:pPr>
      <w:hyperlink w:anchor="imesi_916">
        <w:r>
          <w:t>No Country Controls This</w:t>
        </w:r>
      </w:hyperlink>
      <w:r>
        <w:tab/>
        <w:t>7</w:t>
      </w:r>
    </w:p>
    <w:p>
      <w:pPr>
        <w:pStyle w:val="toc1"/>
        <w:tabs>
          <w:tab w:val="right" w:leader="dot" w:pos="9000"/>
        </w:tabs>
      </w:pPr>
      <w:hyperlink w:anchor="imesi_917">
        <w:r>
          <w:t>BUILT-IN SAFEGUARDS</w:t>
        </w:r>
      </w:hyperlink>
      <w:r>
        <w:tab/>
        <w:t>7</w:t>
      </w:r>
    </w:p>
    <w:p>
      <w:pPr>
        <w:pStyle w:val="toc1"/>
        <w:tabs>
          <w:tab w:val="right" w:leader="dot" w:pos="9000"/>
        </w:tabs>
      </w:pPr>
      <w:hyperlink w:anchor="imesi_918">
        <w:r>
          <w:t>FINANCIAL SNAPSHOT</w:t>
        </w:r>
      </w:hyperlink>
      <w:r>
        <w:tab/>
        <w:t>8</w:t>
      </w:r>
    </w:p>
    <w:p>
      <w:pPr>
        <w:pStyle w:val="toc1"/>
        <w:tabs>
          <w:tab w:val="right" w:leader="dot" w:pos="9000"/>
        </w:tabs>
      </w:pPr>
      <w:hyperlink w:anchor="imesi_919">
        <w:r>
          <w:t>WHAT IMESI MEANS FOR FIRMS AND FINANCIAL INSTITUTIONS</w:t>
        </w:r>
      </w:hyperlink>
      <w:r>
        <w:tab/>
        <w:t>8</w:t>
      </w:r>
    </w:p>
    <w:p>
      <w:pPr>
        <w:pStyle w:val="toc2"/>
        <w:tabs>
          <w:tab w:val="right" w:leader="dot" w:pos="9000"/>
        </w:tabs>
      </w:pPr>
      <w:hyperlink w:anchor="imesi_920">
        <w:r>
          <w:t>Trading and Manufacturing Firms</w:t>
        </w:r>
      </w:hyperlink>
      <w:r>
        <w:tab/>
        <w:t>8</w:t>
      </w:r>
    </w:p>
    <w:p>
      <w:pPr>
        <w:pStyle w:val="toc2"/>
        <w:tabs>
          <w:tab w:val="right" w:leader="dot" w:pos="9000"/>
        </w:tabs>
      </w:pPr>
      <w:hyperlink w:anchor="imesi_921">
        <w:r>
          <w:t>Banks and Financial Institutions</w:t>
        </w:r>
      </w:hyperlink>
      <w:r>
        <w:tab/>
        <w:t>8</w:t>
      </w:r>
    </w:p>
    <w:p>
      <w:pPr>
        <w:pStyle w:val="toc2"/>
        <w:tabs>
          <w:tab w:val="right" w:leader="dot" w:pos="9000"/>
        </w:tabs>
      </w:pPr>
      <w:hyperlink w:anchor="imesi_922">
        <w:r>
          <w:t>Platforms and Systemic Infrastructure Providers</w:t>
        </w:r>
      </w:hyperlink>
      <w:r>
        <w:tab/>
        <w:t>8</w:t>
      </w:r>
    </w:p>
    <w:p>
      <w:pPr>
        <w:pStyle w:val="toc1"/>
        <w:tabs>
          <w:tab w:val="right" w:leader="dot" w:pos="9000"/>
        </w:tabs>
      </w:pPr>
      <w:hyperlink w:anchor="imesi_923">
        <w:r>
          <w:t>MEMBERSHIP TIERS AND PARTICIPATION MODES</w:t>
        </w:r>
      </w:hyperlink>
      <w:r>
        <w:tab/>
        <w:t>9</w:t>
      </w:r>
    </w:p>
    <w:p>
      <w:pPr>
        <w:pStyle w:val="toc1"/>
        <w:tabs>
          <w:tab w:val="right" w:leader="dot" w:pos="9000"/>
        </w:tabs>
      </w:pPr>
      <w:hyperlink w:anchor="imesi_924">
        <w:r>
          <w:t>FOUNDING COALITION STRATEGY</w:t>
        </w:r>
      </w:hyperlink>
      <w:r>
        <w:tab/>
        <w:t>9</w:t>
      </w:r>
    </w:p>
    <w:p>
      <w:pPr>
        <w:pStyle w:val="toc2"/>
        <w:tabs>
          <w:tab w:val="right" w:leader="dot" w:pos="9000"/>
        </w:tabs>
      </w:pPr>
      <w:hyperlink w:anchor="imesi_925">
        <w:r>
          <w:t>Three Pathways</w:t>
        </w:r>
      </w:hyperlink>
      <w:r>
        <w:tab/>
        <w:t>9</w:t>
      </w:r>
    </w:p>
    <w:p>
      <w:pPr>
        <w:pStyle w:val="toc2"/>
        <w:tabs>
          <w:tab w:val="right" w:leader="dot" w:pos="9000"/>
        </w:tabs>
      </w:pPr>
      <w:hyperlink w:anchor="imesi_926">
        <w:r>
          <w:t>Who Moves First</w:t>
        </w:r>
      </w:hyperlink>
      <w:r>
        <w:tab/>
        <w:t>9</w:t>
      </w:r>
    </w:p>
    <w:p>
      <w:pPr>
        <w:pStyle w:val="toc2"/>
        <w:tabs>
          <w:tab w:val="right" w:leader="dot" w:pos="9000"/>
        </w:tabs>
      </w:pPr>
      <w:hyperlink w:anchor="imesi_927">
        <w:r>
          <w:t>A Concrete Pilot on the Table</w:t>
        </w:r>
      </w:hyperlink>
      <w:r>
        <w:tab/>
        <w:t>9</w:t>
      </w:r>
    </w:p>
    <w:p>
      <w:pPr>
        <w:pStyle w:val="toc1"/>
        <w:tabs>
          <w:tab w:val="right" w:leader="dot" w:pos="9000"/>
        </w:tabs>
      </w:pPr>
      <w:hyperlink w:anchor="imesi_928">
        <w:r>
          <w:t>POLITICAL SUSTAINABILITY</w:t>
        </w:r>
      </w:hyperlink>
      <w:r>
        <w:tab/>
        <w:t>10</w:t>
      </w:r>
    </w:p>
    <w:p>
      <w:pPr>
        <w:pStyle w:val="toc1"/>
        <w:tabs>
          <w:tab w:val="right" w:leader="dot" w:pos="9000"/>
        </w:tabs>
      </w:pPr>
      <w:hyperlink w:anchor="imesi_929">
        <w:r>
          <w:t>FREQUENTLY ASKED QUESTIONS</w:t>
        </w:r>
      </w:hyperlink>
      <w:r>
        <w:tab/>
        <w:t>10</w:t>
      </w:r>
    </w:p>
    <w:p>
      <w:pPr>
        <w:pStyle w:val="toc1"/>
        <w:tabs>
          <w:tab w:val="right" w:leader="dot" w:pos="9000"/>
        </w:tabs>
      </w:pPr>
      <w:hyperlink w:anchor="imesi_930">
        <w:r>
          <w:t>NEXT STEPS FOR MINISTERS</w:t>
        </w:r>
      </w:hyperlink>
      <w:r>
        <w:tab/>
        <w:t>10</w:t>
      </w:r>
    </w:p>
    <w:p>
      <w:r>
        <w:br w:type="page"/>
      </w:r>
    </w:p>
    <w:p>
      <w:bookmarkStart w:id="900" w:name="imesi_900"/>
      <w:pPr>
        <w:pStyle w:val="Heading1"/>
      </w:pPr>
      <w:r>
        <w:t>WHAT IMESI IS</w:t>
      </w:r>
      <w:bookmarkEnd w:id="900"/>
    </w:p>
    <w:p>
      <w:r>
        <w:t xml:space="preserve">IMESI is a mutual economic security insurance mechanism. It protects member states against economic coercion, the use of trade, investment, or financial measures to compel sovereign policy changes, by pooling intelligence, stabilisation resources, and coordinated response capacity. It operates as a modular framework: members calibrate participation across tiers, sectors, and response tools consistent with their domestic law, capacity, and political preferences.</w:t>
      </w:r>
    </w:p>
    <w:p>
      <w:bookmarkStart w:id="901" w:name="imesi_901"/>
      <w:pPr>
        <w:pStyle w:val="Heading2"/>
      </w:pPr>
      <w:r>
        <w:t>Four Core Functions</w:t>
      </w:r>
      <w:bookmarkEnd w:id="901"/>
    </w:p>
    <w:p>
      <w:pPr>
        <w:numPr>
          <w:ilvl w:val="0"/>
          <w:numId w:val="1"/>
        </w:numPr>
      </w:pPr>
      <w:r>
        <w:rPr>
          <w:b/>
          <w:color w:val="31384A"/>
        </w:rPr>
        <w:t xml:space="preserve">Insurance. </w:t>
      </w:r>
      <w:r>
        <w:t xml:space="preserve">Collective burden-sharing against economic blackmail, with a hard annual exposure cap of 0.25% of GDP per member.</w:t>
      </w:r>
    </w:p>
    <w:p>
      <w:pPr>
        <w:numPr>
          <w:ilvl w:val="0"/>
          <w:numId w:val="1"/>
        </w:numPr>
      </w:pPr>
      <w:r>
        <w:rPr>
          <w:b/>
          <w:color w:val="31384A"/>
        </w:rPr>
        <w:t xml:space="preserve">Intelligence. </w:t>
      </w:r>
      <w:r>
        <w:t xml:space="preserve">Early warning of coercive threats 30–90 days before public escalation, including AI-driven regulatory pattern tracking through the Integrated Early Warning Cell.</w:t>
      </w:r>
    </w:p>
    <w:p>
      <w:pPr>
        <w:numPr>
          <w:ilvl w:val="0"/>
          <w:numId w:val="1"/>
        </w:numPr>
      </w:pPr>
      <w:r>
        <w:rPr>
          <w:b/>
          <w:color w:val="31384A"/>
        </w:rPr>
        <w:t xml:space="preserve">Infrastructure. </w:t>
      </w:r>
      <w:r>
        <w:t xml:space="preserve">Alternative supply chains, payment systems (CBDC-ready settlement through the Shadow Financial Infrastructure), and strategic reserves.</w:t>
      </w:r>
    </w:p>
    <w:p>
      <w:pPr>
        <w:numPr>
          <w:ilvl w:val="0"/>
          <w:numId w:val="1"/>
        </w:numPr>
      </w:pPr>
      <w:r>
        <w:rPr>
          <w:b/>
          <w:color w:val="31384A"/>
        </w:rPr>
        <w:t xml:space="preserve">Stabilisation. </w:t>
      </w:r>
      <w:r>
        <w:t xml:space="preserve">Credible collective response making coercion strategically irrational.</w:t>
      </w:r>
    </w:p>
    <w:p>
      <w:bookmarkStart w:id="902" w:name="imesi_902"/>
      <w:pPr>
        <w:pStyle w:val="Heading2"/>
      </w:pPr>
      <w:r>
        <w:t>Universal Protection Scope</w:t>
      </w:r>
      <w:bookmarkEnd w:id="902"/>
    </w:p>
    <w:p>
      <w:r>
        <w:t xml:space="preserve">IMESI defends members against two distinct threats: (1) Targeted Economic Coercion, trade, investment, or financial measures explicitly linked to sovereign policy demands (Article II); and (2) Systemic Economic Disruption, non-discriminatory trade measures or supply-chain disruptions that collectively threaten member economic security regardless of articulated policy demands (Sections 1.4–1.4B). Both trigger collective stabilisation responses, burden-sharing, and Fund support. The absence of an explicit policy demand does not prevent collective response where aggregate harm meets prescribed thresholds.</w:t>
      </w:r>
    </w:p>
    <w:p>
      <w:bookmarkStart w:id="903" w:name="imesi_903"/>
      <w:pPr>
        <w:pStyle w:val="Heading2"/>
      </w:pPr>
      <w:r>
        <w:t>What IMESI Is Not</w:t>
      </w:r>
      <w:bookmarkEnd w:id="903"/>
    </w:p>
    <w:p>
      <w:r>
        <w:t xml:space="preserve">IMESI is not a trade bloc, a geopolitical alliance, or a defence pact. Even where coercion coincides with armed-force threats, IMESI remains strictly an economic stabilisation mechanism: no provision permits interpretation as a mutual defence pact or as authorisation for the use of force. The framework sets no tariffs, requires no foreign-policy coordination beyond resisting coercion, and delegates no trade sovereignty. It applies equally to all states, including its own members, with no predetermined targets. A Regulatory Sovereignty Firewall ensures IMESI never prescribes or harmonises domestic regulation.</w:t>
      </w:r>
    </w:p>
    <w:p>
      <w:bookmarkStart w:id="904" w:name="imesi_904"/>
      <w:pPr>
        <w:pStyle w:val="Heading1"/>
      </w:pPr>
      <w:r>
        <w:t>WHAT IS NEW IN VERSION 15.0</w:t>
      </w:r>
      <w:bookmarkEnd w:id="904"/>
    </w:p>
    <w:p>
      <w:r>
        <w:t xml:space="preserve">Version 15.0 (Hardened) integrates 94 new provisions across eleven packages, building on 135 WTO-aligned amendments (v12.0), 62 hardening provisions (v12.1), 32 hybrid-architecture provisions (v13.0), and 10 private-sector incentive provisions (v14.0). Every provision underwent individual WTO-compatibility review and redrafting under the Immutable Present-Tense Matrix: active present-tense drafting, sovereign operational triggers, mutual architecture framing.</w:t>
      </w:r>
    </w:p>
    <w:p>
      <w:pPr>
        <w:numPr>
          <w:ilvl w:val="0"/>
          <w:numId w:val="1"/>
        </w:numPr>
      </w:pPr>
      <w:r>
        <w:rPr>
          <w:b/>
          <w:color w:val="31384A"/>
        </w:rPr>
        <w:t xml:space="preserve">Red Team improvements (12). </w:t>
      </w:r>
      <w:r>
        <w:t xml:space="preserve">Protocol-layer coercion certification, a Standing Evidentiary Challenge Panel, pre-authorised evidentiary packages, a Strategic Processed Minerals Reserve, a Regional Logistics Surge Authority, coercion-as-service attribution, and bilateral deal insurance with solidarity counter-offers.</w:t>
      </w:r>
    </w:p>
    <w:p>
      <w:pPr>
        <w:numPr>
          <w:ilvl w:val="0"/>
          <w:numId w:val="1"/>
        </w:numPr>
      </w:pPr>
      <w:r>
        <w:rPr>
          <w:b/>
          <w:color w:val="31384A"/>
        </w:rPr>
        <w:t xml:space="preserve">Sovereign Defector amendments (10). </w:t>
      </w:r>
      <w:r>
        <w:t xml:space="preserve">Accelerated coalition expansion on systemic defection, institutional swap on defection notice, banked performance enforcement, enhanced anonymity for defection-resistant members, and a decoupling surge on systemic defection.</w:t>
      </w:r>
    </w:p>
    <w:p>
      <w:pPr>
        <w:numPr>
          <w:ilvl w:val="0"/>
          <w:numId w:val="1"/>
        </w:numPr>
      </w:pPr>
      <w:r>
        <w:rPr>
          <w:b/>
          <w:color w:val="31384A"/>
        </w:rPr>
        <w:t xml:space="preserve">Economic benefit carrots (10). </w:t>
      </w:r>
      <w:r>
        <w:t xml:space="preserve">An IMESI Trade Preference Margin (activated only upon GATT Article XXI pre-certification), an Infrastructure Investment Fund, a Liquidity Backstop Guarantee, a Talent Mobility and Skills Passport, an Export Credit Guarantee, an Energy Security Pool, a Digital Market Access Pass, and a First-Response Compensation Fund.</w:t>
      </w:r>
    </w:p>
    <w:p>
      <w:pPr>
        <w:numPr>
          <w:ilvl w:val="0"/>
          <w:numId w:val="1"/>
        </w:numPr>
      </w:pPr>
      <w:r>
        <w:rPr>
          <w:b/>
          <w:color w:val="31384A"/>
        </w:rPr>
        <w:t xml:space="preserve">Integrity hardening (10). </w:t>
      </w:r>
      <w:r>
        <w:t xml:space="preserve">An Integrity and Anti-Corruption Protocol, permanent revolving-door restrictions, a Whistleblower Fortress Protocol, voting integrity verification, a Crisis Continuity Mandate, an Intelligence Integrity Canary, and a Solidarity Audit Protocol.</w:t>
      </w:r>
    </w:p>
    <w:p>
      <w:pPr>
        <w:numPr>
          <w:ilvl w:val="0"/>
          <w:numId w:val="1"/>
        </w:numPr>
      </w:pPr>
      <w:r>
        <w:rPr>
          <w:b/>
          <w:color w:val="31384A"/>
        </w:rPr>
        <w:t xml:space="preserve">Military coercion hardening (10). </w:t>
      </w:r>
      <w:r>
        <w:t xml:space="preserve">Existential Threat Immediate Protection, a Military Insurance Fund, a Civilian Evacuation Corridor, proxy force attribution, and a War Economy Transition Protocol. These provisions deliver economic stabilisation and humanitarian protection only, create no military obligations, and anchor every trade-affecting measure in GATT Article XXI through pre-certification.</w:t>
      </w:r>
    </w:p>
    <w:p>
      <w:pPr>
        <w:numPr>
          <w:ilvl w:val="0"/>
          <w:numId w:val="1"/>
        </w:numPr>
      </w:pPr>
      <w:r>
        <w:rPr>
          <w:b/>
          <w:color w:val="31384A"/>
        </w:rPr>
        <w:t xml:space="preserve">Anti-fragility amendments (6). </w:t>
      </w:r>
      <w:r>
        <w:t xml:space="preserve">An Attack-Induced Ratchet, a Solidarity Bonus Amplifier, a Trust Accelerator, a Learning Engine Mandate, a Cohesion Multiplier, and a Phoenix Protocol: attacks on the coalition strengthen the architecture rather than weaken it.</w:t>
      </w:r>
    </w:p>
    <w:p>
      <w:pPr>
        <w:numPr>
          <w:ilvl w:val="0"/>
          <w:numId w:val="1"/>
        </w:numPr>
      </w:pPr>
      <w:r>
        <w:rPr>
          <w:b/>
          <w:color w:val="31384A"/>
        </w:rPr>
        <w:t xml:space="preserve">Heritage loophole fixes (12). </w:t>
      </w:r>
      <w:r>
        <w:t xml:space="preserve">Objective standards for the Minimum Response Floor, an expanded abstention definition, prohibition of implicit conditionality, penalties for frivolous challenges, a meaningful selective-participation standard, an Observer+ sunset with no permanent observers, an abuse-of-process ratchet, and a continuous active participation requirement.</w:t>
      </w:r>
    </w:p>
    <w:p>
      <w:pPr>
        <w:numPr>
          <w:ilvl w:val="0"/>
          <w:numId w:val="1"/>
        </w:numPr>
      </w:pPr>
      <w:r>
        <w:rPr>
          <w:b/>
          <w:color w:val="31384A"/>
        </w:rPr>
        <w:t xml:space="preserve">Expulsion and earn-back harmonisation. </w:t>
      </w:r>
      <w:r>
        <w:t xml:space="preserve">Existential misconduct triggers rehabilitation review and a permanent-exclusion carve-out; alumni obligations survive exclusion; exit and re-entry rules distinguish voluntary departure from expulsion.</w:t>
      </w:r>
    </w:p>
    <w:p>
      <w:pPr>
        <w:numPr>
          <w:ilvl w:val="0"/>
          <w:numId w:val="1"/>
        </w:numPr>
      </w:pPr>
      <w:r>
        <w:rPr>
          <w:b/>
          <w:color w:val="31384A"/>
        </w:rPr>
        <w:t xml:space="preserve">WTO defence amendments (12). </w:t>
      </w:r>
      <w:r>
        <w:t xml:space="preserve">GATT Article XXI pre-certification, a WTO Coordination and Defence Unit, pre-authorised security-exception briefs, a WTO non-violation rebuttal protocol, and plurilateral notification.</w:t>
      </w:r>
    </w:p>
    <w:p>
      <w:pPr>
        <w:numPr>
          <w:ilvl w:val="0"/>
          <w:numId w:val="1"/>
        </w:numPr>
      </w:pPr>
      <w:r>
        <w:rPr>
          <w:b/>
          <w:color w:val="31384A"/>
        </w:rPr>
        <w:t xml:space="preserve">Final gap-closing amendments (10). </w:t>
      </w:r>
      <w:r>
        <w:t xml:space="preserve">Automatic activation override with notification for systemic coercion, Observer+ graduation accountability, recent-member exit accountability, financial architecture resilience, state succession, Secretariat hosting and depositary rules, a ratification threshold (6 members, 15% of global GDP, 3 regions), and first-activation accountability with a 30-day Phase 1 intensity cap.</w:t>
      </w:r>
    </w:p>
    <w:p>
      <w:pPr>
        <w:numPr>
          <w:ilvl w:val="0"/>
          <w:numId w:val="1"/>
        </w:numPr>
      </w:pPr>
      <w:r>
        <w:rPr>
          <w:b/>
          <w:color w:val="31384A"/>
        </w:rPr>
        <w:t xml:space="preserve">Living Document Protocol. </w:t>
      </w:r>
      <w:r>
        <w:t xml:space="preserve">A standing mechanism keeps the Instrument current without reopening the charter.</w:t>
      </w:r>
    </w:p>
    <w:p>
      <w:pPr>
        <w:numPr>
          <w:ilvl w:val="0"/>
          <w:numId w:val="1"/>
        </w:numPr>
      </w:pPr>
      <w:r>
        <w:rPr>
          <w:b/>
          <w:color w:val="31384A"/>
        </w:rPr>
        <w:t xml:space="preserve">The Nofade Protocol. </w:t>
      </w:r>
      <w:r>
        <w:t xml:space="preserve">Every time-based expiry converts to a rolling review horizon with renewal by silence, default continuity, and written-instrument modification. Commitments persist until active written determination: no measure dies of neglect, and none escapes review.</w:t>
      </w:r>
    </w:p>
    <w:p>
      <w:bookmarkStart w:id="905" w:name="imesi_905"/>
      <w:pPr>
        <w:pStyle w:val="Heading1"/>
      </w:pPr>
      <w:r>
        <w:t>HOW IMESI WORKS: THREE CLOCKS</w:t>
      </w:r>
      <w:bookmarkEnd w:id="905"/>
    </w:p>
    <w:p>
      <w:r>
        <w:t xml:space="preserve">Ministers need remember only three layers. Every detailed timeline in the Instrument calibrates one of these clocks:</w:t>
      </w:r>
    </w:p>
    <w:p>
      <w:pPr>
        <w:numPr>
          <w:ilvl w:val="0"/>
          <w:numId w:val="1"/>
        </w:numPr>
      </w:pPr>
      <w:r>
        <w:rPr>
          <w:b/>
          <w:color w:val="31384A"/>
        </w:rPr>
        <w:t xml:space="preserve">Hours: automatic stabilisation. </w:t>
      </w:r>
      <w:r>
        <w:t xml:space="preserve">Track A measures, liquidity, swap lines, supply-chain rerouting, market-stability communications, deploy within hours of IEWC certification. No political vote operates at this layer. This is the insurance payout.</w:t>
      </w:r>
    </w:p>
    <w:p>
      <w:pPr>
        <w:numPr>
          <w:ilvl w:val="0"/>
          <w:numId w:val="1"/>
        </w:numPr>
      </w:pPr>
      <w:r>
        <w:rPr>
          <w:b/>
          <w:color w:val="31384A"/>
        </w:rPr>
        <w:t xml:space="preserve">Days: political decisions. </w:t>
      </w:r>
      <w:r>
        <w:t xml:space="preserve">The CC votes on Phase 1 trade measures (55% threshold). The Rapid Legitimacy Signal Panel publishes a 72-hour advisory assessment. Quiet consultation gives the coercer a face-saving off-ramp. Political leaders make choices at this speed.</w:t>
      </w:r>
    </w:p>
    <w:p>
      <w:pPr>
        <w:numPr>
          <w:ilvl w:val="0"/>
          <w:numId w:val="1"/>
        </w:numPr>
      </w:pPr>
      <w:r>
        <w:rPr>
          <w:b/>
          <w:color w:val="31384A"/>
        </w:rPr>
        <w:t xml:space="preserve">Months: accountability. </w:t>
      </w:r>
      <w:r>
        <w:t xml:space="preserve">Deep reviews at 90 days force active decisions. Phase 2+ measures undergo rolling review at each 120-day boundary and continue at full strength by silence under the Nofade rule. Cases close or continue at 180 days. No commitment evaporates through inaction; every adjustment requires a written determination.</w:t>
      </w:r>
    </w:p>
    <w:p>
      <w:r>
        <w:t xml:space="preserve">The numeric density of the full text, the 48-hour windows, 7-day panels, and 30-day mandates, is fine-tuning. The architecture is three layers: hours for defence, days for decisions, months for accountability.</w:t>
      </w:r>
    </w:p>
    <w:p>
      <w:bookmarkStart w:id="906" w:name="imesi_906"/>
      <w:pPr>
        <w:pStyle w:val="Heading1"/>
      </w:pPr>
      <w:r>
        <w:t>TIMEFRAMES AND THRESHOLD BANDS</w:t>
      </w:r>
      <w:bookmarkEnd w:id="906"/>
    </w:p>
    <w:p>
      <w:r>
        <w:t xml:space="preserve">All operational timelines in the Instrument fall into four standard bands. Annex 24 specifies the exact hours and days for each mechanism. Ministers and senior officials need remember only four concepts:</w:t>
      </w:r>
    </w:p>
    <w:p>
      <w:pPr>
        <w:numPr>
          <w:ilvl w:val="0"/>
          <w:numId w:val="1"/>
        </w:numPr>
      </w:pPr>
      <w:r>
        <w:rPr>
          <w:b/>
          <w:color w:val="31384A"/>
        </w:rPr>
        <w:t xml:space="preserve">Immediate (0–6 hours). </w:t>
      </w:r>
      <w:r>
        <w:t xml:space="preserve">Track A automatic stabilisation, IEWC critical-case triage, emergency notification to CC members, node failover activation. Pre-authorised defensive measures; no political vote.</w:t>
      </w:r>
    </w:p>
    <w:p>
      <w:pPr>
        <w:numPr>
          <w:ilvl w:val="0"/>
          <w:numId w:val="1"/>
        </w:numPr>
      </w:pPr>
      <w:r>
        <w:rPr>
          <w:b/>
          <w:color w:val="31384A"/>
        </w:rPr>
        <w:t xml:space="preserve">Rapid (1–3 days). </w:t>
      </w:r>
      <w:r>
        <w:t xml:space="preserve">IEWC preliminary certification, RLSM panel assessment, quiet consultation with the coercing state, Phase 1 CC vote and activation, emergency judicial panel convening, mediator appointment. Political decisions happen at this speed.</w:t>
      </w:r>
    </w:p>
    <w:p>
      <w:pPr>
        <w:numPr>
          <w:ilvl w:val="0"/>
          <w:numId w:val="1"/>
        </w:numPr>
      </w:pPr>
      <w:r>
        <w:rPr>
          <w:b/>
          <w:color w:val="31384A"/>
        </w:rPr>
        <w:t xml:space="preserve">Expedited (7–14 days). </w:t>
      </w:r>
      <w:r>
        <w:t xml:space="preserve">Full IEWC investigation and evidence review, Rapid Evidence Panel determination, borderline-case external review, member compliance consultation, CC deliberation on disputed certifications. Substantive review with procedural rigour.</w:t>
      </w:r>
    </w:p>
    <w:p>
      <w:pPr>
        <w:numPr>
          <w:ilvl w:val="0"/>
          <w:numId w:val="1"/>
        </w:numPr>
      </w:pPr>
      <w:r>
        <w:rPr>
          <w:b/>
          <w:color w:val="31384A"/>
        </w:rPr>
        <w:t xml:space="preserve">Standard (30 days). </w:t>
      </w:r>
      <w:r>
        <w:t xml:space="preserve">Diplomatic consultation windows, mediation mandates, Phase 2+ deliberation and authorisation, Secretariat impact assessments, de-escalation verification periods, member opt-in and opt-out elections. Full democratic and diplomatic processes.</w:t>
      </w:r>
    </w:p>
    <w:p>
      <w:r>
        <w:t xml:space="preserve">Specific emergency protocols (Red-Line Category 2, Compound Emergencies, Military Nexus Fast-Lane) carry clearly marked exceptions in the relevant sections.</w:t>
      </w:r>
    </w:p>
    <w:p>
      <w:bookmarkStart w:id="907" w:name="imesi_907"/>
      <w:pPr>
        <w:pStyle w:val="Heading1"/>
      </w:pPr>
      <w:r>
        <w:t>HOW IMESI WORKS IN PRACTICE</w:t>
      </w:r>
      <w:bookmarkEnd w:id="907"/>
    </w:p>
    <w:p>
      <w:bookmarkStart w:id="908" w:name="imesi_908"/>
      <w:pPr>
        <w:pStyle w:val="Heading2"/>
      </w:pPr>
      <w:r>
        <w:t>Scenario 1: Targeted Coercion Against a Member</w:t>
      </w:r>
      <w:bookmarkEnd w:id="908"/>
    </w:p>
    <w:p>
      <w:pPr>
        <w:numPr>
          <w:ilvl w:val="0"/>
          <w:numId w:val="1"/>
        </w:numPr>
      </w:pPr>
      <w:r>
        <w:rPr>
          <w:b/>
          <w:color w:val="31384A"/>
        </w:rPr>
        <w:t xml:space="preserve">Day 0: Trigger. </w:t>
      </w:r>
      <w:r>
        <w:t xml:space="preserve">A member reports discriminatory restrictions linked to a political demand and submits documentation to the IEWC.</w:t>
      </w:r>
    </w:p>
    <w:p>
      <w:pPr>
        <w:numPr>
          <w:ilvl w:val="0"/>
          <w:numId w:val="1"/>
        </w:numPr>
      </w:pPr>
      <w:r>
        <w:rPr>
          <w:b/>
          <w:color w:val="31384A"/>
        </w:rPr>
        <w:t xml:space="preserve">Days 0–3: Certification and Phase 0 automatic stabilisation. </w:t>
      </w:r>
      <w:r>
        <w:t xml:space="preserve">IEWC issues preliminary certification against the evidentiary standard. Resilience Fund liquidity releases; supply-chain rerouting activates; swap-line coordination begins; market-stability communications issue. Track A is pre-authorised: no vote required.</w:t>
      </w:r>
    </w:p>
    <w:p>
      <w:pPr>
        <w:numPr>
          <w:ilvl w:val="0"/>
          <w:numId w:val="1"/>
        </w:numPr>
      </w:pPr>
      <w:r>
        <w:rPr>
          <w:b/>
          <w:color w:val="31384A"/>
        </w:rPr>
        <w:t xml:space="preserve">Days 3–5: Legitimacy signal and quiet consultation. </w:t>
      </w:r>
      <w:r>
        <w:t xml:space="preserve">The RLSM Panel publishes its advisory Legitimacy Note within 72 hours. A confidential backchannel offers the coercer resolution before public escalation; credible assurances defer Phase 1.</w:t>
      </w:r>
    </w:p>
    <w:p>
      <w:pPr>
        <w:numPr>
          <w:ilvl w:val="0"/>
          <w:numId w:val="1"/>
        </w:numPr>
      </w:pPr>
      <w:r>
        <w:rPr>
          <w:b/>
          <w:color w:val="31384A"/>
        </w:rPr>
        <w:t xml:space="preserve">Days 5–7: Phase 1 activation. </w:t>
      </w:r>
      <w:r>
        <w:t xml:space="preserve">The CC votes (55% threshold). Trade, procurement, and regulatory measures at 15–30% intensity. Financial instruments remain excluded at Phase 1. Members choose full, selective, or silent participation.</w:t>
      </w:r>
    </w:p>
    <w:p>
      <w:pPr>
        <w:numPr>
          <w:ilvl w:val="0"/>
          <w:numId w:val="1"/>
        </w:numPr>
      </w:pPr>
      <w:r>
        <w:rPr>
          <w:b/>
          <w:color w:val="31384A"/>
        </w:rPr>
        <w:t xml:space="preserve">Day 45: Escalation review. </w:t>
      </w:r>
      <w:r>
        <w:t xml:space="preserve">An automatic review forces an active choice: escalate to Phase 2, intensify Phase 1, or open a diplomatic window. Phase 2+ requires a separate CC vote plus a published financial impact assessment.</w:t>
      </w:r>
    </w:p>
    <w:p>
      <w:pPr>
        <w:numPr>
          <w:ilvl w:val="0"/>
          <w:numId w:val="1"/>
        </w:numPr>
      </w:pPr>
      <w:r>
        <w:rPr>
          <w:b/>
          <w:color w:val="31384A"/>
        </w:rPr>
        <w:t xml:space="preserve">Off-ramps at every stage. </w:t>
      </w:r>
      <w:r>
        <w:t xml:space="preserve">Coercer behaviour change, mediation, member opt-out, or a CC de-escalation vote closes the case. De-escalation is the default: measures step down automatically without active renewal.</w:t>
      </w:r>
    </w:p>
    <w:p>
      <w:bookmarkStart w:id="909" w:name="imesi_909"/>
      <w:pPr>
        <w:pStyle w:val="Heading2"/>
      </w:pPr>
      <w:r>
        <w:t>Scenario 2: Systemic Economic Disruption</w:t>
      </w:r>
      <w:bookmarkEnd w:id="909"/>
    </w:p>
    <w:p>
      <w:r>
        <w:t xml:space="preserve">The IEWC identifies systemic disruption (broad tariff walls, supply-chain collapse, financial contagion) against quantitative thresholds, with independent panel validation and WTO/IMF consultation where feasible. The default response is stabilisation only: liquidity support, supply-chain rerouting, payment-system continuity. No punitive measures, no sanctions. Routine trade policy changes never trigger this track; the Non-Use Guarantee applies. Escalation to the targeted-coercion pathway requires evidence of coercive intent and a fresh CC vote with full Track B safeguards.</w:t>
      </w:r>
    </w:p>
    <w:p>
      <w:bookmarkStart w:id="910" w:name="imesi_910"/>
      <w:pPr>
        <w:pStyle w:val="Heading2"/>
      </w:pPr>
      <w:r>
        <w:t>Scenario 3: Small-State Cluster Coercion</w:t>
      </w:r>
      <w:bookmarkEnd w:id="910"/>
    </w:p>
    <w:p>
      <w:r>
        <w:t xml:space="preserve">Where three or more small-state members face similar measures from the same coercer, the IEWC aggregates the cases automatically into one consolidated incident at Moderate severity or higher. Phase 0 activates by presumption unless a 55% vote opposes within 24 hours. The Small-State Resilience Reserve (20% of the Fund) opens immediately, the Vulnerable Coalition Window provides enhanced Fund terms, and the Legal and Negotiation Support Unit deploys. Measures persist until the affected small state consents to de-activation or a 75% CC vote decides: great-power horse-trading at small states' expense finds no purchase in this framework.</w:t>
      </w:r>
    </w:p>
    <w:p>
      <w:bookmarkStart w:id="911" w:name="imesi_911"/>
      <w:pPr>
        <w:pStyle w:val="Heading2"/>
      </w:pPr>
      <w:r>
        <w:t>Worked Example: A 25% Tariff Shock on a Mid-Size Member</w:t>
      </w:r>
      <w:bookmarkEnd w:id="911"/>
    </w:p>
    <w:p>
      <w:pPr>
        <w:numPr>
          <w:ilvl w:val="0"/>
          <w:numId w:val="1"/>
        </w:numPr>
      </w:pPr>
      <w:r>
        <w:rPr>
          <w:b/>
          <w:color w:val="31384A"/>
        </w:rPr>
        <w:t xml:space="preserve">Days 0–3: Detection and stabilisation. </w:t>
      </w:r>
      <w:r>
        <w:t xml:space="preserve">A mid-size member (GDP approximately USD 500 billion) faces a sudden 25% tariff on its top three export sectors: USD 8 billion in annual exports at risk, approximately 1.6% of GDP. IEWC preliminary certification triggers Track A: USD 400 million in emergency liquidity, alternative-buyer sourcing through the Joint Procurement Consortium, and swap-line coordination against currency pressure.</w:t>
      </w:r>
    </w:p>
    <w:p>
      <w:pPr>
        <w:numPr>
          <w:ilvl w:val="0"/>
          <w:numId w:val="1"/>
        </w:numPr>
      </w:pPr>
      <w:r>
        <w:rPr>
          <w:b/>
          <w:color w:val="31384A"/>
        </w:rPr>
        <w:t xml:space="preserve">Days 3–7: Consultation and Phase 1. </w:t>
      </w:r>
      <w:r>
        <w:t xml:space="preserve">Quiet consultation fails. The CC passes Phase 1 at 62% weighted: a coordinated 15% tariff on USD 12 billion of coalition imports from the coercer, procurement shifts in energy and critical minerals, and regulatory review of coercer-linked investment. Coalition cost: 0.02–0.05% of GDP each.</w:t>
      </w:r>
    </w:p>
    <w:p>
      <w:pPr>
        <w:numPr>
          <w:ilvl w:val="0"/>
          <w:numId w:val="1"/>
        </w:numPr>
      </w:pPr>
      <w:r>
        <w:rPr>
          <w:b/>
          <w:color w:val="31384A"/>
        </w:rPr>
        <w:t xml:space="preserve">Day 45: Escalation review. </w:t>
      </w:r>
      <w:r>
        <w:t xml:space="preserve">The automatic review opens a 30-day diplomatic window: Phase 1 pauses while Track A stabilisation continues.</w:t>
      </w:r>
    </w:p>
    <w:p>
      <w:pPr>
        <w:numPr>
          <w:ilvl w:val="0"/>
          <w:numId w:val="1"/>
        </w:numPr>
      </w:pPr>
      <w:r>
        <w:rPr>
          <w:b/>
          <w:color w:val="31384A"/>
        </w:rPr>
        <w:t xml:space="preserve">Day 75: Resolution. </w:t>
      </w:r>
      <w:r>
        <w:t xml:space="preserve">Mediation succeeds. The coercer cuts tariffs from 25% to 5%; the residual 5% falls under the Non-Use Guarantee as routine trade policy. Phase 1 steps down over 14 days. Total Fund expenditure: approximately USD 500 million. Total coalition cost: approximately 0.03% of aggregate GDP. The case archives as a Cooperative Resolution: coercion reversed in 75 days, the member's economy stabilised within 6 months.</w:t>
      </w:r>
    </w:p>
    <w:p>
      <w:bookmarkStart w:id="912" w:name="imesi_912"/>
      <w:pPr>
        <w:pStyle w:val="Heading1"/>
      </w:pPr>
      <w:r>
        <w:t>PATTERNS IMESI IS BUILT FOR</w:t>
      </w:r>
      <w:bookmarkEnd w:id="912"/>
    </w:p>
    <w:p>
      <w:r>
        <w:t xml:space="preserve">The framework is calibrated against the trade, supply-chain, and financial pressure patterns of the last decade, without naming or targeting any state:</w:t>
      </w:r>
    </w:p>
    <w:p>
      <w:pPr>
        <w:numPr>
          <w:ilvl w:val="0"/>
          <w:numId w:val="1"/>
        </w:numPr>
      </w:pPr>
      <w:r>
        <w:t xml:space="preserve">Sudden broad tariffs on a narrow set of partner countries following policy disagreements.</w:t>
      </w:r>
    </w:p>
    <w:p>
      <w:pPr>
        <w:numPr>
          <w:ilvl w:val="0"/>
          <w:numId w:val="1"/>
        </w:numPr>
      </w:pPr>
      <w:r>
        <w:t xml:space="preserve">Abrupt export restrictions on critical inputs (rare earths, energy, semiconductors, agricultural products) following diplomatic disputes.</w:t>
      </w:r>
    </w:p>
    <w:p>
      <w:pPr>
        <w:numPr>
          <w:ilvl w:val="0"/>
          <w:numId w:val="1"/>
        </w:numPr>
      </w:pPr>
      <w:r>
        <w:t xml:space="preserve">Use of financial system access, banking restrictions, payment-system exclusion, credit-line withdrawal, as leverage in unrelated political issues.</w:t>
      </w:r>
    </w:p>
    <w:p>
      <w:pPr>
        <w:numPr>
          <w:ilvl w:val="0"/>
          <w:numId w:val="1"/>
        </w:numPr>
      </w:pPr>
      <w:r>
        <w:t xml:space="preserve">Informal customs delays, regulatory harassment, and grey-zone trade friction applied selectively to pressure sovereign policy decisions.</w:t>
      </w:r>
    </w:p>
    <w:p>
      <w:pPr>
        <w:numPr>
          <w:ilvl w:val="0"/>
          <w:numId w:val="1"/>
        </w:numPr>
      </w:pPr>
      <w:r>
        <w:t xml:space="preserve">Coordinated economic measures against small or mid-size states timed to elections, treaty negotiations, or alliance decisions.</w:t>
      </w:r>
    </w:p>
    <w:p>
      <w:r>
        <w:t xml:space="preserve">Every mechanism, from IEWC certification thresholds to Track A stabilisation to Phase 1 coordinated response, is calibrated against these real-world patterns.</w:t>
      </w:r>
    </w:p>
    <w:p>
      <w:bookmarkStart w:id="913" w:name="imesi_913"/>
      <w:pPr>
        <w:pStyle w:val="Heading1"/>
      </w:pPr>
      <w:r>
        <w:t>GOVERNANCE AND CONTROL</w:t>
      </w:r>
      <w:bookmarkEnd w:id="913"/>
    </w:p>
    <w:p>
      <w:bookmarkStart w:id="914" w:name="imesi_914"/>
      <w:pPr>
        <w:pStyle w:val="Heading2"/>
      </w:pPr>
      <w:r>
        <w:t>Who Controls It</w:t>
      </w:r>
      <w:bookmarkEnd w:id="914"/>
    </w:p>
    <w:p>
      <w:pPr>
        <w:numPr>
          <w:ilvl w:val="0"/>
          <w:numId w:val="1"/>
        </w:numPr>
      </w:pPr>
      <w:r>
        <w:rPr>
          <w:b/>
          <w:color w:val="31384A"/>
        </w:rPr>
        <w:t xml:space="preserve">Coordination Committee (CC). </w:t>
      </w:r>
      <w:r>
        <w:t xml:space="preserve">All member states, weighted by GDP and trade with a 15% cap and regional balance. Authorises all Phase 1+ measures. No single member blocks any decision once thresholds are met.</w:t>
      </w:r>
    </w:p>
    <w:p>
      <w:pPr>
        <w:numPr>
          <w:ilvl w:val="0"/>
          <w:numId w:val="1"/>
        </w:numPr>
      </w:pPr>
      <w:r>
        <w:rPr>
          <w:b/>
          <w:color w:val="31384A"/>
        </w:rPr>
        <w:t xml:space="preserve">IEWC. </w:t>
      </w:r>
      <w:r>
        <w:t xml:space="preserve">5 core rotating members, 3 affected-member seats, and 2 independent experts appointed by the IAC. Certifies coercion under published methodology; dissent is published; borderline cases receive external review. No state sits on the IEWC while accused.</w:t>
      </w:r>
    </w:p>
    <w:p>
      <w:pPr>
        <w:numPr>
          <w:ilvl w:val="0"/>
          <w:numId w:val="1"/>
        </w:numPr>
      </w:pPr>
      <w:r>
        <w:rPr>
          <w:b/>
          <w:color w:val="31384A"/>
        </w:rPr>
        <w:t xml:space="preserve">RLSM Panel. </w:t>
      </w:r>
      <w:r>
        <w:t xml:space="preserve">3 independent experts issue a 72-hour public Legitimacy Note (consistent, borderline, or inconsistent). Advisory only; it delays no measure.</w:t>
      </w:r>
    </w:p>
    <w:p>
      <w:pPr>
        <w:numPr>
          <w:ilvl w:val="0"/>
          <w:numId w:val="1"/>
        </w:numPr>
      </w:pPr>
      <w:r>
        <w:rPr>
          <w:b/>
          <w:color w:val="31384A"/>
        </w:rPr>
        <w:t xml:space="preserve">IAC. </w:t>
      </w:r>
      <w:r>
        <w:t xml:space="preserve">Independent jurists appointed by the CC with required geographic balance. Appeals and consistency review.</w:t>
      </w:r>
    </w:p>
    <w:p>
      <w:pPr>
        <w:numPr>
          <w:ilvl w:val="0"/>
          <w:numId w:val="1"/>
        </w:numPr>
      </w:pPr>
      <w:r>
        <w:rPr>
          <w:b/>
          <w:color w:val="31384A"/>
        </w:rPr>
        <w:t xml:space="preserve">Secretariat. </w:t>
      </w:r>
      <w:r>
        <w:t xml:space="preserve">Implements CC decisions; initiates no stabilisation measures; annual external audit. The Director-General takes office by 60% CC vote for a 5-year term and leaves office by 70% vote.</w:t>
      </w:r>
    </w:p>
    <w:p>
      <w:pPr>
        <w:numPr>
          <w:ilvl w:val="0"/>
          <w:numId w:val="1"/>
        </w:numPr>
      </w:pPr>
      <w:r>
        <w:rPr>
          <w:b/>
          <w:color w:val="31384A"/>
        </w:rPr>
        <w:t xml:space="preserve">National IMESI Authority. </w:t>
      </w:r>
      <w:r>
        <w:t xml:space="preserve">Each member designates a single cross-agency contact point.</w:t>
      </w:r>
    </w:p>
    <w:p>
      <w:bookmarkStart w:id="915" w:name="imesi_915"/>
      <w:pPr>
        <w:pStyle w:val="Heading2"/>
      </w:pPr>
      <w:r>
        <w:t>How Members Keep Sovereignty</w:t>
      </w:r>
      <w:bookmarkEnd w:id="915"/>
    </w:p>
    <w:p>
      <w:r>
        <w:t xml:space="preserve">Democratic Override: any parliament rejects implementation. Selective and Silent Participation: case-by-case, measure-level choice. MVIL: a minimum viable implementation layer for cautious or low-capacity governments. Non-Coordination Safe Harbour: members use their own tools, and identical tariffs are never mandatory. Implementation Flexibility Menu: five channels (trade, procurement, financial-lite, regulatory, pure stabilisation). Opt-out with a defined surcharge. Rolling review of all Phase 2+ measures under the Nofade rule. Grand Review: full treaty review every 6 years, plus a mandatory five-year performance audit. Parliamentary control: packages exceeding 0.5% of GDP require an affirmative legislative vote; packages above 1% of GDP trigger quarterly review.</w:t>
      </w:r>
    </w:p>
    <w:p>
      <w:bookmarkStart w:id="916" w:name="imesi_916"/>
      <w:pPr>
        <w:pStyle w:val="Heading2"/>
      </w:pPr>
      <w:r>
        <w:t>No Country Controls This</w:t>
      </w:r>
      <w:bookmarkEnd w:id="916"/>
    </w:p>
    <w:p>
      <w:r>
        <w:t xml:space="preserve">No single country triggers, blocks, or controls certifications. Certification requires a qualified IEWC majority including independent experts. Quorum resilience keeps vacancies from paralysing operations; budget continuity prevents funding hostage-taking; multi-host distribution means no single country controls institutional infrastructure. Version 15.0 adds a Crisis Continuity Mandate, permanent Secretariat hosting and depositary rules, and a Systemic Decision Golden Share protecting core functions.</w:t>
      </w:r>
    </w:p>
    <w:p>
      <w:bookmarkStart w:id="917" w:name="imesi_917"/>
      <w:pPr>
        <w:pStyle w:val="Heading1"/>
      </w:pPr>
      <w:r>
        <w:t>BUILT-IN SAFEGUARDS</w:t>
      </w:r>
      <w:bookmarkEnd w:id="917"/>
    </w:p>
    <w:p>
      <w:r>
        <w:t xml:space="preserve">IMESI is a comprehensive framework. These are the main complexity risks and the specific safeguards already built into the text:</w:t>
      </w:r>
    </w:p>
    <w:p>
      <w:pPr>
        <w:numPr>
          <w:ilvl w:val="0"/>
          <w:numId w:val="1"/>
        </w:numPr>
      </w:pPr>
      <w:r>
        <w:rPr>
          <w:b/>
          <w:color w:val="31384A"/>
        </w:rPr>
        <w:t xml:space="preserve">Mis-activation. </w:t>
      </w:r>
      <w:r>
        <w:t xml:space="preserve">Non-Use Guarantee for routine trade policy; independent panel validation for systemic cases; Misuse Liability with penalties for bad-faith claims; Rapid Evidence Panel for disputed certifications; a Standing Evidentiary Challenge Panel (v15.0).</w:t>
      </w:r>
    </w:p>
    <w:p>
      <w:pPr>
        <w:numPr>
          <w:ilvl w:val="0"/>
          <w:numId w:val="1"/>
        </w:numPr>
      </w:pPr>
      <w:r>
        <w:rPr>
          <w:b/>
          <w:color w:val="31384A"/>
        </w:rPr>
        <w:t xml:space="preserve">Escalation. </w:t>
      </w:r>
      <w:r>
        <w:t xml:space="preserve">Cascade Circuit-Breaker limiting simultaneous activations; Tariff Escalation Ceiling with automatic mutual freeze; No First Use of financial weapons; 120-day rolling review of all Phase 2+ measures under the Nofade Protocol; Symmetric Restraint for systemic economies, with enhanced consultation and a Proportionality Note before any vote.</w:t>
      </w:r>
    </w:p>
    <w:p>
      <w:pPr>
        <w:numPr>
          <w:ilvl w:val="0"/>
          <w:numId w:val="1"/>
        </w:numPr>
      </w:pPr>
      <w:r>
        <w:rPr>
          <w:b/>
          <w:color w:val="31384A"/>
        </w:rPr>
        <w:t xml:space="preserve">Legal conflict. </w:t>
      </w:r>
      <w:r>
        <w:t xml:space="preserve">WTO Defence-in-Depth Protocol with model legal reasoning; Compatibility Assurance; mandatory compatibility assessment before Phase 2+; twelve new WTO-defence amendments in v15.0, including Article XXI pre-certification and pre-authorised security-exception briefs.</w:t>
      </w:r>
    </w:p>
    <w:p>
      <w:pPr>
        <w:numPr>
          <w:ilvl w:val="0"/>
          <w:numId w:val="1"/>
        </w:numPr>
      </w:pPr>
      <w:r>
        <w:rPr>
          <w:b/>
          <w:color w:val="31384A"/>
        </w:rPr>
        <w:t xml:space="preserve">Defection and non-implementation. </w:t>
      </w:r>
      <w:r>
        <w:t xml:space="preserve">Solidarity-First principle; Step-Back/Earn-Back compliance architecture; Compliance Audit detecting silent defection; Minimum Action Floors per tier; anonymised aggregate compliance reporting; bilateral-deal detection, consultation, and disclosure duties.</w:t>
      </w:r>
    </w:p>
    <w:p>
      <w:pPr>
        <w:numPr>
          <w:ilvl w:val="0"/>
          <w:numId w:val="1"/>
        </w:numPr>
      </w:pPr>
      <w:r>
        <w:rPr>
          <w:b/>
          <w:color w:val="31384A"/>
        </w:rPr>
        <w:t xml:space="preserve">Domestic political risk. </w:t>
      </w:r>
      <w:r>
        <w:t xml:space="preserve">Democratic Override; Domestic Sovereignty and Benefit Guarantee; Domestic Industry Safeguard Trigger; Selective and Silent Participation modes; a Citizen-Facing Purpose Statement.</w:t>
      </w:r>
    </w:p>
    <w:p>
      <w:pPr>
        <w:numPr>
          <w:ilvl w:val="0"/>
          <w:numId w:val="1"/>
        </w:numPr>
      </w:pPr>
      <w:r>
        <w:rPr>
          <w:b/>
          <w:color w:val="31384A"/>
        </w:rPr>
        <w:t xml:space="preserve">Integrity and capture. </w:t>
      </w:r>
      <w:r>
        <w:t xml:space="preserve">Integrity and Anti-Corruption Protocol; permanent revolving-door restrictions; Whistleblower Fortress; voting integrity and anti-coercion verification; Intelligence Integrity Canary; Solidarity Audit Protocol.</w:t>
      </w:r>
    </w:p>
    <w:p>
      <w:bookmarkStart w:id="918" w:name="imesi_918"/>
      <w:pPr>
        <w:pStyle w:val="Heading1"/>
      </w:pPr>
      <w:r>
        <w:t>FINANCIAL SNAPSHOT</w:t>
      </w:r>
      <w:bookmarkEnd w:id="918"/>
    </w:p>
    <w:p>
      <w:pPr>
        <w:numPr>
          <w:ilvl w:val="0"/>
          <w:numId w:val="1"/>
        </w:numPr>
      </w:pPr>
      <w:r>
        <w:rPr>
          <w:b/>
          <w:color w:val="31384A"/>
        </w:rPr>
        <w:t xml:space="preserve">Contributions. </w:t>
      </w:r>
      <w:r>
        <w:t xml:space="preserve">Large advanced economies (GDP above USD 2 trillion): approximately 0.06–0.08% of GDP per year. Mid-size economies (USD 200 billion to 2 trillion): approximately 0.03–0.05%. Small states (below USD 200 billion): approximately 0.01–0.02%. LDCs and micro-states: under 0.01%.</w:t>
      </w:r>
    </w:p>
    <w:p>
      <w:pPr>
        <w:numPr>
          <w:ilvl w:val="0"/>
          <w:numId w:val="1"/>
        </w:numPr>
      </w:pPr>
      <w:r>
        <w:rPr>
          <w:b/>
          <w:color w:val="31384A"/>
        </w:rPr>
        <w:t xml:space="preserve">Hard exposure cap. </w:t>
      </w:r>
      <w:r>
        <w:t xml:space="preserve">Total annual exposure, all regular contributions plus emergency calls combined, never exceeds 0.25% of GDP for any member in any year, regardless of the number of active cases. Breaching the ceiling requires explicit parliamentary authorisation.</w:t>
      </w:r>
    </w:p>
    <w:p>
      <w:pPr>
        <w:numPr>
          <w:ilvl w:val="0"/>
          <w:numId w:val="1"/>
        </w:numPr>
      </w:pPr>
      <w:r>
        <w:rPr>
          <w:b/>
          <w:color w:val="31384A"/>
        </w:rPr>
        <w:t xml:space="preserve">Fund size. </w:t>
      </w:r>
      <w:r>
        <w:t xml:space="preserve">A 12-member founding coalition (approximately USD 45 trillion combined GDP) contributes approximately USD 2.2–4.5 billion per year, reaching a 5-year fund target of approximately USD 11–22 billion. SFI liquidity backstop: minimum USD 15 billion.</w:t>
      </w:r>
    </w:p>
    <w:p>
      <w:pPr>
        <w:numPr>
          <w:ilvl w:val="0"/>
          <w:numId w:val="1"/>
        </w:numPr>
      </w:pPr>
      <w:r>
        <w:rPr>
          <w:b/>
          <w:color w:val="31384A"/>
        </w:rPr>
        <w:t xml:space="preserve">Single-case draw limit. </w:t>
      </w:r>
      <w:r>
        <w:t xml:space="preserve">No single activation draws more than 15% of total Fund capacity or 0.15% of any individual member's GDP without a 75% supermajority CC vote. No single crisis drains the system.</w:t>
      </w:r>
    </w:p>
    <w:p>
      <w:pPr>
        <w:numPr>
          <w:ilvl w:val="0"/>
          <w:numId w:val="1"/>
        </w:numPr>
      </w:pPr>
      <w:r>
        <w:rPr>
          <w:b/>
          <w:color w:val="31384A"/>
        </w:rPr>
        <w:t xml:space="preserve">Typical case cost. </w:t>
      </w:r>
      <w:r>
        <w:t xml:space="preserve">An illustrative medium case (Phase 1/Phase 2, 8–10% trade coverage on targeted flows) costs the coalition approximately 0.02–0.05% of combined GDP over 12 months: roughly USD 100–250 million a year for a mid-size member, USD 600 million to 1.5 billion for a large advanced economy.</w:t>
      </w:r>
    </w:p>
    <w:p>
      <w:pPr>
        <w:numPr>
          <w:ilvl w:val="0"/>
          <w:numId w:val="1"/>
        </w:numPr>
      </w:pPr>
      <w:r>
        <w:rPr>
          <w:b/>
          <w:color w:val="31384A"/>
        </w:rPr>
        <w:t xml:space="preserve">Multi-case stress capacity. </w:t>
      </w:r>
      <w:r>
        <w:t xml:space="preserve">The system handles two simultaneous medium cases plus one small-state case within the same 0.25% exposure cap. The Multi-Crisis Stress Envelope keeps every member's costs predictable even under concurrent crises.</w:t>
      </w:r>
    </w:p>
    <w:p>
      <w:bookmarkStart w:id="919" w:name="imesi_919"/>
      <w:pPr>
        <w:pStyle w:val="Heading1"/>
      </w:pPr>
      <w:r>
        <w:t>WHAT IMESI MEANS FOR FIRMS AND FINANCIAL INSTITUTIONS</w:t>
      </w:r>
      <w:bookmarkEnd w:id="919"/>
    </w:p>
    <w:p>
      <w:bookmarkStart w:id="920" w:name="imesi_920"/>
      <w:pPr>
        <w:pStyle w:val="Heading2"/>
      </w:pPr>
      <w:r>
        <w:t>Trading and Manufacturing Firms</w:t>
      </w:r>
      <w:bookmarkEnd w:id="920"/>
    </w:p>
    <w:p>
      <w:pPr>
        <w:numPr>
          <w:ilvl w:val="0"/>
          <w:numId w:val="1"/>
        </w:numPr>
      </w:pPr>
      <w:r>
        <w:rPr>
          <w:b/>
          <w:color w:val="31384A"/>
        </w:rPr>
        <w:t xml:space="preserve">Phase 0 (automatic). </w:t>
      </w:r>
      <w:r>
        <w:t xml:space="preserve">No direct firm obligations. Supply-chain rerouting assistance through the Secretariat; emergency procurement at pre-agreed terms through the Joint Procurement Consortium.</w:t>
      </w:r>
    </w:p>
    <w:p>
      <w:pPr>
        <w:numPr>
          <w:ilvl w:val="0"/>
          <w:numId w:val="1"/>
        </w:numPr>
      </w:pPr>
      <w:r>
        <w:rPr>
          <w:b/>
          <w:color w:val="31384A"/>
        </w:rPr>
        <w:t xml:space="preserve">Phase 1 (CC-authorised). </w:t>
      </w:r>
      <w:r>
        <w:t xml:space="preserve">Coordinated tariff adjustments on specified coercer-state products, typically in the 10–20% range. Firms in affected sectors apply for Resilience Fund assistance for rerouting costs. Certified Transparent Operators receive MFN treatment and tariff exemptions.</w:t>
      </w:r>
    </w:p>
    <w:p>
      <w:pPr>
        <w:numPr>
          <w:ilvl w:val="0"/>
          <w:numId w:val="1"/>
        </w:numPr>
      </w:pPr>
      <w:r>
        <w:rPr>
          <w:b/>
          <w:color w:val="31384A"/>
        </w:rPr>
        <w:t xml:space="preserve">Phase 2+ (heightened). </w:t>
      </w:r>
      <w:r>
        <w:t xml:space="preserve">Broader trade restrictions, procurement exclusions from coercer-linked suppliers, and diversification requirements in critical sectors, all under 120-day rolling review.</w:t>
      </w:r>
    </w:p>
    <w:p>
      <w:bookmarkStart w:id="921" w:name="imesi_921"/>
      <w:pPr>
        <w:pStyle w:val="Heading2"/>
      </w:pPr>
      <w:r>
        <w:t>Banks and Financial Institutions</w:t>
      </w:r>
      <w:bookmarkEnd w:id="921"/>
    </w:p>
    <w:p>
      <w:r>
        <w:t xml:space="preserve">Phase 0 and Phase 1 impose zero new obligations on banks; financial instruments remain excluded from Phase 1. Phase 2+ requires a separate 60% CC vote and activates SFI settlement fee adjustments (125% for coercer-linked transactions, 85% for intra-IMESI settlement), with a full opt-out to non-IMESI settlement channels. A Financial Impact Assessment publishes before deployment; settlement preference shifts expire automatically on case closure and never exceed 24 months.</w:t>
      </w:r>
    </w:p>
    <w:p>
      <w:bookmarkStart w:id="922" w:name="imesi_922"/>
      <w:pPr>
        <w:pStyle w:val="Heading2"/>
      </w:pPr>
      <w:r>
        <w:t>Platforms and Systemic Infrastructure Providers</w:t>
      </w:r>
      <w:bookmarkEnd w:id="922"/>
    </w:p>
    <w:p>
      <w:r>
        <w:t xml:space="preserve">Certified providers receive 30-day advance notice before any service-adjustment request, with independent review through the IAC and an absolute boundary: no content-moderation or political-speech restrictions. Platform Certification provides safe-harbour status and procurement advantages.</w:t>
      </w:r>
    </w:p>
    <w:p>
      <w:bookmarkStart w:id="923" w:name="imesi_923"/>
      <w:pPr>
        <w:pStyle w:val="Heading1"/>
      </w:pPr>
      <w:r>
        <w:t>MEMBERSHIP TIERS AND PARTICIPATION MODES</w:t>
      </w:r>
      <w:bookmarkEnd w:id="923"/>
    </w:p>
    <w:tbl>
      <w:tblPr>
        <w:tblW w:w="5000" w:type="pct"/>
        <w:tblBorders>
          <w:top w:val="single" w:color="C5A44E" w:sz="10"/>
          <w:left w:val="nil"/>
          <w:bottom w:val="single" w:color="C5A44E" w:sz="10"/>
          <w:right w:val="nil"/>
          <w:insideH w:val="single" w:color="DDD3B8" w:sz="2"/>
          <w:insideV w:val="nil"/>
        </w:tblBorders>
        <w:tblCellMar>
          <w:top w:w="40" w:type="dxa"/>
          <w:left w:w="100" w:type="dxa"/>
          <w:bottom w:w="40" w:type="dxa"/>
          <w:right w:w="100" w:type="dxa"/>
        </w:tblCellMar>
      </w:tblPr>
      <w:tblGrid>
        <w:gridCol w:w="2800"/>
        <w:gridCol w:w="6612"/>
      </w:tblGrid>
      <w:tr>
        <w:trPr>
          <w:tblHeader/>
        </w:trPr>
        <w:tc>
          <w:tcPr>
            <w:tcW w:w="2800" w:type="dxa"/>
          </w:tcPr>
          <w:p>
            <w:pPr>
              <w:spacing w:after="0" w:line="264" w:lineRule="auto"/>
              <w:jc w:val="left"/>
            </w:pPr>
            <w:r>
              <w:rPr>
                <w:rFonts w:ascii="Calibri" w:hAnsi="Calibri" w:eastAsia="Calibri"/>
                <w:b/>
                <w:color w:val="31384A"/>
                <w:sz w:val="19"/>
              </w:rPr>
              <w:t>Tier</w:t>
            </w:r>
          </w:p>
        </w:tc>
        <w:tc>
          <w:tcPr>
            <w:tcW w:w="6612" w:type="dxa"/>
          </w:tcPr>
          <w:p>
            <w:pPr>
              <w:spacing w:after="0" w:line="264" w:lineRule="auto"/>
              <w:jc w:val="left"/>
            </w:pPr>
            <w:r>
              <w:rPr>
                <w:rFonts w:ascii="Calibri" w:hAnsi="Calibri" w:eastAsia="Calibri"/>
                <w:b/>
                <w:color w:val="31384A"/>
                <w:sz w:val="19"/>
              </w:rPr>
              <w:t>Description</w:t>
            </w:r>
          </w:p>
        </w:tc>
      </w:tr>
      <w:tr>
        <w:tc>
          <w:tcPr>
            <w:tcW w:w="2800" w:type="dxa"/>
          </w:tcPr>
          <w:p>
            <w:pPr>
              <w:spacing w:after="0" w:line="264" w:lineRule="auto"/>
              <w:jc w:val="left"/>
            </w:pPr>
            <w:r>
              <w:rPr>
                <w:rFonts w:ascii="Calibri" w:hAnsi="Calibri" w:eastAsia="Calibri"/>
                <w:b/>
                <w:color w:val="31384A"/>
                <w:sz w:val="19"/>
              </w:rPr>
              <w:t>Observer+</w:t>
            </w:r>
          </w:p>
        </w:tc>
        <w:tc>
          <w:tcPr>
            <w:tcW w:w="6612" w:type="dxa"/>
          </w:tcPr>
          <w:p>
            <w:pPr>
              <w:spacing w:after="0" w:line="264" w:lineRule="auto"/>
              <w:jc w:val="left"/>
            </w:pPr>
            <w:r>
              <w:rPr>
                <w:rFonts w:ascii="Calibri" w:hAnsi="Calibri" w:eastAsia="Calibri"/>
                <w:color w:val="444444"/>
                <w:sz w:val="19"/>
              </w:rPr>
              <w:t>Intelligence sharing; no obligations</w:t>
            </w:r>
          </w:p>
        </w:tc>
      </w:tr>
      <w:tr>
        <w:tc>
          <w:tcPr>
            <w:tcW w:w="2800" w:type="dxa"/>
          </w:tcPr>
          <w:p>
            <w:pPr>
              <w:spacing w:after="0" w:line="264" w:lineRule="auto"/>
              <w:jc w:val="left"/>
            </w:pPr>
            <w:r>
              <w:rPr>
                <w:rFonts w:ascii="Calibri" w:hAnsi="Calibri" w:eastAsia="Calibri"/>
                <w:b/>
                <w:color w:val="31384A"/>
                <w:sz w:val="19"/>
              </w:rPr>
              <w:t>Associate</w:t>
            </w:r>
          </w:p>
        </w:tc>
        <w:tc>
          <w:tcPr>
            <w:tcW w:w="6612" w:type="dxa"/>
          </w:tcPr>
          <w:p>
            <w:pPr>
              <w:spacing w:after="0" w:line="264" w:lineRule="auto"/>
              <w:jc w:val="left"/>
            </w:pPr>
            <w:r>
              <w:rPr>
                <w:rFonts w:ascii="Calibri" w:hAnsi="Calibri" w:eastAsia="Calibri"/>
                <w:color w:val="444444"/>
                <w:sz w:val="19"/>
              </w:rPr>
              <w:t>Select 3+ cooperation domains; limited obligations</w:t>
            </w:r>
          </w:p>
        </w:tc>
      </w:tr>
      <w:tr>
        <w:tc>
          <w:tcPr>
            <w:tcW w:w="2800" w:type="dxa"/>
          </w:tcPr>
          <w:p>
            <w:pPr>
              <w:spacing w:after="0" w:line="264" w:lineRule="auto"/>
              <w:jc w:val="left"/>
            </w:pPr>
            <w:r>
              <w:rPr>
                <w:rFonts w:ascii="Calibri" w:hAnsi="Calibri" w:eastAsia="Calibri"/>
                <w:b/>
                <w:color w:val="31384A"/>
                <w:sz w:val="19"/>
              </w:rPr>
              <w:t>Full</w:t>
            </w:r>
          </w:p>
        </w:tc>
        <w:tc>
          <w:tcPr>
            <w:tcW w:w="6612" w:type="dxa"/>
          </w:tcPr>
          <w:p>
            <w:pPr>
              <w:spacing w:after="0" w:line="264" w:lineRule="auto"/>
              <w:jc w:val="left"/>
            </w:pPr>
            <w:r>
              <w:rPr>
                <w:rFonts w:ascii="Calibri" w:hAnsi="Calibri" w:eastAsia="Calibri"/>
                <w:color w:val="444444"/>
                <w:sz w:val="19"/>
              </w:rPr>
              <w:t>Comprehensive commitments; maximum protection</w:t>
            </w:r>
          </w:p>
        </w:tc>
      </w:tr>
      <w:tr>
        <w:tc>
          <w:tcPr>
            <w:tcW w:w="2800" w:type="dxa"/>
          </w:tcPr>
          <w:p>
            <w:pPr>
              <w:spacing w:after="0" w:line="264" w:lineRule="auto"/>
              <w:jc w:val="left"/>
            </w:pPr>
            <w:r>
              <w:rPr>
                <w:rFonts w:ascii="Calibri" w:hAnsi="Calibri" w:eastAsia="Calibri"/>
                <w:b/>
                <w:color w:val="31384A"/>
                <w:sz w:val="19"/>
              </w:rPr>
              <w:t>Enhanced Solidarity</w:t>
            </w:r>
          </w:p>
        </w:tc>
        <w:tc>
          <w:tcPr>
            <w:tcW w:w="6612" w:type="dxa"/>
          </w:tcPr>
          <w:p>
            <w:pPr>
              <w:spacing w:after="0" w:line="264" w:lineRule="auto"/>
              <w:jc w:val="left"/>
            </w:pPr>
            <w:r>
              <w:rPr>
                <w:rFonts w:ascii="Calibri" w:hAnsi="Calibri" w:eastAsia="Calibri"/>
                <w:color w:val="444444"/>
                <w:sz w:val="19"/>
              </w:rPr>
              <w:t>Highest coordination for major economies</w:t>
            </w:r>
          </w:p>
        </w:tc>
      </w:tr>
    </w:tbl>
    <w:p>
      <w:r>
        <w:t xml:space="preserve">MVIL mode is available at any tier for light-touch participation. The Founding Observer Track offers a 12–24 month zero-obligation trial with intelligence briefings, procurement tender eligibility, and stress-test observer status. Provisional membership provides a 6-month trial with full intelligence and supply-chain access; reverse accession provides protection-recipient status for up to 24 months.</w:t>
      </w:r>
    </w:p>
    <w:p>
      <w:r>
        <w:t xml:space="preserve">Peacetime benefits begin in Month 1: joint procurement savings of 10–18%, early-warning intelligence, SFI settlement and swap-line access, Resilience Fund eligibility, supply-chain rerouting, and Coercion Risk Dashboard placement signalling credible collective backing to investors and trading partners.</w:t>
      </w:r>
    </w:p>
    <w:p>
      <w:bookmarkStart w:id="924" w:name="imesi_924"/>
      <w:pPr>
        <w:pStyle w:val="Heading1"/>
      </w:pPr>
      <w:r>
        <w:t>FOUNDING COALITION STRATEGY</w:t>
      </w:r>
      <w:bookmarkEnd w:id="924"/>
    </w:p>
    <w:p>
      <w:pPr>
        <w:numPr>
          <w:ilvl w:val="0"/>
          <w:numId w:val="1"/>
        </w:numPr>
      </w:pPr>
      <w:r>
        <w:rPr>
          <w:b/>
          <w:color w:val="31384A"/>
        </w:rPr>
        <w:t xml:space="preserve">LAUNCH (Year 1). </w:t>
      </w:r>
      <w:r>
        <w:t xml:space="preserve">EU core, UK, Canada, Japan, Australia, South Korea: 10–12 founding states. Provisional entry into force requires only 6 Full Members at 15% of global GDP across 3 geographic regions; full operational scope activates at 12 Full Members or 25% of global GDP, whichever comes first.</w:t>
      </w:r>
    </w:p>
    <w:p>
      <w:pPr>
        <w:numPr>
          <w:ilvl w:val="0"/>
          <w:numId w:val="1"/>
        </w:numPr>
      </w:pPr>
      <w:r>
        <w:rPr>
          <w:b/>
          <w:color w:val="31384A"/>
        </w:rPr>
        <w:t xml:space="preserve">PROVE (Years 2–3). </w:t>
      </w:r>
      <w:r>
        <w:t xml:space="preserve">1–2 successful cases demonstrating capability. The Pre-Activated Core provides day-one value: intelligence sharing, procurement pilots, risk dashboards.</w:t>
      </w:r>
    </w:p>
    <w:p>
      <w:pPr>
        <w:numPr>
          <w:ilvl w:val="0"/>
          <w:numId w:val="1"/>
        </w:numPr>
      </w:pPr>
      <w:r>
        <w:rPr>
          <w:b/>
          <w:color w:val="31384A"/>
        </w:rPr>
        <w:t xml:space="preserve">EXPAND (Years 4–5). </w:t>
      </w:r>
      <w:r>
        <w:t xml:space="preserve">Broader accession after credibility is established. Open Architecture lets non-members join selected modules without full membership.</w:t>
      </w:r>
    </w:p>
    <w:p>
      <w:pPr>
        <w:numPr>
          <w:ilvl w:val="0"/>
          <w:numId w:val="1"/>
        </w:numPr>
      </w:pPr>
      <w:r>
        <w:rPr>
          <w:b/>
          <w:color w:val="31384A"/>
        </w:rPr>
        <w:t xml:space="preserve">TARGET (Year 5+). </w:t>
      </w:r>
      <w:r>
        <w:t xml:space="preserve">30–40 members representing 45%+ of global GDP.</w:t>
      </w:r>
    </w:p>
    <w:p>
      <w:bookmarkStart w:id="925" w:name="imesi_925"/>
      <w:pPr>
        <w:pStyle w:val="Heading2"/>
      </w:pPr>
      <w:r>
        <w:t>Three Pathways</w:t>
      </w:r>
      <w:bookmarkEnd w:id="925"/>
    </w:p>
    <w:p>
      <w:pPr>
        <w:numPr>
          <w:ilvl w:val="0"/>
          <w:numId w:val="1"/>
        </w:numPr>
      </w:pPr>
      <w:r>
        <w:rPr>
          <w:b/>
          <w:color w:val="31384A"/>
        </w:rPr>
        <w:t xml:space="preserve">Path A: G7/G20 Task Force. </w:t>
      </w:r>
      <w:r>
        <w:t xml:space="preserve">18–24 months to drafting conference.</w:t>
      </w:r>
    </w:p>
    <w:p>
      <w:pPr>
        <w:numPr>
          <w:ilvl w:val="0"/>
          <w:numId w:val="1"/>
        </w:numPr>
      </w:pPr>
      <w:r>
        <w:rPr>
          <w:b/>
          <w:color w:val="31384A"/>
        </w:rPr>
        <w:t xml:space="preserve">Path B: OECD/WTO Joint Initiative. </w:t>
      </w:r>
      <w:r>
        <w:t xml:space="preserve">24–36 months; slower but higher multilateral legitimacy.</w:t>
      </w:r>
    </w:p>
    <w:p>
      <w:pPr>
        <w:numPr>
          <w:ilvl w:val="0"/>
          <w:numId w:val="1"/>
        </w:numPr>
      </w:pPr>
      <w:r>
        <w:rPr>
          <w:b/>
          <w:color w:val="31384A"/>
        </w:rPr>
        <w:t xml:space="preserve">Path C: Regional Pilot. </w:t>
      </w:r>
      <w:r>
        <w:t xml:space="preserve">12–18 months; fastest to operational proof of concept.</w:t>
      </w:r>
    </w:p>
    <w:p>
      <w:bookmarkStart w:id="926" w:name="imesi_926"/>
      <w:pPr>
        <w:pStyle w:val="Heading2"/>
      </w:pPr>
      <w:r>
        <w:t>Who Moves First</w:t>
      </w:r>
      <w:bookmarkEnd w:id="926"/>
    </w:p>
    <w:p>
      <w:r>
        <w:t xml:space="preserve">IMESI moves from concept to pilot the moment three willing major economies and two small states jointly task their sherpas, at a G7, OECD, or regional summit, to launch a 12–18 month pilot under simplified scope (tariffs plus basic liquidity only). That is the minimum viable political action: five governments, one joint communique, one MoU, and one working group with a 12-month mandate. Everything else, full treaty text, institutional design, capitalisation, follows from that initial decision. The question is not whether the architecture is ready. The question is which five governments pick up the phone.</w:t>
      </w:r>
    </w:p>
    <w:p>
      <w:bookmarkStart w:id="927" w:name="imesi_927"/>
      <w:pPr>
        <w:pStyle w:val="Heading2"/>
      </w:pPr>
      <w:r>
        <w:t>A Concrete Pilot on the Table</w:t>
      </w:r>
      <w:bookmarkEnd w:id="927"/>
    </w:p>
    <w:p>
      <w:r>
        <w:t xml:space="preserve">A 6-month tabletop exercise on tariff coercion against small agricultural exporters: 3–5 volunteer governments (1 major economy, 2 mid-size, 1–2 small states) simulate IEWC certification with real trade data, Track A stabilisation, and a Track B coordinated tariff response on paper. No ratification, no binding commitments. Pilot participants qualify for Founding Member status and the First-Mover Protection Package.</w:t>
      </w:r>
    </w:p>
    <w:p>
      <w:bookmarkStart w:id="928" w:name="imesi_928"/>
      <w:pPr>
        <w:pStyle w:val="Heading1"/>
      </w:pPr>
      <w:r>
        <w:t>POLITICAL SUSTAINABILITY</w:t>
      </w:r>
      <w:bookmarkEnd w:id="928"/>
    </w:p>
    <w:p>
      <w:pPr>
        <w:numPr>
          <w:ilvl w:val="0"/>
          <w:numId w:val="1"/>
        </w:numPr>
      </w:pPr>
      <w:r>
        <w:t xml:space="preserve">A manageable initial fund, scaling with membership; First-Mover Protection for founding members.</w:t>
      </w:r>
    </w:p>
    <w:p>
      <w:pPr>
        <w:numPr>
          <w:ilvl w:val="0"/>
          <w:numId w:val="1"/>
        </w:numPr>
      </w:pPr>
      <w:r>
        <w:t xml:space="preserve">Five-year mandatory review with amendment rights, plus an independent performance audit; a 70% supermajority expands scope.</w:t>
      </w:r>
    </w:p>
    <w:p>
      <w:pPr>
        <w:numPr>
          <w:ilvl w:val="0"/>
          <w:numId w:val="1"/>
        </w:numPr>
      </w:pPr>
      <w:r>
        <w:t xml:space="preserve">Sectoral modularity: members limit binding obligations to selected high-vulnerability sectors; MVIL and Selective Participation keep entry light.</w:t>
      </w:r>
    </w:p>
    <w:p>
      <w:pPr>
        <w:numPr>
          <w:ilvl w:val="0"/>
          <w:numId w:val="1"/>
        </w:numPr>
      </w:pPr>
      <w:r>
        <w:t xml:space="preserve">Constructive abstention: members participate without blocking.</w:t>
      </w:r>
    </w:p>
    <w:p>
      <w:pPr>
        <w:numPr>
          <w:ilvl w:val="0"/>
          <w:numId w:val="1"/>
        </w:numPr>
      </w:pPr>
      <w:r>
        <w:t xml:space="preserve">Parliamentary control: packages exceeding 0.5% of GDP require an affirmative legislative vote; packages above 1% of GDP trigger quarterly review.</w:t>
      </w:r>
    </w:p>
    <w:p>
      <w:pPr>
        <w:numPr>
          <w:ilvl w:val="0"/>
          <w:numId w:val="1"/>
        </w:numPr>
      </w:pPr>
      <w:r>
        <w:t xml:space="preserve">Peacetime benefits begin immediately; private-sector engagement runs through the Business Council and corporate protocols.</w:t>
      </w:r>
    </w:p>
    <w:p>
      <w:pPr>
        <w:numPr>
          <w:ilvl w:val="0"/>
          <w:numId w:val="1"/>
        </w:numPr>
      </w:pPr>
      <w:r>
        <w:t xml:space="preserve">Clear off-ramps and face-saving mechanisms for all parties; withdrawal leaves prior decisions and the remaining members' authority intact.</w:t>
      </w:r>
    </w:p>
    <w:p>
      <w:bookmarkStart w:id="929" w:name="imesi_929"/>
      <w:pPr>
        <w:pStyle w:val="Heading1"/>
      </w:pPr>
      <w:r>
        <w:t>FREQUENTLY ASKED QUESTIONS</w:t>
      </w:r>
      <w:bookmarkEnd w:id="929"/>
    </w:p>
    <w:p>
      <w:pPr>
        <w:numPr>
          <w:ilvl w:val="0"/>
          <w:numId w:val="1"/>
        </w:numPr>
      </w:pPr>
      <w:r>
        <w:rPr>
          <w:b/>
          <w:color w:val="31384A"/>
        </w:rPr>
        <w:t xml:space="preserve">Two members disagree on whether a third state is coercing. </w:t>
      </w:r>
      <w:r>
        <w:t xml:space="preserve">The expedited dispute-resolution mechanism hears both sides; the IEWC and IAC assess independently, and neither disputing member overrides their assessment. Disagreement never freezes stabilisation: Track A proceeds unless a 70% CC supermajority suspends it. An objecting member invokes Selective Participation and abstains from specific measures while maintaining membership.</w:t>
      </w:r>
    </w:p>
    <w:p>
      <w:pPr>
        <w:numPr>
          <w:ilvl w:val="0"/>
          <w:numId w:val="1"/>
        </w:numPr>
      </w:pPr>
      <w:r>
        <w:rPr>
          <w:b/>
          <w:color w:val="31384A"/>
        </w:rPr>
        <w:t xml:space="preserve">The coercing state is itself an IMESI member. </w:t>
      </w:r>
      <w:r>
        <w:t xml:space="preserve">Universal Applicability governs: IMESI applies to coercion by any state, including members. The accused member recuses automatically from the IEWC, identical evidentiary standards apply, and certified coercion draws the same proportional stabilisation measures, with Symmetric Restraint and a higher bar for financial instruments where the coercer is a systemic economy. Protection never depends on the coercer sitting outside the club. This is how IMESI maintains credibility as a rules-based system.</w:t>
      </w:r>
    </w:p>
    <w:p>
      <w:pPr>
        <w:numPr>
          <w:ilvl w:val="0"/>
          <w:numId w:val="1"/>
        </w:numPr>
      </w:pPr>
      <w:r>
        <w:rPr>
          <w:b/>
          <w:color w:val="31384A"/>
        </w:rPr>
        <w:t xml:space="preserve">Interaction with existing sanctions regimes. </w:t>
      </w:r>
      <w:r>
        <w:t xml:space="preserve">IMESI operates alongside existing regimes as a complementary tool: it aligns with no member's sanctions and overrides none. Members implement IMESI stabilisation measures and maintain independent sanctions simultaneously; members with conflicting obligations invoke Selective Participation or the Domestic Industry Safeguard without penalty. IMESI is economic insurance, not a sanctions-coordination body.</w:t>
      </w:r>
    </w:p>
    <w:p>
      <w:bookmarkStart w:id="930" w:name="imesi_930"/>
      <w:pPr>
        <w:pStyle w:val="Heading1"/>
      </w:pPr>
      <w:r>
        <w:t>NEXT STEPS FOR MINISTERS</w:t>
      </w:r>
      <w:bookmarkEnd w:id="930"/>
    </w:p>
    <w:p>
      <w:pPr>
        <w:ind w:left="360" w:hanging="280"/>
      </w:pPr>
      <w:r>
        <w:rPr>
          <w:b/>
          <w:color w:val="31384A"/>
        </w:rPr>
        <w:t xml:space="preserve">1. </w:t>
      </w:r>
      <w:r>
        <w:t xml:space="preserve">Review this digest and identify questions for a technical briefing on the full IMESI v15.0 framework, available for open circulation.</w:t>
      </w:r>
    </w:p>
    <w:p>
      <w:pPr>
        <w:ind w:left="360" w:hanging="280"/>
      </w:pPr>
      <w:r>
        <w:rPr>
          <w:b/>
          <w:color w:val="31384A"/>
        </w:rPr>
        <w:t xml:space="preserve">2. </w:t>
      </w:r>
      <w:r>
        <w:t xml:space="preserve">Designate a senior official to participate in informal scoping consultations at the next available ministerial margins (G7, OECD, or WTO Ministerial).</w:t>
      </w:r>
    </w:p>
    <w:p>
      <w:pPr>
        <w:ind w:left="360" w:hanging="280"/>
      </w:pPr>
      <w:r>
        <w:rPr>
          <w:b/>
          <w:color w:val="31384A"/>
        </w:rPr>
        <w:t xml:space="preserve">3. </w:t>
      </w:r>
      <w:r>
        <w:t xml:space="preserve">Consider participation in the low-risk tabletop pilot exercise (Path C), which requires no binding commitments.</w:t>
      </w:r>
    </w:p>
    <w:p>
      <w:r>
        <w:t xml:space="preserve">This digest summarises IMESI v15.0 (Hardened), August 2026. The full framework text is available for open circulation and detailed review. The technical design phase is complete: the constraint is now politics, not architecture. The blueprint exists. The choice belongs to the leaders willing to build it.</w:t>
      </w:r>
    </w:p>
    <w:sectPr>
      <w:headerReference w:type="default" r:id="R6fb9a5f6d38e4546"/>
      <w:footerReference w:type="default" r:id="R48cc9b8066ca4898"/>
      <w:pgSz w:w="11906" w:h="16838"/>
      <w:pgMar w:top="1440" w:right="1247" w:bottom="1296" w:left="1247" w:header="576" w:footer="576"/>
    </w:sectPr>
  </w:body>
</w:document>
</file>

<file path=word/footer1.xml><?xml version="1.0" encoding="utf-8"?>
<w:ftr xmlns:w="http://schemas.openxmlformats.org/wordprocessingml/2006/main">
  <w:p>
    <w:pPr>
      <w:pBdr>
        <w:top w:val="single" w:color="C5A44E" w:sz="6" w:space="4"/>
      </w:pBdr>
      <w:spacing w:before="0" w:after="0" w:line="240" w:lineRule="auto"/>
      <w:jc w:val="center"/>
    </w:pPr>
    <w:r>
      <w:rPr>
        <w:rFonts w:ascii="Calibri" w:hAnsi="Calibri" w:eastAsia="Calibri"/>
        <w:color w:val="7E8499"/>
        <w:sz w:val="17"/>
      </w:rPr>
      <w:fldChar w:fldCharType="begin"/>
    </w:r>
    <w:r>
      <w:rPr>
        <w:rFonts w:ascii="Calibri" w:hAnsi="Calibri" w:eastAsia="Calibri"/>
        <w:color w:val="7E8499"/>
        <w:sz w:val="17"/>
      </w:rPr>
      <w:instrText xml:space="preserve"> PAGE </w:instrText>
    </w:r>
    <w:r>
      <w:rPr>
        <w:rFonts w:ascii="Calibri" w:hAnsi="Calibri" w:eastAsia="Calibri"/>
        <w:color w:val="7E8499"/>
        <w:sz w:val="17"/>
      </w:rPr>
      <w:fldChar w:fldCharType="separate"/>
    </w:r>
    <w:r>
      <w:rPr>
        <w:rFonts w:ascii="Calibri" w:hAnsi="Calibri" w:eastAsia="Calibri"/>
        <w:color w:val="7E8499"/>
        <w:sz w:val="17"/>
      </w:rPr>
      <w:t>1</w:t>
    </w:r>
    <w:r>
      <w:rPr>
        <w:rFonts w:ascii="Calibri" w:hAnsi="Calibri" w:eastAsia="Calibri"/>
        <w:color w:val="7E8499"/>
        <w:sz w:val="17"/>
      </w:rPr>
      <w:fldChar w:fldCharType="end"/>
    </w:r>
  </w:p>
</w:ftr>
</file>

<file path=word/header1.xml><?xml version="1.0" encoding="utf-8"?>
<w:hdr xmlns:w="http://schemas.openxmlformats.org/wordprocessingml/2006/main">
  <w:p>
    <w:pPr>
      <w:pBdr>
        <w:bottom w:val="single" w:color="C5A44E" w:sz="6" w:space="4"/>
      </w:pBdr>
      <w:tabs>
        <w:tab w:val="right" w:pos="9412"/>
      </w:tabs>
      <w:spacing w:after="0" w:line="240" w:lineRule="auto"/>
      <w:jc w:val="left"/>
    </w:pPr>
    <w:r>
      <w:rPr>
        <w:rFonts w:ascii="Calibri" w:hAnsi="Calibri" w:eastAsia="Calibri"/>
        <w:color w:val="7E8499"/>
        <w:spacing w:val="14"/>
        <w:sz w:val="15"/>
      </w:rPr>
      <w:t>INTERNATIONAL MUTUAL ECONOMIC SECURITY INSTRUMENT</w:t>
    </w:r>
    <w:r>
      <w:rPr>
        <w:rFonts w:ascii="Calibri" w:hAnsi="Calibri" w:eastAsia="Calibri"/>
        <w:color w:val="C5A44E"/>
        <w:sz w:val="16"/>
      </w:rPr>
      <w:tab/>
    </w:r>
    <w:r>
      <w:rPr>
        <w:rFonts w:ascii="Calibri" w:hAnsi="Calibri" w:eastAsia="Calibri"/>
        <w:color w:val="C5A44E"/>
        <w:sz w:val="16"/>
      </w:rPr>
      <w:t xml:space="preserve">Version 15.0  |  August 2026</w:t>
    </w:r>
  </w:p>
</w:hdr>
</file>

<file path=word/numbering.xml><?xml version="1.0" encoding="utf-8"?>
<w:numbering xmlns:w="http://schemas.openxmlformats.org/wordprocessingml/2006/main">
  <w:abstractNum w:abstractNumId="1">
    <w:lvl w:ilvl="0">
      <w:numFmt w:val="bullet"/>
      <w:lvlText w:val="•"/>
      <w:lvlJc w:val="left"/>
      <w:pPr>
        <w:ind w:left="360" w:hanging="180"/>
      </w:pPr>
      <w:rPr>
        <w:rFonts w:ascii="Calibri" w:hAnsi="Calibri"/>
        <w:b/>
        <w:color w:val="31384A"/>
      </w:rPr>
    </w:lvl>
  </w:abstractNum>
  <w:num w:numId="1">
    <w:abstractNumId w:val="1"/>
  </w:num>
</w:numbering>
</file>

<file path=word/styles.xml><?xml version="1.0" encoding="utf-8"?>
<w:styles xmlns:w="http://schemas.openxmlformats.org/wordprocessingml/2006/main">
  <w:style w:type="paragraph" w:styleId="Normal" w:default="true">
    <w:name w:val="Normal"/>
    <w:pPr>
      <w:spacing w:after="110" w:line="276" w:lineRule="auto"/>
      <w:jc w:val="both"/>
    </w:pPr>
    <w:rPr>
      <w:rFonts w:ascii="Calibri" w:hAnsi="Calibri" w:eastAsia="Calibri"/>
      <w:color w:val="444444"/>
      <w:sz w:val="19"/>
    </w:rPr>
  </w:style>
  <w:style w:type="paragraph" w:styleId="Heading1">
    <w:name w:val="heading 1"/>
    <w:basedOn w:val="Normal"/>
    <w:pPr>
      <w:keepNext/>
      <w:keepLines/>
      <w:spacing w:before="340" w:after="140"/>
      <w:jc w:val="left"/>
      <w:outlineLvl w:val="0"/>
    </w:pPr>
    <w:rPr>
      <w:rFonts w:ascii="Calibri" w:hAnsi="Calibri" w:eastAsia="Calibri"/>
      <w:b/>
      <w:color w:val="31384A"/>
      <w:sz w:val="30"/>
    </w:rPr>
  </w:style>
  <w:style w:type="paragraph" w:styleId="Heading2">
    <w:name w:val="heading 2"/>
    <w:basedOn w:val="Normal"/>
    <w:pPr>
      <w:keepNext/>
      <w:keepLines/>
      <w:spacing w:before="180" w:after="60"/>
      <w:jc w:val="left"/>
      <w:outlineLvl w:val="1"/>
    </w:pPr>
    <w:rPr>
      <w:rFonts w:ascii="Calibri" w:hAnsi="Calibri" w:eastAsia="Calibri"/>
      <w:b/>
      <w:color w:val="C5A44E"/>
      <w:sz w:val="21"/>
    </w:rPr>
  </w:style>
  <w:style w:type="paragraph" w:customStyle="1" w:styleId="toc1">
    <w:name w:val="toc 1"/>
    <w:pPr>
      <w:tabs>
        <w:tab w:val="right" w:leader="dot" w:pos="9010"/>
      </w:tabs>
      <w:spacing w:before="120" w:after="40"/>
    </w:pPr>
    <w:rPr>
      <w:rFonts w:ascii="Calibri" w:hAnsi="Calibri"/>
      <w:b/>
      <w:color w:val="37474F"/>
      <w:sz w:val="21"/>
    </w:rPr>
  </w:style>
  <w:style w:type="paragraph" w:customStyle="1" w:styleId="toc2">
    <w:name w:val="toc 2"/>
    <w:pPr>
      <w:tabs>
        <w:tab w:val="right" w:leader="dot" w:pos="9010"/>
      </w:tabs>
      <w:spacing w:after="20"/>
      <w:ind w:left="360"/>
    </w:pPr>
    <w:rPr>
      <w:rFonts w:ascii="Calibri" w:hAnsi="Calibri"/>
      <w:color w:val="212121"/>
      <w:sz w:val="20"/>
    </w:rPr>
  </w:style>
</w:styles>
</file>

<file path=word/_rels/document.xml.rels><?xml version='1.0' encoding='UTF-8' standalone='yes'?>
<Relationships xmlns="http://schemas.openxmlformats.org/package/2006/relationships"><Relationship Id="R2642b9aebadb4fc8" Type="http://schemas.openxmlformats.org/officeDocument/2006/relationships/styles" Target="styles.xml"/><Relationship Id="R7a547994d1034b59" Type="http://schemas.openxmlformats.org/officeDocument/2006/relationships/numbering" Target="numbering.xml"/><Relationship Id="R6fb9a5f6d38e4546" Type="http://schemas.openxmlformats.org/officeDocument/2006/relationships/header" Target="header1.xml"/><Relationship Id="R48cc9b8066ca4898" Type="http://schemas.openxmlformats.org/officeDocument/2006/relationships/footer" Target="footer1.xml"/></Relationships>
</file>