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2F5597"/>
          <w:sz w:val="30"/>
        </w:rPr>
        <w:t>THE CANADIAN</w:t>
      </w:r>
    </w:p>
    <w:p>
      <w:pPr>
        <w:jc w:val="center"/>
      </w:pPr>
      <w:r>
        <w:rPr>
          <w:rFonts w:ascii="Aptos Display" w:hAnsi="Aptos Display"/>
          <w:b/>
          <w:color w:val="17365D"/>
          <w:sz w:val="54"/>
        </w:rPr>
        <w:t>GRAY-ZONE ECONOMIC COERCION</w:t>
        <w:br/>
        <w:t>AND CRITICAL INFRASTRUCTURE</w:t>
        <w:br/>
        <w:t>CONTINUITY PROTOCOL</w:t>
      </w:r>
    </w:p>
    <w:p>
      <w:pPr>
        <w:jc w:val="center"/>
      </w:pPr>
      <w:r>
        <w:rPr>
          <w:i/>
          <w:color w:val="44546A"/>
          <w:sz w:val="22"/>
        </w:rPr>
        <w:t>A layered framework for attribution, continuity, lawful response, allied coordination and de-escalation</w:t>
      </w:r>
    </w:p>
    <w:p/>
    <w:p>
      <w:pPr>
        <w:jc w:val="center"/>
      </w:pPr>
      <w:r>
        <w:rPr>
          <w:b/>
          <w:sz w:val="20"/>
        </w:rPr>
        <w:t>Concept Policy Instrument  •  August 2026</w:t>
      </w:r>
    </w:p>
    <w:p>
      <w:pPr>
        <w:jc w:val="center"/>
      </w:pPr>
      <w:r>
        <w:rPr>
          <w:color w:val="6B7280"/>
          <w:sz w:val="16"/>
        </w:rPr>
        <w:t>Prepared as a policy-design and expert-review draft. Not an operational cyber playbook.</w:t>
      </w:r>
    </w:p>
    <w:p>
      <w:r>
        <w:br w:type="page"/>
      </w:r>
    </w:p>
    <w:p>
      <w:pPr>
        <w:pStyle w:val="Heading1"/>
      </w:pPr>
      <w:r>
        <w:t>Purpose, Status and Guardrails</w:t>
      </w:r>
    </w:p>
    <w:p>
      <w:r>
        <w:t>This Protocol is designed for the space between ordinary commercial friction and conventional armed conflict: coercive activity that can impose economic or physical effects while remaining ambiguous, deniable, distributed, or deliberately calibrated below familiar thresholds. Its central objective is not retaliation. It is the preservation of Canadian decision freedom, essential services, constitutional order, public safety and economic continuity under pressure.</w:t>
      </w:r>
    </w:p>
    <w:p>
      <w:r>
        <w:t>The Protocol therefore treats resilience as the first instrument of deterrence. A coercive actor gains leverage when disruption creates panic, forces hurried concessions, fragments federal-provincial coordination, or makes restoration dependent on the coercing party. Canada reduces that leverage by preparing to operate through disruption, preserving evidence, separating attribution from political assumption, and maintaining a lawful menu of proportionate consequences.</w:t>
      </w:r>
    </w:p>
    <w:p>
      <w:r>
        <w:t>This document deliberately excludes exploit instructions, target lists, destructive cyber techniques, automatic counterattack mechanisms and indiscriminate disruption of civilian systems. Any active cyber operation would remain subject to Canadian law, ministerial authorities, applicable international law, operational rules, intelligence safeguards and separate classified processes.</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Design rule</w:t>
            </w:r>
          </w:p>
        </w:tc>
        <w:tc>
          <w:tcPr>
            <w:tcW w:type="dxa" w:w="4939"/>
            <w:shd w:fill="17365D"/>
            <w:vAlign w:val="center"/>
          </w:tcPr>
          <w:p>
            <w:r/>
            <w:r>
              <w:rPr>
                <w:rFonts w:ascii="Aptos" w:hAnsi="Aptos"/>
                <w:b/>
                <w:color w:val="FFFFFF"/>
                <w:sz w:val="16"/>
              </w:rPr>
              <w:t>Protocol consequence</w:t>
            </w:r>
          </w:p>
        </w:tc>
      </w:tr>
      <w:tr>
        <w:tc>
          <w:tcPr>
            <w:tcW w:type="dxa" w:w="4939"/>
            <w:vAlign w:val="center"/>
          </w:tcPr>
          <w:p>
            <w:r/>
            <w:r>
              <w:rPr>
                <w:rFonts w:ascii="Aptos" w:hAnsi="Aptos"/>
                <w:b w:val="0"/>
                <w:sz w:val="15"/>
              </w:rPr>
              <w:t>Continuity before retaliation</w:t>
            </w:r>
          </w:p>
        </w:tc>
        <w:tc>
          <w:tcPr>
            <w:tcW w:type="dxa" w:w="4939"/>
            <w:vAlign w:val="center"/>
          </w:tcPr>
          <w:p>
            <w:r/>
            <w:r>
              <w:rPr>
                <w:rFonts w:ascii="Aptos" w:hAnsi="Aptos"/>
                <w:b w:val="0"/>
                <w:sz w:val="15"/>
              </w:rPr>
              <w:t>Restore and sustain essential functions before considering coercive countermeasures.</w:t>
            </w:r>
          </w:p>
        </w:tc>
      </w:tr>
      <w:tr>
        <w:tc>
          <w:tcPr>
            <w:tcW w:type="dxa" w:w="4939"/>
            <w:vAlign w:val="center"/>
            <w:shd w:fill="F3F6FA"/>
          </w:tcPr>
          <w:p>
            <w:r/>
            <w:r>
              <w:rPr>
                <w:rFonts w:ascii="Aptos" w:hAnsi="Aptos"/>
                <w:b w:val="0"/>
                <w:sz w:val="15"/>
              </w:rPr>
              <w:t>Attribution before accusation</w:t>
            </w:r>
          </w:p>
        </w:tc>
        <w:tc>
          <w:tcPr>
            <w:tcW w:type="dxa" w:w="4939"/>
            <w:vAlign w:val="center"/>
            <w:shd w:fill="F3F6FA"/>
          </w:tcPr>
          <w:p>
            <w:r/>
            <w:r>
              <w:rPr>
                <w:rFonts w:ascii="Aptos" w:hAnsi="Aptos"/>
                <w:b w:val="0"/>
                <w:sz w:val="15"/>
              </w:rPr>
              <w:t>Use graded confidence, alternative hypotheses and independent corroboration.</w:t>
            </w:r>
          </w:p>
        </w:tc>
      </w:tr>
      <w:tr>
        <w:tc>
          <w:tcPr>
            <w:tcW w:type="dxa" w:w="4939"/>
            <w:vAlign w:val="center"/>
          </w:tcPr>
          <w:p>
            <w:r/>
            <w:r>
              <w:rPr>
                <w:rFonts w:ascii="Aptos" w:hAnsi="Aptos"/>
                <w:b w:val="0"/>
                <w:sz w:val="15"/>
              </w:rPr>
              <w:t>Law before improvisation</w:t>
            </w:r>
          </w:p>
        </w:tc>
        <w:tc>
          <w:tcPr>
            <w:tcW w:type="dxa" w:w="4939"/>
            <w:vAlign w:val="center"/>
          </w:tcPr>
          <w:p>
            <w:r/>
            <w:r>
              <w:rPr>
                <w:rFonts w:ascii="Aptos" w:hAnsi="Aptos"/>
                <w:b w:val="0"/>
                <w:sz w:val="15"/>
              </w:rPr>
              <w:t>Pre-review authorities and response families without pre-authorizing specific attacks.</w:t>
            </w:r>
          </w:p>
        </w:tc>
      </w:tr>
      <w:tr>
        <w:tc>
          <w:tcPr>
            <w:tcW w:type="dxa" w:w="4939"/>
            <w:vAlign w:val="center"/>
            <w:shd w:fill="F3F6FA"/>
          </w:tcPr>
          <w:p>
            <w:r/>
            <w:r>
              <w:rPr>
                <w:rFonts w:ascii="Aptos" w:hAnsi="Aptos"/>
                <w:b w:val="0"/>
                <w:sz w:val="15"/>
              </w:rPr>
              <w:t>Proportionality before symmetry</w:t>
            </w:r>
          </w:p>
        </w:tc>
        <w:tc>
          <w:tcPr>
            <w:tcW w:type="dxa" w:w="4939"/>
            <w:vAlign w:val="center"/>
            <w:shd w:fill="F3F6FA"/>
          </w:tcPr>
          <w:p>
            <w:r/>
            <w:r>
              <w:rPr>
                <w:rFonts w:ascii="Aptos" w:hAnsi="Aptos"/>
                <w:b w:val="0"/>
                <w:sz w:val="15"/>
              </w:rPr>
              <w:t>Do not answer disruption by mechanically inflicting the same disruption.</w:t>
            </w:r>
          </w:p>
        </w:tc>
      </w:tr>
      <w:tr>
        <w:tc>
          <w:tcPr>
            <w:tcW w:type="dxa" w:w="4939"/>
            <w:vAlign w:val="center"/>
          </w:tcPr>
          <w:p>
            <w:r/>
            <w:r>
              <w:rPr>
                <w:rFonts w:ascii="Aptos" w:hAnsi="Aptos"/>
                <w:b w:val="0"/>
                <w:sz w:val="15"/>
              </w:rPr>
              <w:t>Civilians behind a firewall</w:t>
            </w:r>
          </w:p>
        </w:tc>
        <w:tc>
          <w:tcPr>
            <w:tcW w:type="dxa" w:w="4939"/>
            <w:vAlign w:val="center"/>
          </w:tcPr>
          <w:p>
            <w:r/>
            <w:r>
              <w:rPr>
                <w:rFonts w:ascii="Aptos" w:hAnsi="Aptos"/>
                <w:b w:val="0"/>
                <w:sz w:val="15"/>
              </w:rPr>
              <w:t>Protect health, water, emergency communications, food and other life-safety functions.</w:t>
            </w:r>
          </w:p>
        </w:tc>
      </w:tr>
      <w:tr>
        <w:tc>
          <w:tcPr>
            <w:tcW w:type="dxa" w:w="4939"/>
            <w:vAlign w:val="center"/>
            <w:shd w:fill="F3F6FA"/>
          </w:tcPr>
          <w:p>
            <w:r/>
            <w:r>
              <w:rPr>
                <w:rFonts w:ascii="Aptos" w:hAnsi="Aptos"/>
                <w:b w:val="0"/>
                <w:sz w:val="15"/>
              </w:rPr>
              <w:t>Federalism as resilience</w:t>
            </w:r>
          </w:p>
        </w:tc>
        <w:tc>
          <w:tcPr>
            <w:tcW w:type="dxa" w:w="4939"/>
            <w:vAlign w:val="center"/>
            <w:shd w:fill="F3F6FA"/>
          </w:tcPr>
          <w:p>
            <w:r/>
            <w:r>
              <w:rPr>
                <w:rFonts w:ascii="Aptos" w:hAnsi="Aptos"/>
                <w:b w:val="0"/>
                <w:sz w:val="15"/>
              </w:rPr>
              <w:t>Integrate provinces, territories, Indigenous governments and owner-operators.</w:t>
            </w:r>
          </w:p>
        </w:tc>
      </w:tr>
      <w:tr>
        <w:tc>
          <w:tcPr>
            <w:tcW w:type="dxa" w:w="4939"/>
            <w:vAlign w:val="center"/>
          </w:tcPr>
          <w:p>
            <w:r/>
            <w:r>
              <w:rPr>
                <w:rFonts w:ascii="Aptos" w:hAnsi="Aptos"/>
                <w:b w:val="0"/>
                <w:sz w:val="15"/>
              </w:rPr>
              <w:t>Off-ramps by design</w:t>
            </w:r>
          </w:p>
        </w:tc>
        <w:tc>
          <w:tcPr>
            <w:tcW w:type="dxa" w:w="4939"/>
            <w:vAlign w:val="center"/>
          </w:tcPr>
          <w:p>
            <w:r/>
            <w:r>
              <w:rPr>
                <w:rFonts w:ascii="Aptos" w:hAnsi="Aptos"/>
                <w:b w:val="0"/>
                <w:sz w:val="15"/>
              </w:rPr>
              <w:t>Every escalatory step should retain a credible path back to stability.</w:t>
            </w:r>
          </w:p>
        </w:tc>
      </w:tr>
    </w:tbl>
    <w:p>
      <w:r>
        <w:br w:type="page"/>
      </w:r>
    </w:p>
    <w:p>
      <w:pPr>
        <w:pStyle w:val="Heading1"/>
      </w:pPr>
      <w:r>
        <w:t>Executive Summary</w:t>
      </w:r>
    </w:p>
    <w:p>
      <w:r>
        <w:t>The Canadian Gray-Zone Economic Coercion and Critical Infrastructure Continuity Protocol (CGZEC-CICP) establishes a national decision architecture for cyber-enabled and other hybrid economic coercion affecting critical infrastructure. It complements, rather than replaces, emergency management, cyber incident response, national security, defence, law-enforcement, regulatory and diplomatic authorities.</w:t>
      </w:r>
    </w:p>
    <w:p>
      <w:pPr>
        <w:pStyle w:val="ListBullet"/>
        <w:spacing w:after="40"/>
      </w:pPr>
      <w:r>
        <w:t>Creates a six-level Gray-Zone Incident Classification from anomalous activity through strategic coercion and catastrophic national disruption.</w:t>
      </w:r>
    </w:p>
    <w:p>
      <w:pPr>
        <w:pStyle w:val="ListBullet"/>
        <w:spacing w:after="40"/>
      </w:pPr>
      <w:r>
        <w:t>Creates an Attribution Confidence Ladder with explicit alternative-hypothesis and false-flag testing before state responsibility is asserted.</w:t>
      </w:r>
    </w:p>
    <w:p>
      <w:pPr>
        <w:pStyle w:val="ListBullet"/>
        <w:spacing w:after="40"/>
      </w:pPr>
      <w:r>
        <w:t>Establishes a National Gray-Zone Coordination Cell capable of rapid interdepartmental, provincial-territorial and sector coordination.</w:t>
      </w:r>
    </w:p>
    <w:p>
      <w:pPr>
        <w:pStyle w:val="ListBullet"/>
        <w:spacing w:after="40"/>
      </w:pPr>
      <w:r>
        <w:t>Requires continuity plans for energy, telecommunications, transportation, finance, food, water, health, government services, manufacturing and safety systems.</w:t>
      </w:r>
    </w:p>
    <w:p>
      <w:pPr>
        <w:pStyle w:val="ListBullet"/>
        <w:spacing w:after="40"/>
      </w:pPr>
      <w:r>
        <w:t>Builds a pre-legally-reviewed Response Options Catalogue spanning diplomacy, regulation, procurement, investment screening, trade administration, sanctions where authorized, allied coordination and defensive cyber measures.</w:t>
      </w:r>
    </w:p>
    <w:p>
      <w:pPr>
        <w:pStyle w:val="ListBullet"/>
        <w:spacing w:after="40"/>
      </w:pPr>
      <w:r>
        <w:t>Prohibits automatic retaliation, collective punishment, politically motivated interference with life-safety services, and unreviewed disruption of shared continental infrastructure.</w:t>
      </w:r>
    </w:p>
    <w:p>
      <w:pPr>
        <w:pStyle w:val="ListBullet"/>
        <w:spacing w:after="40"/>
      </w:pPr>
      <w:r>
        <w:t>Creates restoration, compensation, communications and de-escalation mechanisms so that resilience does not become an escalation machine.</w:t>
      </w:r>
    </w:p>
    <w:p>
      <w:pPr>
        <w:pStyle w:val="ListBullet"/>
        <w:spacing w:after="40"/>
      </w:pPr>
      <w:r>
        <w:t>Feeds indicators and assessments into a recurring Gray-Zone Escalation Outlook and the broader De-escalation Probability Assessment.</w:t>
      </w:r>
    </w:p>
    <w:p>
      <w:r>
        <w:t>The operating sequence is deliberately simple: DETECT → VERIFY → CLASSIFY → CONTAIN → CONTINUE → ATTRIBUTE → CONSULT → RESPOND → RESTORE → DE-ESCALATE → LEARN.</w:t>
      </w:r>
    </w:p>
    <w:p>
      <w:r>
        <w:br w:type="page"/>
      </w:r>
    </w:p>
    <w:p>
      <w:pPr>
        <w:pStyle w:val="Heading1"/>
      </w:pPr>
      <w:r>
        <w:t>Table of Contents</w:t>
      </w:r>
    </w:p>
    <w:p>
      <w:r>
        <w:rPr>
          <w:b/>
          <w:color w:val="17365D"/>
        </w:rPr>
        <w:t xml:space="preserve">Part I: </w:t>
      </w:r>
      <w:r>
        <w:t>Foundations, Definitions and Strategic Doctrine</w:t>
      </w:r>
    </w:p>
    <w:p>
      <w:r>
        <w:rPr>
          <w:b/>
          <w:color w:val="17365D"/>
        </w:rPr>
        <w:t xml:space="preserve">Part II: </w:t>
      </w:r>
      <w:r>
        <w:t>Incident Classification and Attribution</w:t>
      </w:r>
    </w:p>
    <w:p>
      <w:r>
        <w:rPr>
          <w:b/>
          <w:color w:val="17365D"/>
        </w:rPr>
        <w:t xml:space="preserve">Part III: </w:t>
      </w:r>
      <w:r>
        <w:t>National Command, Coordination and Federalism</w:t>
      </w:r>
    </w:p>
    <w:p>
      <w:r>
        <w:rPr>
          <w:b/>
          <w:color w:val="17365D"/>
        </w:rPr>
        <w:t xml:space="preserve">Part IV: </w:t>
      </w:r>
      <w:r>
        <w:t>Critical Infrastructure Continuity</w:t>
      </w:r>
    </w:p>
    <w:p>
      <w:r>
        <w:rPr>
          <w:b/>
          <w:color w:val="17365D"/>
        </w:rPr>
        <w:t xml:space="preserve">Part V: </w:t>
      </w:r>
      <w:r>
        <w:t>Sector Continuity Modules</w:t>
      </w:r>
    </w:p>
    <w:p>
      <w:r>
        <w:rPr>
          <w:b/>
          <w:color w:val="17365D"/>
        </w:rPr>
        <w:t xml:space="preserve">Part VI: </w:t>
      </w:r>
      <w:r>
        <w:t>Lawful Response and Economic Statecraft</w:t>
      </w:r>
    </w:p>
    <w:p>
      <w:r>
        <w:rPr>
          <w:b/>
          <w:color w:val="17365D"/>
        </w:rPr>
        <w:t xml:space="preserve">Part VII: </w:t>
      </w:r>
      <w:r>
        <w:t>International, Allied and Continental Coordination</w:t>
      </w:r>
    </w:p>
    <w:p>
      <w:r>
        <w:rPr>
          <w:b/>
          <w:color w:val="17365D"/>
        </w:rPr>
        <w:t xml:space="preserve">Part VIII: </w:t>
      </w:r>
      <w:r>
        <w:t>Public Communications, Markets and Social Resilience</w:t>
      </w:r>
    </w:p>
    <w:p>
      <w:r>
        <w:rPr>
          <w:b/>
          <w:color w:val="17365D"/>
        </w:rPr>
        <w:t xml:space="preserve">Part IX: </w:t>
      </w:r>
      <w:r>
        <w:t>Restoration, Compensation and De-escalation</w:t>
      </w:r>
    </w:p>
    <w:p>
      <w:r>
        <w:rPr>
          <w:b/>
          <w:color w:val="17365D"/>
        </w:rPr>
        <w:t xml:space="preserve">Part X: </w:t>
      </w:r>
      <w:r>
        <w:t>Exercises, Metrics, Oversight and Implementation</w:t>
      </w:r>
    </w:p>
    <w:p>
      <w:r>
        <w:rPr>
          <w:b/>
          <w:color w:val="17365D"/>
        </w:rPr>
        <w:t xml:space="preserve">Annexes: </w:t>
      </w:r>
      <w:r>
        <w:t>Matrices, Templates, Checklists and Model Products</w:t>
      </w:r>
    </w:p>
    <w:p>
      <w:r>
        <w:t>A page-accurate article index follows the final pagination pass in the annexed Navigation Table. Word users may also update the document’s navigation pane from the built-in heading structure.</w:t>
      </w:r>
    </w:p>
    <w:p>
      <w:r>
        <w:br w:type="page"/>
      </w:r>
    </w:p>
    <w:p>
      <w:pPr>
        <w:pStyle w:val="Heading1"/>
      </w:pPr>
      <w:r>
        <w:t>PART I — FOUNDATIONS, DEFINITIONS AND STRATEGIC DOCTRINE</w:t>
      </w:r>
    </w:p>
    <w:p>
      <w:r>
        <w:t>This Part translates the Protocol’s strategic doctrine into repeatable decision rules. It is intended to be used with existing statutory authorities, sector plans and emergency arrangements rather than as a substitute for them.</w:t>
      </w:r>
    </w:p>
    <w:p>
      <w:pPr>
        <w:pStyle w:val="Heading1"/>
      </w:pPr>
      <w:r>
        <w:t>1. Purpose and Strategic Effect</w:t>
      </w:r>
    </w:p>
    <w:p>
      <w:pPr>
        <w:pStyle w:val="ProtocolLead"/>
      </w:pPr>
      <w:r>
        <w:t>Defines the Protocol as a resilience, continuity and lawful-response instrument rather than an offensive cyber doctrine.</w:t>
      </w:r>
    </w:p>
    <w:p>
      <w:pPr>
        <w:pStyle w:val="Heading2"/>
      </w:pPr>
      <w:r>
        <w:t>Protocol rule</w:t>
      </w:r>
    </w:p>
    <w:p>
      <w:r>
        <w:t>For purposes of Article 1,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2. Scope of Gray-Zone Economic Coercion</w:t>
      </w:r>
    </w:p>
    <w:p>
      <w:pPr>
        <w:pStyle w:val="ProtocolLead"/>
      </w:pPr>
      <w:r>
        <w:t>Covers cyber-enabled disruption, covert interference, coercive regulatory pressure, satellite/navigation disruption, supply-chain sabotage, proxy activity and blended campaigns.</w:t>
      </w:r>
    </w:p>
    <w:p>
      <w:pPr>
        <w:pStyle w:val="Heading2"/>
      </w:pPr>
      <w:r>
        <w:t>Protocol rule</w:t>
      </w:r>
    </w:p>
    <w:p>
      <w:r>
        <w:t>For purposes of Article 2,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3. Exclusions and Non-Objectives</w:t>
      </w:r>
    </w:p>
    <w:p>
      <w:pPr>
        <w:pStyle w:val="ProtocolLead"/>
      </w:pPr>
      <w:r>
        <w:t>Separates this Protocol from ordinary crime, routine commercial disputes, lawful protest, conventional armed conflict and intelligence collection lacking coercive effect.</w:t>
      </w:r>
    </w:p>
    <w:p>
      <w:pPr>
        <w:pStyle w:val="Heading2"/>
      </w:pPr>
      <w:r>
        <w:t>Protocol rule</w:t>
      </w:r>
    </w:p>
    <w:p>
      <w:r>
        <w:t>For purposes of Article 3,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4. Core Principles</w:t>
      </w:r>
    </w:p>
    <w:p>
      <w:pPr>
        <w:pStyle w:val="ProtocolLead"/>
      </w:pPr>
      <w:r>
        <w:t>Establishes legality, necessity, proportionality, reversibility, continuity, evidence preservation, subsidiarity and civilian protection.</w:t>
      </w:r>
    </w:p>
    <w:p>
      <w:pPr>
        <w:pStyle w:val="Heading2"/>
      </w:pPr>
      <w:r>
        <w:t>Protocol rule</w:t>
      </w:r>
    </w:p>
    <w:p>
      <w:r>
        <w:t>For purposes of Article 4,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5. Strategic Resilience Doctrine</w:t>
      </w:r>
    </w:p>
    <w:p>
      <w:pPr>
        <w:pStyle w:val="ProtocolLead"/>
      </w:pPr>
      <w:r>
        <w:t>Makes denial of coercive leverage the primary deterrent effect.</w:t>
      </w:r>
    </w:p>
    <w:p>
      <w:pPr>
        <w:pStyle w:val="Heading2"/>
      </w:pPr>
      <w:r>
        <w:t>Protocol rule</w:t>
      </w:r>
    </w:p>
    <w:p>
      <w:r>
        <w:t>For purposes of Article 5,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6. Constitutional and Federalism Principles</w:t>
      </w:r>
    </w:p>
    <w:p>
      <w:pPr>
        <w:pStyle w:val="ProtocolLead"/>
      </w:pPr>
      <w:r>
        <w:t>Recognizes divided jurisdiction, provincial ownership interests, Indigenous rights and the need for cooperative emergency governance.</w:t>
      </w:r>
    </w:p>
    <w:p>
      <w:pPr>
        <w:pStyle w:val="Heading2"/>
      </w:pPr>
      <w:r>
        <w:t>Protocol rule</w:t>
      </w:r>
    </w:p>
    <w:p>
      <w:r>
        <w:t>For purposes of Article 6,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7. Civilian Harm and Essential-Service Firewall</w:t>
      </w:r>
    </w:p>
    <w:p>
      <w:pPr>
        <w:pStyle w:val="ProtocolLead"/>
      </w:pPr>
      <w:r>
        <w:t>Creates heightened protection for life-safety and humanitarian functions.</w:t>
      </w:r>
    </w:p>
    <w:p>
      <w:pPr>
        <w:pStyle w:val="Heading2"/>
      </w:pPr>
      <w:r>
        <w:t>Protocol rule</w:t>
      </w:r>
    </w:p>
    <w:p>
      <w:r>
        <w:t>For purposes of Article 7,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8. No-Automatic-Retaliation Rule</w:t>
      </w:r>
    </w:p>
    <w:p>
      <w:pPr>
        <w:pStyle w:val="ProtocolLead"/>
      </w:pPr>
      <w:r>
        <w:t>Bars machine-triggered, incident-triggered or politically precommitted retaliatory action.</w:t>
      </w:r>
    </w:p>
    <w:p>
      <w:pPr>
        <w:pStyle w:val="Heading2"/>
      </w:pPr>
      <w:r>
        <w:t>Protocol rule</w:t>
      </w:r>
    </w:p>
    <w:p>
      <w:r>
        <w:t>For purposes of Article 8,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PART II — INCIDENT CLASSIFICATION AND ATTRIBUTION</w:t>
      </w:r>
    </w:p>
    <w:p>
      <w:r>
        <w:t>This Part translates the Protocol’s strategic doctrine into repeatable decision rules. It is intended to be used with existing statutory authorities, sector plans and emergency arrangements rather than as a substitute for them.</w:t>
      </w:r>
    </w:p>
    <w:p>
      <w:pPr>
        <w:pStyle w:val="Heading1"/>
      </w:pPr>
      <w:r>
        <w:t>9. Gray-Zone Incident Classification System</w:t>
      </w:r>
    </w:p>
    <w:p>
      <w:pPr>
        <w:pStyle w:val="ProtocolLead"/>
      </w:pPr>
      <w:r>
        <w:t>Creates six incident levels based on effect, intent, persistence, coordination and strategic context.</w:t>
      </w:r>
    </w:p>
    <w:p>
      <w:pPr>
        <w:pStyle w:val="Heading2"/>
      </w:pPr>
      <w:r>
        <w:t>Protocol rule</w:t>
      </w:r>
    </w:p>
    <w:p>
      <w:r>
        <w:t>For purposes of Article 9,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10. Severity and Consequence Scoring</w:t>
      </w:r>
    </w:p>
    <w:p>
      <w:pPr>
        <w:pStyle w:val="ProtocolLead"/>
      </w:pPr>
      <w:r>
        <w:t>Uses service loss, geographic spread, economic damage, safety impact, duration and reversibility.</w:t>
      </w:r>
    </w:p>
    <w:p>
      <w:pPr>
        <w:pStyle w:val="Heading2"/>
      </w:pPr>
      <w:r>
        <w:t>Protocol rule</w:t>
      </w:r>
    </w:p>
    <w:p>
      <w:r>
        <w:t>For purposes of Article 10,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11. Intent Assessment</w:t>
      </w:r>
    </w:p>
    <w:p>
      <w:pPr>
        <w:pStyle w:val="ProtocolLead"/>
      </w:pPr>
      <w:r>
        <w:t>Distinguishes espionage, crime, sabotage, coercion, signalling, preparation and accidental effects.</w:t>
      </w:r>
    </w:p>
    <w:p>
      <w:pPr>
        <w:pStyle w:val="Heading2"/>
      </w:pPr>
      <w:r>
        <w:t>Protocol rule</w:t>
      </w:r>
    </w:p>
    <w:p>
      <w:r>
        <w:t>For purposes of Article 11,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12. Attribution Confidence Ladder</w:t>
      </w:r>
    </w:p>
    <w:p>
      <w:pPr>
        <w:pStyle w:val="ProtocolLead"/>
      </w:pPr>
      <w:r>
        <w:t>Uses low, moderate, high and very high confidence with explicit evidentiary requirements.</w:t>
      </w:r>
    </w:p>
    <w:p>
      <w:pPr>
        <w:pStyle w:val="Heading2"/>
      </w:pPr>
      <w:r>
        <w:t>Protocol rule</w:t>
      </w:r>
    </w:p>
    <w:p>
      <w:r>
        <w:t>For purposes of Article 12,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13. False-Flag Resistance</w:t>
      </w:r>
    </w:p>
    <w:p>
      <w:pPr>
        <w:pStyle w:val="ProtocolLead"/>
      </w:pPr>
      <w:r>
        <w:t>Requires analysts to test third-party framing, compromised infrastructure and opportunistic piggybacking.</w:t>
      </w:r>
    </w:p>
    <w:p>
      <w:pPr>
        <w:pStyle w:val="Heading2"/>
      </w:pPr>
      <w:r>
        <w:t>Protocol rule</w:t>
      </w:r>
    </w:p>
    <w:p>
      <w:r>
        <w:t>For purposes of Article 13,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14. Alternative Hypothesis Team</w:t>
      </w:r>
    </w:p>
    <w:p>
      <w:pPr>
        <w:pStyle w:val="ProtocolLead"/>
      </w:pPr>
      <w:r>
        <w:t>Creates an independent challenge function before major public attribution.</w:t>
      </w:r>
    </w:p>
    <w:p>
      <w:pPr>
        <w:pStyle w:val="Heading2"/>
      </w:pPr>
      <w:r>
        <w:t>Protocol rule</w:t>
      </w:r>
    </w:p>
    <w:p>
      <w:r>
        <w:t>For purposes of Article 14,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15. Evidence Preservation Standard</w:t>
      </w:r>
    </w:p>
    <w:p>
      <w:pPr>
        <w:pStyle w:val="ProtocolLead"/>
      </w:pPr>
      <w:r>
        <w:t>Protects forensic integrity, legal admissibility and intelligence equities.</w:t>
      </w:r>
    </w:p>
    <w:p>
      <w:pPr>
        <w:pStyle w:val="Heading2"/>
      </w:pPr>
      <w:r>
        <w:t>Protocol rule</w:t>
      </w:r>
    </w:p>
    <w:p>
      <w:r>
        <w:t>For purposes of Article 15,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16. Public Attribution Decision</w:t>
      </w:r>
    </w:p>
    <w:p>
      <w:pPr>
        <w:pStyle w:val="ProtocolLead"/>
      </w:pPr>
      <w:r>
        <w:t>Separates technical attribution, state responsibility and political decision to disclose.</w:t>
      </w:r>
    </w:p>
    <w:p>
      <w:pPr>
        <w:pStyle w:val="Heading2"/>
      </w:pPr>
      <w:r>
        <w:t>Protocol rule</w:t>
      </w:r>
    </w:p>
    <w:p>
      <w:r>
        <w:t>For purposes of Article 16,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PART III — NATIONAL COMMAND, COORDINATION AND FEDERALISM</w:t>
      </w:r>
    </w:p>
    <w:p>
      <w:r>
        <w:t>This Part translates the Protocol’s strategic doctrine into repeatable decision rules. It is intended to be used with existing statutory authorities, sector plans and emergency arrangements rather than as a substitute for them.</w:t>
      </w:r>
    </w:p>
    <w:p>
      <w:pPr>
        <w:pStyle w:val="Heading1"/>
      </w:pPr>
      <w:r>
        <w:t>17. National Gray-Zone Coordination Cell</w:t>
      </w:r>
    </w:p>
    <w:p>
      <w:pPr>
        <w:pStyle w:val="ProtocolLead"/>
      </w:pPr>
      <w:r>
        <w:t>Defines a rapidly activatable federal coordination mechanism.</w:t>
      </w:r>
    </w:p>
    <w:p>
      <w:pPr>
        <w:pStyle w:val="Heading2"/>
      </w:pPr>
      <w:r>
        <w:t>Protocol rule</w:t>
      </w:r>
    </w:p>
    <w:p>
      <w:r>
        <w:t>For purposes of Article 17,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18. Lead-Department Selection</w:t>
      </w:r>
    </w:p>
    <w:p>
      <w:pPr>
        <w:pStyle w:val="ProtocolLead"/>
      </w:pPr>
      <w:r>
        <w:t>Assigns leadership by dominant consequence while preserving whole-of-government integration.</w:t>
      </w:r>
    </w:p>
    <w:p>
      <w:pPr>
        <w:pStyle w:val="Heading2"/>
      </w:pPr>
      <w:r>
        <w:t>Protocol rule</w:t>
      </w:r>
    </w:p>
    <w:p>
      <w:r>
        <w:t>For purposes of Article 18,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19. Cabinet Decision Architecture</w:t>
      </w:r>
    </w:p>
    <w:p>
      <w:pPr>
        <w:pStyle w:val="ProtocolLead"/>
      </w:pPr>
      <w:r>
        <w:t>Creates concise decision products and escalation thresholds for ministers.</w:t>
      </w:r>
    </w:p>
    <w:p>
      <w:pPr>
        <w:pStyle w:val="Heading2"/>
      </w:pPr>
      <w:r>
        <w:t>Protocol rule</w:t>
      </w:r>
    </w:p>
    <w:p>
      <w:r>
        <w:t>For purposes of Article 19,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20. Provincial and Territorial Coordination</w:t>
      </w:r>
    </w:p>
    <w:p>
      <w:pPr>
        <w:pStyle w:val="ProtocolLead"/>
      </w:pPr>
      <w:r>
        <w:t>Establishes no-surprise consultation and protected information exchange.</w:t>
      </w:r>
    </w:p>
    <w:p>
      <w:pPr>
        <w:pStyle w:val="Heading2"/>
      </w:pPr>
      <w:r>
        <w:t>Protocol rule</w:t>
      </w:r>
    </w:p>
    <w:p>
      <w:r>
        <w:t>For purposes of Article 20,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21. Indigenous Government and Community Coordination</w:t>
      </w:r>
    </w:p>
    <w:p>
      <w:pPr>
        <w:pStyle w:val="ProtocolLead"/>
      </w:pPr>
      <w:r>
        <w:t>Integrates affected Indigenous authorities and infrastructure operators.</w:t>
      </w:r>
    </w:p>
    <w:p>
      <w:pPr>
        <w:pStyle w:val="Heading2"/>
      </w:pPr>
      <w:r>
        <w:t>Protocol rule</w:t>
      </w:r>
    </w:p>
    <w:p>
      <w:r>
        <w:t>For purposes of Article 21,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22. Owner-Operator Integration</w:t>
      </w:r>
    </w:p>
    <w:p>
      <w:pPr>
        <w:pStyle w:val="ProtocolLead"/>
      </w:pPr>
      <w:r>
        <w:t>Creates secure two-way reporting with private and public infrastructure owners.</w:t>
      </w:r>
    </w:p>
    <w:p>
      <w:pPr>
        <w:pStyle w:val="Heading2"/>
      </w:pPr>
      <w:r>
        <w:t>Protocol rule</w:t>
      </w:r>
    </w:p>
    <w:p>
      <w:r>
        <w:t>For purposes of Article 22,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23. Municipal and Regional Integration</w:t>
      </w:r>
    </w:p>
    <w:p>
      <w:pPr>
        <w:pStyle w:val="ProtocolLead"/>
      </w:pPr>
      <w:r>
        <w:t>Ensures local continuity needs reach national decision-makers.</w:t>
      </w:r>
    </w:p>
    <w:p>
      <w:pPr>
        <w:pStyle w:val="Heading2"/>
      </w:pPr>
      <w:r>
        <w:t>Protocol rule</w:t>
      </w:r>
    </w:p>
    <w:p>
      <w:r>
        <w:t>For purposes of Article 23,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24. Emergency Legal Review Cell</w:t>
      </w:r>
    </w:p>
    <w:p>
      <w:pPr>
        <w:pStyle w:val="ProtocolLead"/>
      </w:pPr>
      <w:r>
        <w:t>Provides rapid review of authorities, privacy, Charter, regulatory and international-law issues.</w:t>
      </w:r>
    </w:p>
    <w:p>
      <w:pPr>
        <w:pStyle w:val="Heading2"/>
      </w:pPr>
      <w:r>
        <w:t>Protocol rule</w:t>
      </w:r>
    </w:p>
    <w:p>
      <w:r>
        <w:t>For purposes of Article 24,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PART IV — CRITICAL INFRASTRUCTURE CONTINUITY</w:t>
      </w:r>
    </w:p>
    <w:p>
      <w:r>
        <w:t>This Part translates the Protocol’s strategic doctrine into repeatable decision rules. It is intended to be used with existing statutory authorities, sector plans and emergency arrangements rather than as a substitute for them.</w:t>
      </w:r>
    </w:p>
    <w:p>
      <w:pPr>
        <w:pStyle w:val="Heading1"/>
      </w:pPr>
      <w:r>
        <w:t>25. Continuity Standard</w:t>
      </w:r>
    </w:p>
    <w:p>
      <w:pPr>
        <w:pStyle w:val="ProtocolLead"/>
      </w:pPr>
      <w:r>
        <w:t>Defines minimum independent operating capability and recovery objectives.</w:t>
      </w:r>
    </w:p>
    <w:p>
      <w:pPr>
        <w:pStyle w:val="Heading2"/>
      </w:pPr>
      <w:r>
        <w:t>Protocol rule</w:t>
      </w:r>
    </w:p>
    <w:p>
      <w:r>
        <w:t>For purposes of Article 25,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26. Isolation and Segmentation Readiness</w:t>
      </w:r>
    </w:p>
    <w:p>
      <w:pPr>
        <w:pStyle w:val="ProtocolLead"/>
      </w:pPr>
      <w:r>
        <w:t>Requires the ability to isolate critical systems without prescribing offensive techniques.</w:t>
      </w:r>
    </w:p>
    <w:p>
      <w:pPr>
        <w:pStyle w:val="Heading2"/>
      </w:pPr>
      <w:r>
        <w:t>Protocol rule</w:t>
      </w:r>
    </w:p>
    <w:p>
      <w:r>
        <w:t>For purposes of Article 26,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27. Manual and Degraded Operations</w:t>
      </w:r>
    </w:p>
    <w:p>
      <w:pPr>
        <w:pStyle w:val="ProtocolLead"/>
      </w:pPr>
      <w:r>
        <w:t>Maintains essential services when automation or trusted connectivity is unavailable.</w:t>
      </w:r>
    </w:p>
    <w:p>
      <w:pPr>
        <w:pStyle w:val="Heading2"/>
      </w:pPr>
      <w:r>
        <w:t>Protocol rule</w:t>
      </w:r>
    </w:p>
    <w:p>
      <w:r>
        <w:t>For purposes of Article 27,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28. Alternate Routing and Substitution</w:t>
      </w:r>
    </w:p>
    <w:p>
      <w:pPr>
        <w:pStyle w:val="ProtocolLead"/>
      </w:pPr>
      <w:r>
        <w:t>Pre-plans alternate logistics, communications, energy and payment routes.</w:t>
      </w:r>
    </w:p>
    <w:p>
      <w:pPr>
        <w:pStyle w:val="Heading2"/>
      </w:pPr>
      <w:r>
        <w:t>Protocol rule</w:t>
      </w:r>
    </w:p>
    <w:p>
      <w:r>
        <w:t>For purposes of Article 28,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29. Strategic Spares and Recovery Supply</w:t>
      </w:r>
    </w:p>
    <w:p>
      <w:pPr>
        <w:pStyle w:val="ProtocolLead"/>
      </w:pPr>
      <w:r>
        <w:t>Identifies long-lead equipment, secure backups and emergency procurement pathways.</w:t>
      </w:r>
    </w:p>
    <w:p>
      <w:pPr>
        <w:pStyle w:val="Heading2"/>
      </w:pPr>
      <w:r>
        <w:t>Protocol rule</w:t>
      </w:r>
    </w:p>
    <w:p>
      <w:r>
        <w:t>For purposes of Article 29,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30. Cross-Sector Dependency Mapping</w:t>
      </w:r>
    </w:p>
    <w:p>
      <w:pPr>
        <w:pStyle w:val="ProtocolLead"/>
      </w:pPr>
      <w:r>
        <w:t>Maps electricity, telecom, cloud, transport, finance and fuel interdependencies.</w:t>
      </w:r>
    </w:p>
    <w:p>
      <w:pPr>
        <w:pStyle w:val="Heading2"/>
      </w:pPr>
      <w:r>
        <w:t>Protocol rule</w:t>
      </w:r>
    </w:p>
    <w:p>
      <w:r>
        <w:t>For purposes of Article 30,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31. Three-Month Severe-Disruption Planning Standard</w:t>
      </w:r>
    </w:p>
    <w:p>
      <w:pPr>
        <w:pStyle w:val="ProtocolLead"/>
      </w:pPr>
      <w:r>
        <w:t>Aligns high-consequence operators with extended isolation and independent operation planning.</w:t>
      </w:r>
    </w:p>
    <w:p>
      <w:pPr>
        <w:pStyle w:val="Heading2"/>
      </w:pPr>
      <w:r>
        <w:t>Protocol rule</w:t>
      </w:r>
    </w:p>
    <w:p>
      <w:r>
        <w:t>For purposes of Article 31,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32. Restoration Priority Framework</w:t>
      </w:r>
    </w:p>
    <w:p>
      <w:pPr>
        <w:pStyle w:val="ProtocolLead"/>
      </w:pPr>
      <w:r>
        <w:t>Prioritizes life safety, cascading-risk suppression and economic stabilization.</w:t>
      </w:r>
    </w:p>
    <w:p>
      <w:pPr>
        <w:pStyle w:val="Heading2"/>
      </w:pPr>
      <w:r>
        <w:t>Protocol rule</w:t>
      </w:r>
    </w:p>
    <w:p>
      <w:r>
        <w:t>For purposes of Article 32,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PART V — SECTOR CONTINUITY MODULES</w:t>
      </w:r>
    </w:p>
    <w:p>
      <w:r>
        <w:t>This Part translates the Protocol’s strategic doctrine into repeatable decision rules. It is intended to be used with existing statutory authorities, sector plans and emergency arrangements rather than as a substitute for them.</w:t>
      </w:r>
    </w:p>
    <w:p>
      <w:pPr>
        <w:pStyle w:val="Heading1"/>
      </w:pPr>
      <w:r>
        <w:t>33. Energy and Electricity</w:t>
      </w:r>
    </w:p>
    <w:p>
      <w:pPr>
        <w:pStyle w:val="ProtocolLead"/>
      </w:pPr>
      <w:r>
        <w:t>Addresses grid reliability, fuel supply, pipeline continuity and shared continental dependencies.</w:t>
      </w:r>
    </w:p>
    <w:p>
      <w:pPr>
        <w:pStyle w:val="Heading2"/>
      </w:pPr>
      <w:r>
        <w:t>Protocol rule</w:t>
      </w:r>
    </w:p>
    <w:p>
      <w:r>
        <w:t>For purposes of Article 33,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34. Oil and Gas Transmission</w:t>
      </w:r>
    </w:p>
    <w:p>
      <w:pPr>
        <w:pStyle w:val="ProtocolLead"/>
      </w:pPr>
      <w:r>
        <w:t>Covers safe shutdown, alternate scheduling, telemetry fallback and restoration coordination.</w:t>
      </w:r>
    </w:p>
    <w:p>
      <w:pPr>
        <w:pStyle w:val="Heading2"/>
      </w:pPr>
      <w:r>
        <w:t>Protocol rule</w:t>
      </w:r>
    </w:p>
    <w:p>
      <w:r>
        <w:t>For purposes of Article 34,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35. Telecommunications and Internet</w:t>
      </w:r>
    </w:p>
    <w:p>
      <w:pPr>
        <w:pStyle w:val="ProtocolLead"/>
      </w:pPr>
      <w:r>
        <w:t>Protects emergency communications, routing resilience and trusted interconnection.</w:t>
      </w:r>
    </w:p>
    <w:p>
      <w:pPr>
        <w:pStyle w:val="Heading2"/>
      </w:pPr>
      <w:r>
        <w:t>Protocol rule</w:t>
      </w:r>
    </w:p>
    <w:p>
      <w:r>
        <w:t>For purposes of Article 35,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36. Transportation and the St. Lawrence-Great Lakes System</w:t>
      </w:r>
    </w:p>
    <w:p>
      <w:pPr>
        <w:pStyle w:val="ProtocolLead"/>
      </w:pPr>
      <w:r>
        <w:t>Covers ports, locks, rail, aviation, road and marine continuity.</w:t>
      </w:r>
    </w:p>
    <w:p>
      <w:pPr>
        <w:pStyle w:val="Heading2"/>
      </w:pPr>
      <w:r>
        <w:t>Protocol rule</w:t>
      </w:r>
    </w:p>
    <w:p>
      <w:r>
        <w:t>For purposes of Article 36,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37. Finance and Payments</w:t>
      </w:r>
    </w:p>
    <w:p>
      <w:pPr>
        <w:pStyle w:val="ProtocolLead"/>
      </w:pPr>
      <w:r>
        <w:t>Protects settlement, liquidity, cash access and trusted transaction continuity.</w:t>
      </w:r>
    </w:p>
    <w:p>
      <w:pPr>
        <w:pStyle w:val="Heading2"/>
      </w:pPr>
      <w:r>
        <w:t>Protocol rule</w:t>
      </w:r>
    </w:p>
    <w:p>
      <w:r>
        <w:t>For purposes of Article 37,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38. Water and Wastewater</w:t>
      </w:r>
    </w:p>
    <w:p>
      <w:pPr>
        <w:pStyle w:val="ProtocolLead"/>
      </w:pPr>
      <w:r>
        <w:t>Protects treatment integrity, manual controls and public-health continuity.</w:t>
      </w:r>
    </w:p>
    <w:p>
      <w:pPr>
        <w:pStyle w:val="Heading2"/>
      </w:pPr>
      <w:r>
        <w:t>Protocol rule</w:t>
      </w:r>
    </w:p>
    <w:p>
      <w:r>
        <w:t>For purposes of Article 38,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39. Health Systems</w:t>
      </w:r>
    </w:p>
    <w:p>
      <w:pPr>
        <w:pStyle w:val="ProtocolLead"/>
      </w:pPr>
      <w:r>
        <w:t>Protects clinical continuity, pharmaceutical logistics and emergency communications.</w:t>
      </w:r>
    </w:p>
    <w:p>
      <w:pPr>
        <w:pStyle w:val="Heading2"/>
      </w:pPr>
      <w:r>
        <w:t>Protocol rule</w:t>
      </w:r>
    </w:p>
    <w:p>
      <w:r>
        <w:t>For purposes of Article 39,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40. Food and Agricultural Supply Chains</w:t>
      </w:r>
    </w:p>
    <w:p>
      <w:pPr>
        <w:pStyle w:val="ProtocolLead"/>
      </w:pPr>
      <w:r>
        <w:t>Protects harvest, cold chain, inputs, inspection, border movement and distribution.</w:t>
      </w:r>
    </w:p>
    <w:p>
      <w:pPr>
        <w:pStyle w:val="Heading2"/>
      </w:pPr>
      <w:r>
        <w:t>Protocol rule</w:t>
      </w:r>
    </w:p>
    <w:p>
      <w:r>
        <w:t>For purposes of Article 40,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41. Government and Democratic Services</w:t>
      </w:r>
    </w:p>
    <w:p>
      <w:pPr>
        <w:pStyle w:val="ProtocolLead"/>
      </w:pPr>
      <w:r>
        <w:t>Protects benefits, identity, emergency governance and election-related continuity.</w:t>
      </w:r>
    </w:p>
    <w:p>
      <w:pPr>
        <w:pStyle w:val="Heading2"/>
      </w:pPr>
      <w:r>
        <w:t>Protocol rule</w:t>
      </w:r>
    </w:p>
    <w:p>
      <w:r>
        <w:t>For purposes of Article 41,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42. Manufacturing and Strategic Industry</w:t>
      </w:r>
    </w:p>
    <w:p>
      <w:pPr>
        <w:pStyle w:val="ProtocolLead"/>
      </w:pPr>
      <w:r>
        <w:t>Protects essential production, industrial controls and priority inputs.</w:t>
      </w:r>
    </w:p>
    <w:p>
      <w:pPr>
        <w:pStyle w:val="Heading2"/>
      </w:pPr>
      <w:r>
        <w:t>Protocol rule</w:t>
      </w:r>
    </w:p>
    <w:p>
      <w:r>
        <w:t>For purposes of Article 42,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43. Cloud, Data and Digital Identity</w:t>
      </w:r>
    </w:p>
    <w:p>
      <w:pPr>
        <w:pStyle w:val="ProtocolLead"/>
      </w:pPr>
      <w:r>
        <w:t>Builds portability, backup, identity continuity and vendor-risk controls.</w:t>
      </w:r>
    </w:p>
    <w:p>
      <w:pPr>
        <w:pStyle w:val="Heading2"/>
      </w:pPr>
      <w:r>
        <w:t>Protocol rule</w:t>
      </w:r>
    </w:p>
    <w:p>
      <w:r>
        <w:t>For purposes of Article 43,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44. Space, Timing and Navigation Dependencies</w:t>
      </w:r>
    </w:p>
    <w:p>
      <w:pPr>
        <w:pStyle w:val="ProtocolLead"/>
      </w:pPr>
      <w:r>
        <w:t>Plans for degraded positioning, timing and satellite communications.</w:t>
      </w:r>
    </w:p>
    <w:p>
      <w:pPr>
        <w:pStyle w:val="Heading2"/>
      </w:pPr>
      <w:r>
        <w:t>Protocol rule</w:t>
      </w:r>
    </w:p>
    <w:p>
      <w:r>
        <w:t>For purposes of Article 44,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PART VI — LAWFUL RESPONSE AND ECONOMIC STATECRAFT</w:t>
      </w:r>
    </w:p>
    <w:p>
      <w:r>
        <w:t>This Part translates the Protocol’s strategic doctrine into repeatable decision rules. It is intended to be used with existing statutory authorities, sector plans and emergency arrangements rather than as a substitute for them.</w:t>
      </w:r>
    </w:p>
    <w:p>
      <w:pPr>
        <w:pStyle w:val="Heading1"/>
      </w:pPr>
      <w:r>
        <w:t>45. Response Philosophy</w:t>
      </w:r>
    </w:p>
    <w:p>
      <w:pPr>
        <w:pStyle w:val="ProtocolLead"/>
      </w:pPr>
      <w:r>
        <w:t>Uses consequences to stop coercion and restore stability, not to maximize punishment.</w:t>
      </w:r>
    </w:p>
    <w:p>
      <w:pPr>
        <w:pStyle w:val="Heading2"/>
      </w:pPr>
      <w:r>
        <w:t>Protocol rule</w:t>
      </w:r>
    </w:p>
    <w:p>
      <w:r>
        <w:t>For purposes of Article 45,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46. Response Options Catalogue</w:t>
      </w:r>
    </w:p>
    <w:p>
      <w:pPr>
        <w:pStyle w:val="ProtocolLead"/>
      </w:pPr>
      <w:r>
        <w:t>Maintains pre-reviewed families of diplomatic, regulatory, economic and defensive measures.</w:t>
      </w:r>
    </w:p>
    <w:p>
      <w:pPr>
        <w:pStyle w:val="Heading2"/>
      </w:pPr>
      <w:r>
        <w:t>Protocol rule</w:t>
      </w:r>
    </w:p>
    <w:p>
      <w:r>
        <w:t>For purposes of Article 46,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47. Diplomatic Response Layer</w:t>
      </w:r>
    </w:p>
    <w:p>
      <w:pPr>
        <w:pStyle w:val="ProtocolLead"/>
      </w:pPr>
      <w:r>
        <w:t>Creates private demarches, hotlines, consultations, allied briefings and formal protest.</w:t>
      </w:r>
    </w:p>
    <w:p>
      <w:pPr>
        <w:pStyle w:val="Heading2"/>
      </w:pPr>
      <w:r>
        <w:t>Protocol rule</w:t>
      </w:r>
    </w:p>
    <w:p>
      <w:r>
        <w:t>For purposes of Article 47,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48. Regulatory and Security Response Layer</w:t>
      </w:r>
    </w:p>
    <w:p>
      <w:pPr>
        <w:pStyle w:val="ProtocolLead"/>
      </w:pPr>
      <w:r>
        <w:t>Allows risk-based restrictions where independently justified by security evidence.</w:t>
      </w:r>
    </w:p>
    <w:p>
      <w:pPr>
        <w:pStyle w:val="Heading2"/>
      </w:pPr>
      <w:r>
        <w:t>Protocol rule</w:t>
      </w:r>
    </w:p>
    <w:p>
      <w:r>
        <w:t>For purposes of Article 48,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49. Procurement and Vendor-Risk Layer</w:t>
      </w:r>
    </w:p>
    <w:p>
      <w:pPr>
        <w:pStyle w:val="ProtocolLead"/>
      </w:pPr>
      <w:r>
        <w:t>Uses government purchasing and critical-system eligibility as lawful security instruments.</w:t>
      </w:r>
    </w:p>
    <w:p>
      <w:pPr>
        <w:pStyle w:val="Heading2"/>
      </w:pPr>
      <w:r>
        <w:t>Protocol rule</w:t>
      </w:r>
    </w:p>
    <w:p>
      <w:r>
        <w:t>For purposes of Article 49,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50. Investment and Ownership Review Layer</w:t>
      </w:r>
    </w:p>
    <w:p>
      <w:pPr>
        <w:pStyle w:val="ProtocolLead"/>
      </w:pPr>
      <w:r>
        <w:t>Coordinates existing national-security investment authorities where relevant.</w:t>
      </w:r>
    </w:p>
    <w:p>
      <w:pPr>
        <w:pStyle w:val="Heading2"/>
      </w:pPr>
      <w:r>
        <w:t>Protocol rule</w:t>
      </w:r>
    </w:p>
    <w:p>
      <w:r>
        <w:t>For purposes of Article 50,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51. Trade and Customs Layer</w:t>
      </w:r>
    </w:p>
    <w:p>
      <w:pPr>
        <w:pStyle w:val="ProtocolLead"/>
      </w:pPr>
      <w:r>
        <w:t>Provides narrowly tailored, reversible administrative options consistent with law and obligations.</w:t>
      </w:r>
    </w:p>
    <w:p>
      <w:pPr>
        <w:pStyle w:val="Heading2"/>
      </w:pPr>
      <w:r>
        <w:t>Protocol rule</w:t>
      </w:r>
    </w:p>
    <w:p>
      <w:r>
        <w:t>For purposes of Article 51,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52. Financial Measures Layer</w:t>
      </w:r>
    </w:p>
    <w:p>
      <w:pPr>
        <w:pStyle w:val="ProtocolLead"/>
      </w:pPr>
      <w:r>
        <w:t>Frames sanctions or restrictions only where statutory authorities and evidentiary thresholds are met.</w:t>
      </w:r>
    </w:p>
    <w:p>
      <w:pPr>
        <w:pStyle w:val="Heading2"/>
      </w:pPr>
      <w:r>
        <w:t>Protocol rule</w:t>
      </w:r>
    </w:p>
    <w:p>
      <w:r>
        <w:t>For purposes of Article 52,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53. Defensive Cyber Layer</w:t>
      </w:r>
    </w:p>
    <w:p>
      <w:pPr>
        <w:pStyle w:val="ProtocolLead"/>
      </w:pPr>
      <w:r>
        <w:t>Prioritizes detection, containment, threat hunting, hardening and disruption only under lawful authority.</w:t>
      </w:r>
    </w:p>
    <w:p>
      <w:pPr>
        <w:pStyle w:val="Heading2"/>
      </w:pPr>
      <w:r>
        <w:t>Protocol rule</w:t>
      </w:r>
    </w:p>
    <w:p>
      <w:r>
        <w:t>For purposes of Article 53,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54. Proportionality and Reversibility Test</w:t>
      </w:r>
    </w:p>
    <w:p>
      <w:pPr>
        <w:pStyle w:val="ProtocolLead"/>
      </w:pPr>
      <w:r>
        <w:t>Requires necessity, expected effect, collateral impact, reversibility and escalation analysis.</w:t>
      </w:r>
    </w:p>
    <w:p>
      <w:pPr>
        <w:pStyle w:val="Heading2"/>
      </w:pPr>
      <w:r>
        <w:t>Protocol rule</w:t>
      </w:r>
    </w:p>
    <w:p>
      <w:r>
        <w:t>For purposes of Article 54,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55. Shared-Infrastructure Restraint Rule</w:t>
      </w:r>
    </w:p>
    <w:p>
      <w:pPr>
        <w:pStyle w:val="ProtocolLead"/>
      </w:pPr>
      <w:r>
        <w:t>Presumptively protects systems whose disruption would materially endanger both Canada and partners.</w:t>
      </w:r>
    </w:p>
    <w:p>
      <w:pPr>
        <w:pStyle w:val="Heading2"/>
      </w:pPr>
      <w:r>
        <w:t>Protocol rule</w:t>
      </w:r>
    </w:p>
    <w:p>
      <w:r>
        <w:t>For purposes of Article 55,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56. Private-Entity Fairness Safeguard</w:t>
      </w:r>
    </w:p>
    <w:p>
      <w:pPr>
        <w:pStyle w:val="ProtocolLead"/>
      </w:pPr>
      <w:r>
        <w:t>Bars punitive action against firms merely because of nationality absent a defensible nexus.</w:t>
      </w:r>
    </w:p>
    <w:p>
      <w:pPr>
        <w:pStyle w:val="Heading2"/>
      </w:pPr>
      <w:r>
        <w:t>Protocol rule</w:t>
      </w:r>
    </w:p>
    <w:p>
      <w:r>
        <w:t>For purposes of Article 56,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PART VII — INTERNATIONAL, ALLIED AND CONTINENTAL COORDINATION</w:t>
      </w:r>
    </w:p>
    <w:p>
      <w:r>
        <w:t>This Part translates the Protocol’s strategic doctrine into repeatable decision rules. It is intended to be used with existing statutory authorities, sector plans and emergency arrangements rather than as a substitute for them.</w:t>
      </w:r>
    </w:p>
    <w:p>
      <w:pPr>
        <w:pStyle w:val="Heading1"/>
      </w:pPr>
      <w:r>
        <w:t>57. United States Crisis Communication</w:t>
      </w:r>
    </w:p>
    <w:p>
      <w:pPr>
        <w:pStyle w:val="ProtocolLead"/>
      </w:pPr>
      <w:r>
        <w:t>Preserves channels even during suspected state-linked coercion.</w:t>
      </w:r>
    </w:p>
    <w:p>
      <w:pPr>
        <w:pStyle w:val="Heading2"/>
      </w:pPr>
      <w:r>
        <w:t>Protocol rule</w:t>
      </w:r>
    </w:p>
    <w:p>
      <w:r>
        <w:t>For purposes of Article 57,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58. Mexico and North American Continuity</w:t>
      </w:r>
    </w:p>
    <w:p>
      <w:pPr>
        <w:pStyle w:val="ProtocolLead"/>
      </w:pPr>
      <w:r>
        <w:t>Extends continental supply-chain and infrastructure consultation where relevant.</w:t>
      </w:r>
    </w:p>
    <w:p>
      <w:pPr>
        <w:pStyle w:val="Heading2"/>
      </w:pPr>
      <w:r>
        <w:t>Protocol rule</w:t>
      </w:r>
    </w:p>
    <w:p>
      <w:r>
        <w:t>For purposes of Article 58,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59. Five Eyes and NATO Consultation</w:t>
      </w:r>
    </w:p>
    <w:p>
      <w:pPr>
        <w:pStyle w:val="ProtocolLead"/>
      </w:pPr>
      <w:r>
        <w:t>Uses allies for corroboration, warning, resilience support and coordinated consequences where appropriate.</w:t>
      </w:r>
    </w:p>
    <w:p>
      <w:pPr>
        <w:pStyle w:val="Heading2"/>
      </w:pPr>
      <w:r>
        <w:t>Protocol rule</w:t>
      </w:r>
    </w:p>
    <w:p>
      <w:r>
        <w:t>For purposes of Article 59,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60. Third-State Mediation and Technical Verification</w:t>
      </w:r>
    </w:p>
    <w:p>
      <w:pPr>
        <w:pStyle w:val="ProtocolLead"/>
      </w:pPr>
      <w:r>
        <w:t>Allows neutral technical or diplomatic assistance when attribution or off-ramps require it.</w:t>
      </w:r>
    </w:p>
    <w:p>
      <w:pPr>
        <w:pStyle w:val="Heading2"/>
      </w:pPr>
      <w:r>
        <w:t>Protocol rule</w:t>
      </w:r>
    </w:p>
    <w:p>
      <w:r>
        <w:t>For purposes of Article 60,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61. Cross-Border Infrastructure Protocols</w:t>
      </w:r>
    </w:p>
    <w:p>
      <w:pPr>
        <w:pStyle w:val="ProtocolLead"/>
      </w:pPr>
      <w:r>
        <w:t>Protects restoration and safety coordination from broader political disputes.</w:t>
      </w:r>
    </w:p>
    <w:p>
      <w:pPr>
        <w:pStyle w:val="Heading2"/>
      </w:pPr>
      <w:r>
        <w:t>Protocol rule</w:t>
      </w:r>
    </w:p>
    <w:p>
      <w:r>
        <w:t>For purposes of Article 61,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62. Allied Economic Counter-Coercion Coordination</w:t>
      </w:r>
    </w:p>
    <w:p>
      <w:pPr>
        <w:pStyle w:val="ProtocolLead"/>
      </w:pPr>
      <w:r>
        <w:t>Seeks collective resilience and targeted support rather than uncontrolled retaliation.</w:t>
      </w:r>
    </w:p>
    <w:p>
      <w:pPr>
        <w:pStyle w:val="Heading2"/>
      </w:pPr>
      <w:r>
        <w:t>Protocol rule</w:t>
      </w:r>
    </w:p>
    <w:p>
      <w:r>
        <w:t>For purposes of Article 62,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PART VIII — PUBLIC COMMUNICATIONS, MARKETS AND SOCIAL RESILIENCE</w:t>
      </w:r>
    </w:p>
    <w:p>
      <w:r>
        <w:t>This Part translates the Protocol’s strategic doctrine into repeatable decision rules. It is intended to be used with existing statutory authorities, sector plans and emergency arrangements rather than as a substitute for them.</w:t>
      </w:r>
    </w:p>
    <w:p>
      <w:pPr>
        <w:pStyle w:val="Heading1"/>
      </w:pPr>
      <w:r>
        <w:t>63. Strategic Communications Doctrine</w:t>
      </w:r>
    </w:p>
    <w:p>
      <w:pPr>
        <w:pStyle w:val="ProtocolLead"/>
      </w:pPr>
      <w:r>
        <w:t>Communicates facts, uncertainty and continuity without inflaming attribution prematurely.</w:t>
      </w:r>
    </w:p>
    <w:p>
      <w:pPr>
        <w:pStyle w:val="Heading2"/>
      </w:pPr>
      <w:r>
        <w:t>Protocol rule</w:t>
      </w:r>
    </w:p>
    <w:p>
      <w:r>
        <w:t>For purposes of Article 63,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64. Public Warning Thresholds</w:t>
      </w:r>
    </w:p>
    <w:p>
      <w:pPr>
        <w:pStyle w:val="ProtocolLead"/>
      </w:pPr>
      <w:r>
        <w:t>Balances operational security with timely protective information.</w:t>
      </w:r>
    </w:p>
    <w:p>
      <w:pPr>
        <w:pStyle w:val="Heading2"/>
      </w:pPr>
      <w:r>
        <w:t>Protocol rule</w:t>
      </w:r>
    </w:p>
    <w:p>
      <w:r>
        <w:t>For purposes of Article 64,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65. Market Stabilization Communications</w:t>
      </w:r>
    </w:p>
    <w:p>
      <w:pPr>
        <w:pStyle w:val="ProtocolLead"/>
      </w:pPr>
      <w:r>
        <w:t>Coordinates credible information for financial markets, shippers, utilities and businesses.</w:t>
      </w:r>
    </w:p>
    <w:p>
      <w:pPr>
        <w:pStyle w:val="Heading2"/>
      </w:pPr>
      <w:r>
        <w:t>Protocol rule</w:t>
      </w:r>
    </w:p>
    <w:p>
      <w:r>
        <w:t>For purposes of Article 65,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66. Disinformation and Narrative Resilience</w:t>
      </w:r>
    </w:p>
    <w:p>
      <w:pPr>
        <w:pStyle w:val="ProtocolLead"/>
      </w:pPr>
      <w:r>
        <w:t>Counters false claims through evidence and trusted messengers rather than censorship by default.</w:t>
      </w:r>
    </w:p>
    <w:p>
      <w:pPr>
        <w:pStyle w:val="Heading2"/>
      </w:pPr>
      <w:r>
        <w:t>Protocol rule</w:t>
      </w:r>
    </w:p>
    <w:p>
      <w:r>
        <w:t>For purposes of Article 66,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67. Rumour Control and Public Dashboard</w:t>
      </w:r>
    </w:p>
    <w:p>
      <w:pPr>
        <w:pStyle w:val="ProtocolLead"/>
      </w:pPr>
      <w:r>
        <w:t>Creates a verified source for service status, restoration and protective actions.</w:t>
      </w:r>
    </w:p>
    <w:p>
      <w:pPr>
        <w:pStyle w:val="Heading2"/>
      </w:pPr>
      <w:r>
        <w:t>Protocol rule</w:t>
      </w:r>
    </w:p>
    <w:p>
      <w:r>
        <w:t>For purposes of Article 67,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68. Business Continuity Liaison</w:t>
      </w:r>
    </w:p>
    <w:p>
      <w:pPr>
        <w:pStyle w:val="ProtocolLead"/>
      </w:pPr>
      <w:r>
        <w:t>Provides sector-specific briefings and feedback channels.</w:t>
      </w:r>
    </w:p>
    <w:p>
      <w:pPr>
        <w:pStyle w:val="Heading2"/>
      </w:pPr>
      <w:r>
        <w:t>Protocol rule</w:t>
      </w:r>
    </w:p>
    <w:p>
      <w:r>
        <w:t>For purposes of Article 68,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PART IX — RESTORATION, COMPENSATION AND DE-ESCALATION</w:t>
      </w:r>
    </w:p>
    <w:p>
      <w:r>
        <w:t>This Part translates the Protocol’s strategic doctrine into repeatable decision rules. It is intended to be used with existing statutory authorities, sector plans and emergency arrangements rather than as a substitute for them.</w:t>
      </w:r>
    </w:p>
    <w:p>
      <w:pPr>
        <w:pStyle w:val="Heading1"/>
      </w:pPr>
      <w:r>
        <w:t>69. Restoration Compact</w:t>
      </w:r>
    </w:p>
    <w:p>
      <w:pPr>
        <w:pStyle w:val="ProtocolLead"/>
      </w:pPr>
      <w:r>
        <w:t>Separates technical restoration from political bargaining wherever safety requires cooperation.</w:t>
      </w:r>
    </w:p>
    <w:p>
      <w:pPr>
        <w:pStyle w:val="Heading2"/>
      </w:pPr>
      <w:r>
        <w:t>Protocol rule</w:t>
      </w:r>
    </w:p>
    <w:p>
      <w:r>
        <w:t>For purposes of Article 69,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70. De-escalation Ladder</w:t>
      </w:r>
    </w:p>
    <w:p>
      <w:pPr>
        <w:pStyle w:val="ProtocolLead"/>
      </w:pPr>
      <w:r>
        <w:t>Pairs each response tier with conditions for pause, rollback or termination.</w:t>
      </w:r>
    </w:p>
    <w:p>
      <w:pPr>
        <w:pStyle w:val="Heading2"/>
      </w:pPr>
      <w:r>
        <w:t>Protocol rule</w:t>
      </w:r>
    </w:p>
    <w:p>
      <w:r>
        <w:t>For purposes of Article 70,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71. Cessation-for-Restraint Arrangements</w:t>
      </w:r>
    </w:p>
    <w:p>
      <w:pPr>
        <w:pStyle w:val="ProtocolLead"/>
      </w:pPr>
      <w:r>
        <w:t>Allows reciprocal stand-downs without requiring premature resolution of attribution disputes.</w:t>
      </w:r>
    </w:p>
    <w:p>
      <w:pPr>
        <w:pStyle w:val="Heading2"/>
      </w:pPr>
      <w:r>
        <w:t>Protocol rule</w:t>
      </w:r>
    </w:p>
    <w:p>
      <w:r>
        <w:t>For purposes of Article 71,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72. Compensation and Recovery Principles</w:t>
      </w:r>
    </w:p>
    <w:p>
      <w:pPr>
        <w:pStyle w:val="ProtocolLead"/>
      </w:pPr>
      <w:r>
        <w:t>Creates pathways for domestic relief, claims preservation and later recovery.</w:t>
      </w:r>
    </w:p>
    <w:p>
      <w:pPr>
        <w:pStyle w:val="Heading2"/>
      </w:pPr>
      <w:r>
        <w:t>Protocol rule</w:t>
      </w:r>
    </w:p>
    <w:p>
      <w:r>
        <w:t>For purposes of Article 72,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73. Incident Settlement Framework</w:t>
      </w:r>
    </w:p>
    <w:p>
      <w:pPr>
        <w:pStyle w:val="ProtocolLead"/>
      </w:pPr>
      <w:r>
        <w:t>Supports fact-finding, undertakings, restitution, monitoring and non-recurrence commitments.</w:t>
      </w:r>
    </w:p>
    <w:p>
      <w:pPr>
        <w:pStyle w:val="Heading2"/>
      </w:pPr>
      <w:r>
        <w:t>Protocol rule</w:t>
      </w:r>
    </w:p>
    <w:p>
      <w:r>
        <w:t>For purposes of Article 73,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74. Post-Incident Normalization</w:t>
      </w:r>
    </w:p>
    <w:p>
      <w:pPr>
        <w:pStyle w:val="ProtocolLead"/>
      </w:pPr>
      <w:r>
        <w:t>Prevents emergency restrictions from becoming permanent by inertia.</w:t>
      </w:r>
    </w:p>
    <w:p>
      <w:pPr>
        <w:pStyle w:val="Heading2"/>
      </w:pPr>
      <w:r>
        <w:t>Protocol rule</w:t>
      </w:r>
    </w:p>
    <w:p>
      <w:r>
        <w:t>For purposes of Article 74,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PART X — EXERCISES, METRICS, OVERSIGHT AND IMPLEMENTATION</w:t>
      </w:r>
    </w:p>
    <w:p>
      <w:r>
        <w:t>This Part translates the Protocol’s strategic doctrine into repeatable decision rules. It is intended to be used with existing statutory authorities, sector plans and emergency arrangements rather than as a substitute for them.</w:t>
      </w:r>
    </w:p>
    <w:p>
      <w:pPr>
        <w:pStyle w:val="Heading1"/>
      </w:pPr>
      <w:r>
        <w:t>75. National Exercise Programme</w:t>
      </w:r>
    </w:p>
    <w:p>
      <w:pPr>
        <w:pStyle w:val="ProtocolLead"/>
      </w:pPr>
      <w:r>
        <w:t>Requires recurring tabletop and cross-sector continuity exercises.</w:t>
      </w:r>
    </w:p>
    <w:p>
      <w:pPr>
        <w:pStyle w:val="Heading2"/>
      </w:pPr>
      <w:r>
        <w:t>Protocol rule</w:t>
      </w:r>
    </w:p>
    <w:p>
      <w:r>
        <w:t>For purposes of Article 75,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76. Red-Team and False-Flag Exercises</w:t>
      </w:r>
    </w:p>
    <w:p>
      <w:pPr>
        <w:pStyle w:val="ProtocolLead"/>
      </w:pPr>
      <w:r>
        <w:t>Tests attribution discipline and political resistance to manipulated evidence.</w:t>
      </w:r>
    </w:p>
    <w:p>
      <w:pPr>
        <w:pStyle w:val="Heading2"/>
      </w:pPr>
      <w:r>
        <w:t>Protocol rule</w:t>
      </w:r>
    </w:p>
    <w:p>
      <w:r>
        <w:t>For purposes of Article 76,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77. Performance Metrics</w:t>
      </w:r>
    </w:p>
    <w:p>
      <w:pPr>
        <w:pStyle w:val="ProtocolLead"/>
      </w:pPr>
      <w:r>
        <w:t>Measures continuity, restoration, information flow, attribution quality and escalation control.</w:t>
      </w:r>
    </w:p>
    <w:p>
      <w:pPr>
        <w:pStyle w:val="Heading2"/>
      </w:pPr>
      <w:r>
        <w:t>Protocol rule</w:t>
      </w:r>
    </w:p>
    <w:p>
      <w:r>
        <w:t>For purposes of Article 77,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78. Parliamentary and Independent Oversight</w:t>
      </w:r>
    </w:p>
    <w:p>
      <w:pPr>
        <w:pStyle w:val="ProtocolLead"/>
      </w:pPr>
      <w:r>
        <w:t>Preserves lawful accountability without exposing operationally sensitive details.</w:t>
      </w:r>
    </w:p>
    <w:p>
      <w:pPr>
        <w:pStyle w:val="Heading2"/>
      </w:pPr>
      <w:r>
        <w:t>Protocol rule</w:t>
      </w:r>
    </w:p>
    <w:p>
      <w:r>
        <w:t>For purposes of Article 78,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Purpose: establish a clearly recorded threshold so routine disruption is not automatically converted into a national-security crisis.</w:t>
      </w:r>
    </w:p>
    <w:p>
      <w:pPr>
        <w:pStyle w:val="ListBullet"/>
        <w:spacing w:after="40"/>
      </w:pPr>
      <w:r>
        <w:t>Operating rule: maintain a concise common operating picture that separates confirmed facts, assessed judgments, unresolved questions and assumptions.</w:t>
      </w:r>
    </w:p>
    <w:p>
      <w:pPr>
        <w:pStyle w:val="ListBullet"/>
        <w:spacing w:after="40"/>
      </w:pPr>
      <w:r>
        <w:t>Decision test: identify the federal, provincial-territorial, Indigenous, municipal, regulatory and owner-operator participants whose authorities or assets are implicated.</w:t>
      </w:r>
    </w:p>
    <w:p>
      <w:pPr>
        <w:pStyle w:val="ListBullet"/>
        <w:spacing w:after="40"/>
      </w:pPr>
      <w:r>
        <w:t>Required outputs: preserve essential service delivery and safe degraded operation while technical investigation and policy deliberation continue.</w:t>
      </w:r>
    </w:p>
    <w:p>
      <w:pPr>
        <w:pStyle w:val="ListBullet"/>
        <w:spacing w:after="40"/>
      </w:pPr>
      <w:r>
        <w:t>Safeguards: assess how each contemplated action could change adversary incentives, allied support, market behaviour, public confidence and cross-border safety.</w:t>
      </w:r>
    </w:p>
    <w:p>
      <w:pPr>
        <w:pStyle w:val="ListBullet"/>
        <w:spacing w:after="40"/>
      </w:pPr>
      <w:r>
        <w:t>Review: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79. Privacy, Civil Liberties and Data Governance</w:t>
      </w:r>
    </w:p>
    <w:p>
      <w:pPr>
        <w:pStyle w:val="ProtocolLead"/>
      </w:pPr>
      <w:r>
        <w:t>Sets minimization, retention, access and review principles.</w:t>
      </w:r>
    </w:p>
    <w:p>
      <w:pPr>
        <w:pStyle w:val="Heading2"/>
      </w:pPr>
      <w:r>
        <w:t>Protocol rule</w:t>
      </w:r>
    </w:p>
    <w:p>
      <w:r>
        <w:t>For purposes of Article 79,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Trigger: establish a clearly recorded threshold so routine disruption is not automatically converted into a national-security crisis.</w:t>
      </w:r>
    </w:p>
    <w:p>
      <w:pPr>
        <w:pStyle w:val="ListBullet"/>
        <w:spacing w:after="40"/>
      </w:pPr>
      <w:r>
        <w:t>Assessment: maintain a concise common operating picture that separates confirmed facts, assessed judgments, unresolved questions and assumptions.</w:t>
      </w:r>
    </w:p>
    <w:p>
      <w:pPr>
        <w:pStyle w:val="ListBullet"/>
        <w:spacing w:after="40"/>
      </w:pPr>
      <w:r>
        <w:t>Coordination: identify the federal, provincial-territorial, Indigenous, municipal, regulatory and owner-operator participants whose authorities or assets are implicated.</w:t>
      </w:r>
    </w:p>
    <w:p>
      <w:pPr>
        <w:pStyle w:val="ListBullet"/>
        <w:spacing w:after="40"/>
      </w:pPr>
      <w:r>
        <w:t>Continuity action: preserve essential service delivery and safe degraded operation while technical investigation and policy deliberation continue.</w:t>
      </w:r>
    </w:p>
    <w:p>
      <w:pPr>
        <w:pStyle w:val="ListBullet"/>
        <w:spacing w:after="40"/>
      </w:pPr>
      <w:r>
        <w:t>Escalation control: assess how each contemplated action could change adversary incentives, allied support, market behaviour, public confidence and cross-border safety.</w:t>
      </w:r>
    </w:p>
    <w:p>
      <w:pPr>
        <w:pStyle w:val="ListBullet"/>
        <w:spacing w:after="40"/>
      </w:pPr>
      <w:r>
        <w:t>Exit condition: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80. Implementation Roadmap</w:t>
      </w:r>
    </w:p>
    <w:p>
      <w:pPr>
        <w:pStyle w:val="ProtocolLead"/>
      </w:pPr>
      <w:r>
        <w:t>Phases doctrine, mapping, exercises, sector plans and review over twenty-four months.</w:t>
      </w:r>
    </w:p>
    <w:p>
      <w:pPr>
        <w:pStyle w:val="Heading2"/>
      </w:pPr>
      <w:r>
        <w:t>Protocol rule</w:t>
      </w:r>
    </w:p>
    <w:p>
      <w:r>
        <w:t>For purposes of Article 80, Canadian authorities should act on the principle that strategic resilience is strongest when decisions remain lawful, evidence-based, reversible where practicable, and insulated from pressure to produce an immediate symmetrical response. The relevant authority should document the problem being solved, the expected protective effect, foreseeable second-order consequences, and the conditions under which the measure will be modified or terminated.</w:t>
      </w:r>
    </w:p>
    <w:p>
      <w:pPr>
        <w:pStyle w:val="Heading2"/>
      </w:pPr>
      <w:r>
        <w:t>Operational requirements</w:t>
      </w:r>
    </w:p>
    <w:p>
      <w:pPr>
        <w:pStyle w:val="ListBullet"/>
        <w:spacing w:after="40"/>
      </w:pPr>
      <w:r>
        <w:t>Authority: establish a clearly recorded threshold so routine disruption is not automatically converted into a national-security crisis.</w:t>
      </w:r>
    </w:p>
    <w:p>
      <w:pPr>
        <w:pStyle w:val="ListBullet"/>
        <w:spacing w:after="40"/>
      </w:pPr>
      <w:r>
        <w:t>Information flow: maintain a concise common operating picture that separates confirmed facts, assessed judgments, unresolved questions and assumptions.</w:t>
      </w:r>
    </w:p>
    <w:p>
      <w:pPr>
        <w:pStyle w:val="ListBullet"/>
        <w:spacing w:after="40"/>
      </w:pPr>
      <w:r>
        <w:t>Owner-operator role: identify the federal, provincial-territorial, Indigenous, municipal, regulatory and owner-operator participants whose authorities or assets are implicated.</w:t>
      </w:r>
    </w:p>
    <w:p>
      <w:pPr>
        <w:pStyle w:val="ListBullet"/>
        <w:spacing w:after="40"/>
      </w:pPr>
      <w:r>
        <w:t>Provincial-territorial role: preserve essential service delivery and safe degraded operation while technical investigation and policy deliberation continue.</w:t>
      </w:r>
    </w:p>
    <w:p>
      <w:pPr>
        <w:pStyle w:val="ListBullet"/>
        <w:spacing w:after="40"/>
      </w:pPr>
      <w:r>
        <w:t>Public communication: assess how each contemplated action could change adversary incentives, allied support, market behaviour, public confidence and cross-border safety.</w:t>
      </w:r>
    </w:p>
    <w:p>
      <w:pPr>
        <w:pStyle w:val="ListBullet"/>
        <w:spacing w:after="40"/>
      </w:pPr>
      <w:r>
        <w:t>Audit trail: retain a timestamped decision record, legal basis, evidentiary basis and scheduled review point.</w:t>
      </w:r>
    </w:p>
    <w:p>
      <w:pPr>
        <w:pStyle w:val="Heading2"/>
      </w:pPr>
      <w:r>
        <w:t>Decision gate</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Question</w:t>
            </w:r>
          </w:p>
        </w:tc>
        <w:tc>
          <w:tcPr>
            <w:tcW w:type="dxa" w:w="4939"/>
            <w:shd w:fill="17365D"/>
            <w:vAlign w:val="center"/>
          </w:tcPr>
          <w:p>
            <w:r/>
            <w:r>
              <w:rPr>
                <w:rFonts w:ascii="Aptos" w:hAnsi="Aptos"/>
                <w:b/>
                <w:color w:val="FFFFFF"/>
                <w:sz w:val="16"/>
              </w:rPr>
              <w:t>Minimum answer before escalation</w:t>
            </w:r>
          </w:p>
        </w:tc>
      </w:tr>
      <w:tr>
        <w:tc>
          <w:tcPr>
            <w:tcW w:type="dxa" w:w="4939"/>
            <w:vAlign w:val="center"/>
          </w:tcPr>
          <w:p>
            <w:r/>
            <w:r>
              <w:rPr>
                <w:rFonts w:ascii="Aptos" w:hAnsi="Aptos"/>
                <w:b w:val="0"/>
                <w:sz w:val="15"/>
              </w:rPr>
              <w:t>What happened?</w:t>
            </w:r>
          </w:p>
        </w:tc>
        <w:tc>
          <w:tcPr>
            <w:tcW w:type="dxa" w:w="4939"/>
            <w:vAlign w:val="center"/>
          </w:tcPr>
          <w:p>
            <w:r/>
            <w:r>
              <w:rPr>
                <w:rFonts w:ascii="Aptos" w:hAnsi="Aptos"/>
                <w:b w:val="0"/>
                <w:sz w:val="15"/>
              </w:rPr>
              <w:t>Effects and affected services are sufficiently verified.</w:t>
            </w:r>
          </w:p>
        </w:tc>
      </w:tr>
      <w:tr>
        <w:tc>
          <w:tcPr>
            <w:tcW w:type="dxa" w:w="4939"/>
            <w:vAlign w:val="center"/>
            <w:shd w:fill="F3F6FA"/>
          </w:tcPr>
          <w:p>
            <w:r/>
            <w:r>
              <w:rPr>
                <w:rFonts w:ascii="Aptos" w:hAnsi="Aptos"/>
                <w:b w:val="0"/>
                <w:sz w:val="15"/>
              </w:rPr>
              <w:t>Who may be responsible?</w:t>
            </w:r>
          </w:p>
        </w:tc>
        <w:tc>
          <w:tcPr>
            <w:tcW w:type="dxa" w:w="4939"/>
            <w:vAlign w:val="center"/>
            <w:shd w:fill="F3F6FA"/>
          </w:tcPr>
          <w:p>
            <w:r/>
            <w:r>
              <w:rPr>
                <w:rFonts w:ascii="Aptos" w:hAnsi="Aptos"/>
                <w:b w:val="0"/>
                <w:sz w:val="15"/>
              </w:rPr>
              <w:t>Confidence level stated; alternatives and deception hypotheses tested.</w:t>
            </w:r>
          </w:p>
        </w:tc>
      </w:tr>
      <w:tr>
        <w:tc>
          <w:tcPr>
            <w:tcW w:type="dxa" w:w="4939"/>
            <w:vAlign w:val="center"/>
          </w:tcPr>
          <w:p>
            <w:r/>
            <w:r>
              <w:rPr>
                <w:rFonts w:ascii="Aptos" w:hAnsi="Aptos"/>
                <w:b w:val="0"/>
                <w:sz w:val="15"/>
              </w:rPr>
              <w:t>What must continue?</w:t>
            </w:r>
          </w:p>
        </w:tc>
        <w:tc>
          <w:tcPr>
            <w:tcW w:type="dxa" w:w="4939"/>
            <w:vAlign w:val="center"/>
          </w:tcPr>
          <w:p>
            <w:r/>
            <w:r>
              <w:rPr>
                <w:rFonts w:ascii="Aptos" w:hAnsi="Aptos"/>
                <w:b w:val="0"/>
                <w:sz w:val="15"/>
              </w:rPr>
              <w:t>Life-safety and essential-service priorities identified.</w:t>
            </w:r>
          </w:p>
        </w:tc>
      </w:tr>
      <w:tr>
        <w:tc>
          <w:tcPr>
            <w:tcW w:type="dxa" w:w="4939"/>
            <w:vAlign w:val="center"/>
            <w:shd w:fill="F3F6FA"/>
          </w:tcPr>
          <w:p>
            <w:r/>
            <w:r>
              <w:rPr>
                <w:rFonts w:ascii="Aptos" w:hAnsi="Aptos"/>
                <w:b w:val="0"/>
                <w:sz w:val="15"/>
              </w:rPr>
              <w:t>What authority applies?</w:t>
            </w:r>
          </w:p>
        </w:tc>
        <w:tc>
          <w:tcPr>
            <w:tcW w:type="dxa" w:w="4939"/>
            <w:vAlign w:val="center"/>
            <w:shd w:fill="F3F6FA"/>
          </w:tcPr>
          <w:p>
            <w:r/>
            <w:r>
              <w:rPr>
                <w:rFonts w:ascii="Aptos" w:hAnsi="Aptos"/>
                <w:b w:val="0"/>
                <w:sz w:val="15"/>
              </w:rPr>
              <w:t>Responsible decision-maker and legal basis confirmed.</w:t>
            </w:r>
          </w:p>
        </w:tc>
      </w:tr>
      <w:tr>
        <w:tc>
          <w:tcPr>
            <w:tcW w:type="dxa" w:w="4939"/>
            <w:vAlign w:val="center"/>
          </w:tcPr>
          <w:p>
            <w:r/>
            <w:r>
              <w:rPr>
                <w:rFonts w:ascii="Aptos" w:hAnsi="Aptos"/>
                <w:b w:val="0"/>
                <w:sz w:val="15"/>
              </w:rPr>
              <w:t>What could go wrong?</w:t>
            </w:r>
          </w:p>
        </w:tc>
        <w:tc>
          <w:tcPr>
            <w:tcW w:type="dxa" w:w="4939"/>
            <w:vAlign w:val="center"/>
          </w:tcPr>
          <w:p>
            <w:r/>
            <w:r>
              <w:rPr>
                <w:rFonts w:ascii="Aptos" w:hAnsi="Aptos"/>
                <w:b w:val="0"/>
                <w:sz w:val="15"/>
              </w:rPr>
              <w:t>Cascading, civilian, market and allied effects assessed.</w:t>
            </w:r>
          </w:p>
        </w:tc>
      </w:tr>
      <w:tr>
        <w:tc>
          <w:tcPr>
            <w:tcW w:type="dxa" w:w="4939"/>
            <w:vAlign w:val="center"/>
            <w:shd w:fill="F3F6FA"/>
          </w:tcPr>
          <w:p>
            <w:r/>
            <w:r>
              <w:rPr>
                <w:rFonts w:ascii="Aptos" w:hAnsi="Aptos"/>
                <w:b w:val="0"/>
                <w:sz w:val="15"/>
              </w:rPr>
              <w:t>How does this end?</w:t>
            </w:r>
          </w:p>
        </w:tc>
        <w:tc>
          <w:tcPr>
            <w:tcW w:type="dxa" w:w="4939"/>
            <w:vAlign w:val="center"/>
            <w:shd w:fill="F3F6FA"/>
          </w:tcPr>
          <w:p>
            <w:r/>
            <w:r>
              <w:rPr>
                <w:rFonts w:ascii="Aptos" w:hAnsi="Aptos"/>
                <w:b w:val="0"/>
                <w:sz w:val="15"/>
              </w:rPr>
              <w:t>Pause, rollback, restoration or settlement condition specified.</w:t>
            </w:r>
          </w:p>
        </w:tc>
      </w:tr>
    </w:tbl>
    <w:p>
      <w:pPr>
        <w:pStyle w:val="Heading2"/>
      </w:pPr>
      <w:r>
        <w:t>Safeguard</w:t>
      </w:r>
    </w:p>
    <w:p>
      <w:r>
        <w:t>Nothing in this Article should be read as automatic authorization for offensive cyber activity, indiscriminate network interference, retaliation against civilian infrastructure, or punitive treatment of a private entity without an independently supportable legal and security basis.</w:t>
      </w:r>
    </w:p>
    <w:p>
      <w:r>
        <w:br w:type="page"/>
      </w:r>
    </w:p>
    <w:p>
      <w:pPr>
        <w:pStyle w:val="Heading1"/>
      </w:pPr>
      <w:r>
        <w:t>ANNEX A — Gray-Zone Incident Classification Matrix</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7365D"/>
            <w:vAlign w:val="center"/>
          </w:tcPr>
          <w:p>
            <w:r/>
            <w:r>
              <w:rPr>
                <w:rFonts w:ascii="Aptos" w:hAnsi="Aptos"/>
                <w:b/>
                <w:color w:val="FFFFFF"/>
                <w:sz w:val="16"/>
              </w:rPr>
              <w:t>Level</w:t>
            </w:r>
          </w:p>
        </w:tc>
        <w:tc>
          <w:tcPr>
            <w:tcW w:type="dxa" w:w="3293"/>
            <w:shd w:fill="17365D"/>
            <w:vAlign w:val="center"/>
          </w:tcPr>
          <w:p>
            <w:r/>
            <w:r>
              <w:rPr>
                <w:rFonts w:ascii="Aptos" w:hAnsi="Aptos"/>
                <w:b/>
                <w:color w:val="FFFFFF"/>
                <w:sz w:val="16"/>
              </w:rPr>
              <w:t>Label</w:t>
            </w:r>
          </w:p>
        </w:tc>
        <w:tc>
          <w:tcPr>
            <w:tcW w:type="dxa" w:w="3293"/>
            <w:shd w:fill="17365D"/>
            <w:vAlign w:val="center"/>
          </w:tcPr>
          <w:p>
            <w:r/>
            <w:r>
              <w:rPr>
                <w:rFonts w:ascii="Aptos" w:hAnsi="Aptos"/>
                <w:b/>
                <w:color w:val="FFFFFF"/>
                <w:sz w:val="16"/>
              </w:rPr>
              <w:t>Meaning</w:t>
            </w:r>
          </w:p>
        </w:tc>
      </w:tr>
      <w:tr>
        <w:tc>
          <w:tcPr>
            <w:tcW w:type="dxa" w:w="3293"/>
            <w:vAlign w:val="center"/>
          </w:tcPr>
          <w:p>
            <w:r/>
            <w:r>
              <w:rPr>
                <w:rFonts w:ascii="Aptos" w:hAnsi="Aptos"/>
                <w:b w:val="0"/>
                <w:sz w:val="15"/>
              </w:rPr>
              <w:t>GZ-0</w:t>
            </w:r>
          </w:p>
        </w:tc>
        <w:tc>
          <w:tcPr>
            <w:tcW w:type="dxa" w:w="3293"/>
            <w:vAlign w:val="center"/>
          </w:tcPr>
          <w:p>
            <w:r/>
            <w:r>
              <w:rPr>
                <w:rFonts w:ascii="Aptos" w:hAnsi="Aptos"/>
                <w:b w:val="0"/>
                <w:sz w:val="15"/>
              </w:rPr>
              <w:t>Anomaly / routine incident</w:t>
            </w:r>
          </w:p>
        </w:tc>
        <w:tc>
          <w:tcPr>
            <w:tcW w:type="dxa" w:w="3293"/>
            <w:vAlign w:val="center"/>
          </w:tcPr>
          <w:p>
            <w:r/>
            <w:r>
              <w:rPr>
                <w:rFonts w:ascii="Aptos" w:hAnsi="Aptos"/>
                <w:b w:val="0"/>
                <w:sz w:val="15"/>
              </w:rPr>
              <w:t>No strategic-coercion indicators; normal sector response.</w:t>
            </w:r>
          </w:p>
        </w:tc>
      </w:tr>
      <w:tr>
        <w:tc>
          <w:tcPr>
            <w:tcW w:type="dxa" w:w="3293"/>
            <w:vAlign w:val="center"/>
            <w:shd w:fill="F3F6FA"/>
          </w:tcPr>
          <w:p>
            <w:r/>
            <w:r>
              <w:rPr>
                <w:rFonts w:ascii="Aptos" w:hAnsi="Aptos"/>
                <w:b w:val="0"/>
                <w:sz w:val="15"/>
              </w:rPr>
              <w:t>GZ-1</w:t>
            </w:r>
          </w:p>
        </w:tc>
        <w:tc>
          <w:tcPr>
            <w:tcW w:type="dxa" w:w="3293"/>
            <w:vAlign w:val="center"/>
            <w:shd w:fill="F3F6FA"/>
          </w:tcPr>
          <w:p>
            <w:r/>
            <w:r>
              <w:rPr>
                <w:rFonts w:ascii="Aptos" w:hAnsi="Aptos"/>
                <w:b w:val="0"/>
                <w:sz w:val="15"/>
              </w:rPr>
              <w:t>Elevated concern</w:t>
            </w:r>
          </w:p>
        </w:tc>
        <w:tc>
          <w:tcPr>
            <w:tcW w:type="dxa" w:w="3293"/>
            <w:vAlign w:val="center"/>
            <w:shd w:fill="F3F6FA"/>
          </w:tcPr>
          <w:p>
            <w:r/>
            <w:r>
              <w:rPr>
                <w:rFonts w:ascii="Aptos" w:hAnsi="Aptos"/>
                <w:b w:val="0"/>
                <w:sz w:val="15"/>
              </w:rPr>
              <w:t>Unusual activity, limited effect, uncertain intent.</w:t>
            </w:r>
          </w:p>
        </w:tc>
      </w:tr>
      <w:tr>
        <w:tc>
          <w:tcPr>
            <w:tcW w:type="dxa" w:w="3293"/>
            <w:vAlign w:val="center"/>
          </w:tcPr>
          <w:p>
            <w:r/>
            <w:r>
              <w:rPr>
                <w:rFonts w:ascii="Aptos" w:hAnsi="Aptos"/>
                <w:b w:val="0"/>
                <w:sz w:val="15"/>
              </w:rPr>
              <w:t>GZ-2</w:t>
            </w:r>
          </w:p>
        </w:tc>
        <w:tc>
          <w:tcPr>
            <w:tcW w:type="dxa" w:w="3293"/>
            <w:vAlign w:val="center"/>
          </w:tcPr>
          <w:p>
            <w:r/>
            <w:r>
              <w:rPr>
                <w:rFonts w:ascii="Aptos" w:hAnsi="Aptos"/>
                <w:b w:val="0"/>
                <w:sz w:val="15"/>
              </w:rPr>
              <w:t>Coordinated interference</w:t>
            </w:r>
          </w:p>
        </w:tc>
        <w:tc>
          <w:tcPr>
            <w:tcW w:type="dxa" w:w="3293"/>
            <w:vAlign w:val="center"/>
          </w:tcPr>
          <w:p>
            <w:r/>
            <w:r>
              <w:rPr>
                <w:rFonts w:ascii="Aptos" w:hAnsi="Aptos"/>
                <w:b w:val="0"/>
                <w:sz w:val="15"/>
              </w:rPr>
              <w:t>Multiple indicators or sectors; plausible coercive context.</w:t>
            </w:r>
          </w:p>
        </w:tc>
      </w:tr>
      <w:tr>
        <w:tc>
          <w:tcPr>
            <w:tcW w:type="dxa" w:w="3293"/>
            <w:vAlign w:val="center"/>
            <w:shd w:fill="F3F6FA"/>
          </w:tcPr>
          <w:p>
            <w:r/>
            <w:r>
              <w:rPr>
                <w:rFonts w:ascii="Aptos" w:hAnsi="Aptos"/>
                <w:b w:val="0"/>
                <w:sz w:val="15"/>
              </w:rPr>
              <w:t>GZ-3</w:t>
            </w:r>
          </w:p>
        </w:tc>
        <w:tc>
          <w:tcPr>
            <w:tcW w:type="dxa" w:w="3293"/>
            <w:vAlign w:val="center"/>
            <w:shd w:fill="F3F6FA"/>
          </w:tcPr>
          <w:p>
            <w:r/>
            <w:r>
              <w:rPr>
                <w:rFonts w:ascii="Aptos" w:hAnsi="Aptos"/>
                <w:b w:val="0"/>
                <w:sz w:val="15"/>
              </w:rPr>
              <w:t>Major coercive disruption</w:t>
            </w:r>
          </w:p>
        </w:tc>
        <w:tc>
          <w:tcPr>
            <w:tcW w:type="dxa" w:w="3293"/>
            <w:vAlign w:val="center"/>
            <w:shd w:fill="F3F6FA"/>
          </w:tcPr>
          <w:p>
            <w:r/>
            <w:r>
              <w:rPr>
                <w:rFonts w:ascii="Aptos" w:hAnsi="Aptos"/>
                <w:b w:val="0"/>
                <w:sz w:val="15"/>
              </w:rPr>
              <w:t>Material service/economic effect with credible strategic intent.</w:t>
            </w:r>
          </w:p>
        </w:tc>
      </w:tr>
      <w:tr>
        <w:tc>
          <w:tcPr>
            <w:tcW w:type="dxa" w:w="3293"/>
            <w:vAlign w:val="center"/>
          </w:tcPr>
          <w:p>
            <w:r/>
            <w:r>
              <w:rPr>
                <w:rFonts w:ascii="Aptos" w:hAnsi="Aptos"/>
                <w:b w:val="0"/>
                <w:sz w:val="15"/>
              </w:rPr>
              <w:t>GZ-4</w:t>
            </w:r>
          </w:p>
        </w:tc>
        <w:tc>
          <w:tcPr>
            <w:tcW w:type="dxa" w:w="3293"/>
            <w:vAlign w:val="center"/>
          </w:tcPr>
          <w:p>
            <w:r/>
            <w:r>
              <w:rPr>
                <w:rFonts w:ascii="Aptos" w:hAnsi="Aptos"/>
                <w:b w:val="0"/>
                <w:sz w:val="15"/>
              </w:rPr>
              <w:t>National strategic coercion</w:t>
            </w:r>
          </w:p>
        </w:tc>
        <w:tc>
          <w:tcPr>
            <w:tcW w:type="dxa" w:w="3293"/>
            <w:vAlign w:val="center"/>
          </w:tcPr>
          <w:p>
            <w:r/>
            <w:r>
              <w:rPr>
                <w:rFonts w:ascii="Aptos" w:hAnsi="Aptos"/>
                <w:b w:val="0"/>
                <w:sz w:val="15"/>
              </w:rPr>
              <w:t>Sustained multi-sector campaign threatening national decision freedom.</w:t>
            </w:r>
          </w:p>
        </w:tc>
      </w:tr>
      <w:tr>
        <w:tc>
          <w:tcPr>
            <w:tcW w:type="dxa" w:w="3293"/>
            <w:vAlign w:val="center"/>
            <w:shd w:fill="F3F6FA"/>
          </w:tcPr>
          <w:p>
            <w:r/>
            <w:r>
              <w:rPr>
                <w:rFonts w:ascii="Aptos" w:hAnsi="Aptos"/>
                <w:b w:val="0"/>
                <w:sz w:val="15"/>
              </w:rPr>
              <w:t>GZ-5</w:t>
            </w:r>
          </w:p>
        </w:tc>
        <w:tc>
          <w:tcPr>
            <w:tcW w:type="dxa" w:w="3293"/>
            <w:vAlign w:val="center"/>
            <w:shd w:fill="F3F6FA"/>
          </w:tcPr>
          <w:p>
            <w:r/>
            <w:r>
              <w:rPr>
                <w:rFonts w:ascii="Aptos" w:hAnsi="Aptos"/>
                <w:b w:val="0"/>
                <w:sz w:val="15"/>
              </w:rPr>
              <w:t>Catastrophic disruption</w:t>
            </w:r>
          </w:p>
        </w:tc>
        <w:tc>
          <w:tcPr>
            <w:tcW w:type="dxa" w:w="3293"/>
            <w:vAlign w:val="center"/>
            <w:shd w:fill="F3F6FA"/>
          </w:tcPr>
          <w:p>
            <w:r/>
            <w:r>
              <w:rPr>
                <w:rFonts w:ascii="Aptos" w:hAnsi="Aptos"/>
                <w:b w:val="0"/>
                <w:sz w:val="15"/>
              </w:rPr>
              <w:t>Severe national consequences requiring highest-level emergency response.</w:t>
            </w:r>
          </w:p>
        </w:tc>
      </w:tr>
    </w:tbl>
    <w:p>
      <w:pPr>
        <w:pStyle w:val="Heading2"/>
      </w:pPr>
      <w:r>
        <w:t>Use note</w:t>
      </w:r>
    </w:p>
    <w:p>
      <w:r>
        <w:t>This annex is a decision-support instrument, not a substitute for statutory authority, classified operational direction, sector-specific engineering procedures, or professional incident command. Values should be calibrated through exercises and updated after material incidents.</w:t>
      </w:r>
    </w:p>
    <w:p>
      <w:r>
        <w:br w:type="page"/>
      </w:r>
    </w:p>
    <w:p>
      <w:pPr>
        <w:pStyle w:val="Heading1"/>
      </w:pPr>
      <w:r>
        <w:t>ANNEX B — Attribution Confidence and Disclosure Matrix</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7365D"/>
            <w:vAlign w:val="center"/>
          </w:tcPr>
          <w:p>
            <w:r/>
            <w:r>
              <w:rPr>
                <w:rFonts w:ascii="Aptos" w:hAnsi="Aptos"/>
                <w:b/>
                <w:color w:val="FFFFFF"/>
                <w:sz w:val="16"/>
              </w:rPr>
              <w:t>Confidence</w:t>
            </w:r>
          </w:p>
        </w:tc>
        <w:tc>
          <w:tcPr>
            <w:tcW w:type="dxa" w:w="3293"/>
            <w:shd w:fill="17365D"/>
            <w:vAlign w:val="center"/>
          </w:tcPr>
          <w:p>
            <w:r/>
            <w:r>
              <w:rPr>
                <w:rFonts w:ascii="Aptos" w:hAnsi="Aptos"/>
                <w:b/>
                <w:color w:val="FFFFFF"/>
                <w:sz w:val="16"/>
              </w:rPr>
              <w:t>Evidence posture</w:t>
            </w:r>
          </w:p>
        </w:tc>
        <w:tc>
          <w:tcPr>
            <w:tcW w:type="dxa" w:w="3293"/>
            <w:shd w:fill="17365D"/>
            <w:vAlign w:val="center"/>
          </w:tcPr>
          <w:p>
            <w:r/>
            <w:r>
              <w:rPr>
                <w:rFonts w:ascii="Aptos" w:hAnsi="Aptos"/>
                <w:b/>
                <w:color w:val="FFFFFF"/>
                <w:sz w:val="16"/>
              </w:rPr>
              <w:t>Default disclosure posture</w:t>
            </w:r>
          </w:p>
        </w:tc>
      </w:tr>
      <w:tr>
        <w:tc>
          <w:tcPr>
            <w:tcW w:type="dxa" w:w="3293"/>
            <w:vAlign w:val="center"/>
          </w:tcPr>
          <w:p>
            <w:r/>
            <w:r>
              <w:rPr>
                <w:rFonts w:ascii="Aptos" w:hAnsi="Aptos"/>
                <w:b w:val="0"/>
                <w:sz w:val="15"/>
              </w:rPr>
              <w:t>Low</w:t>
            </w:r>
          </w:p>
        </w:tc>
        <w:tc>
          <w:tcPr>
            <w:tcW w:type="dxa" w:w="3293"/>
            <w:vAlign w:val="center"/>
          </w:tcPr>
          <w:p>
            <w:r/>
            <w:r>
              <w:rPr>
                <w:rFonts w:ascii="Aptos" w:hAnsi="Aptos"/>
                <w:b w:val="0"/>
                <w:sz w:val="15"/>
              </w:rPr>
              <w:t>Fragmentary indicators</w:t>
            </w:r>
          </w:p>
        </w:tc>
        <w:tc>
          <w:tcPr>
            <w:tcW w:type="dxa" w:w="3293"/>
            <w:vAlign w:val="center"/>
          </w:tcPr>
          <w:p>
            <w:r/>
            <w:r>
              <w:rPr>
                <w:rFonts w:ascii="Aptos" w:hAnsi="Aptos"/>
                <w:b w:val="0"/>
                <w:sz w:val="15"/>
              </w:rPr>
              <w:t>Do not publicly assign state responsibility.</w:t>
            </w:r>
          </w:p>
        </w:tc>
      </w:tr>
      <w:tr>
        <w:tc>
          <w:tcPr>
            <w:tcW w:type="dxa" w:w="3293"/>
            <w:vAlign w:val="center"/>
            <w:shd w:fill="F3F6FA"/>
          </w:tcPr>
          <w:p>
            <w:r/>
            <w:r>
              <w:rPr>
                <w:rFonts w:ascii="Aptos" w:hAnsi="Aptos"/>
                <w:b w:val="0"/>
                <w:sz w:val="15"/>
              </w:rPr>
              <w:t>Moderate</w:t>
            </w:r>
          </w:p>
        </w:tc>
        <w:tc>
          <w:tcPr>
            <w:tcW w:type="dxa" w:w="3293"/>
            <w:vAlign w:val="center"/>
            <w:shd w:fill="F3F6FA"/>
          </w:tcPr>
          <w:p>
            <w:r/>
            <w:r>
              <w:rPr>
                <w:rFonts w:ascii="Aptos" w:hAnsi="Aptos"/>
                <w:b w:val="0"/>
                <w:sz w:val="15"/>
              </w:rPr>
              <w:t>Multiple consistent indicators</w:t>
            </w:r>
          </w:p>
        </w:tc>
        <w:tc>
          <w:tcPr>
            <w:tcW w:type="dxa" w:w="3293"/>
            <w:vAlign w:val="center"/>
            <w:shd w:fill="F3F6FA"/>
          </w:tcPr>
          <w:p>
            <w:r/>
            <w:r>
              <w:rPr>
                <w:rFonts w:ascii="Aptos" w:hAnsi="Aptos"/>
                <w:b w:val="0"/>
                <w:sz w:val="15"/>
              </w:rPr>
              <w:t>Private consultations; continue corroboration.</w:t>
            </w:r>
          </w:p>
        </w:tc>
      </w:tr>
      <w:tr>
        <w:tc>
          <w:tcPr>
            <w:tcW w:type="dxa" w:w="3293"/>
            <w:vAlign w:val="center"/>
          </w:tcPr>
          <w:p>
            <w:r/>
            <w:r>
              <w:rPr>
                <w:rFonts w:ascii="Aptos" w:hAnsi="Aptos"/>
                <w:b w:val="0"/>
                <w:sz w:val="15"/>
              </w:rPr>
              <w:t>High</w:t>
            </w:r>
          </w:p>
        </w:tc>
        <w:tc>
          <w:tcPr>
            <w:tcW w:type="dxa" w:w="3293"/>
            <w:vAlign w:val="center"/>
          </w:tcPr>
          <w:p>
            <w:r/>
            <w:r>
              <w:rPr>
                <w:rFonts w:ascii="Aptos" w:hAnsi="Aptos"/>
                <w:b w:val="0"/>
                <w:sz w:val="15"/>
              </w:rPr>
              <w:t>Strong multi-source case</w:t>
            </w:r>
          </w:p>
        </w:tc>
        <w:tc>
          <w:tcPr>
            <w:tcW w:type="dxa" w:w="3293"/>
            <w:vAlign w:val="center"/>
          </w:tcPr>
          <w:p>
            <w:r/>
            <w:r>
              <w:rPr>
                <w:rFonts w:ascii="Aptos" w:hAnsi="Aptos"/>
                <w:b w:val="0"/>
                <w:sz w:val="15"/>
              </w:rPr>
              <w:t>Senior review for public attribution or coordinated measures.</w:t>
            </w:r>
          </w:p>
        </w:tc>
      </w:tr>
      <w:tr>
        <w:tc>
          <w:tcPr>
            <w:tcW w:type="dxa" w:w="3293"/>
            <w:vAlign w:val="center"/>
            <w:shd w:fill="F3F6FA"/>
          </w:tcPr>
          <w:p>
            <w:r/>
            <w:r>
              <w:rPr>
                <w:rFonts w:ascii="Aptos" w:hAnsi="Aptos"/>
                <w:b w:val="0"/>
                <w:sz w:val="15"/>
              </w:rPr>
              <w:t>Very high</w:t>
            </w:r>
          </w:p>
        </w:tc>
        <w:tc>
          <w:tcPr>
            <w:tcW w:type="dxa" w:w="3293"/>
            <w:vAlign w:val="center"/>
            <w:shd w:fill="F3F6FA"/>
          </w:tcPr>
          <w:p>
            <w:r/>
            <w:r>
              <w:rPr>
                <w:rFonts w:ascii="Aptos" w:hAnsi="Aptos"/>
                <w:b w:val="0"/>
                <w:sz w:val="15"/>
              </w:rPr>
              <w:t>Compelling convergent evidence</w:t>
            </w:r>
          </w:p>
        </w:tc>
        <w:tc>
          <w:tcPr>
            <w:tcW w:type="dxa" w:w="3293"/>
            <w:vAlign w:val="center"/>
            <w:shd w:fill="F3F6FA"/>
          </w:tcPr>
          <w:p>
            <w:r/>
            <w:r>
              <w:rPr>
                <w:rFonts w:ascii="Aptos" w:hAnsi="Aptos"/>
                <w:b w:val="0"/>
                <w:sz w:val="15"/>
              </w:rPr>
              <w:t>Supports highest-confidence policy decisions, subject to legal review.</w:t>
            </w:r>
          </w:p>
        </w:tc>
      </w:tr>
    </w:tbl>
    <w:p>
      <w:pPr>
        <w:pStyle w:val="Heading2"/>
      </w:pPr>
      <w:r>
        <w:t>Use note</w:t>
      </w:r>
    </w:p>
    <w:p>
      <w:r>
        <w:t>This annex is a decision-support instrument, not a substitute for statutory authority, classified operational direction, sector-specific engineering procedures, or professional incident command. Values should be calibrated through exercises and updated after material incidents.</w:t>
      </w:r>
    </w:p>
    <w:p>
      <w:r>
        <w:br w:type="page"/>
      </w:r>
    </w:p>
    <w:p>
      <w:pPr>
        <w:pStyle w:val="Heading1"/>
      </w:pPr>
      <w:r>
        <w:t>ANNEX C — False-Flag Challenge Checklist</w:t>
      </w:r>
    </w:p>
    <w:tbl>
      <w:tblPr>
        <w:tblStyle w:val="TableGrid"/>
        <w:tblW w:type="auto" w:w="0"/>
        <w:jc w:val="center"/>
        <w:tblLook w:firstColumn="1" w:firstRow="1" w:lastColumn="0" w:lastRow="0" w:noHBand="0" w:noVBand="1" w:val="04A0"/>
      </w:tblPr>
      <w:tblGrid>
        <w:gridCol w:w="4939"/>
        <w:gridCol w:w="4939"/>
      </w:tblGrid>
      <w:tr>
        <w:tc>
          <w:tcPr>
            <w:tcW w:type="dxa" w:w="4939"/>
            <w:shd w:fill="17365D"/>
            <w:vAlign w:val="center"/>
          </w:tcPr>
          <w:p>
            <w:r/>
            <w:r>
              <w:rPr>
                <w:rFonts w:ascii="Aptos" w:hAnsi="Aptos"/>
                <w:b/>
                <w:color w:val="FFFFFF"/>
                <w:sz w:val="16"/>
              </w:rPr>
              <w:t>Test</w:t>
            </w:r>
          </w:p>
        </w:tc>
        <w:tc>
          <w:tcPr>
            <w:tcW w:type="dxa" w:w="4939"/>
            <w:shd w:fill="17365D"/>
            <w:vAlign w:val="center"/>
          </w:tcPr>
          <w:p>
            <w:r/>
            <w:r>
              <w:rPr>
                <w:rFonts w:ascii="Aptos" w:hAnsi="Aptos"/>
                <w:b/>
                <w:color w:val="FFFFFF"/>
                <w:sz w:val="16"/>
              </w:rPr>
              <w:t>Challenge question</w:t>
            </w:r>
          </w:p>
        </w:tc>
      </w:tr>
      <w:tr>
        <w:tc>
          <w:tcPr>
            <w:tcW w:type="dxa" w:w="4939"/>
            <w:vAlign w:val="center"/>
          </w:tcPr>
          <w:p>
            <w:r/>
            <w:r>
              <w:rPr>
                <w:rFonts w:ascii="Aptos" w:hAnsi="Aptos"/>
                <w:b w:val="0"/>
                <w:sz w:val="15"/>
              </w:rPr>
              <w:t>Alternative actor</w:t>
            </w:r>
          </w:p>
        </w:tc>
        <w:tc>
          <w:tcPr>
            <w:tcW w:type="dxa" w:w="4939"/>
            <w:vAlign w:val="center"/>
          </w:tcPr>
          <w:p>
            <w:r/>
            <w:r>
              <w:rPr>
                <w:rFonts w:ascii="Aptos" w:hAnsi="Aptos"/>
                <w:b w:val="0"/>
                <w:sz w:val="15"/>
              </w:rPr>
              <w:t>Could a third state, criminal group, insider or proxy gain from framing another actor?</w:t>
            </w:r>
          </w:p>
        </w:tc>
      </w:tr>
      <w:tr>
        <w:tc>
          <w:tcPr>
            <w:tcW w:type="dxa" w:w="4939"/>
            <w:vAlign w:val="center"/>
            <w:shd w:fill="F3F6FA"/>
          </w:tcPr>
          <w:p>
            <w:r/>
            <w:r>
              <w:rPr>
                <w:rFonts w:ascii="Aptos" w:hAnsi="Aptos"/>
                <w:b w:val="0"/>
                <w:sz w:val="15"/>
              </w:rPr>
              <w:t>Infrastructure</w:t>
            </w:r>
          </w:p>
        </w:tc>
        <w:tc>
          <w:tcPr>
            <w:tcW w:type="dxa" w:w="4939"/>
            <w:vAlign w:val="center"/>
            <w:shd w:fill="F3F6FA"/>
          </w:tcPr>
          <w:p>
            <w:r/>
            <w:r>
              <w:rPr>
                <w:rFonts w:ascii="Aptos" w:hAnsi="Aptos"/>
                <w:b w:val="0"/>
                <w:sz w:val="15"/>
              </w:rPr>
              <w:t>Could compromised third-party systems distort apparent origin?</w:t>
            </w:r>
          </w:p>
        </w:tc>
      </w:tr>
      <w:tr>
        <w:tc>
          <w:tcPr>
            <w:tcW w:type="dxa" w:w="4939"/>
            <w:vAlign w:val="center"/>
          </w:tcPr>
          <w:p>
            <w:r/>
            <w:r>
              <w:rPr>
                <w:rFonts w:ascii="Aptos" w:hAnsi="Aptos"/>
                <w:b w:val="0"/>
                <w:sz w:val="15"/>
              </w:rPr>
              <w:t>Timing</w:t>
            </w:r>
          </w:p>
        </w:tc>
        <w:tc>
          <w:tcPr>
            <w:tcW w:type="dxa" w:w="4939"/>
            <w:vAlign w:val="center"/>
          </w:tcPr>
          <w:p>
            <w:r/>
            <w:r>
              <w:rPr>
                <w:rFonts w:ascii="Aptos" w:hAnsi="Aptos"/>
                <w:b w:val="0"/>
                <w:sz w:val="15"/>
              </w:rPr>
              <w:t>Does timing conveniently amplify an existing political dispute?</w:t>
            </w:r>
          </w:p>
        </w:tc>
      </w:tr>
      <w:tr>
        <w:tc>
          <w:tcPr>
            <w:tcW w:type="dxa" w:w="4939"/>
            <w:vAlign w:val="center"/>
            <w:shd w:fill="F3F6FA"/>
          </w:tcPr>
          <w:p>
            <w:r/>
            <w:r>
              <w:rPr>
                <w:rFonts w:ascii="Aptos" w:hAnsi="Aptos"/>
                <w:b w:val="0"/>
                <w:sz w:val="15"/>
              </w:rPr>
              <w:t>Tradecraft</w:t>
            </w:r>
          </w:p>
        </w:tc>
        <w:tc>
          <w:tcPr>
            <w:tcW w:type="dxa" w:w="4939"/>
            <w:vAlign w:val="center"/>
            <w:shd w:fill="F3F6FA"/>
          </w:tcPr>
          <w:p>
            <w:r/>
            <w:r>
              <w:rPr>
                <w:rFonts w:ascii="Aptos" w:hAnsi="Aptos"/>
                <w:b w:val="0"/>
                <w:sz w:val="15"/>
              </w:rPr>
              <w:t>Are indicators authentic, planted, copied or publicly obtainable?</w:t>
            </w:r>
          </w:p>
        </w:tc>
      </w:tr>
      <w:tr>
        <w:tc>
          <w:tcPr>
            <w:tcW w:type="dxa" w:w="4939"/>
            <w:vAlign w:val="center"/>
          </w:tcPr>
          <w:p>
            <w:r/>
            <w:r>
              <w:rPr>
                <w:rFonts w:ascii="Aptos" w:hAnsi="Aptos"/>
                <w:b w:val="0"/>
                <w:sz w:val="15"/>
              </w:rPr>
              <w:t>Incentives</w:t>
            </w:r>
          </w:p>
        </w:tc>
        <w:tc>
          <w:tcPr>
            <w:tcW w:type="dxa" w:w="4939"/>
            <w:vAlign w:val="center"/>
          </w:tcPr>
          <w:p>
            <w:r/>
            <w:r>
              <w:rPr>
                <w:rFonts w:ascii="Aptos" w:hAnsi="Aptos"/>
                <w:b w:val="0"/>
                <w:sz w:val="15"/>
              </w:rPr>
              <w:t>Does the alleged actor’s behaviour fit its likely strategic objective?</w:t>
            </w:r>
          </w:p>
        </w:tc>
      </w:tr>
      <w:tr>
        <w:tc>
          <w:tcPr>
            <w:tcW w:type="dxa" w:w="4939"/>
            <w:vAlign w:val="center"/>
            <w:shd w:fill="F3F6FA"/>
          </w:tcPr>
          <w:p>
            <w:r/>
            <w:r>
              <w:rPr>
                <w:rFonts w:ascii="Aptos" w:hAnsi="Aptos"/>
                <w:b w:val="0"/>
                <w:sz w:val="15"/>
              </w:rPr>
              <w:t>Contradictions</w:t>
            </w:r>
          </w:p>
        </w:tc>
        <w:tc>
          <w:tcPr>
            <w:tcW w:type="dxa" w:w="4939"/>
            <w:vAlign w:val="center"/>
            <w:shd w:fill="F3F6FA"/>
          </w:tcPr>
          <w:p>
            <w:r/>
            <w:r>
              <w:rPr>
                <w:rFonts w:ascii="Aptos" w:hAnsi="Aptos"/>
                <w:b w:val="0"/>
                <w:sz w:val="15"/>
              </w:rPr>
              <w:t>What evidence would we expect but do not observe?</w:t>
            </w:r>
          </w:p>
        </w:tc>
      </w:tr>
    </w:tbl>
    <w:p>
      <w:pPr>
        <w:pStyle w:val="Heading2"/>
      </w:pPr>
      <w:r>
        <w:t>Use note</w:t>
      </w:r>
    </w:p>
    <w:p>
      <w:r>
        <w:t>This annex is a decision-support instrument, not a substitute for statutory authority, classified operational direction, sector-specific engineering procedures, or professional incident command. Values should be calibrated through exercises and updated after material incidents.</w:t>
      </w:r>
    </w:p>
    <w:p>
      <w:r>
        <w:br w:type="page"/>
      </w:r>
    </w:p>
    <w:p>
      <w:pPr>
        <w:pStyle w:val="Heading1"/>
      </w:pPr>
      <w:r>
        <w:t>ANNEX D — Continuity Priority Matrix</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7365D"/>
            <w:vAlign w:val="center"/>
          </w:tcPr>
          <w:p>
            <w:r/>
            <w:r>
              <w:rPr>
                <w:rFonts w:ascii="Aptos" w:hAnsi="Aptos"/>
                <w:b/>
                <w:color w:val="FFFFFF"/>
                <w:sz w:val="16"/>
              </w:rPr>
              <w:t>Priority</w:t>
            </w:r>
          </w:p>
        </w:tc>
        <w:tc>
          <w:tcPr>
            <w:tcW w:type="dxa" w:w="3293"/>
            <w:shd w:fill="17365D"/>
            <w:vAlign w:val="center"/>
          </w:tcPr>
          <w:p>
            <w:r/>
            <w:r>
              <w:rPr>
                <w:rFonts w:ascii="Aptos" w:hAnsi="Aptos"/>
                <w:b/>
                <w:color w:val="FFFFFF"/>
                <w:sz w:val="16"/>
              </w:rPr>
              <w:t>Function</w:t>
            </w:r>
          </w:p>
        </w:tc>
        <w:tc>
          <w:tcPr>
            <w:tcW w:type="dxa" w:w="3293"/>
            <w:shd w:fill="17365D"/>
            <w:vAlign w:val="center"/>
          </w:tcPr>
          <w:p>
            <w:r/>
            <w:r>
              <w:rPr>
                <w:rFonts w:ascii="Aptos" w:hAnsi="Aptos"/>
                <w:b/>
                <w:color w:val="FFFFFF"/>
                <w:sz w:val="16"/>
              </w:rPr>
              <w:t>Examples</w:t>
            </w:r>
          </w:p>
        </w:tc>
      </w:tr>
      <w:tr>
        <w:tc>
          <w:tcPr>
            <w:tcW w:type="dxa" w:w="3293"/>
            <w:vAlign w:val="center"/>
          </w:tcPr>
          <w:p>
            <w:r/>
            <w:r>
              <w:rPr>
                <w:rFonts w:ascii="Aptos" w:hAnsi="Aptos"/>
                <w:b w:val="0"/>
                <w:sz w:val="15"/>
              </w:rPr>
              <w:t>Priority 1</w:t>
            </w:r>
          </w:p>
        </w:tc>
        <w:tc>
          <w:tcPr>
            <w:tcW w:type="dxa" w:w="3293"/>
            <w:vAlign w:val="center"/>
          </w:tcPr>
          <w:p>
            <w:r/>
            <w:r>
              <w:rPr>
                <w:rFonts w:ascii="Aptos" w:hAnsi="Aptos"/>
                <w:b w:val="0"/>
                <w:sz w:val="15"/>
              </w:rPr>
              <w:t>Immediate life safety</w:t>
            </w:r>
          </w:p>
        </w:tc>
        <w:tc>
          <w:tcPr>
            <w:tcW w:type="dxa" w:w="3293"/>
            <w:vAlign w:val="center"/>
          </w:tcPr>
          <w:p>
            <w:r/>
            <w:r>
              <w:rPr>
                <w:rFonts w:ascii="Aptos" w:hAnsi="Aptos"/>
                <w:b w:val="0"/>
                <w:sz w:val="15"/>
              </w:rPr>
              <w:t>Emergency communications, acute health, water safety, nuclear/industrial safety.</w:t>
            </w:r>
          </w:p>
        </w:tc>
      </w:tr>
      <w:tr>
        <w:tc>
          <w:tcPr>
            <w:tcW w:type="dxa" w:w="3293"/>
            <w:vAlign w:val="center"/>
            <w:shd w:fill="F3F6FA"/>
          </w:tcPr>
          <w:p>
            <w:r/>
            <w:r>
              <w:rPr>
                <w:rFonts w:ascii="Aptos" w:hAnsi="Aptos"/>
                <w:b w:val="0"/>
                <w:sz w:val="15"/>
              </w:rPr>
              <w:t>Priority 2</w:t>
            </w:r>
          </w:p>
        </w:tc>
        <w:tc>
          <w:tcPr>
            <w:tcW w:type="dxa" w:w="3293"/>
            <w:vAlign w:val="center"/>
            <w:shd w:fill="F3F6FA"/>
          </w:tcPr>
          <w:p>
            <w:r/>
            <w:r>
              <w:rPr>
                <w:rFonts w:ascii="Aptos" w:hAnsi="Aptos"/>
                <w:b w:val="0"/>
                <w:sz w:val="15"/>
              </w:rPr>
              <w:t>Cascade prevention</w:t>
            </w:r>
          </w:p>
        </w:tc>
        <w:tc>
          <w:tcPr>
            <w:tcW w:type="dxa" w:w="3293"/>
            <w:vAlign w:val="center"/>
            <w:shd w:fill="F3F6FA"/>
          </w:tcPr>
          <w:p>
            <w:r/>
            <w:r>
              <w:rPr>
                <w:rFonts w:ascii="Aptos" w:hAnsi="Aptos"/>
                <w:b w:val="0"/>
                <w:sz w:val="15"/>
              </w:rPr>
              <w:t>Electricity, telecom, fuel, core payments, transportation control.</w:t>
            </w:r>
          </w:p>
        </w:tc>
      </w:tr>
      <w:tr>
        <w:tc>
          <w:tcPr>
            <w:tcW w:type="dxa" w:w="3293"/>
            <w:vAlign w:val="center"/>
          </w:tcPr>
          <w:p>
            <w:r/>
            <w:r>
              <w:rPr>
                <w:rFonts w:ascii="Aptos" w:hAnsi="Aptos"/>
                <w:b w:val="0"/>
                <w:sz w:val="15"/>
              </w:rPr>
              <w:t>Priority 3</w:t>
            </w:r>
          </w:p>
        </w:tc>
        <w:tc>
          <w:tcPr>
            <w:tcW w:type="dxa" w:w="3293"/>
            <w:vAlign w:val="center"/>
          </w:tcPr>
          <w:p>
            <w:r/>
            <w:r>
              <w:rPr>
                <w:rFonts w:ascii="Aptos" w:hAnsi="Aptos"/>
                <w:b w:val="0"/>
                <w:sz w:val="15"/>
              </w:rPr>
              <w:t>National sustainment</w:t>
            </w:r>
          </w:p>
        </w:tc>
        <w:tc>
          <w:tcPr>
            <w:tcW w:type="dxa" w:w="3293"/>
            <w:vAlign w:val="center"/>
          </w:tcPr>
          <w:p>
            <w:r/>
            <w:r>
              <w:rPr>
                <w:rFonts w:ascii="Aptos" w:hAnsi="Aptos"/>
                <w:b w:val="0"/>
                <w:sz w:val="15"/>
              </w:rPr>
              <w:t>Food, pharmaceuticals, government benefits, logistics, identity services.</w:t>
            </w:r>
          </w:p>
        </w:tc>
      </w:tr>
      <w:tr>
        <w:tc>
          <w:tcPr>
            <w:tcW w:type="dxa" w:w="3293"/>
            <w:vAlign w:val="center"/>
            <w:shd w:fill="F3F6FA"/>
          </w:tcPr>
          <w:p>
            <w:r/>
            <w:r>
              <w:rPr>
                <w:rFonts w:ascii="Aptos" w:hAnsi="Aptos"/>
                <w:b w:val="0"/>
                <w:sz w:val="15"/>
              </w:rPr>
              <w:t>Priority 4</w:t>
            </w:r>
          </w:p>
        </w:tc>
        <w:tc>
          <w:tcPr>
            <w:tcW w:type="dxa" w:w="3293"/>
            <w:vAlign w:val="center"/>
            <w:shd w:fill="F3F6FA"/>
          </w:tcPr>
          <w:p>
            <w:r/>
            <w:r>
              <w:rPr>
                <w:rFonts w:ascii="Aptos" w:hAnsi="Aptos"/>
                <w:b w:val="0"/>
                <w:sz w:val="15"/>
              </w:rPr>
              <w:t>Economic stabilization</w:t>
            </w:r>
          </w:p>
        </w:tc>
        <w:tc>
          <w:tcPr>
            <w:tcW w:type="dxa" w:w="3293"/>
            <w:vAlign w:val="center"/>
            <w:shd w:fill="F3F6FA"/>
          </w:tcPr>
          <w:p>
            <w:r/>
            <w:r>
              <w:rPr>
                <w:rFonts w:ascii="Aptos" w:hAnsi="Aptos"/>
                <w:b w:val="0"/>
                <w:sz w:val="15"/>
              </w:rPr>
              <w:t>Industrial recovery, trade flows, commercial networks, backlog clearance.</w:t>
            </w:r>
          </w:p>
        </w:tc>
      </w:tr>
    </w:tbl>
    <w:p>
      <w:pPr>
        <w:pStyle w:val="Heading2"/>
      </w:pPr>
      <w:r>
        <w:t>Use note</w:t>
      </w:r>
    </w:p>
    <w:p>
      <w:r>
        <w:t>This annex is a decision-support instrument, not a substitute for statutory authority, classified operational direction, sector-specific engineering procedures, or professional incident command. Values should be calibrated through exercises and updated after material incidents.</w:t>
      </w:r>
    </w:p>
    <w:p>
      <w:r>
        <w:br w:type="page"/>
      </w:r>
    </w:p>
    <w:p>
      <w:pPr>
        <w:pStyle w:val="Heading1"/>
      </w:pPr>
      <w:r>
        <w:t>ANNEX E — Response Options Catalogue Template</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7365D"/>
            <w:vAlign w:val="center"/>
          </w:tcPr>
          <w:p>
            <w:r/>
            <w:r>
              <w:rPr>
                <w:rFonts w:ascii="Aptos" w:hAnsi="Aptos"/>
                <w:b/>
                <w:color w:val="FFFFFF"/>
                <w:sz w:val="16"/>
              </w:rPr>
              <w:t>Layer</w:t>
            </w:r>
          </w:p>
        </w:tc>
        <w:tc>
          <w:tcPr>
            <w:tcW w:type="dxa" w:w="3293"/>
            <w:shd w:fill="17365D"/>
            <w:vAlign w:val="center"/>
          </w:tcPr>
          <w:p>
            <w:r/>
            <w:r>
              <w:rPr>
                <w:rFonts w:ascii="Aptos" w:hAnsi="Aptos"/>
                <w:b/>
                <w:color w:val="FFFFFF"/>
                <w:sz w:val="16"/>
              </w:rPr>
              <w:t>Examples</w:t>
            </w:r>
          </w:p>
        </w:tc>
        <w:tc>
          <w:tcPr>
            <w:tcW w:type="dxa" w:w="3293"/>
            <w:shd w:fill="17365D"/>
            <w:vAlign w:val="center"/>
          </w:tcPr>
          <w:p>
            <w:r/>
            <w:r>
              <w:rPr>
                <w:rFonts w:ascii="Aptos" w:hAnsi="Aptos"/>
                <w:b/>
                <w:color w:val="FFFFFF"/>
                <w:sz w:val="16"/>
              </w:rPr>
              <w:t>Control</w:t>
            </w:r>
          </w:p>
        </w:tc>
      </w:tr>
      <w:tr>
        <w:tc>
          <w:tcPr>
            <w:tcW w:type="dxa" w:w="3293"/>
            <w:vAlign w:val="center"/>
          </w:tcPr>
          <w:p>
            <w:r/>
            <w:r>
              <w:rPr>
                <w:rFonts w:ascii="Aptos" w:hAnsi="Aptos"/>
                <w:b w:val="0"/>
                <w:sz w:val="15"/>
              </w:rPr>
              <w:t>Diplomatic</w:t>
            </w:r>
          </w:p>
        </w:tc>
        <w:tc>
          <w:tcPr>
            <w:tcW w:type="dxa" w:w="3293"/>
            <w:vAlign w:val="center"/>
          </w:tcPr>
          <w:p>
            <w:r/>
            <w:r>
              <w:rPr>
                <w:rFonts w:ascii="Aptos" w:hAnsi="Aptos"/>
                <w:b w:val="0"/>
                <w:sz w:val="15"/>
              </w:rPr>
              <w:t>Demarche, hotline, consultation, protest</w:t>
            </w:r>
          </w:p>
        </w:tc>
        <w:tc>
          <w:tcPr>
            <w:tcW w:type="dxa" w:w="3293"/>
            <w:vAlign w:val="center"/>
          </w:tcPr>
          <w:p>
            <w:r/>
            <w:r>
              <w:rPr>
                <w:rFonts w:ascii="Aptos" w:hAnsi="Aptos"/>
                <w:b w:val="0"/>
                <w:sz w:val="15"/>
              </w:rPr>
              <w:t>High reversibility; preserves communication.</w:t>
            </w:r>
          </w:p>
        </w:tc>
      </w:tr>
      <w:tr>
        <w:tc>
          <w:tcPr>
            <w:tcW w:type="dxa" w:w="3293"/>
            <w:vAlign w:val="center"/>
            <w:shd w:fill="F3F6FA"/>
          </w:tcPr>
          <w:p>
            <w:r/>
            <w:r>
              <w:rPr>
                <w:rFonts w:ascii="Aptos" w:hAnsi="Aptos"/>
                <w:b w:val="0"/>
                <w:sz w:val="15"/>
              </w:rPr>
              <w:t>Regulatory</w:t>
            </w:r>
          </w:p>
        </w:tc>
        <w:tc>
          <w:tcPr>
            <w:tcW w:type="dxa" w:w="3293"/>
            <w:vAlign w:val="center"/>
            <w:shd w:fill="F3F6FA"/>
          </w:tcPr>
          <w:p>
            <w:r/>
            <w:r>
              <w:rPr>
                <w:rFonts w:ascii="Aptos" w:hAnsi="Aptos"/>
                <w:b w:val="0"/>
                <w:sz w:val="15"/>
              </w:rPr>
              <w:t>Security-directed compliance or restrictions</w:t>
            </w:r>
          </w:p>
        </w:tc>
        <w:tc>
          <w:tcPr>
            <w:tcW w:type="dxa" w:w="3293"/>
            <w:vAlign w:val="center"/>
            <w:shd w:fill="F3F6FA"/>
          </w:tcPr>
          <w:p>
            <w:r/>
            <w:r>
              <w:rPr>
                <w:rFonts w:ascii="Aptos" w:hAnsi="Aptos"/>
                <w:b w:val="0"/>
                <w:sz w:val="15"/>
              </w:rPr>
              <w:t>Requires independent legal/security nexus.</w:t>
            </w:r>
          </w:p>
        </w:tc>
      </w:tr>
      <w:tr>
        <w:tc>
          <w:tcPr>
            <w:tcW w:type="dxa" w:w="3293"/>
            <w:vAlign w:val="center"/>
          </w:tcPr>
          <w:p>
            <w:r/>
            <w:r>
              <w:rPr>
                <w:rFonts w:ascii="Aptos" w:hAnsi="Aptos"/>
                <w:b w:val="0"/>
                <w:sz w:val="15"/>
              </w:rPr>
              <w:t>Procurement</w:t>
            </w:r>
          </w:p>
        </w:tc>
        <w:tc>
          <w:tcPr>
            <w:tcW w:type="dxa" w:w="3293"/>
            <w:vAlign w:val="center"/>
          </w:tcPr>
          <w:p>
            <w:r/>
            <w:r>
              <w:rPr>
                <w:rFonts w:ascii="Aptos" w:hAnsi="Aptos"/>
                <w:b w:val="0"/>
                <w:sz w:val="15"/>
              </w:rPr>
              <w:t>Eligibility, assurance, substitution</w:t>
            </w:r>
          </w:p>
        </w:tc>
        <w:tc>
          <w:tcPr>
            <w:tcW w:type="dxa" w:w="3293"/>
            <w:vAlign w:val="center"/>
          </w:tcPr>
          <w:p>
            <w:r/>
            <w:r>
              <w:rPr>
                <w:rFonts w:ascii="Aptos" w:hAnsi="Aptos"/>
                <w:b w:val="0"/>
                <w:sz w:val="15"/>
              </w:rPr>
              <w:t>Avoid nationality-only punishment.</w:t>
            </w:r>
          </w:p>
        </w:tc>
      </w:tr>
      <w:tr>
        <w:tc>
          <w:tcPr>
            <w:tcW w:type="dxa" w:w="3293"/>
            <w:vAlign w:val="center"/>
            <w:shd w:fill="F3F6FA"/>
          </w:tcPr>
          <w:p>
            <w:r/>
            <w:r>
              <w:rPr>
                <w:rFonts w:ascii="Aptos" w:hAnsi="Aptos"/>
                <w:b w:val="0"/>
                <w:sz w:val="15"/>
              </w:rPr>
              <w:t>Economic</w:t>
            </w:r>
          </w:p>
        </w:tc>
        <w:tc>
          <w:tcPr>
            <w:tcW w:type="dxa" w:w="3293"/>
            <w:vAlign w:val="center"/>
            <w:shd w:fill="F3F6FA"/>
          </w:tcPr>
          <w:p>
            <w:r/>
            <w:r>
              <w:rPr>
                <w:rFonts w:ascii="Aptos" w:hAnsi="Aptos"/>
                <w:b w:val="0"/>
                <w:sz w:val="15"/>
              </w:rPr>
              <w:t>Targeted authorized measures</w:t>
            </w:r>
          </w:p>
        </w:tc>
        <w:tc>
          <w:tcPr>
            <w:tcW w:type="dxa" w:w="3293"/>
            <w:vAlign w:val="center"/>
            <w:shd w:fill="F3F6FA"/>
          </w:tcPr>
          <w:p>
            <w:r/>
            <w:r>
              <w:rPr>
                <w:rFonts w:ascii="Aptos" w:hAnsi="Aptos"/>
                <w:b w:val="0"/>
                <w:sz w:val="15"/>
              </w:rPr>
              <w:t>Assess spillovers and treaty obligations.</w:t>
            </w:r>
          </w:p>
        </w:tc>
      </w:tr>
      <w:tr>
        <w:tc>
          <w:tcPr>
            <w:tcW w:type="dxa" w:w="3293"/>
            <w:vAlign w:val="center"/>
          </w:tcPr>
          <w:p>
            <w:r/>
            <w:r>
              <w:rPr>
                <w:rFonts w:ascii="Aptos" w:hAnsi="Aptos"/>
                <w:b w:val="0"/>
                <w:sz w:val="15"/>
              </w:rPr>
              <w:t>Allied</w:t>
            </w:r>
          </w:p>
        </w:tc>
        <w:tc>
          <w:tcPr>
            <w:tcW w:type="dxa" w:w="3293"/>
            <w:vAlign w:val="center"/>
          </w:tcPr>
          <w:p>
            <w:r/>
            <w:r>
              <w:rPr>
                <w:rFonts w:ascii="Aptos" w:hAnsi="Aptos"/>
                <w:b w:val="0"/>
                <w:sz w:val="15"/>
              </w:rPr>
              <w:t>Joint attribution/support/measures</w:t>
            </w:r>
          </w:p>
        </w:tc>
        <w:tc>
          <w:tcPr>
            <w:tcW w:type="dxa" w:w="3293"/>
            <w:vAlign w:val="center"/>
          </w:tcPr>
          <w:p>
            <w:r/>
            <w:r>
              <w:rPr>
                <w:rFonts w:ascii="Aptos" w:hAnsi="Aptos"/>
                <w:b w:val="0"/>
                <w:sz w:val="15"/>
              </w:rPr>
              <w:t>Improves legitimacy and resilience.</w:t>
            </w:r>
          </w:p>
        </w:tc>
      </w:tr>
      <w:tr>
        <w:tc>
          <w:tcPr>
            <w:tcW w:type="dxa" w:w="3293"/>
            <w:vAlign w:val="center"/>
            <w:shd w:fill="F3F6FA"/>
          </w:tcPr>
          <w:p>
            <w:r/>
            <w:r>
              <w:rPr>
                <w:rFonts w:ascii="Aptos" w:hAnsi="Aptos"/>
                <w:b w:val="0"/>
                <w:sz w:val="15"/>
              </w:rPr>
              <w:t>Defensive cyber</w:t>
            </w:r>
          </w:p>
        </w:tc>
        <w:tc>
          <w:tcPr>
            <w:tcW w:type="dxa" w:w="3293"/>
            <w:vAlign w:val="center"/>
            <w:shd w:fill="F3F6FA"/>
          </w:tcPr>
          <w:p>
            <w:r/>
            <w:r>
              <w:rPr>
                <w:rFonts w:ascii="Aptos" w:hAnsi="Aptos"/>
                <w:b w:val="0"/>
                <w:sz w:val="15"/>
              </w:rPr>
              <w:t>Hunt, isolate, harden, recover</w:t>
            </w:r>
          </w:p>
        </w:tc>
        <w:tc>
          <w:tcPr>
            <w:tcW w:type="dxa" w:w="3293"/>
            <w:vAlign w:val="center"/>
            <w:shd w:fill="F3F6FA"/>
          </w:tcPr>
          <w:p>
            <w:r/>
            <w:r>
              <w:rPr>
                <w:rFonts w:ascii="Aptos" w:hAnsi="Aptos"/>
                <w:b w:val="0"/>
                <w:sz w:val="15"/>
              </w:rPr>
              <w:t>Primary technical response family.</w:t>
            </w:r>
          </w:p>
        </w:tc>
      </w:tr>
    </w:tbl>
    <w:p>
      <w:pPr>
        <w:pStyle w:val="Heading2"/>
      </w:pPr>
      <w:r>
        <w:t>Use note</w:t>
      </w:r>
    </w:p>
    <w:p>
      <w:r>
        <w:t>This annex is a decision-support instrument, not a substitute for statutory authority, classified operational direction, sector-specific engineering procedures, or professional incident command. Values should be calibrated through exercises and updated after material incidents.</w:t>
      </w:r>
    </w:p>
    <w:p>
      <w:r>
        <w:br w:type="page"/>
      </w:r>
    </w:p>
    <w:p>
      <w:pPr>
        <w:pStyle w:val="Heading1"/>
      </w:pPr>
      <w:r>
        <w:t>ANNEX F — 72-Hour Decision Cycle</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7365D"/>
            <w:vAlign w:val="center"/>
          </w:tcPr>
          <w:p>
            <w:r/>
            <w:r>
              <w:rPr>
                <w:rFonts w:ascii="Aptos" w:hAnsi="Aptos"/>
                <w:b/>
                <w:color w:val="FFFFFF"/>
                <w:sz w:val="16"/>
              </w:rPr>
              <w:t>Window</w:t>
            </w:r>
          </w:p>
        </w:tc>
        <w:tc>
          <w:tcPr>
            <w:tcW w:type="dxa" w:w="3293"/>
            <w:shd w:fill="17365D"/>
            <w:vAlign w:val="center"/>
          </w:tcPr>
          <w:p>
            <w:r/>
            <w:r>
              <w:rPr>
                <w:rFonts w:ascii="Aptos" w:hAnsi="Aptos"/>
                <w:b/>
                <w:color w:val="FFFFFF"/>
                <w:sz w:val="16"/>
              </w:rPr>
              <w:t>Objective</w:t>
            </w:r>
          </w:p>
        </w:tc>
        <w:tc>
          <w:tcPr>
            <w:tcW w:type="dxa" w:w="3293"/>
            <w:shd w:fill="17365D"/>
            <w:vAlign w:val="center"/>
          </w:tcPr>
          <w:p>
            <w:r/>
            <w:r>
              <w:rPr>
                <w:rFonts w:ascii="Aptos" w:hAnsi="Aptos"/>
                <w:b/>
                <w:color w:val="FFFFFF"/>
                <w:sz w:val="16"/>
              </w:rPr>
              <w:t>Core action</w:t>
            </w:r>
          </w:p>
        </w:tc>
      </w:tr>
      <w:tr>
        <w:tc>
          <w:tcPr>
            <w:tcW w:type="dxa" w:w="3293"/>
            <w:vAlign w:val="center"/>
          </w:tcPr>
          <w:p>
            <w:r/>
            <w:r>
              <w:rPr>
                <w:rFonts w:ascii="Aptos" w:hAnsi="Aptos"/>
                <w:b w:val="0"/>
                <w:sz w:val="15"/>
              </w:rPr>
              <w:t>0–2 h</w:t>
            </w:r>
          </w:p>
        </w:tc>
        <w:tc>
          <w:tcPr>
            <w:tcW w:type="dxa" w:w="3293"/>
            <w:vAlign w:val="center"/>
          </w:tcPr>
          <w:p>
            <w:r/>
            <w:r>
              <w:rPr>
                <w:rFonts w:ascii="Aptos" w:hAnsi="Aptos"/>
                <w:b w:val="0"/>
                <w:sz w:val="15"/>
              </w:rPr>
              <w:t>Stabilize</w:t>
            </w:r>
          </w:p>
        </w:tc>
        <w:tc>
          <w:tcPr>
            <w:tcW w:type="dxa" w:w="3293"/>
            <w:vAlign w:val="center"/>
          </w:tcPr>
          <w:p>
            <w:r/>
            <w:r>
              <w:rPr>
                <w:rFonts w:ascii="Aptos" w:hAnsi="Aptos"/>
                <w:b w:val="0"/>
                <w:sz w:val="15"/>
              </w:rPr>
              <w:t>Protect life safety, isolate affected systems, establish incident lead.</w:t>
            </w:r>
          </w:p>
        </w:tc>
      </w:tr>
      <w:tr>
        <w:tc>
          <w:tcPr>
            <w:tcW w:type="dxa" w:w="3293"/>
            <w:vAlign w:val="center"/>
            <w:shd w:fill="F3F6FA"/>
          </w:tcPr>
          <w:p>
            <w:r/>
            <w:r>
              <w:rPr>
                <w:rFonts w:ascii="Aptos" w:hAnsi="Aptos"/>
                <w:b w:val="0"/>
                <w:sz w:val="15"/>
              </w:rPr>
              <w:t>2–6 h</w:t>
            </w:r>
          </w:p>
        </w:tc>
        <w:tc>
          <w:tcPr>
            <w:tcW w:type="dxa" w:w="3293"/>
            <w:vAlign w:val="center"/>
            <w:shd w:fill="F3F6FA"/>
          </w:tcPr>
          <w:p>
            <w:r/>
            <w:r>
              <w:rPr>
                <w:rFonts w:ascii="Aptos" w:hAnsi="Aptos"/>
                <w:b w:val="0"/>
                <w:sz w:val="15"/>
              </w:rPr>
              <w:t>Verify</w:t>
            </w:r>
          </w:p>
        </w:tc>
        <w:tc>
          <w:tcPr>
            <w:tcW w:type="dxa" w:w="3293"/>
            <w:vAlign w:val="center"/>
            <w:shd w:fill="F3F6FA"/>
          </w:tcPr>
          <w:p>
            <w:r/>
            <w:r>
              <w:rPr>
                <w:rFonts w:ascii="Aptos" w:hAnsi="Aptos"/>
                <w:b w:val="0"/>
                <w:sz w:val="15"/>
              </w:rPr>
              <w:t>Build common operating picture; preserve evidence; notify essential partners.</w:t>
            </w:r>
          </w:p>
        </w:tc>
      </w:tr>
      <w:tr>
        <w:tc>
          <w:tcPr>
            <w:tcW w:type="dxa" w:w="3293"/>
            <w:vAlign w:val="center"/>
          </w:tcPr>
          <w:p>
            <w:r/>
            <w:r>
              <w:rPr>
                <w:rFonts w:ascii="Aptos" w:hAnsi="Aptos"/>
                <w:b w:val="0"/>
                <w:sz w:val="15"/>
              </w:rPr>
              <w:t>6–12 h</w:t>
            </w:r>
          </w:p>
        </w:tc>
        <w:tc>
          <w:tcPr>
            <w:tcW w:type="dxa" w:w="3293"/>
            <w:vAlign w:val="center"/>
          </w:tcPr>
          <w:p>
            <w:r/>
            <w:r>
              <w:rPr>
                <w:rFonts w:ascii="Aptos" w:hAnsi="Aptos"/>
                <w:b w:val="0"/>
                <w:sz w:val="15"/>
              </w:rPr>
              <w:t>Classify</w:t>
            </w:r>
          </w:p>
        </w:tc>
        <w:tc>
          <w:tcPr>
            <w:tcW w:type="dxa" w:w="3293"/>
            <w:vAlign w:val="center"/>
          </w:tcPr>
          <w:p>
            <w:r/>
            <w:r>
              <w:rPr>
                <w:rFonts w:ascii="Aptos" w:hAnsi="Aptos"/>
                <w:b w:val="0"/>
                <w:sz w:val="15"/>
              </w:rPr>
              <w:t>Set incident level and attribution confidence; activate challenge team.</w:t>
            </w:r>
          </w:p>
        </w:tc>
      </w:tr>
      <w:tr>
        <w:tc>
          <w:tcPr>
            <w:tcW w:type="dxa" w:w="3293"/>
            <w:vAlign w:val="center"/>
            <w:shd w:fill="F3F6FA"/>
          </w:tcPr>
          <w:p>
            <w:r/>
            <w:r>
              <w:rPr>
                <w:rFonts w:ascii="Aptos" w:hAnsi="Aptos"/>
                <w:b w:val="0"/>
                <w:sz w:val="15"/>
              </w:rPr>
              <w:t>12–24 h</w:t>
            </w:r>
          </w:p>
        </w:tc>
        <w:tc>
          <w:tcPr>
            <w:tcW w:type="dxa" w:w="3293"/>
            <w:vAlign w:val="center"/>
            <w:shd w:fill="F3F6FA"/>
          </w:tcPr>
          <w:p>
            <w:r/>
            <w:r>
              <w:rPr>
                <w:rFonts w:ascii="Aptos" w:hAnsi="Aptos"/>
                <w:b w:val="0"/>
                <w:sz w:val="15"/>
              </w:rPr>
              <w:t>Continue</w:t>
            </w:r>
          </w:p>
        </w:tc>
        <w:tc>
          <w:tcPr>
            <w:tcW w:type="dxa" w:w="3293"/>
            <w:vAlign w:val="center"/>
            <w:shd w:fill="F3F6FA"/>
          </w:tcPr>
          <w:p>
            <w:r/>
            <w:r>
              <w:rPr>
                <w:rFonts w:ascii="Aptos" w:hAnsi="Aptos"/>
                <w:b w:val="0"/>
                <w:sz w:val="15"/>
              </w:rPr>
              <w:t>Implement degraded operations and cross-sector continuity priorities.</w:t>
            </w:r>
          </w:p>
        </w:tc>
      </w:tr>
      <w:tr>
        <w:tc>
          <w:tcPr>
            <w:tcW w:type="dxa" w:w="3293"/>
            <w:vAlign w:val="center"/>
          </w:tcPr>
          <w:p>
            <w:r/>
            <w:r>
              <w:rPr>
                <w:rFonts w:ascii="Aptos" w:hAnsi="Aptos"/>
                <w:b w:val="0"/>
                <w:sz w:val="15"/>
              </w:rPr>
              <w:t>24–48 h</w:t>
            </w:r>
          </w:p>
        </w:tc>
        <w:tc>
          <w:tcPr>
            <w:tcW w:type="dxa" w:w="3293"/>
            <w:vAlign w:val="center"/>
          </w:tcPr>
          <w:p>
            <w:r/>
            <w:r>
              <w:rPr>
                <w:rFonts w:ascii="Aptos" w:hAnsi="Aptos"/>
                <w:b w:val="0"/>
                <w:sz w:val="15"/>
              </w:rPr>
              <w:t>Consult</w:t>
            </w:r>
          </w:p>
        </w:tc>
        <w:tc>
          <w:tcPr>
            <w:tcW w:type="dxa" w:w="3293"/>
            <w:vAlign w:val="center"/>
          </w:tcPr>
          <w:p>
            <w:r/>
            <w:r>
              <w:rPr>
                <w:rFonts w:ascii="Aptos" w:hAnsi="Aptos"/>
                <w:b w:val="0"/>
                <w:sz w:val="15"/>
              </w:rPr>
              <w:t>Cabinet/provincial/allied consultation; prepare lawful response options.</w:t>
            </w:r>
          </w:p>
        </w:tc>
      </w:tr>
      <w:tr>
        <w:tc>
          <w:tcPr>
            <w:tcW w:type="dxa" w:w="3293"/>
            <w:vAlign w:val="center"/>
            <w:shd w:fill="F3F6FA"/>
          </w:tcPr>
          <w:p>
            <w:r/>
            <w:r>
              <w:rPr>
                <w:rFonts w:ascii="Aptos" w:hAnsi="Aptos"/>
                <w:b w:val="0"/>
                <w:sz w:val="15"/>
              </w:rPr>
              <w:t>48–72 h</w:t>
            </w:r>
          </w:p>
        </w:tc>
        <w:tc>
          <w:tcPr>
            <w:tcW w:type="dxa" w:w="3293"/>
            <w:vAlign w:val="center"/>
            <w:shd w:fill="F3F6FA"/>
          </w:tcPr>
          <w:p>
            <w:r/>
            <w:r>
              <w:rPr>
                <w:rFonts w:ascii="Aptos" w:hAnsi="Aptos"/>
                <w:b w:val="0"/>
                <w:sz w:val="15"/>
              </w:rPr>
              <w:t>Decide</w:t>
            </w:r>
          </w:p>
        </w:tc>
        <w:tc>
          <w:tcPr>
            <w:tcW w:type="dxa" w:w="3293"/>
            <w:vAlign w:val="center"/>
            <w:shd w:fill="F3F6FA"/>
          </w:tcPr>
          <w:p>
            <w:r/>
            <w:r>
              <w:rPr>
                <w:rFonts w:ascii="Aptos" w:hAnsi="Aptos"/>
                <w:b w:val="0"/>
                <w:sz w:val="15"/>
              </w:rPr>
              <w:t>Select, defer or reject measures; publish only what confidence supports.</w:t>
            </w:r>
          </w:p>
        </w:tc>
      </w:tr>
    </w:tbl>
    <w:p>
      <w:pPr>
        <w:pStyle w:val="Heading2"/>
      </w:pPr>
      <w:r>
        <w:t>Use note</w:t>
      </w:r>
    </w:p>
    <w:p>
      <w:r>
        <w:t>This annex is a decision-support instrument, not a substitute for statutory authority, classified operational direction, sector-specific engineering procedures, or professional incident command. Values should be calibrated through exercises and updated after material incidents.</w:t>
      </w:r>
    </w:p>
    <w:p>
      <w:r>
        <w:br w:type="page"/>
      </w:r>
    </w:p>
    <w:p>
      <w:pPr>
        <w:pStyle w:val="Heading1"/>
      </w:pPr>
      <w:r>
        <w:t>ANNEX G — De-escalation Ladder</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7365D"/>
            <w:vAlign w:val="center"/>
          </w:tcPr>
          <w:p>
            <w:r/>
            <w:r>
              <w:rPr>
                <w:rFonts w:ascii="Aptos" w:hAnsi="Aptos"/>
                <w:b/>
                <w:color w:val="FFFFFF"/>
                <w:sz w:val="16"/>
              </w:rPr>
              <w:t>Stage</w:t>
            </w:r>
          </w:p>
        </w:tc>
        <w:tc>
          <w:tcPr>
            <w:tcW w:type="dxa" w:w="3293"/>
            <w:shd w:fill="17365D"/>
            <w:vAlign w:val="center"/>
          </w:tcPr>
          <w:p>
            <w:r/>
            <w:r>
              <w:rPr>
                <w:rFonts w:ascii="Aptos" w:hAnsi="Aptos"/>
                <w:b/>
                <w:color w:val="FFFFFF"/>
                <w:sz w:val="16"/>
              </w:rPr>
              <w:t>Mechanism</w:t>
            </w:r>
          </w:p>
        </w:tc>
        <w:tc>
          <w:tcPr>
            <w:tcW w:type="dxa" w:w="3293"/>
            <w:shd w:fill="17365D"/>
            <w:vAlign w:val="center"/>
          </w:tcPr>
          <w:p>
            <w:r/>
            <w:r>
              <w:rPr>
                <w:rFonts w:ascii="Aptos" w:hAnsi="Aptos"/>
                <w:b/>
                <w:color w:val="FFFFFF"/>
                <w:sz w:val="16"/>
              </w:rPr>
              <w:t>Purpose</w:t>
            </w:r>
          </w:p>
        </w:tc>
      </w:tr>
      <w:tr>
        <w:tc>
          <w:tcPr>
            <w:tcW w:type="dxa" w:w="3293"/>
            <w:vAlign w:val="center"/>
          </w:tcPr>
          <w:p>
            <w:r/>
            <w:r>
              <w:rPr>
                <w:rFonts w:ascii="Aptos" w:hAnsi="Aptos"/>
                <w:b w:val="0"/>
                <w:sz w:val="15"/>
              </w:rPr>
              <w:t>Stage A</w:t>
            </w:r>
          </w:p>
        </w:tc>
        <w:tc>
          <w:tcPr>
            <w:tcW w:type="dxa" w:w="3293"/>
            <w:vAlign w:val="center"/>
          </w:tcPr>
          <w:p>
            <w:r/>
            <w:r>
              <w:rPr>
                <w:rFonts w:ascii="Aptos" w:hAnsi="Aptos"/>
                <w:b w:val="0"/>
                <w:sz w:val="15"/>
              </w:rPr>
              <w:t>Quiet clarification</w:t>
            </w:r>
          </w:p>
        </w:tc>
        <w:tc>
          <w:tcPr>
            <w:tcW w:type="dxa" w:w="3293"/>
            <w:vAlign w:val="center"/>
          </w:tcPr>
          <w:p>
            <w:r/>
            <w:r>
              <w:rPr>
                <w:rFonts w:ascii="Aptos" w:hAnsi="Aptos"/>
                <w:b w:val="0"/>
                <w:sz w:val="15"/>
              </w:rPr>
              <w:t>Private technical and diplomatic channels.</w:t>
            </w:r>
          </w:p>
        </w:tc>
      </w:tr>
      <w:tr>
        <w:tc>
          <w:tcPr>
            <w:tcW w:type="dxa" w:w="3293"/>
            <w:vAlign w:val="center"/>
            <w:shd w:fill="F3F6FA"/>
          </w:tcPr>
          <w:p>
            <w:r/>
            <w:r>
              <w:rPr>
                <w:rFonts w:ascii="Aptos" w:hAnsi="Aptos"/>
                <w:b w:val="0"/>
                <w:sz w:val="15"/>
              </w:rPr>
              <w:t>Stage B</w:t>
            </w:r>
          </w:p>
        </w:tc>
        <w:tc>
          <w:tcPr>
            <w:tcW w:type="dxa" w:w="3293"/>
            <w:vAlign w:val="center"/>
            <w:shd w:fill="F3F6FA"/>
          </w:tcPr>
          <w:p>
            <w:r/>
            <w:r>
              <w:rPr>
                <w:rFonts w:ascii="Aptos" w:hAnsi="Aptos"/>
                <w:b w:val="0"/>
                <w:sz w:val="15"/>
              </w:rPr>
              <w:t>Mutual restraint</w:t>
            </w:r>
          </w:p>
        </w:tc>
        <w:tc>
          <w:tcPr>
            <w:tcW w:type="dxa" w:w="3293"/>
            <w:vAlign w:val="center"/>
            <w:shd w:fill="F3F6FA"/>
          </w:tcPr>
          <w:p>
            <w:r/>
            <w:r>
              <w:rPr>
                <w:rFonts w:ascii="Aptos" w:hAnsi="Aptos"/>
                <w:b w:val="0"/>
                <w:sz w:val="15"/>
              </w:rPr>
              <w:t>Pause new measures while investigation/restoration proceeds.</w:t>
            </w:r>
          </w:p>
        </w:tc>
      </w:tr>
      <w:tr>
        <w:tc>
          <w:tcPr>
            <w:tcW w:type="dxa" w:w="3293"/>
            <w:vAlign w:val="center"/>
          </w:tcPr>
          <w:p>
            <w:r/>
            <w:r>
              <w:rPr>
                <w:rFonts w:ascii="Aptos" w:hAnsi="Aptos"/>
                <w:b w:val="0"/>
                <w:sz w:val="15"/>
              </w:rPr>
              <w:t>Stage C</w:t>
            </w:r>
          </w:p>
        </w:tc>
        <w:tc>
          <w:tcPr>
            <w:tcW w:type="dxa" w:w="3293"/>
            <w:vAlign w:val="center"/>
          </w:tcPr>
          <w:p>
            <w:r/>
            <w:r>
              <w:rPr>
                <w:rFonts w:ascii="Aptos" w:hAnsi="Aptos"/>
                <w:b w:val="0"/>
                <w:sz w:val="15"/>
              </w:rPr>
              <w:t>Verified cessation</w:t>
            </w:r>
          </w:p>
        </w:tc>
        <w:tc>
          <w:tcPr>
            <w:tcW w:type="dxa" w:w="3293"/>
            <w:vAlign w:val="center"/>
          </w:tcPr>
          <w:p>
            <w:r/>
            <w:r>
              <w:rPr>
                <w:rFonts w:ascii="Aptos" w:hAnsi="Aptos"/>
                <w:b w:val="0"/>
                <w:sz w:val="15"/>
              </w:rPr>
              <w:t>Monitoring or third-party technical verification.</w:t>
            </w:r>
          </w:p>
        </w:tc>
      </w:tr>
      <w:tr>
        <w:tc>
          <w:tcPr>
            <w:tcW w:type="dxa" w:w="3293"/>
            <w:vAlign w:val="center"/>
            <w:shd w:fill="F3F6FA"/>
          </w:tcPr>
          <w:p>
            <w:r/>
            <w:r>
              <w:rPr>
                <w:rFonts w:ascii="Aptos" w:hAnsi="Aptos"/>
                <w:b w:val="0"/>
                <w:sz w:val="15"/>
              </w:rPr>
              <w:t>Stage D</w:t>
            </w:r>
          </w:p>
        </w:tc>
        <w:tc>
          <w:tcPr>
            <w:tcW w:type="dxa" w:w="3293"/>
            <w:vAlign w:val="center"/>
            <w:shd w:fill="F3F6FA"/>
          </w:tcPr>
          <w:p>
            <w:r/>
            <w:r>
              <w:rPr>
                <w:rFonts w:ascii="Aptos" w:hAnsi="Aptos"/>
                <w:b w:val="0"/>
                <w:sz w:val="15"/>
              </w:rPr>
              <w:t>Rollback</w:t>
            </w:r>
          </w:p>
        </w:tc>
        <w:tc>
          <w:tcPr>
            <w:tcW w:type="dxa" w:w="3293"/>
            <w:vAlign w:val="center"/>
            <w:shd w:fill="F3F6FA"/>
          </w:tcPr>
          <w:p>
            <w:r/>
            <w:r>
              <w:rPr>
                <w:rFonts w:ascii="Aptos" w:hAnsi="Aptos"/>
                <w:b w:val="0"/>
                <w:sz w:val="15"/>
              </w:rPr>
              <w:t>Remove temporary countermeasures in sequenced steps.</w:t>
            </w:r>
          </w:p>
        </w:tc>
      </w:tr>
      <w:tr>
        <w:tc>
          <w:tcPr>
            <w:tcW w:type="dxa" w:w="3293"/>
            <w:vAlign w:val="center"/>
          </w:tcPr>
          <w:p>
            <w:r/>
            <w:r>
              <w:rPr>
                <w:rFonts w:ascii="Aptos" w:hAnsi="Aptos"/>
                <w:b w:val="0"/>
                <w:sz w:val="15"/>
              </w:rPr>
              <w:t>Stage E</w:t>
            </w:r>
          </w:p>
        </w:tc>
        <w:tc>
          <w:tcPr>
            <w:tcW w:type="dxa" w:w="3293"/>
            <w:vAlign w:val="center"/>
          </w:tcPr>
          <w:p>
            <w:r/>
            <w:r>
              <w:rPr>
                <w:rFonts w:ascii="Aptos" w:hAnsi="Aptos"/>
                <w:b w:val="0"/>
                <w:sz w:val="15"/>
              </w:rPr>
              <w:t>Settlement</w:t>
            </w:r>
          </w:p>
        </w:tc>
        <w:tc>
          <w:tcPr>
            <w:tcW w:type="dxa" w:w="3293"/>
            <w:vAlign w:val="center"/>
          </w:tcPr>
          <w:p>
            <w:r/>
            <w:r>
              <w:rPr>
                <w:rFonts w:ascii="Aptos" w:hAnsi="Aptos"/>
                <w:b w:val="0"/>
                <w:sz w:val="15"/>
              </w:rPr>
              <w:t>Compensation, undertakings, lessons learned and normalization.</w:t>
            </w:r>
          </w:p>
        </w:tc>
      </w:tr>
    </w:tbl>
    <w:p>
      <w:pPr>
        <w:pStyle w:val="Heading2"/>
      </w:pPr>
      <w:r>
        <w:t>Use note</w:t>
      </w:r>
    </w:p>
    <w:p>
      <w:r>
        <w:t>This annex is a decision-support instrument, not a substitute for statutory authority, classified operational direction, sector-specific engineering procedures, or professional incident command. Values should be calibrated through exercises and updated after material incidents.</w:t>
      </w:r>
    </w:p>
    <w:p>
      <w:r>
        <w:br w:type="page"/>
      </w:r>
    </w:p>
    <w:p>
      <w:pPr>
        <w:pStyle w:val="Heading1"/>
      </w:pPr>
      <w:r>
        <w:t>ANNEX H — Gray-Zone Escalation Outlook</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7365D"/>
            <w:vAlign w:val="center"/>
          </w:tcPr>
          <w:p>
            <w:r/>
            <w:r>
              <w:rPr>
                <w:rFonts w:ascii="Aptos" w:hAnsi="Aptos"/>
                <w:b/>
                <w:color w:val="FFFFFF"/>
                <w:sz w:val="16"/>
              </w:rPr>
              <w:t>Indicator</w:t>
            </w:r>
          </w:p>
        </w:tc>
        <w:tc>
          <w:tcPr>
            <w:tcW w:type="dxa" w:w="3293"/>
            <w:shd w:fill="17365D"/>
            <w:vAlign w:val="center"/>
          </w:tcPr>
          <w:p>
            <w:r/>
            <w:r>
              <w:rPr>
                <w:rFonts w:ascii="Aptos" w:hAnsi="Aptos"/>
                <w:b/>
                <w:color w:val="FFFFFF"/>
                <w:sz w:val="16"/>
              </w:rPr>
              <w:t>Direction</w:t>
            </w:r>
          </w:p>
        </w:tc>
        <w:tc>
          <w:tcPr>
            <w:tcW w:type="dxa" w:w="3293"/>
            <w:shd w:fill="17365D"/>
            <w:vAlign w:val="center"/>
          </w:tcPr>
          <w:p>
            <w:r/>
            <w:r>
              <w:rPr>
                <w:rFonts w:ascii="Aptos" w:hAnsi="Aptos"/>
                <w:b/>
                <w:color w:val="FFFFFF"/>
                <w:sz w:val="16"/>
              </w:rPr>
              <w:t>Illustrative interpretation</w:t>
            </w:r>
          </w:p>
        </w:tc>
      </w:tr>
      <w:tr>
        <w:tc>
          <w:tcPr>
            <w:tcW w:type="dxa" w:w="3293"/>
            <w:vAlign w:val="center"/>
          </w:tcPr>
          <w:p>
            <w:r/>
            <w:r>
              <w:rPr>
                <w:rFonts w:ascii="Aptos" w:hAnsi="Aptos"/>
                <w:b w:val="0"/>
                <w:sz w:val="15"/>
              </w:rPr>
              <w:t>Cross-sector anomalies</w:t>
            </w:r>
          </w:p>
        </w:tc>
        <w:tc>
          <w:tcPr>
            <w:tcW w:type="dxa" w:w="3293"/>
            <w:vAlign w:val="center"/>
          </w:tcPr>
          <w:p>
            <w:r/>
            <w:r>
              <w:rPr>
                <w:rFonts w:ascii="Aptos" w:hAnsi="Aptos"/>
                <w:b w:val="0"/>
                <w:sz w:val="15"/>
              </w:rPr>
              <w:t>↑</w:t>
            </w:r>
          </w:p>
        </w:tc>
        <w:tc>
          <w:tcPr>
            <w:tcW w:type="dxa" w:w="3293"/>
            <w:vAlign w:val="center"/>
          </w:tcPr>
          <w:p>
            <w:r/>
            <w:r>
              <w:rPr>
                <w:rFonts w:ascii="Aptos" w:hAnsi="Aptos"/>
                <w:b w:val="0"/>
                <w:sz w:val="15"/>
              </w:rPr>
              <w:t>Possible campaign coordination; verify before attribution.</w:t>
            </w:r>
          </w:p>
        </w:tc>
      </w:tr>
      <w:tr>
        <w:tc>
          <w:tcPr>
            <w:tcW w:type="dxa" w:w="3293"/>
            <w:vAlign w:val="center"/>
            <w:shd w:fill="F3F6FA"/>
          </w:tcPr>
          <w:p>
            <w:r/>
            <w:r>
              <w:rPr>
                <w:rFonts w:ascii="Aptos" w:hAnsi="Aptos"/>
                <w:b w:val="0"/>
                <w:sz w:val="15"/>
              </w:rPr>
              <w:t>Restoration cooperation</w:t>
            </w:r>
          </w:p>
        </w:tc>
        <w:tc>
          <w:tcPr>
            <w:tcW w:type="dxa" w:w="3293"/>
            <w:vAlign w:val="center"/>
            <w:shd w:fill="F3F6FA"/>
          </w:tcPr>
          <w:p>
            <w:r/>
            <w:r>
              <w:rPr>
                <w:rFonts w:ascii="Aptos" w:hAnsi="Aptos"/>
                <w:b w:val="0"/>
                <w:sz w:val="15"/>
              </w:rPr>
              <w:t>↓</w:t>
            </w:r>
          </w:p>
        </w:tc>
        <w:tc>
          <w:tcPr>
            <w:tcW w:type="dxa" w:w="3293"/>
            <w:vAlign w:val="center"/>
            <w:shd w:fill="F3F6FA"/>
          </w:tcPr>
          <w:p>
            <w:r/>
            <w:r>
              <w:rPr>
                <w:rFonts w:ascii="Aptos" w:hAnsi="Aptos"/>
                <w:b w:val="0"/>
                <w:sz w:val="15"/>
              </w:rPr>
              <w:t>Improves de-escalation probability.</w:t>
            </w:r>
          </w:p>
        </w:tc>
      </w:tr>
      <w:tr>
        <w:tc>
          <w:tcPr>
            <w:tcW w:type="dxa" w:w="3293"/>
            <w:vAlign w:val="center"/>
          </w:tcPr>
          <w:p>
            <w:r/>
            <w:r>
              <w:rPr>
                <w:rFonts w:ascii="Aptos" w:hAnsi="Aptos"/>
                <w:b w:val="0"/>
                <w:sz w:val="15"/>
              </w:rPr>
              <w:t>Public threats tied to infrastructure</w:t>
            </w:r>
          </w:p>
        </w:tc>
        <w:tc>
          <w:tcPr>
            <w:tcW w:type="dxa" w:w="3293"/>
            <w:vAlign w:val="center"/>
          </w:tcPr>
          <w:p>
            <w:r/>
            <w:r>
              <w:rPr>
                <w:rFonts w:ascii="Aptos" w:hAnsi="Aptos"/>
                <w:b w:val="0"/>
                <w:sz w:val="15"/>
              </w:rPr>
              <w:t>↑</w:t>
            </w:r>
          </w:p>
        </w:tc>
        <w:tc>
          <w:tcPr>
            <w:tcW w:type="dxa" w:w="3293"/>
            <w:vAlign w:val="center"/>
          </w:tcPr>
          <w:p>
            <w:r/>
            <w:r>
              <w:rPr>
                <w:rFonts w:ascii="Aptos" w:hAnsi="Aptos"/>
                <w:b w:val="0"/>
                <w:sz w:val="15"/>
              </w:rPr>
              <w:t>Raises coercive-intent confidence if authenticated.</w:t>
            </w:r>
          </w:p>
        </w:tc>
      </w:tr>
      <w:tr>
        <w:tc>
          <w:tcPr>
            <w:tcW w:type="dxa" w:w="3293"/>
            <w:vAlign w:val="center"/>
            <w:shd w:fill="F3F6FA"/>
          </w:tcPr>
          <w:p>
            <w:r/>
            <w:r>
              <w:rPr>
                <w:rFonts w:ascii="Aptos" w:hAnsi="Aptos"/>
                <w:b w:val="0"/>
                <w:sz w:val="15"/>
              </w:rPr>
              <w:t>Allied corroboration</w:t>
            </w:r>
          </w:p>
        </w:tc>
        <w:tc>
          <w:tcPr>
            <w:tcW w:type="dxa" w:w="3293"/>
            <w:vAlign w:val="center"/>
            <w:shd w:fill="F3F6FA"/>
          </w:tcPr>
          <w:p>
            <w:r/>
            <w:r>
              <w:rPr>
                <w:rFonts w:ascii="Aptos" w:hAnsi="Aptos"/>
                <w:b w:val="0"/>
                <w:sz w:val="15"/>
              </w:rPr>
              <w:t>Context</w:t>
            </w:r>
          </w:p>
        </w:tc>
        <w:tc>
          <w:tcPr>
            <w:tcW w:type="dxa" w:w="3293"/>
            <w:vAlign w:val="center"/>
            <w:shd w:fill="F3F6FA"/>
          </w:tcPr>
          <w:p>
            <w:r/>
            <w:r>
              <w:rPr>
                <w:rFonts w:ascii="Aptos" w:hAnsi="Aptos"/>
                <w:b w:val="0"/>
                <w:sz w:val="15"/>
              </w:rPr>
              <w:t>Improves confidence but does not replace Canadian assessment.</w:t>
            </w:r>
          </w:p>
        </w:tc>
      </w:tr>
      <w:tr>
        <w:tc>
          <w:tcPr>
            <w:tcW w:type="dxa" w:w="3293"/>
            <w:vAlign w:val="center"/>
          </w:tcPr>
          <w:p>
            <w:r/>
            <w:r>
              <w:rPr>
                <w:rFonts w:ascii="Aptos" w:hAnsi="Aptos"/>
                <w:b w:val="0"/>
                <w:sz w:val="15"/>
              </w:rPr>
              <w:t>Emergency service degradation</w:t>
            </w:r>
          </w:p>
        </w:tc>
        <w:tc>
          <w:tcPr>
            <w:tcW w:type="dxa" w:w="3293"/>
            <w:vAlign w:val="center"/>
          </w:tcPr>
          <w:p>
            <w:r/>
            <w:r>
              <w:rPr>
                <w:rFonts w:ascii="Aptos" w:hAnsi="Aptos"/>
                <w:b w:val="0"/>
                <w:sz w:val="15"/>
              </w:rPr>
              <w:t>↑↑</w:t>
            </w:r>
          </w:p>
        </w:tc>
        <w:tc>
          <w:tcPr>
            <w:tcW w:type="dxa" w:w="3293"/>
            <w:vAlign w:val="center"/>
          </w:tcPr>
          <w:p>
            <w:r/>
            <w:r>
              <w:rPr>
                <w:rFonts w:ascii="Aptos" w:hAnsi="Aptos"/>
                <w:b w:val="0"/>
                <w:sz w:val="15"/>
              </w:rPr>
              <w:t>Prioritize continuity and civilian protection immediately.</w:t>
            </w:r>
          </w:p>
        </w:tc>
      </w:tr>
    </w:tbl>
    <w:p>
      <w:pPr>
        <w:pStyle w:val="Heading2"/>
      </w:pPr>
      <w:r>
        <w:t>Use note</w:t>
      </w:r>
    </w:p>
    <w:p>
      <w:r>
        <w:t>This annex is a decision-support instrument, not a substitute for statutory authority, classified operational direction, sector-specific engineering procedures, or professional incident command. Values should be calibrated through exercises and updated after material incidents.</w:t>
      </w:r>
    </w:p>
    <w:p>
      <w:r>
        <w:br w:type="page"/>
      </w:r>
    </w:p>
    <w:p>
      <w:pPr>
        <w:pStyle w:val="Heading1"/>
      </w:pPr>
      <w:r>
        <w:t>ANNEX I — Exercise Programme</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7365D"/>
            <w:vAlign w:val="center"/>
          </w:tcPr>
          <w:p>
            <w:r/>
            <w:r>
              <w:rPr>
                <w:rFonts w:ascii="Aptos" w:hAnsi="Aptos"/>
                <w:b/>
                <w:color w:val="FFFFFF"/>
                <w:sz w:val="16"/>
              </w:rPr>
              <w:t>Cadence</w:t>
            </w:r>
          </w:p>
        </w:tc>
        <w:tc>
          <w:tcPr>
            <w:tcW w:type="dxa" w:w="3293"/>
            <w:shd w:fill="17365D"/>
            <w:vAlign w:val="center"/>
          </w:tcPr>
          <w:p>
            <w:r/>
            <w:r>
              <w:rPr>
                <w:rFonts w:ascii="Aptos" w:hAnsi="Aptos"/>
                <w:b/>
                <w:color w:val="FFFFFF"/>
                <w:sz w:val="16"/>
              </w:rPr>
              <w:t>Exercise</w:t>
            </w:r>
          </w:p>
        </w:tc>
        <w:tc>
          <w:tcPr>
            <w:tcW w:type="dxa" w:w="3293"/>
            <w:shd w:fill="17365D"/>
            <w:vAlign w:val="center"/>
          </w:tcPr>
          <w:p>
            <w:r/>
            <w:r>
              <w:rPr>
                <w:rFonts w:ascii="Aptos" w:hAnsi="Aptos"/>
                <w:b/>
                <w:color w:val="FFFFFF"/>
                <w:sz w:val="16"/>
              </w:rPr>
              <w:t>Focus</w:t>
            </w:r>
          </w:p>
        </w:tc>
      </w:tr>
      <w:tr>
        <w:tc>
          <w:tcPr>
            <w:tcW w:type="dxa" w:w="3293"/>
            <w:vAlign w:val="center"/>
          </w:tcPr>
          <w:p>
            <w:r/>
            <w:r>
              <w:rPr>
                <w:rFonts w:ascii="Aptos" w:hAnsi="Aptos"/>
                <w:b w:val="0"/>
                <w:sz w:val="15"/>
              </w:rPr>
              <w:t>Quarterly</w:t>
            </w:r>
          </w:p>
        </w:tc>
        <w:tc>
          <w:tcPr>
            <w:tcW w:type="dxa" w:w="3293"/>
            <w:vAlign w:val="center"/>
          </w:tcPr>
          <w:p>
            <w:r/>
            <w:r>
              <w:rPr>
                <w:rFonts w:ascii="Aptos" w:hAnsi="Aptos"/>
                <w:b w:val="0"/>
                <w:sz w:val="15"/>
              </w:rPr>
              <w:t>Sector tabletop</w:t>
            </w:r>
          </w:p>
        </w:tc>
        <w:tc>
          <w:tcPr>
            <w:tcW w:type="dxa" w:w="3293"/>
            <w:vAlign w:val="center"/>
          </w:tcPr>
          <w:p>
            <w:r/>
            <w:r>
              <w:rPr>
                <w:rFonts w:ascii="Aptos" w:hAnsi="Aptos"/>
                <w:b w:val="0"/>
                <w:sz w:val="15"/>
              </w:rPr>
              <w:t>Owner-operators + regulators + emergency management.</w:t>
            </w:r>
          </w:p>
        </w:tc>
      </w:tr>
      <w:tr>
        <w:tc>
          <w:tcPr>
            <w:tcW w:type="dxa" w:w="3293"/>
            <w:vAlign w:val="center"/>
            <w:shd w:fill="F3F6FA"/>
          </w:tcPr>
          <w:p>
            <w:r/>
            <w:r>
              <w:rPr>
                <w:rFonts w:ascii="Aptos" w:hAnsi="Aptos"/>
                <w:b w:val="0"/>
                <w:sz w:val="15"/>
              </w:rPr>
              <w:t>Semiannual</w:t>
            </w:r>
          </w:p>
        </w:tc>
        <w:tc>
          <w:tcPr>
            <w:tcW w:type="dxa" w:w="3293"/>
            <w:vAlign w:val="center"/>
            <w:shd w:fill="F3F6FA"/>
          </w:tcPr>
          <w:p>
            <w:r/>
            <w:r>
              <w:rPr>
                <w:rFonts w:ascii="Aptos" w:hAnsi="Aptos"/>
                <w:b w:val="0"/>
                <w:sz w:val="15"/>
              </w:rPr>
              <w:t>Cross-sector cascade</w:t>
            </w:r>
          </w:p>
        </w:tc>
        <w:tc>
          <w:tcPr>
            <w:tcW w:type="dxa" w:w="3293"/>
            <w:vAlign w:val="center"/>
            <w:shd w:fill="F3F6FA"/>
          </w:tcPr>
          <w:p>
            <w:r/>
            <w:r>
              <w:rPr>
                <w:rFonts w:ascii="Aptos" w:hAnsi="Aptos"/>
                <w:b w:val="0"/>
                <w:sz w:val="15"/>
              </w:rPr>
              <w:t>Energy/telecom/finance/transport dependencies.</w:t>
            </w:r>
          </w:p>
        </w:tc>
      </w:tr>
      <w:tr>
        <w:tc>
          <w:tcPr>
            <w:tcW w:type="dxa" w:w="3293"/>
            <w:vAlign w:val="center"/>
          </w:tcPr>
          <w:p>
            <w:r/>
            <w:r>
              <w:rPr>
                <w:rFonts w:ascii="Aptos" w:hAnsi="Aptos"/>
                <w:b w:val="0"/>
                <w:sz w:val="15"/>
              </w:rPr>
              <w:t>Annual</w:t>
            </w:r>
          </w:p>
        </w:tc>
        <w:tc>
          <w:tcPr>
            <w:tcW w:type="dxa" w:w="3293"/>
            <w:vAlign w:val="center"/>
          </w:tcPr>
          <w:p>
            <w:r/>
            <w:r>
              <w:rPr>
                <w:rFonts w:ascii="Aptos" w:hAnsi="Aptos"/>
                <w:b w:val="0"/>
                <w:sz w:val="15"/>
              </w:rPr>
              <w:t>National gray-zone exercise</w:t>
            </w:r>
          </w:p>
        </w:tc>
        <w:tc>
          <w:tcPr>
            <w:tcW w:type="dxa" w:w="3293"/>
            <w:vAlign w:val="center"/>
          </w:tcPr>
          <w:p>
            <w:r/>
            <w:r>
              <w:rPr>
                <w:rFonts w:ascii="Aptos" w:hAnsi="Aptos"/>
                <w:b w:val="0"/>
                <w:sz w:val="15"/>
              </w:rPr>
              <w:t>Cabinet-level decisions, attribution challenge and public communications.</w:t>
            </w:r>
          </w:p>
        </w:tc>
      </w:tr>
      <w:tr>
        <w:tc>
          <w:tcPr>
            <w:tcW w:type="dxa" w:w="3293"/>
            <w:vAlign w:val="center"/>
            <w:shd w:fill="F3F6FA"/>
          </w:tcPr>
          <w:p>
            <w:r/>
            <w:r>
              <w:rPr>
                <w:rFonts w:ascii="Aptos" w:hAnsi="Aptos"/>
                <w:b w:val="0"/>
                <w:sz w:val="15"/>
              </w:rPr>
              <w:t>Biennial</w:t>
            </w:r>
          </w:p>
        </w:tc>
        <w:tc>
          <w:tcPr>
            <w:tcW w:type="dxa" w:w="3293"/>
            <w:vAlign w:val="center"/>
            <w:shd w:fill="F3F6FA"/>
          </w:tcPr>
          <w:p>
            <w:r/>
            <w:r>
              <w:rPr>
                <w:rFonts w:ascii="Aptos" w:hAnsi="Aptos"/>
                <w:b w:val="0"/>
                <w:sz w:val="15"/>
              </w:rPr>
              <w:t>Continental continuity exercise</w:t>
            </w:r>
          </w:p>
        </w:tc>
        <w:tc>
          <w:tcPr>
            <w:tcW w:type="dxa" w:w="3293"/>
            <w:vAlign w:val="center"/>
            <w:shd w:fill="F3F6FA"/>
          </w:tcPr>
          <w:p>
            <w:r/>
            <w:r>
              <w:rPr>
                <w:rFonts w:ascii="Aptos" w:hAnsi="Aptos"/>
                <w:b w:val="0"/>
                <w:sz w:val="15"/>
              </w:rPr>
              <w:t>Cross-border restoration and no-surprise coordination.</w:t>
            </w:r>
          </w:p>
        </w:tc>
      </w:tr>
      <w:tr>
        <w:tc>
          <w:tcPr>
            <w:tcW w:type="dxa" w:w="3293"/>
            <w:vAlign w:val="center"/>
          </w:tcPr>
          <w:p>
            <w:r/>
            <w:r>
              <w:rPr>
                <w:rFonts w:ascii="Aptos" w:hAnsi="Aptos"/>
                <w:b w:val="0"/>
                <w:sz w:val="15"/>
              </w:rPr>
              <w:t>After incident</w:t>
            </w:r>
          </w:p>
        </w:tc>
        <w:tc>
          <w:tcPr>
            <w:tcW w:type="dxa" w:w="3293"/>
            <w:vAlign w:val="center"/>
          </w:tcPr>
          <w:p>
            <w:r/>
            <w:r>
              <w:rPr>
                <w:rFonts w:ascii="Aptos" w:hAnsi="Aptos"/>
                <w:b w:val="0"/>
                <w:sz w:val="15"/>
              </w:rPr>
              <w:t>Lessons-learned drill</w:t>
            </w:r>
          </w:p>
        </w:tc>
        <w:tc>
          <w:tcPr>
            <w:tcW w:type="dxa" w:w="3293"/>
            <w:vAlign w:val="center"/>
          </w:tcPr>
          <w:p>
            <w:r/>
            <w:r>
              <w:rPr>
                <w:rFonts w:ascii="Aptos" w:hAnsi="Aptos"/>
                <w:b w:val="0"/>
                <w:sz w:val="15"/>
              </w:rPr>
              <w:t>Validate corrective actions and institutional memory.</w:t>
            </w:r>
          </w:p>
        </w:tc>
      </w:tr>
    </w:tbl>
    <w:p>
      <w:pPr>
        <w:pStyle w:val="Heading2"/>
      </w:pPr>
      <w:r>
        <w:t>Use note</w:t>
      </w:r>
    </w:p>
    <w:p>
      <w:r>
        <w:t>This annex is a decision-support instrument, not a substitute for statutory authority, classified operational direction, sector-specific engineering procedures, or professional incident command. Values should be calibrated through exercises and updated after material incidents.</w:t>
      </w:r>
    </w:p>
    <w:p>
      <w:r>
        <w:br w:type="page"/>
      </w:r>
    </w:p>
    <w:p>
      <w:pPr>
        <w:pStyle w:val="Heading1"/>
      </w:pPr>
      <w:r>
        <w:t>ANNEX J — Implementation Scorecard</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7365D"/>
            <w:vAlign w:val="center"/>
          </w:tcPr>
          <w:p>
            <w:r/>
            <w:r>
              <w:rPr>
                <w:rFonts w:ascii="Aptos" w:hAnsi="Aptos"/>
                <w:b/>
                <w:color w:val="FFFFFF"/>
                <w:sz w:val="16"/>
              </w:rPr>
              <w:t>Window</w:t>
            </w:r>
          </w:p>
        </w:tc>
        <w:tc>
          <w:tcPr>
            <w:tcW w:type="dxa" w:w="3293"/>
            <w:shd w:fill="17365D"/>
            <w:vAlign w:val="center"/>
          </w:tcPr>
          <w:p>
            <w:r/>
            <w:r>
              <w:rPr>
                <w:rFonts w:ascii="Aptos" w:hAnsi="Aptos"/>
                <w:b/>
                <w:color w:val="FFFFFF"/>
                <w:sz w:val="16"/>
              </w:rPr>
              <w:t>Workstream</w:t>
            </w:r>
          </w:p>
        </w:tc>
        <w:tc>
          <w:tcPr>
            <w:tcW w:type="dxa" w:w="3293"/>
            <w:shd w:fill="17365D"/>
            <w:vAlign w:val="center"/>
          </w:tcPr>
          <w:p>
            <w:r/>
            <w:r>
              <w:rPr>
                <w:rFonts w:ascii="Aptos" w:hAnsi="Aptos"/>
                <w:b/>
                <w:color w:val="FFFFFF"/>
                <w:sz w:val="16"/>
              </w:rPr>
              <w:t>Deliverable</w:t>
            </w:r>
          </w:p>
        </w:tc>
      </w:tr>
      <w:tr>
        <w:tc>
          <w:tcPr>
            <w:tcW w:type="dxa" w:w="3293"/>
            <w:vAlign w:val="center"/>
          </w:tcPr>
          <w:p>
            <w:r/>
            <w:r>
              <w:rPr>
                <w:rFonts w:ascii="Aptos" w:hAnsi="Aptos"/>
                <w:b w:val="0"/>
                <w:sz w:val="15"/>
              </w:rPr>
              <w:t>0–90 days</w:t>
            </w:r>
          </w:p>
        </w:tc>
        <w:tc>
          <w:tcPr>
            <w:tcW w:type="dxa" w:w="3293"/>
            <w:vAlign w:val="center"/>
          </w:tcPr>
          <w:p>
            <w:r/>
            <w:r>
              <w:rPr>
                <w:rFonts w:ascii="Aptos" w:hAnsi="Aptos"/>
                <w:b w:val="0"/>
                <w:sz w:val="15"/>
              </w:rPr>
              <w:t>Governance</w:t>
            </w:r>
          </w:p>
        </w:tc>
        <w:tc>
          <w:tcPr>
            <w:tcW w:type="dxa" w:w="3293"/>
            <w:vAlign w:val="center"/>
          </w:tcPr>
          <w:p>
            <w:r/>
            <w:r>
              <w:rPr>
                <w:rFonts w:ascii="Aptos" w:hAnsi="Aptos"/>
                <w:b w:val="0"/>
                <w:sz w:val="15"/>
              </w:rPr>
              <w:t>Designate leads; adopt classification and attribution templates.</w:t>
            </w:r>
          </w:p>
        </w:tc>
      </w:tr>
      <w:tr>
        <w:tc>
          <w:tcPr>
            <w:tcW w:type="dxa" w:w="3293"/>
            <w:vAlign w:val="center"/>
            <w:shd w:fill="F3F6FA"/>
          </w:tcPr>
          <w:p>
            <w:r/>
            <w:r>
              <w:rPr>
                <w:rFonts w:ascii="Aptos" w:hAnsi="Aptos"/>
                <w:b w:val="0"/>
                <w:sz w:val="15"/>
              </w:rPr>
              <w:t>3–6 months</w:t>
            </w:r>
          </w:p>
        </w:tc>
        <w:tc>
          <w:tcPr>
            <w:tcW w:type="dxa" w:w="3293"/>
            <w:vAlign w:val="center"/>
            <w:shd w:fill="F3F6FA"/>
          </w:tcPr>
          <w:p>
            <w:r/>
            <w:r>
              <w:rPr>
                <w:rFonts w:ascii="Aptos" w:hAnsi="Aptos"/>
                <w:b w:val="0"/>
                <w:sz w:val="15"/>
              </w:rPr>
              <w:t>Mapping</w:t>
            </w:r>
          </w:p>
        </w:tc>
        <w:tc>
          <w:tcPr>
            <w:tcW w:type="dxa" w:w="3293"/>
            <w:vAlign w:val="center"/>
            <w:shd w:fill="F3F6FA"/>
          </w:tcPr>
          <w:p>
            <w:r/>
            <w:r>
              <w:rPr>
                <w:rFonts w:ascii="Aptos" w:hAnsi="Aptos"/>
                <w:b w:val="0"/>
                <w:sz w:val="15"/>
              </w:rPr>
              <w:t>Complete priority dependency and strategic-spares mapping.</w:t>
            </w:r>
          </w:p>
        </w:tc>
      </w:tr>
      <w:tr>
        <w:tc>
          <w:tcPr>
            <w:tcW w:type="dxa" w:w="3293"/>
            <w:vAlign w:val="center"/>
          </w:tcPr>
          <w:p>
            <w:r/>
            <w:r>
              <w:rPr>
                <w:rFonts w:ascii="Aptos" w:hAnsi="Aptos"/>
                <w:b w:val="0"/>
                <w:sz w:val="15"/>
              </w:rPr>
              <w:t>6–12 months</w:t>
            </w:r>
          </w:p>
        </w:tc>
        <w:tc>
          <w:tcPr>
            <w:tcW w:type="dxa" w:w="3293"/>
            <w:vAlign w:val="center"/>
          </w:tcPr>
          <w:p>
            <w:r/>
            <w:r>
              <w:rPr>
                <w:rFonts w:ascii="Aptos" w:hAnsi="Aptos"/>
                <w:b w:val="0"/>
                <w:sz w:val="15"/>
              </w:rPr>
              <w:t>Exercises</w:t>
            </w:r>
          </w:p>
        </w:tc>
        <w:tc>
          <w:tcPr>
            <w:tcW w:type="dxa" w:w="3293"/>
            <w:vAlign w:val="center"/>
          </w:tcPr>
          <w:p>
            <w:r/>
            <w:r>
              <w:rPr>
                <w:rFonts w:ascii="Aptos" w:hAnsi="Aptos"/>
                <w:b w:val="0"/>
                <w:sz w:val="15"/>
              </w:rPr>
              <w:t>Run sector and cross-sector exercises; close highest risks.</w:t>
            </w:r>
          </w:p>
        </w:tc>
      </w:tr>
      <w:tr>
        <w:tc>
          <w:tcPr>
            <w:tcW w:type="dxa" w:w="3293"/>
            <w:vAlign w:val="center"/>
            <w:shd w:fill="F3F6FA"/>
          </w:tcPr>
          <w:p>
            <w:r/>
            <w:r>
              <w:rPr>
                <w:rFonts w:ascii="Aptos" w:hAnsi="Aptos"/>
                <w:b w:val="0"/>
                <w:sz w:val="15"/>
              </w:rPr>
              <w:t>12–18 months</w:t>
            </w:r>
          </w:p>
        </w:tc>
        <w:tc>
          <w:tcPr>
            <w:tcW w:type="dxa" w:w="3293"/>
            <w:vAlign w:val="center"/>
            <w:shd w:fill="F3F6FA"/>
          </w:tcPr>
          <w:p>
            <w:r/>
            <w:r>
              <w:rPr>
                <w:rFonts w:ascii="Aptos" w:hAnsi="Aptos"/>
                <w:b w:val="0"/>
                <w:sz w:val="15"/>
              </w:rPr>
              <w:t>Integration</w:t>
            </w:r>
          </w:p>
        </w:tc>
        <w:tc>
          <w:tcPr>
            <w:tcW w:type="dxa" w:w="3293"/>
            <w:vAlign w:val="center"/>
            <w:shd w:fill="F3F6FA"/>
          </w:tcPr>
          <w:p>
            <w:r/>
            <w:r>
              <w:rPr>
                <w:rFonts w:ascii="Aptos" w:hAnsi="Aptos"/>
                <w:b w:val="0"/>
                <w:sz w:val="15"/>
              </w:rPr>
              <w:t>Link provincial, Indigenous, municipal and owner-operator plans.</w:t>
            </w:r>
          </w:p>
        </w:tc>
      </w:tr>
      <w:tr>
        <w:tc>
          <w:tcPr>
            <w:tcW w:type="dxa" w:w="3293"/>
            <w:vAlign w:val="center"/>
          </w:tcPr>
          <w:p>
            <w:r/>
            <w:r>
              <w:rPr>
                <w:rFonts w:ascii="Aptos" w:hAnsi="Aptos"/>
                <w:b w:val="0"/>
                <w:sz w:val="15"/>
              </w:rPr>
              <w:t>18–24 months</w:t>
            </w:r>
          </w:p>
        </w:tc>
        <w:tc>
          <w:tcPr>
            <w:tcW w:type="dxa" w:w="3293"/>
            <w:vAlign w:val="center"/>
          </w:tcPr>
          <w:p>
            <w:r/>
            <w:r>
              <w:rPr>
                <w:rFonts w:ascii="Aptos" w:hAnsi="Aptos"/>
                <w:b w:val="0"/>
                <w:sz w:val="15"/>
              </w:rPr>
              <w:t>Validation</w:t>
            </w:r>
          </w:p>
        </w:tc>
        <w:tc>
          <w:tcPr>
            <w:tcW w:type="dxa" w:w="3293"/>
            <w:vAlign w:val="center"/>
          </w:tcPr>
          <w:p>
            <w:r/>
            <w:r>
              <w:rPr>
                <w:rFonts w:ascii="Aptos" w:hAnsi="Aptos"/>
                <w:b w:val="0"/>
                <w:sz w:val="15"/>
              </w:rPr>
              <w:t>National exercise, independent review and protocol revision.</w:t>
            </w:r>
          </w:p>
        </w:tc>
      </w:tr>
    </w:tbl>
    <w:p>
      <w:pPr>
        <w:pStyle w:val="Heading2"/>
      </w:pPr>
      <w:r>
        <w:t>Use note</w:t>
      </w:r>
    </w:p>
    <w:p>
      <w:r>
        <w:t>This annex is a decision-support instrument, not a substitute for statutory authority, classified operational direction, sector-specific engineering procedures, or professional incident command. Values should be calibrated through exercises and updated after material incidents.</w:t>
      </w:r>
    </w:p>
    <w:p>
      <w:r>
        <w:br w:type="page"/>
      </w:r>
    </w:p>
    <w:p>
      <w:pPr>
        <w:pStyle w:val="Heading1"/>
      </w:pPr>
      <w:r>
        <w:t>Selected Canadian Policy and Legal Alignment Notes</w:t>
      </w:r>
    </w:p>
    <w:p>
      <w:r>
        <w:t>This concept was structured to complement the Government of Canada’s contemporary cyber-resilience direction. The 2025 National Cyber Security Strategy emphasizes whole-of-society partnerships, protection of critical infrastructure, faster information sharing, deterrence and rules-based behaviour. The 2026 Critical Cyber Systems Protection Act framework strengthens obligations in federally regulated critical sectors. The Canadian Centre for Cyber Security’s 2026 CIREN initiative specifically encourages severe-incident planning, including extended isolation, independent operation and rebuilding. Existing federal cyber-event management and continuity arrangements remain the operational foundation on which this Protocol would sit.</w:t>
      </w:r>
    </w:p>
    <w:p>
      <w:pPr>
        <w:pStyle w:val="ListNumber"/>
        <w:spacing w:after="40"/>
      </w:pPr>
      <w:r>
        <w:t>Public Safety Canada. Canada’s National Cyber Security Strategy: Securing Canada’s Digital Future (2025).</w:t>
      </w:r>
    </w:p>
    <w:p>
      <w:pPr>
        <w:pStyle w:val="ListNumber"/>
        <w:spacing w:after="40"/>
      </w:pPr>
      <w:r>
        <w:t>Public Safety Canada. Federal Cyber Incident Response Plan (2023).</w:t>
      </w:r>
    </w:p>
    <w:p>
      <w:pPr>
        <w:pStyle w:val="ListNumber"/>
        <w:spacing w:after="40"/>
      </w:pPr>
      <w:r>
        <w:t>Treasury Board of Canada Secretariat. Government of Canada Cyber Security Event Management Plan (current framework).</w:t>
      </w:r>
    </w:p>
    <w:p>
      <w:pPr>
        <w:pStyle w:val="ListNumber"/>
        <w:spacing w:after="40"/>
      </w:pPr>
      <w:r>
        <w:t>Communications Security Establishment / Canadian Centre for Cyber Security. Critical Infrastructure Resilience and Escalated Threat Navigation (CIREN) initiative (2026).</w:t>
      </w:r>
    </w:p>
    <w:p>
      <w:pPr>
        <w:pStyle w:val="ListNumber"/>
        <w:spacing w:after="40"/>
      </w:pPr>
      <w:r>
        <w:t>Parliament of Canada / Government of Canada. An Act Respecting Cyber Security (Bill C-8), including the Critical Cyber Systems Protection Act framework, Royal Assent 2026.</w:t>
      </w:r>
    </w:p>
    <w:p>
      <w:pPr>
        <w:pStyle w:val="ListNumber"/>
        <w:spacing w:after="40"/>
      </w:pPr>
      <w:r>
        <w:t>Canadian Security Intelligence Service. Hybrid Methods in the Grey Zone: Cyber Risks to Critical Infrastructure.</w:t>
      </w:r>
    </w:p>
    <w:p>
      <w:pPr>
        <w:pStyle w:val="Heading2"/>
      </w:pPr>
      <w:r>
        <w:t>Drafting note</w:t>
      </w:r>
    </w:p>
    <w:p>
      <w:r>
        <w:t>The Protocol intentionally avoids specifying offensive techniques, exploitable vulnerabilities, targetable network topology or automated retaliatory mechanisms. Any future classified annex dealing with active cyber capabilities should be separately authorized, compartmented, legally reviewed and governed by applicable Canadian authorities.</w:t>
      </w:r>
    </w:p>
    <w:p>
      <w:r>
        <w:br w:type="page"/>
      </w:r>
    </w:p>
    <w:p>
      <w:pPr>
        <w:pStyle w:val="Heading1"/>
      </w:pPr>
      <w:r>
        <w:t>Conclusion — Resilience Without an Escalation Machine</w:t>
      </w:r>
    </w:p>
    <w:p>
      <w:r>
        <w:t>Canada’s strongest answer to gray-zone coercion is not to become easier to provoke. It is to become harder to coerce. A state that can keep the lights on, move food and medicine, clear payments, communicate with the public, preserve evidence, coordinate across jurisdictions and make deliberate decisions under pressure deprives ambiguity of much of its strategic value.</w:t>
      </w:r>
    </w:p>
    <w:p>
      <w:r>
        <w:t>This Protocol therefore treats continuity as deterrence, attribution discipline as escalation control, federalism as a resilience asset, and lawful proportionality as a source of strategic legitimacy. It leaves room for consequences when consequences are necessary, but refuses to make disruption itself the organizing principle of national policy.</w:t>
      </w:r>
    </w:p>
    <w:p>
      <w:r>
        <w:t>The desired end state after any incident is not merely technical recovery. It is restored essential service, preserved Canadian decision freedom, credible accountability, reduced recurrence risk, and a stable path out of crisis.</w:t>
      </w:r>
    </w:p>
    <w:p>
      <w:pPr>
        <w:jc w:val="center"/>
      </w:pPr>
      <w:r>
        <w:rPr>
          <w:b/>
          <w:color w:val="17365D"/>
          <w:sz w:val="24"/>
        </w:rPr>
        <w:t>END OF PROTOCOL</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4"/>
      </w:rPr>
      <w:t>CANADIAN GRAY-ZONE ECONOMIC COERCION &amp; CRITICAL INFRASTRUCTURE CONTINUITY PROTOCOL  |  CONCEPT DRAFT</w:t>
    </w:r>
    <w:r>
      <w:t xml:space="preserv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Lead">
    <w:name w:val="Protocol Lead"/>
    <w:pPr>
      <w:spacing w:after="100"/>
    </w:pPr>
    <w:rPr>
      <w:rFonts w:ascii="Aptos" w:hAnsi="Aptos"/>
      <w:b/>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Canadian Gray-Zone Economic Coercion and Critical Infrastructure Continuity Protocol</dc:title>
  <dc:subject>Concept policy protocol for resilience, attribution, continuity, lawful response and de-escalation</dc:subject>
  <dc:creator>Concept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