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p>
    <w:p>
      <w:pPr>
        <w:spacing w:after="300"/>
        <w:jc w:val="center"/>
      </w:pPr>
      <w:r>
        <w:rPr>
          <w:rFonts w:ascii="Calibri" w:cs="Calibri" w:eastAsia="Calibri" w:hAnsi="Calibri"/>
          <w:b/>
          <w:bCs/>
          <w:color w:val="0B3D91"/>
          <w:sz w:val="52"/>
          <w:szCs w:val="52"/>
        </w:rPr>
        <w:t xml:space="preserve">THE PLASTICS TARIFF HARMONIZATION AND IMPLEMENTATION AGREEMENT</w:t>
      </w:r>
    </w:p>
    <w:p>
      <w:pPr>
        <w:spacing w:after="520"/>
        <w:jc w:val="center"/>
      </w:pPr>
      <w:r>
        <w:rPr>
          <w:rFonts w:ascii="Calibri" w:cs="Calibri" w:eastAsia="Calibri" w:hAnsi="Calibri"/>
          <w:i/>
          <w:iCs/>
          <w:color w:val="1F5FA8"/>
          <w:sz w:val="27"/>
          <w:szCs w:val="27"/>
        </w:rPr>
        <w:t xml:space="preserve">A Coordinated Framework for Retaliatory Tariff Measures on United States Plastics Exports</w:t>
      </w:r>
    </w:p>
    <w:p>
      <w:pPr>
        <w:pBdr>
          <w:bottom w:val="single" w:color="1F5FA8" w:sz="6" w:space="1"/>
        </w:pBdr>
        <w:spacing w:after="520"/>
        <w:ind w:left="2400" w:right="2400"/>
        <w:jc w:val="center"/>
      </w:pPr>
    </w:p>
    <w:p>
      <w:pPr>
        <w:spacing w:after="160"/>
        <w:jc w:val="center"/>
      </w:pPr>
      <w:r>
        <w:rPr>
          <w:rFonts w:ascii="Calibri" w:cs="Calibri" w:eastAsia="Calibri" w:hAnsi="Calibri"/>
          <w:sz w:val="24"/>
          <w:szCs w:val="24"/>
        </w:rPr>
        <w:t xml:space="preserve">Version 1.0  ·  August 2026</w:t>
      </w:r>
    </w:p>
    <w:p>
      <w:pPr>
        <w:spacing w:after="160"/>
        <w:jc w:val="center"/>
      </w:pPr>
      <w:r>
        <w:rPr>
          <w:rFonts w:ascii="Calibri" w:cs="Calibri" w:eastAsia="Calibri" w:hAnsi="Calibri"/>
          <w:color w:val="1F5FA8"/>
          <w:sz w:val="22"/>
          <w:szCs w:val="22"/>
        </w:rPr>
        <w:t xml:space="preserve">Framework Instrument for Signature and Ratification</w:t>
      </w:r>
    </w:p>
    <w:p>
      <w:pPr>
        <w:spacing w:after="2600"/>
        <w:jc w:val="center"/>
      </w:pPr>
      <w:r>
        <w:rPr>
          <w:rFonts w:ascii="Calibri" w:cs="Calibri" w:eastAsia="Calibri" w:hAnsi="Calibri"/>
          <w:i/>
          <w:iCs/>
          <w:color w:val="5B84C4"/>
          <w:sz w:val="20"/>
          <w:szCs w:val="20"/>
        </w:rPr>
        <w:t xml:space="preserve">Drafted in accordance with the Immutable Present-Tense Matrix</w:t>
      </w:r>
    </w:p>
    <w:p>
      <w:pPr>
        <w:spacing w:after="160"/>
        <w:jc w:val="center"/>
      </w:pPr>
      <w:r>
        <w:rPr>
          <w:rFonts w:ascii="Calibri" w:cs="Calibri" w:eastAsia="Calibri" w:hAnsi="Calibri"/>
          <w:b/>
          <w:bCs/>
          <w:color w:val="0B3D91"/>
          <w:sz w:val="22"/>
          <w:szCs w:val="22"/>
        </w:rPr>
        <w:t xml:space="preserve">Canada, Lead Nation and Depositary</w:t>
      </w:r>
    </w:p>
    <w:p>
      <w:pPr>
        <w:spacing w:after="160"/>
        <w:jc w:val="center"/>
      </w:pPr>
      <w:r>
        <w:rPr>
          <w:rFonts w:ascii="Calibri" w:cs="Calibri" w:eastAsia="Calibri" w:hAnsi="Calibri"/>
          <w:color w:val="1F5FA8"/>
          <w:sz w:val="20"/>
          <w:szCs w:val="20"/>
        </w:rPr>
        <w:t xml:space="preserve">with an open accession pathway for the coalition membership specified in Annex A</w:t>
      </w:r>
    </w:p>
    <w:p>
      <w:r>
        <w:br w:type="page"/>
      </w:r>
    </w:p>
    <w:p>
      <w:pPr>
        <w:sectPr>
          <w:pgSz w:w="11906" w:h="16838" w:orient="portrait"/>
          <w:pgMar w:top="1134" w:right="1134" w:bottom="1134" w:left="1134" w:header="720" w:footer="720" w:gutter="0"/>
          <w:pgBorders>
            <w:top w:val="double" w:color="0B3D91" w:sz="6" w:space="20"/>
            <w:left w:val="double" w:color="0B3D91" w:sz="6" w:space="20"/>
            <w:bottom w:val="double" w:color="0B3D91" w:sz="6" w:space="20"/>
            <w:right w:val="double" w:color="0B3D91" w:sz="6" w:space="20"/>
          </w:pgBorders>
          <w:pgNumType/>
          <w:docGrid w:linePitch="360"/>
        </w:sectPr>
      </w:pPr>
    </w:p>
    <w:p>
      <w:pPr>
        <w:spacing w:after="320" w:before="200"/>
      </w:pPr>
      <w:r>
        <w:rPr>
          <w:rFonts w:ascii="Calibri" w:cs="Calibri" w:eastAsia="Calibri" w:hAnsi="Calibri"/>
          <w:b/>
          <w:bCs/>
          <w:color w:val="0B3D91"/>
          <w:sz w:val="32"/>
          <w:szCs w:val="32"/>
        </w:rPr>
        <w:t xml:space="preserve">DOCUMENT CONTROL</w:t>
      </w:r>
    </w:p>
    <w:tbl>
      <w:tblPr>
        <w:tblW w:type="dxa" w:w="9350"/>
        <w:tblBorders>
          <w:top w:val="single" w:color="AAB9D6" w:sz="4"/>
          <w:left w:val="single" w:color="AAB9D6" w:sz="4"/>
          <w:bottom w:val="single" w:color="AAB9D6" w:sz="4"/>
          <w:right w:val="single" w:color="AAB9D6" w:sz="4"/>
          <w:insideH w:val="single" w:color="D3DCEE" w:sz="2"/>
          <w:insideV w:val="single" w:color="D3DCEE" w:sz="2"/>
        </w:tblBorders>
      </w:tblPr>
      <w:tblGrid>
        <w:gridCol w:w="3100"/>
        <w:gridCol w:w="6250"/>
      </w:tblGrid>
      <w:tr>
        <w:tc>
          <w:tcPr>
            <w:tcW w:type="dxa" w:w="3100"/>
            <w:shd w:fill="DCE6F5" w:color="auto" w:val="clear"/>
            <w:tcMar>
              <w:top w:type="dxa" w:w="100"/>
              <w:left w:type="dxa" w:w="120"/>
              <w:bottom w:type="dxa" w:w="100"/>
              <w:right w:type="dxa" w:w="120"/>
            </w:tcMar>
          </w:tcPr>
          <w:p>
            <w:r>
              <w:rPr>
                <w:rFonts w:ascii="Calibri" w:cs="Calibri" w:eastAsia="Calibri" w:hAnsi="Calibri"/>
                <w:b/>
                <w:bCs/>
                <w:color w:val="0B3D91"/>
                <w:sz w:val="22"/>
                <w:szCs w:val="22"/>
              </w:rPr>
              <w:t xml:space="preserve">Document Title</w:t>
            </w:r>
          </w:p>
        </w:tc>
        <w:tc>
          <w:tcPr>
            <w:tcW w:type="dxa" w:w="6250"/>
            <w:tcMar>
              <w:top w:type="dxa" w:w="100"/>
              <w:left w:type="dxa" w:w="120"/>
              <w:bottom w:type="dxa" w:w="100"/>
              <w:right w:type="dxa" w:w="120"/>
            </w:tcMar>
          </w:tcPr>
          <w:p>
            <w:r>
              <w:rPr>
                <w:rFonts w:ascii="Calibri" w:cs="Calibri" w:eastAsia="Calibri" w:hAnsi="Calibri"/>
                <w:color w:val="1A1A1A"/>
                <w:sz w:val="22"/>
                <w:szCs w:val="22"/>
              </w:rPr>
              <w:t xml:space="preserve">The Plastics Tariff Harmonization and Implementation Agreement</w:t>
            </w:r>
          </w:p>
        </w:tc>
      </w:tr>
      <w:tr>
        <w:tc>
          <w:tcPr>
            <w:tcW w:type="dxa" w:w="3100"/>
            <w:shd w:fill="DCE6F5" w:color="auto" w:val="clear"/>
            <w:tcMar>
              <w:top w:type="dxa" w:w="100"/>
              <w:left w:type="dxa" w:w="120"/>
              <w:bottom w:type="dxa" w:w="100"/>
              <w:right w:type="dxa" w:w="120"/>
            </w:tcMar>
          </w:tcPr>
          <w:p>
            <w:r>
              <w:rPr>
                <w:rFonts w:ascii="Calibri" w:cs="Calibri" w:eastAsia="Calibri" w:hAnsi="Calibri"/>
                <w:b/>
                <w:bCs/>
                <w:color w:val="0B3D91"/>
                <w:sz w:val="22"/>
                <w:szCs w:val="22"/>
              </w:rPr>
              <w:t xml:space="preserve">Version</w:t>
            </w:r>
          </w:p>
        </w:tc>
        <w:tc>
          <w:tcPr>
            <w:tcW w:type="dxa" w:w="6250"/>
            <w:tcMar>
              <w:top w:type="dxa" w:w="100"/>
              <w:left w:type="dxa" w:w="120"/>
              <w:bottom w:type="dxa" w:w="100"/>
              <w:right w:type="dxa" w:w="120"/>
            </w:tcMar>
          </w:tcPr>
          <w:p>
            <w:r>
              <w:rPr>
                <w:rFonts w:ascii="Calibri" w:cs="Calibri" w:eastAsia="Calibri" w:hAnsi="Calibri"/>
                <w:color w:val="1A1A1A"/>
                <w:sz w:val="22"/>
                <w:szCs w:val="22"/>
              </w:rPr>
              <w:t xml:space="preserve">1.0</w:t>
            </w:r>
          </w:p>
        </w:tc>
      </w:tr>
      <w:tr>
        <w:tc>
          <w:tcPr>
            <w:tcW w:type="dxa" w:w="3100"/>
            <w:shd w:fill="DCE6F5" w:color="auto" w:val="clear"/>
            <w:tcMar>
              <w:top w:type="dxa" w:w="100"/>
              <w:left w:type="dxa" w:w="120"/>
              <w:bottom w:type="dxa" w:w="100"/>
              <w:right w:type="dxa" w:w="120"/>
            </w:tcMar>
          </w:tcPr>
          <w:p>
            <w:r>
              <w:rPr>
                <w:rFonts w:ascii="Calibri" w:cs="Calibri" w:eastAsia="Calibri" w:hAnsi="Calibri"/>
                <w:b/>
                <w:bCs/>
                <w:color w:val="0B3D91"/>
                <w:sz w:val="22"/>
                <w:szCs w:val="22"/>
              </w:rPr>
              <w:t xml:space="preserve">Status</w:t>
            </w:r>
          </w:p>
        </w:tc>
        <w:tc>
          <w:tcPr>
            <w:tcW w:type="dxa" w:w="6250"/>
            <w:tcMar>
              <w:top w:type="dxa" w:w="100"/>
              <w:left w:type="dxa" w:w="120"/>
              <w:bottom w:type="dxa" w:w="100"/>
              <w:right w:type="dxa" w:w="120"/>
            </w:tcMar>
          </w:tcPr>
          <w:p>
            <w:r>
              <w:rPr>
                <w:rFonts w:ascii="Calibri" w:cs="Calibri" w:eastAsia="Calibri" w:hAnsi="Calibri"/>
                <w:color w:val="1A1A1A"/>
                <w:sz w:val="22"/>
                <w:szCs w:val="22"/>
              </w:rPr>
              <w:t xml:space="preserve">Framework Instrument for Signature and Ratification</w:t>
            </w:r>
          </w:p>
        </w:tc>
      </w:tr>
      <w:tr>
        <w:tc>
          <w:tcPr>
            <w:tcW w:type="dxa" w:w="3100"/>
            <w:shd w:fill="DCE6F5" w:color="auto" w:val="clear"/>
            <w:tcMar>
              <w:top w:type="dxa" w:w="100"/>
              <w:left w:type="dxa" w:w="120"/>
              <w:bottom w:type="dxa" w:w="100"/>
              <w:right w:type="dxa" w:w="120"/>
            </w:tcMar>
          </w:tcPr>
          <w:p>
            <w:r>
              <w:rPr>
                <w:rFonts w:ascii="Calibri" w:cs="Calibri" w:eastAsia="Calibri" w:hAnsi="Calibri"/>
                <w:b/>
                <w:bCs/>
                <w:color w:val="0B3D91"/>
                <w:sz w:val="22"/>
                <w:szCs w:val="22"/>
              </w:rPr>
              <w:t xml:space="preserve">Lead Nation and Depositary</w:t>
            </w:r>
          </w:p>
        </w:tc>
        <w:tc>
          <w:tcPr>
            <w:tcW w:type="dxa" w:w="6250"/>
            <w:tcMar>
              <w:top w:type="dxa" w:w="100"/>
              <w:left w:type="dxa" w:w="120"/>
              <w:bottom w:type="dxa" w:w="100"/>
              <w:right w:type="dxa" w:w="120"/>
            </w:tcMar>
          </w:tcPr>
          <w:p>
            <w:r>
              <w:rPr>
                <w:rFonts w:ascii="Calibri" w:cs="Calibri" w:eastAsia="Calibri" w:hAnsi="Calibri"/>
                <w:color w:val="1A1A1A"/>
                <w:sz w:val="22"/>
                <w:szCs w:val="22"/>
              </w:rPr>
              <w:t xml:space="preserve">Canada</w:t>
            </w:r>
          </w:p>
        </w:tc>
      </w:tr>
      <w:tr>
        <w:tc>
          <w:tcPr>
            <w:tcW w:type="dxa" w:w="3100"/>
            <w:shd w:fill="DCE6F5" w:color="auto" w:val="clear"/>
            <w:tcMar>
              <w:top w:type="dxa" w:w="100"/>
              <w:left w:type="dxa" w:w="120"/>
              <w:bottom w:type="dxa" w:w="100"/>
              <w:right w:type="dxa" w:w="120"/>
            </w:tcMar>
          </w:tcPr>
          <w:p>
            <w:r>
              <w:rPr>
                <w:rFonts w:ascii="Calibri" w:cs="Calibri" w:eastAsia="Calibri" w:hAnsi="Calibri"/>
                <w:b/>
                <w:bCs/>
                <w:color w:val="0B3D91"/>
                <w:sz w:val="22"/>
                <w:szCs w:val="22"/>
              </w:rPr>
              <w:t xml:space="preserve">Date</w:t>
            </w:r>
          </w:p>
        </w:tc>
        <w:tc>
          <w:tcPr>
            <w:tcW w:type="dxa" w:w="6250"/>
            <w:tcMar>
              <w:top w:type="dxa" w:w="100"/>
              <w:left w:type="dxa" w:w="120"/>
              <w:bottom w:type="dxa" w:w="100"/>
              <w:right w:type="dxa" w:w="120"/>
            </w:tcMar>
          </w:tcPr>
          <w:p>
            <w:r>
              <w:rPr>
                <w:rFonts w:ascii="Calibri" w:cs="Calibri" w:eastAsia="Calibri" w:hAnsi="Calibri"/>
                <w:color w:val="1A1A1A"/>
                <w:sz w:val="22"/>
                <w:szCs w:val="22"/>
              </w:rPr>
              <w:t xml:space="preserve">August 2026</w:t>
            </w:r>
          </w:p>
        </w:tc>
      </w:tr>
      <w:tr>
        <w:tc>
          <w:tcPr>
            <w:tcW w:type="dxa" w:w="3100"/>
            <w:shd w:fill="DCE6F5" w:color="auto" w:val="clear"/>
            <w:tcMar>
              <w:top w:type="dxa" w:w="100"/>
              <w:left w:type="dxa" w:w="120"/>
              <w:bottom w:type="dxa" w:w="100"/>
              <w:right w:type="dxa" w:w="120"/>
            </w:tcMar>
          </w:tcPr>
          <w:p>
            <w:r>
              <w:rPr>
                <w:rFonts w:ascii="Calibri" w:cs="Calibri" w:eastAsia="Calibri" w:hAnsi="Calibri"/>
                <w:b/>
                <w:bCs/>
                <w:color w:val="0B3D91"/>
                <w:sz w:val="22"/>
                <w:szCs w:val="22"/>
              </w:rPr>
              <w:t xml:space="preserve">Drafting Standard</w:t>
            </w:r>
          </w:p>
        </w:tc>
        <w:tc>
          <w:tcPr>
            <w:tcW w:type="dxa" w:w="6250"/>
            <w:tcMar>
              <w:top w:type="dxa" w:w="100"/>
              <w:left w:type="dxa" w:w="120"/>
              <w:bottom w:type="dxa" w:w="100"/>
              <w:right w:type="dxa" w:w="120"/>
            </w:tcMar>
          </w:tcPr>
          <w:p>
            <w:r>
              <w:rPr>
                <w:rFonts w:ascii="Calibri" w:cs="Calibri" w:eastAsia="Calibri" w:hAnsi="Calibri"/>
                <w:color w:val="1A1A1A"/>
                <w:sz w:val="22"/>
                <w:szCs w:val="22"/>
              </w:rPr>
              <w:t xml:space="preserve">Immutable Present-Tense Matrix</w:t>
            </w:r>
          </w:p>
        </w:tc>
      </w:tr>
      <w:tr>
        <w:tc>
          <w:tcPr>
            <w:tcW w:type="dxa" w:w="3100"/>
            <w:shd w:fill="DCE6F5" w:color="auto" w:val="clear"/>
            <w:tcMar>
              <w:top w:type="dxa" w:w="100"/>
              <w:left w:type="dxa" w:w="120"/>
              <w:bottom w:type="dxa" w:w="100"/>
              <w:right w:type="dxa" w:w="120"/>
            </w:tcMar>
          </w:tcPr>
          <w:p>
            <w:r>
              <w:rPr>
                <w:rFonts w:ascii="Calibri" w:cs="Calibri" w:eastAsia="Calibri" w:hAnsi="Calibri"/>
                <w:b/>
                <w:bCs/>
                <w:color w:val="0B3D91"/>
                <w:sz w:val="22"/>
                <w:szCs w:val="22"/>
              </w:rPr>
              <w:t xml:space="preserve">Classification</w:t>
            </w:r>
          </w:p>
        </w:tc>
        <w:tc>
          <w:tcPr>
            <w:tcW w:type="dxa" w:w="6250"/>
            <w:tcMar>
              <w:top w:type="dxa" w:w="100"/>
              <w:left w:type="dxa" w:w="120"/>
              <w:bottom w:type="dxa" w:w="100"/>
              <w:right w:type="dxa" w:w="120"/>
            </w:tcMar>
          </w:tcPr>
          <w:p>
            <w:r>
              <w:rPr>
                <w:rFonts w:ascii="Calibri" w:cs="Calibri" w:eastAsia="Calibri" w:hAnsi="Calibri"/>
                <w:color w:val="1A1A1A"/>
                <w:sz w:val="22"/>
                <w:szCs w:val="22"/>
              </w:rPr>
              <w:t xml:space="preserve">Negotiating Draft for Authorized Participants</w:t>
            </w:r>
          </w:p>
        </w:tc>
      </w:tr>
    </w:tbl>
    <w:p>
      <w:pPr>
        <w:spacing w:after="200" w:before="420"/>
      </w:pPr>
      <w:r>
        <w:rPr>
          <w:rFonts w:ascii="Calibri" w:cs="Calibri" w:eastAsia="Calibri" w:hAnsi="Calibri"/>
          <w:b/>
          <w:bCs/>
          <w:color w:val="1F5FA8"/>
          <w:sz w:val="26"/>
          <w:szCs w:val="26"/>
        </w:rPr>
        <w:t xml:space="preserve">Revision History</w:t>
      </w:r>
    </w:p>
    <w:tbl>
      <w:tblPr>
        <w:tblW w:type="dxa" w:w="9350"/>
        <w:tblBorders>
          <w:top w:val="single" w:color="AAB9D6" w:sz="4"/>
          <w:left w:val="single" w:color="AAB9D6" w:sz="4"/>
          <w:bottom w:val="single" w:color="AAB9D6" w:sz="4"/>
          <w:right w:val="single" w:color="AAB9D6" w:sz="4"/>
          <w:insideH w:val="single" w:color="D3DCEE" w:sz="2"/>
          <w:insideV w:val="single" w:color="D3DCEE" w:sz="2"/>
        </w:tblBorders>
      </w:tblPr>
      <w:tblGrid>
        <w:gridCol w:w="1400"/>
        <w:gridCol w:w="1600"/>
        <w:gridCol w:w="3000"/>
        <w:gridCol w:w="3350"/>
      </w:tblGrid>
      <w:tr>
        <w:trPr>
          <w:tblHeader/>
        </w:trPr>
        <w:tc>
          <w:tcPr>
            <w:tcW w:type="dxa" w:w="1400"/>
            <w:shd w:fill="0B3D91" w:color="auto" w:val="clear"/>
            <w:tcMar>
              <w:top w:type="dxa" w:w="80"/>
              <w:left w:type="dxa" w:w="100"/>
              <w:bottom w:type="dxa" w:w="80"/>
              <w:right w:type="dxa" w:w="100"/>
            </w:tcMar>
          </w:tcPr>
          <w:p>
            <w:r>
              <w:rPr>
                <w:rFonts w:ascii="Calibri" w:cs="Calibri" w:eastAsia="Calibri" w:hAnsi="Calibri"/>
                <w:b/>
                <w:bCs/>
                <w:color w:val="FFFFFF"/>
                <w:sz w:val="20"/>
                <w:szCs w:val="20"/>
              </w:rPr>
              <w:t xml:space="preserve">Version</w:t>
            </w:r>
          </w:p>
        </w:tc>
        <w:tc>
          <w:tcPr>
            <w:tcW w:type="dxa" w:w="1600"/>
            <w:shd w:fill="0B3D91" w:color="auto"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c>
          <w:tcPr>
            <w:tcW w:type="dxa" w:w="3000"/>
            <w:shd w:fill="0B3D91" w:color="auto" w:val="clear"/>
            <w:tcMar>
              <w:top w:type="dxa" w:w="80"/>
              <w:left w:type="dxa" w:w="100"/>
              <w:bottom w:type="dxa" w:w="80"/>
              <w:right w:type="dxa" w:w="100"/>
            </w:tcMar>
          </w:tcPr>
          <w:p>
            <w:r>
              <w:rPr>
                <w:rFonts w:ascii="Calibri" w:cs="Calibri" w:eastAsia="Calibri" w:hAnsi="Calibri"/>
                <w:b/>
                <w:bCs/>
                <w:color w:val="FFFFFF"/>
                <w:sz w:val="20"/>
                <w:szCs w:val="20"/>
              </w:rPr>
              <w:t xml:space="preserve">Prepared By</w:t>
            </w:r>
          </w:p>
        </w:tc>
        <w:tc>
          <w:tcPr>
            <w:tcW w:type="dxa" w:w="3350"/>
            <w:shd w:fill="0B3D91" w:color="auto" w:val="clear"/>
            <w:tcMar>
              <w:top w:type="dxa" w:w="80"/>
              <w:left w:type="dxa" w:w="100"/>
              <w:bottom w:type="dxa" w:w="80"/>
              <w:right w:type="dxa" w:w="100"/>
            </w:tcMar>
          </w:tcPr>
          <w:p>
            <w:r>
              <w:rPr>
                <w:rFonts w:ascii="Calibri" w:cs="Calibri" w:eastAsia="Calibri" w:hAnsi="Calibri"/>
                <w:b/>
                <w:bCs/>
                <w:color w:val="FFFFFF"/>
                <w:sz w:val="20"/>
                <w:szCs w:val="20"/>
              </w:rPr>
              <w:t xml:space="preserve">Summary of Changes</w:t>
            </w:r>
          </w:p>
        </w:tc>
      </w:tr>
      <w:tr>
        <w:tc>
          <w:tcPr>
            <w:tcW w:type="dxa" w:w="1400"/>
            <w:tcMar>
              <w:top w:type="dxa" w:w="70"/>
              <w:left w:type="dxa" w:w="100"/>
              <w:bottom w:type="dxa" w:w="70"/>
              <w:right w:type="dxa" w:w="100"/>
            </w:tcMar>
          </w:tcPr>
          <w:p>
            <w:r>
              <w:rPr>
                <w:rFonts w:ascii="Calibri" w:cs="Calibri" w:eastAsia="Calibri" w:hAnsi="Calibri"/>
                <w:color w:val="1A1A1A"/>
                <w:sz w:val="20"/>
                <w:szCs w:val="20"/>
              </w:rPr>
              <w:t xml:space="preserve">Draft</w:t>
            </w:r>
          </w:p>
        </w:tc>
        <w:tc>
          <w:tcPr>
            <w:tcW w:type="dxa" w:w="1600"/>
            <w:tcMar>
              <w:top w:type="dxa" w:w="70"/>
              <w:left w:type="dxa" w:w="100"/>
              <w:bottom w:type="dxa" w:w="70"/>
              <w:right w:type="dxa" w:w="100"/>
            </w:tcMar>
          </w:tcPr>
          <w:p>
            <w:r>
              <w:rPr>
                <w:rFonts w:ascii="Calibri" w:cs="Calibri" w:eastAsia="Calibri" w:hAnsi="Calibri"/>
                <w:color w:val="1A1A1A"/>
                <w:sz w:val="20"/>
                <w:szCs w:val="20"/>
              </w:rPr>
              <w:t xml:space="preserve">August 2026</w:t>
            </w:r>
          </w:p>
        </w:tc>
        <w:tc>
          <w:tcPr>
            <w:tcW w:type="dxa" w:w="3000"/>
            <w:tcMar>
              <w:top w:type="dxa" w:w="70"/>
              <w:left w:type="dxa" w:w="100"/>
              <w:bottom w:type="dxa" w:w="70"/>
              <w:right w:type="dxa" w:w="100"/>
            </w:tcMar>
          </w:tcPr>
          <w:p>
            <w:r>
              <w:rPr>
                <w:rFonts w:ascii="Calibri" w:cs="Calibri" w:eastAsia="Calibri" w:hAnsi="Calibri"/>
                <w:color w:val="1A1A1A"/>
                <w:sz w:val="20"/>
                <w:szCs w:val="20"/>
              </w:rPr>
              <w:t xml:space="preserve">Global Affairs Canada, Coalition Steering Committee</w:t>
            </w:r>
          </w:p>
        </w:tc>
        <w:tc>
          <w:tcPr>
            <w:tcW w:type="dxa" w:w="3350"/>
            <w:tcMar>
              <w:top w:type="dxa" w:w="70"/>
              <w:left w:type="dxa" w:w="100"/>
              <w:bottom w:type="dxa" w:w="70"/>
              <w:right w:type="dxa" w:w="100"/>
            </w:tcMar>
          </w:tcPr>
          <w:p>
            <w:r>
              <w:rPr>
                <w:rFonts w:ascii="Calibri" w:cs="Calibri" w:eastAsia="Calibri" w:hAnsi="Calibri"/>
                <w:color w:val="1A1A1A"/>
                <w:sz w:val="20"/>
                <w:szCs w:val="20"/>
              </w:rPr>
              <w:t xml:space="preserve">Initial consolidated framework instrument and full Annex set</w:t>
            </w:r>
          </w:p>
        </w:tc>
      </w:tr>
    </w:tbl>
    <w:p>
      <w:pPr>
        <w:spacing w:after="160" w:before="420"/>
        <w:jc w:val="both"/>
      </w:pPr>
      <w:r>
        <w:rPr>
          <w:rFonts w:ascii="Calibri" w:cs="Calibri" w:eastAsia="Calibri" w:hAnsi="Calibri"/>
          <w:color w:val="1A1A1A"/>
          <w:sz w:val="22"/>
          <w:szCs w:val="22"/>
        </w:rPr>
        <w:t xml:space="preserve">This instrument constitutes the consolidated framework text prepared for circulation to prospective Founding Parties. Canada, acting as Lead Nation and Depositary, maintains the authoritative version of this document and coordinates its translation, distribution, and revision throughout the coalition-building process detailed in Part Two of this Agreement.</w:t>
      </w:r>
    </w:p>
    <w:p>
      <w:r>
        <w:br w:type="page"/>
      </w:r>
    </w:p>
    <w:p>
      <w:pPr>
        <w:spacing w:after="360"/>
      </w:pPr>
      <w:r>
        <w:rPr>
          <w:rFonts w:ascii="Calibri" w:cs="Calibri" w:eastAsia="Calibri" w:hAnsi="Calibri"/>
          <w:b/>
          <w:bCs/>
          <w:color w:val="0B3D91"/>
          <w:sz w:val="32"/>
          <w:szCs w:val="32"/>
        </w:rPr>
        <w:t xml:space="preserve">TABLE OF CONTENTS</w:t>
      </w:r>
    </w:p>
    <w:p>
      <w:pPr>
        <w:tabs>
          <w:tab w:val="right" w:pos="9026" w:leader="dot"/>
        </w:tabs>
        <w:spacing w:after="160"/>
      </w:pPr>
      <w:r>
        <w:rPr>
          <w:rFonts w:ascii="Calibri" w:cs="Calibri" w:eastAsia="Calibri" w:hAnsi="Calibri"/>
          <w:b/>
          <w:bCs/>
          <w:color w:val="0B3D91"/>
          <w:sz w:val="22"/>
          <w:szCs w:val="22"/>
        </w:rPr>
        <w:t xml:space="preserve">Part One: The Framework Instrument</w:t>
      </w:r>
      <w:r>
        <w:rPr>
          <w:rFonts w:ascii="Calibri" w:cs="Calibri" w:eastAsia="Calibri" w:hAnsi="Calibri"/>
          <w:b/>
          <w:bCs/>
          <w:color w:val="0B3D91"/>
          <w:sz w:val="22"/>
          <w:szCs w:val="22"/>
        </w:rPr>
        <w:t xml:space="preserve">	5</w:t>
      </w:r>
    </w:p>
    <w:p>
      <w:pPr>
        <w:tabs>
          <w:tab w:val="right" w:pos="9026" w:leader="dot"/>
        </w:tabs>
        <w:spacing w:after="70"/>
      </w:pPr>
      <w:r>
        <w:rPr>
          <w:rFonts w:ascii="Calibri" w:cs="Calibri" w:eastAsia="Calibri" w:hAnsi="Calibri"/>
          <w:b w:val="false"/>
          <w:bCs w:val="false"/>
          <w:color w:val="1A1A1A"/>
          <w:sz w:val="21"/>
          <w:szCs w:val="21"/>
        </w:rPr>
        <w:t xml:space="preserve">Preamble</w:t>
      </w:r>
      <w:r>
        <w:rPr>
          <w:rFonts w:ascii="Calibri" w:cs="Calibri" w:eastAsia="Calibri" w:hAnsi="Calibri"/>
          <w:b w:val="false"/>
          <w:bCs w:val="false"/>
          <w:color w:val="1A1A1A"/>
          <w:sz w:val="21"/>
          <w:szCs w:val="21"/>
        </w:rPr>
        <w:t xml:space="preserve">	5</w:t>
      </w:r>
    </w:p>
    <w:p>
      <w:pPr>
        <w:tabs>
          <w:tab w:val="right" w:pos="9026" w:leader="dot"/>
        </w:tabs>
        <w:spacing w:after="70"/>
      </w:pPr>
      <w:r>
        <w:rPr>
          <w:rFonts w:ascii="Calibri" w:cs="Calibri" w:eastAsia="Calibri" w:hAnsi="Calibri"/>
          <w:b w:val="false"/>
          <w:bCs w:val="false"/>
          <w:color w:val="1A1A1A"/>
          <w:sz w:val="21"/>
          <w:szCs w:val="21"/>
        </w:rPr>
        <w:t xml:space="preserve">Article 1: Establishment, Purpose, and Nature of Measures</w:t>
      </w:r>
      <w:r>
        <w:rPr>
          <w:rFonts w:ascii="Calibri" w:cs="Calibri" w:eastAsia="Calibri" w:hAnsi="Calibri"/>
          <w:b w:val="false"/>
          <w:bCs w:val="false"/>
          <w:color w:val="1A1A1A"/>
          <w:sz w:val="21"/>
          <w:szCs w:val="21"/>
        </w:rPr>
        <w:t xml:space="preserve">	6</w:t>
      </w:r>
    </w:p>
    <w:p>
      <w:pPr>
        <w:tabs>
          <w:tab w:val="right" w:pos="9026" w:leader="dot"/>
        </w:tabs>
        <w:spacing w:after="70"/>
      </w:pPr>
      <w:r>
        <w:rPr>
          <w:rFonts w:ascii="Calibri" w:cs="Calibri" w:eastAsia="Calibri" w:hAnsi="Calibri"/>
          <w:b w:val="false"/>
          <w:bCs w:val="false"/>
          <w:color w:val="1A1A1A"/>
          <w:sz w:val="21"/>
          <w:szCs w:val="21"/>
        </w:rPr>
        <w:t xml:space="preserve">Article 2: Membership and Accession</w:t>
      </w:r>
      <w:r>
        <w:rPr>
          <w:rFonts w:ascii="Calibri" w:cs="Calibri" w:eastAsia="Calibri" w:hAnsi="Calibri"/>
          <w:b w:val="false"/>
          <w:bCs w:val="false"/>
          <w:color w:val="1A1A1A"/>
          <w:sz w:val="21"/>
          <w:szCs w:val="21"/>
        </w:rPr>
        <w:t xml:space="preserve">	7</w:t>
      </w:r>
    </w:p>
    <w:p>
      <w:pPr>
        <w:tabs>
          <w:tab w:val="right" w:pos="9026" w:leader="dot"/>
        </w:tabs>
        <w:spacing w:after="70"/>
      </w:pPr>
      <w:r>
        <w:rPr>
          <w:rFonts w:ascii="Calibri" w:cs="Calibri" w:eastAsia="Calibri" w:hAnsi="Calibri"/>
          <w:b w:val="false"/>
          <w:bCs w:val="false"/>
          <w:color w:val="1A1A1A"/>
          <w:sz w:val="21"/>
          <w:szCs w:val="21"/>
        </w:rPr>
        <w:t xml:space="preserve">Article 3: Governance Structure</w:t>
      </w:r>
      <w:r>
        <w:rPr>
          <w:rFonts w:ascii="Calibri" w:cs="Calibri" w:eastAsia="Calibri" w:hAnsi="Calibri"/>
          <w:b w:val="false"/>
          <w:bCs w:val="false"/>
          <w:color w:val="1A1A1A"/>
          <w:sz w:val="21"/>
          <w:szCs w:val="21"/>
        </w:rPr>
        <w:t xml:space="preserve">	8</w:t>
      </w:r>
    </w:p>
    <w:p>
      <w:pPr>
        <w:tabs>
          <w:tab w:val="right" w:pos="9026" w:leader="dot"/>
        </w:tabs>
        <w:spacing w:after="70"/>
      </w:pPr>
      <w:r>
        <w:rPr>
          <w:rFonts w:ascii="Calibri" w:cs="Calibri" w:eastAsia="Calibri" w:hAnsi="Calibri"/>
          <w:b w:val="false"/>
          <w:bCs w:val="false"/>
          <w:color w:val="1A1A1A"/>
          <w:sz w:val="21"/>
          <w:szCs w:val="21"/>
        </w:rPr>
        <w:t xml:space="preserve">Article 4: Tariff Measures and Product Coverage</w:t>
      </w:r>
      <w:r>
        <w:rPr>
          <w:rFonts w:ascii="Calibri" w:cs="Calibri" w:eastAsia="Calibri" w:hAnsi="Calibri"/>
          <w:b w:val="false"/>
          <w:bCs w:val="false"/>
          <w:color w:val="1A1A1A"/>
          <w:sz w:val="21"/>
          <w:szCs w:val="21"/>
        </w:rPr>
        <w:t xml:space="preserve">	9</w:t>
      </w:r>
    </w:p>
    <w:p>
      <w:pPr>
        <w:tabs>
          <w:tab w:val="right" w:pos="9026" w:leader="dot"/>
        </w:tabs>
        <w:spacing w:after="70"/>
      </w:pPr>
      <w:r>
        <w:rPr>
          <w:rFonts w:ascii="Calibri" w:cs="Calibri" w:eastAsia="Calibri" w:hAnsi="Calibri"/>
          <w:b w:val="false"/>
          <w:bCs w:val="false"/>
          <w:color w:val="1A1A1A"/>
          <w:sz w:val="21"/>
          <w:szCs w:val="21"/>
        </w:rPr>
        <w:t xml:space="preserve">Article 5: Exemptions and Safeguards</w:t>
      </w:r>
      <w:r>
        <w:rPr>
          <w:rFonts w:ascii="Calibri" w:cs="Calibri" w:eastAsia="Calibri" w:hAnsi="Calibri"/>
          <w:b w:val="false"/>
          <w:bCs w:val="false"/>
          <w:color w:val="1A1A1A"/>
          <w:sz w:val="21"/>
          <w:szCs w:val="21"/>
        </w:rPr>
        <w:t xml:space="preserve">	10</w:t>
      </w:r>
    </w:p>
    <w:p>
      <w:pPr>
        <w:tabs>
          <w:tab w:val="right" w:pos="9026" w:leader="dot"/>
        </w:tabs>
        <w:spacing w:after="70"/>
      </w:pPr>
      <w:r>
        <w:rPr>
          <w:rFonts w:ascii="Calibri" w:cs="Calibri" w:eastAsia="Calibri" w:hAnsi="Calibri"/>
          <w:b w:val="false"/>
          <w:bCs w:val="false"/>
          <w:color w:val="1A1A1A"/>
          <w:sz w:val="21"/>
          <w:szCs w:val="21"/>
        </w:rPr>
        <w:t xml:space="preserve">Article 6: Discipline and Non-Defection Architecture</w:t>
      </w:r>
      <w:r>
        <w:rPr>
          <w:rFonts w:ascii="Calibri" w:cs="Calibri" w:eastAsia="Calibri" w:hAnsi="Calibri"/>
          <w:b w:val="false"/>
          <w:bCs w:val="false"/>
          <w:color w:val="1A1A1A"/>
          <w:sz w:val="21"/>
          <w:szCs w:val="21"/>
        </w:rPr>
        <w:t xml:space="preserve">	11</w:t>
      </w:r>
    </w:p>
    <w:p>
      <w:pPr>
        <w:tabs>
          <w:tab w:val="right" w:pos="9026" w:leader="dot"/>
        </w:tabs>
        <w:spacing w:after="70"/>
      </w:pPr>
      <w:r>
        <w:rPr>
          <w:rFonts w:ascii="Calibri" w:cs="Calibri" w:eastAsia="Calibri" w:hAnsi="Calibri"/>
          <w:b w:val="false"/>
          <w:bCs w:val="false"/>
          <w:color w:val="1A1A1A"/>
          <w:sz w:val="21"/>
          <w:szCs w:val="21"/>
        </w:rPr>
        <w:t xml:space="preserve">Article 7: Support and Solidarity Measures</w:t>
      </w:r>
      <w:r>
        <w:rPr>
          <w:rFonts w:ascii="Calibri" w:cs="Calibri" w:eastAsia="Calibri" w:hAnsi="Calibri"/>
          <w:b w:val="false"/>
          <w:bCs w:val="false"/>
          <w:color w:val="1A1A1A"/>
          <w:sz w:val="21"/>
          <w:szCs w:val="21"/>
        </w:rPr>
        <w:t xml:space="preserve">	12</w:t>
      </w:r>
    </w:p>
    <w:p>
      <w:pPr>
        <w:tabs>
          <w:tab w:val="right" w:pos="9026" w:leader="dot"/>
        </w:tabs>
        <w:spacing w:after="70"/>
      </w:pPr>
      <w:r>
        <w:rPr>
          <w:rFonts w:ascii="Calibri" w:cs="Calibri" w:eastAsia="Calibri" w:hAnsi="Calibri"/>
          <w:b w:val="false"/>
          <w:bCs w:val="false"/>
          <w:color w:val="1A1A1A"/>
          <w:sz w:val="21"/>
          <w:szCs w:val="21"/>
        </w:rPr>
        <w:t xml:space="preserve">Article 8: WTO and Legal Strategy</w:t>
      </w:r>
      <w:r>
        <w:rPr>
          <w:rFonts w:ascii="Calibri" w:cs="Calibri" w:eastAsia="Calibri" w:hAnsi="Calibri"/>
          <w:b w:val="false"/>
          <w:bCs w:val="false"/>
          <w:color w:val="1A1A1A"/>
          <w:sz w:val="21"/>
          <w:szCs w:val="21"/>
        </w:rPr>
        <w:t xml:space="preserve">	12</w:t>
      </w:r>
    </w:p>
    <w:p>
      <w:pPr>
        <w:tabs>
          <w:tab w:val="right" w:pos="9026" w:leader="dot"/>
        </w:tabs>
        <w:spacing w:after="70"/>
      </w:pPr>
      <w:r>
        <w:rPr>
          <w:rFonts w:ascii="Calibri" w:cs="Calibri" w:eastAsia="Calibri" w:hAnsi="Calibri"/>
          <w:b w:val="false"/>
          <w:bCs w:val="false"/>
          <w:color w:val="1A1A1A"/>
          <w:sz w:val="21"/>
          <w:szCs w:val="21"/>
        </w:rPr>
        <w:t xml:space="preserve">Article 9: Communications and Public Messaging</w:t>
      </w:r>
      <w:r>
        <w:rPr>
          <w:rFonts w:ascii="Calibri" w:cs="Calibri" w:eastAsia="Calibri" w:hAnsi="Calibri"/>
          <w:b w:val="false"/>
          <w:bCs w:val="false"/>
          <w:color w:val="1A1A1A"/>
          <w:sz w:val="21"/>
          <w:szCs w:val="21"/>
        </w:rPr>
        <w:t xml:space="preserve">	13</w:t>
      </w:r>
    </w:p>
    <w:p>
      <w:pPr>
        <w:tabs>
          <w:tab w:val="right" w:pos="9026" w:leader="dot"/>
        </w:tabs>
        <w:spacing w:after="70"/>
      </w:pPr>
      <w:r>
        <w:rPr>
          <w:rFonts w:ascii="Calibri" w:cs="Calibri" w:eastAsia="Calibri" w:hAnsi="Calibri"/>
          <w:b w:val="false"/>
          <w:bCs w:val="false"/>
          <w:color w:val="1A1A1A"/>
          <w:sz w:val="21"/>
          <w:szCs w:val="21"/>
        </w:rPr>
        <w:t xml:space="preserve">Article 10: Monitoring, Metrics, and Review</w:t>
      </w:r>
      <w:r>
        <w:rPr>
          <w:rFonts w:ascii="Calibri" w:cs="Calibri" w:eastAsia="Calibri" w:hAnsi="Calibri"/>
          <w:b w:val="false"/>
          <w:bCs w:val="false"/>
          <w:color w:val="1A1A1A"/>
          <w:sz w:val="21"/>
          <w:szCs w:val="21"/>
        </w:rPr>
        <w:t xml:space="preserve">	14</w:t>
      </w:r>
    </w:p>
    <w:p>
      <w:pPr>
        <w:tabs>
          <w:tab w:val="right" w:pos="9026" w:leader="dot"/>
        </w:tabs>
        <w:spacing w:after="70"/>
      </w:pPr>
      <w:r>
        <w:rPr>
          <w:rFonts w:ascii="Calibri" w:cs="Calibri" w:eastAsia="Calibri" w:hAnsi="Calibri"/>
          <w:b w:val="false"/>
          <w:bCs w:val="false"/>
          <w:color w:val="1A1A1A"/>
          <w:sz w:val="21"/>
          <w:szCs w:val="21"/>
        </w:rPr>
        <w:t xml:space="preserve">Article 11: Settlement and Termination</w:t>
      </w:r>
      <w:r>
        <w:rPr>
          <w:rFonts w:ascii="Calibri" w:cs="Calibri" w:eastAsia="Calibri" w:hAnsi="Calibri"/>
          <w:b w:val="false"/>
          <w:bCs w:val="false"/>
          <w:color w:val="1A1A1A"/>
          <w:sz w:val="21"/>
          <w:szCs w:val="21"/>
        </w:rPr>
        <w:t xml:space="preserve">	15</w:t>
      </w:r>
    </w:p>
    <w:p>
      <w:pPr>
        <w:tabs>
          <w:tab w:val="right" w:pos="9026" w:leader="dot"/>
        </w:tabs>
        <w:spacing w:after="70"/>
      </w:pPr>
      <w:r>
        <w:rPr>
          <w:rFonts w:ascii="Calibri" w:cs="Calibri" w:eastAsia="Calibri" w:hAnsi="Calibri"/>
          <w:b w:val="false"/>
          <w:bCs w:val="false"/>
          <w:color w:val="1A1A1A"/>
          <w:sz w:val="21"/>
          <w:szCs w:val="21"/>
        </w:rPr>
        <w:t xml:space="preserve">Article 12: Final Provisions</w:t>
      </w:r>
      <w:r>
        <w:rPr>
          <w:rFonts w:ascii="Calibri" w:cs="Calibri" w:eastAsia="Calibri" w:hAnsi="Calibri"/>
          <w:b w:val="false"/>
          <w:bCs w:val="false"/>
          <w:color w:val="1A1A1A"/>
          <w:sz w:val="21"/>
          <w:szCs w:val="21"/>
        </w:rPr>
        <w:t xml:space="preserve">	16</w:t>
      </w:r>
    </w:p>
    <w:p>
      <w:pPr>
        <w:tabs>
          <w:tab w:val="right" w:pos="9026" w:leader="dot"/>
        </w:tabs>
        <w:spacing w:after="160"/>
      </w:pPr>
      <w:r>
        <w:rPr>
          <w:rFonts w:ascii="Calibri" w:cs="Calibri" w:eastAsia="Calibri" w:hAnsi="Calibri"/>
          <w:b/>
          <w:bCs/>
          <w:color w:val="0B3D91"/>
          <w:sz w:val="22"/>
          <w:szCs w:val="22"/>
        </w:rPr>
        <w:t xml:space="preserve">Part Two: Operational Annexes</w:t>
      </w:r>
      <w:r>
        <w:rPr>
          <w:rFonts w:ascii="Calibri" w:cs="Calibri" w:eastAsia="Calibri" w:hAnsi="Calibri"/>
          <w:b/>
          <w:bCs/>
          <w:color w:val="0B3D91"/>
          <w:sz w:val="22"/>
          <w:szCs w:val="22"/>
        </w:rPr>
        <w:t xml:space="preserve">	18</w:t>
      </w:r>
    </w:p>
    <w:p>
      <w:pPr>
        <w:tabs>
          <w:tab w:val="right" w:pos="9026" w:leader="dot"/>
        </w:tabs>
        <w:spacing w:after="70"/>
      </w:pPr>
      <w:r>
        <w:rPr>
          <w:rFonts w:ascii="Calibri" w:cs="Calibri" w:eastAsia="Calibri" w:hAnsi="Calibri"/>
          <w:b w:val="false"/>
          <w:bCs w:val="false"/>
          <w:color w:val="1A1A1A"/>
          <w:sz w:val="21"/>
          <w:szCs w:val="21"/>
        </w:rPr>
        <w:t xml:space="preserve">Annex A: Strategic Rationale and Target Assessment</w:t>
      </w:r>
      <w:r>
        <w:rPr>
          <w:rFonts w:ascii="Calibri" w:cs="Calibri" w:eastAsia="Calibri" w:hAnsi="Calibri"/>
          <w:b w:val="false"/>
          <w:bCs w:val="false"/>
          <w:color w:val="1A1A1A"/>
          <w:sz w:val="21"/>
          <w:szCs w:val="21"/>
        </w:rPr>
        <w:t xml:space="preserve">	18</w:t>
      </w:r>
    </w:p>
    <w:p>
      <w:pPr>
        <w:tabs>
          <w:tab w:val="right" w:pos="9026" w:leader="dot"/>
        </w:tabs>
        <w:spacing w:after="70"/>
      </w:pPr>
      <w:r>
        <w:rPr>
          <w:rFonts w:ascii="Calibri" w:cs="Calibri" w:eastAsia="Calibri" w:hAnsi="Calibri"/>
          <w:b w:val="false"/>
          <w:bCs w:val="false"/>
          <w:color w:val="1A1A1A"/>
          <w:sz w:val="21"/>
          <w:szCs w:val="21"/>
        </w:rPr>
        <w:t xml:space="preserve">Annex B: Canada's Coalition-Building and Outreach Plan</w:t>
      </w:r>
      <w:r>
        <w:rPr>
          <w:rFonts w:ascii="Calibri" w:cs="Calibri" w:eastAsia="Calibri" w:hAnsi="Calibri"/>
          <w:b w:val="false"/>
          <w:bCs w:val="false"/>
          <w:color w:val="1A1A1A"/>
          <w:sz w:val="21"/>
          <w:szCs w:val="21"/>
        </w:rPr>
        <w:t xml:space="preserve">	19</w:t>
      </w:r>
    </w:p>
    <w:p>
      <w:pPr>
        <w:tabs>
          <w:tab w:val="right" w:pos="9026" w:leader="dot"/>
        </w:tabs>
        <w:spacing w:after="70"/>
      </w:pPr>
      <w:r>
        <w:rPr>
          <w:rFonts w:ascii="Calibri" w:cs="Calibri" w:eastAsia="Calibri" w:hAnsi="Calibri"/>
          <w:b w:val="false"/>
          <w:bCs w:val="false"/>
          <w:color w:val="1A1A1A"/>
          <w:sz w:val="21"/>
          <w:szCs w:val="21"/>
        </w:rPr>
        <w:t xml:space="preserve">Annex C: Coalition Discipline Architecture</w:t>
      </w:r>
      <w:r>
        <w:rPr>
          <w:rFonts w:ascii="Calibri" w:cs="Calibri" w:eastAsia="Calibri" w:hAnsi="Calibri"/>
          <w:b w:val="false"/>
          <w:bCs w:val="false"/>
          <w:color w:val="1A1A1A"/>
          <w:sz w:val="21"/>
          <w:szCs w:val="21"/>
        </w:rPr>
        <w:t xml:space="preserve">	22</w:t>
      </w:r>
    </w:p>
    <w:p>
      <w:pPr>
        <w:tabs>
          <w:tab w:val="right" w:pos="9026" w:leader="dot"/>
        </w:tabs>
        <w:spacing w:after="70"/>
      </w:pPr>
      <w:r>
        <w:rPr>
          <w:rFonts w:ascii="Calibri" w:cs="Calibri" w:eastAsia="Calibri" w:hAnsi="Calibri"/>
          <w:b w:val="false"/>
          <w:bCs w:val="false"/>
          <w:color w:val="1A1A1A"/>
          <w:sz w:val="21"/>
          <w:szCs w:val="21"/>
        </w:rPr>
        <w:t xml:space="preserve">Annex D: Retaliation Ladder and Escalation Framework</w:t>
      </w:r>
      <w:r>
        <w:rPr>
          <w:rFonts w:ascii="Calibri" w:cs="Calibri" w:eastAsia="Calibri" w:hAnsi="Calibri"/>
          <w:b w:val="false"/>
          <w:bCs w:val="false"/>
          <w:color w:val="1A1A1A"/>
          <w:sz w:val="21"/>
          <w:szCs w:val="21"/>
        </w:rPr>
        <w:t xml:space="preserve">	24</w:t>
      </w:r>
    </w:p>
    <w:p>
      <w:pPr>
        <w:tabs>
          <w:tab w:val="right" w:pos="9026" w:leader="dot"/>
        </w:tabs>
        <w:spacing w:after="70"/>
      </w:pPr>
      <w:r>
        <w:rPr>
          <w:rFonts w:ascii="Calibri" w:cs="Calibri" w:eastAsia="Calibri" w:hAnsi="Calibri"/>
          <w:b w:val="false"/>
          <w:bCs w:val="false"/>
          <w:color w:val="1A1A1A"/>
          <w:sz w:val="21"/>
          <w:szCs w:val="21"/>
        </w:rPr>
        <w:t xml:space="preserve">Annex E: Risk Assessment and Mitigation Matrix</w:t>
      </w:r>
      <w:r>
        <w:rPr>
          <w:rFonts w:ascii="Calibri" w:cs="Calibri" w:eastAsia="Calibri" w:hAnsi="Calibri"/>
          <w:b w:val="false"/>
          <w:bCs w:val="false"/>
          <w:color w:val="1A1A1A"/>
          <w:sz w:val="21"/>
          <w:szCs w:val="21"/>
        </w:rPr>
        <w:t xml:space="preserve">	24</w:t>
      </w:r>
    </w:p>
    <w:p>
      <w:pPr>
        <w:tabs>
          <w:tab w:val="right" w:pos="9026" w:leader="dot"/>
        </w:tabs>
        <w:spacing w:after="70"/>
      </w:pPr>
      <w:r>
        <w:rPr>
          <w:rFonts w:ascii="Calibri" w:cs="Calibri" w:eastAsia="Calibri" w:hAnsi="Calibri"/>
          <w:b w:val="false"/>
          <w:bCs w:val="false"/>
          <w:color w:val="1A1A1A"/>
          <w:sz w:val="21"/>
          <w:szCs w:val="21"/>
        </w:rPr>
        <w:t xml:space="preserve">Annex F: Success Metrics and Monitoring Dashboard</w:t>
      </w:r>
      <w:r>
        <w:rPr>
          <w:rFonts w:ascii="Calibri" w:cs="Calibri" w:eastAsia="Calibri" w:hAnsi="Calibri"/>
          <w:b w:val="false"/>
          <w:bCs w:val="false"/>
          <w:color w:val="1A1A1A"/>
          <w:sz w:val="21"/>
          <w:szCs w:val="21"/>
        </w:rPr>
        <w:t xml:space="preserve">	25</w:t>
      </w:r>
    </w:p>
    <w:p>
      <w:pPr>
        <w:tabs>
          <w:tab w:val="right" w:pos="9026" w:leader="dot"/>
        </w:tabs>
        <w:spacing w:after="70"/>
      </w:pPr>
      <w:r>
        <w:rPr>
          <w:rFonts w:ascii="Calibri" w:cs="Calibri" w:eastAsia="Calibri" w:hAnsi="Calibri"/>
          <w:b w:val="false"/>
          <w:bCs w:val="false"/>
          <w:color w:val="1A1A1A"/>
          <w:sz w:val="21"/>
          <w:szCs w:val="21"/>
        </w:rPr>
        <w:t xml:space="preserve">Annex G: Communications Toolkit and Messaging Matrix</w:t>
      </w:r>
      <w:r>
        <w:rPr>
          <w:rFonts w:ascii="Calibri" w:cs="Calibri" w:eastAsia="Calibri" w:hAnsi="Calibri"/>
          <w:b w:val="false"/>
          <w:bCs w:val="false"/>
          <w:color w:val="1A1A1A"/>
          <w:sz w:val="21"/>
          <w:szCs w:val="21"/>
        </w:rPr>
        <w:t xml:space="preserve">	26</w:t>
      </w:r>
    </w:p>
    <w:p>
      <w:pPr>
        <w:tabs>
          <w:tab w:val="right" w:pos="9026" w:leader="dot"/>
        </w:tabs>
        <w:spacing w:after="70"/>
      </w:pPr>
      <w:r>
        <w:rPr>
          <w:rFonts w:ascii="Calibri" w:cs="Calibri" w:eastAsia="Calibri" w:hAnsi="Calibri"/>
          <w:b w:val="false"/>
          <w:bCs w:val="false"/>
          <w:color w:val="1A1A1A"/>
          <w:sz w:val="21"/>
          <w:szCs w:val="21"/>
        </w:rPr>
        <w:t xml:space="preserve">Annex H: Detailed Tariff Schedule</w:t>
      </w:r>
      <w:r>
        <w:rPr>
          <w:rFonts w:ascii="Calibri" w:cs="Calibri" w:eastAsia="Calibri" w:hAnsi="Calibri"/>
          <w:b w:val="false"/>
          <w:bCs w:val="false"/>
          <w:color w:val="1A1A1A"/>
          <w:sz w:val="21"/>
          <w:szCs w:val="21"/>
        </w:rPr>
        <w:t xml:space="preserve">	27</w:t>
      </w:r>
    </w:p>
    <w:p>
      <w:pPr>
        <w:tabs>
          <w:tab w:val="right" w:pos="9026" w:leader="dot"/>
        </w:tabs>
        <w:spacing w:after="70"/>
      </w:pPr>
      <w:r>
        <w:rPr>
          <w:rFonts w:ascii="Calibri" w:cs="Calibri" w:eastAsia="Calibri" w:hAnsi="Calibri"/>
          <w:b w:val="false"/>
          <w:bCs w:val="false"/>
          <w:color w:val="1A1A1A"/>
          <w:sz w:val="21"/>
          <w:szCs w:val="21"/>
        </w:rPr>
        <w:t xml:space="preserve">Annex I: Master Implementation Timeline</w:t>
      </w:r>
      <w:r>
        <w:rPr>
          <w:rFonts w:ascii="Calibri" w:cs="Calibri" w:eastAsia="Calibri" w:hAnsi="Calibri"/>
          <w:b w:val="false"/>
          <w:bCs w:val="false"/>
          <w:color w:val="1A1A1A"/>
          <w:sz w:val="21"/>
          <w:szCs w:val="21"/>
        </w:rPr>
        <w:t xml:space="preserve">	28</w:t>
      </w:r>
    </w:p>
    <w:p>
      <w:pPr>
        <w:tabs>
          <w:tab w:val="right" w:pos="9026" w:leader="dot"/>
        </w:tabs>
        <w:spacing w:after="70"/>
      </w:pPr>
      <w:r>
        <w:rPr>
          <w:rFonts w:ascii="Calibri" w:cs="Calibri" w:eastAsia="Calibri" w:hAnsi="Calibri"/>
          <w:b w:val="false"/>
          <w:bCs w:val="false"/>
          <w:color w:val="1A1A1A"/>
          <w:sz w:val="21"/>
          <w:szCs w:val="21"/>
        </w:rPr>
        <w:t xml:space="preserve">Annex J: Country-by-Country Outreach Briefing Sheets</w:t>
      </w:r>
      <w:r>
        <w:rPr>
          <w:rFonts w:ascii="Calibri" w:cs="Calibri" w:eastAsia="Calibri" w:hAnsi="Calibri"/>
          <w:b w:val="false"/>
          <w:bCs w:val="false"/>
          <w:color w:val="1A1A1A"/>
          <w:sz w:val="21"/>
          <w:szCs w:val="21"/>
        </w:rPr>
        <w:t xml:space="preserve">	28</w:t>
      </w:r>
    </w:p>
    <w:p>
      <w:pPr>
        <w:tabs>
          <w:tab w:val="right" w:pos="9026" w:leader="dot"/>
        </w:tabs>
        <w:spacing w:after="70"/>
      </w:pPr>
      <w:r>
        <w:rPr>
          <w:rFonts w:ascii="Calibri" w:cs="Calibri" w:eastAsia="Calibri" w:hAnsi="Calibri"/>
          <w:b w:val="false"/>
          <w:bCs w:val="false"/>
          <w:color w:val="1A1A1A"/>
          <w:sz w:val="21"/>
          <w:szCs w:val="21"/>
        </w:rPr>
        <w:t xml:space="preserve">Annex K: Specimen Instruments and Draft Communications</w:t>
      </w:r>
      <w:r>
        <w:rPr>
          <w:rFonts w:ascii="Calibri" w:cs="Calibri" w:eastAsia="Calibri" w:hAnsi="Calibri"/>
          <w:b w:val="false"/>
          <w:bCs w:val="false"/>
          <w:color w:val="1A1A1A"/>
          <w:sz w:val="21"/>
          <w:szCs w:val="21"/>
        </w:rPr>
        <w:t xml:space="preserve">	31</w:t>
      </w:r>
    </w:p>
    <w:p>
      <w:pPr>
        <w:tabs>
          <w:tab w:val="right" w:pos="9026" w:leader="dot"/>
        </w:tabs>
        <w:spacing w:after="70"/>
      </w:pPr>
      <w:r>
        <w:rPr>
          <w:rFonts w:ascii="Calibri" w:cs="Calibri" w:eastAsia="Calibri" w:hAnsi="Calibri"/>
          <w:b w:val="false"/>
          <w:bCs w:val="false"/>
          <w:color w:val="1A1A1A"/>
          <w:sz w:val="21"/>
          <w:szCs w:val="21"/>
        </w:rPr>
        <w:t xml:space="preserve">Annex L: Financial Architecture of the Stabilization Facility</w:t>
      </w:r>
      <w:r>
        <w:rPr>
          <w:rFonts w:ascii="Calibri" w:cs="Calibri" w:eastAsia="Calibri" w:hAnsi="Calibri"/>
          <w:b w:val="false"/>
          <w:bCs w:val="false"/>
          <w:color w:val="1A1A1A"/>
          <w:sz w:val="21"/>
          <w:szCs w:val="21"/>
        </w:rPr>
        <w:t xml:space="preserve">	32</w:t>
      </w:r>
    </w:p>
    <w:p>
      <w:pPr>
        <w:tabs>
          <w:tab w:val="right" w:pos="9026" w:leader="dot"/>
        </w:tabs>
        <w:spacing w:after="70"/>
      </w:pPr>
      <w:r>
        <w:rPr>
          <w:rFonts w:ascii="Calibri" w:cs="Calibri" w:eastAsia="Calibri" w:hAnsi="Calibri"/>
          <w:b w:val="false"/>
          <w:bCs w:val="false"/>
          <w:color w:val="1A1A1A"/>
          <w:sz w:val="21"/>
          <w:szCs w:val="21"/>
        </w:rPr>
        <w:t xml:space="preserve">Annex M: Sector-Specific Economic Impact Analysis</w:t>
      </w:r>
      <w:r>
        <w:rPr>
          <w:rFonts w:ascii="Calibri" w:cs="Calibri" w:eastAsia="Calibri" w:hAnsi="Calibri"/>
          <w:b w:val="false"/>
          <w:bCs w:val="false"/>
          <w:color w:val="1A1A1A"/>
          <w:sz w:val="21"/>
          <w:szCs w:val="21"/>
        </w:rPr>
        <w:t xml:space="preserve">	33</w:t>
      </w:r>
    </w:p>
    <w:p>
      <w:pPr>
        <w:tabs>
          <w:tab w:val="right" w:pos="9026" w:leader="dot"/>
        </w:tabs>
        <w:spacing w:after="70"/>
      </w:pPr>
      <w:r>
        <w:rPr>
          <w:rFonts w:ascii="Calibri" w:cs="Calibri" w:eastAsia="Calibri" w:hAnsi="Calibri"/>
          <w:b w:val="false"/>
          <w:bCs w:val="false"/>
          <w:color w:val="1A1A1A"/>
          <w:sz w:val="21"/>
          <w:szCs w:val="21"/>
        </w:rPr>
        <w:t xml:space="preserve">Annex N: Model Domestic Legislative Language</w:t>
      </w:r>
      <w:r>
        <w:rPr>
          <w:rFonts w:ascii="Calibri" w:cs="Calibri" w:eastAsia="Calibri" w:hAnsi="Calibri"/>
          <w:b w:val="false"/>
          <w:bCs w:val="false"/>
          <w:color w:val="1A1A1A"/>
          <w:sz w:val="21"/>
          <w:szCs w:val="21"/>
        </w:rPr>
        <w:t xml:space="preserve">	34</w:t>
      </w:r>
    </w:p>
    <w:p>
      <w:pPr>
        <w:tabs>
          <w:tab w:val="right" w:pos="9026" w:leader="dot"/>
        </w:tabs>
        <w:spacing w:after="70"/>
      </w:pPr>
      <w:r>
        <w:rPr>
          <w:rFonts w:ascii="Calibri" w:cs="Calibri" w:eastAsia="Calibri" w:hAnsi="Calibri"/>
          <w:b w:val="false"/>
          <w:bCs w:val="false"/>
          <w:color w:val="1A1A1A"/>
          <w:sz w:val="21"/>
          <w:szCs w:val="21"/>
        </w:rPr>
        <w:t xml:space="preserve">Annex O: Glossary of Terms</w:t>
      </w:r>
      <w:r>
        <w:rPr>
          <w:rFonts w:ascii="Calibri" w:cs="Calibri" w:eastAsia="Calibri" w:hAnsi="Calibri"/>
          <w:b w:val="false"/>
          <w:bCs w:val="false"/>
          <w:color w:val="1A1A1A"/>
          <w:sz w:val="21"/>
          <w:szCs w:val="21"/>
        </w:rPr>
        <w:t xml:space="preserve">	34</w:t>
      </w:r>
    </w:p>
    <w:p>
      <w:pPr>
        <w:tabs>
          <w:tab w:val="right" w:pos="9026" w:leader="dot"/>
        </w:tabs>
        <w:spacing w:after="70"/>
      </w:pPr>
      <w:r>
        <w:rPr>
          <w:rFonts w:ascii="Calibri" w:cs="Calibri" w:eastAsia="Calibri" w:hAnsi="Calibri"/>
          <w:b w:val="false"/>
          <w:bCs w:val="false"/>
          <w:color w:val="1A1A1A"/>
          <w:sz w:val="21"/>
          <w:szCs w:val="21"/>
        </w:rPr>
        <w:t xml:space="preserve">Annex P: Steering Committee Rules of Procedure</w:t>
      </w:r>
      <w:r>
        <w:rPr>
          <w:rFonts w:ascii="Calibri" w:cs="Calibri" w:eastAsia="Calibri" w:hAnsi="Calibri"/>
          <w:b w:val="false"/>
          <w:bCs w:val="false"/>
          <w:color w:val="1A1A1A"/>
          <w:sz w:val="21"/>
          <w:szCs w:val="21"/>
        </w:rPr>
        <w:t xml:space="preserve">	35</w:t>
      </w:r>
    </w:p>
    <w:p>
      <w:pPr>
        <w:tabs>
          <w:tab w:val="right" w:pos="9026" w:leader="dot"/>
        </w:tabs>
        <w:spacing w:after="70"/>
      </w:pPr>
      <w:r>
        <w:rPr>
          <w:rFonts w:ascii="Calibri" w:cs="Calibri" w:eastAsia="Calibri" w:hAnsi="Calibri"/>
          <w:b w:val="false"/>
          <w:bCs w:val="false"/>
          <w:color w:val="1A1A1A"/>
          <w:sz w:val="21"/>
          <w:szCs w:val="21"/>
        </w:rPr>
        <w:t xml:space="preserve">Annex R: Historical Precedent Case Studies</w:t>
      </w:r>
      <w:r>
        <w:rPr>
          <w:rFonts w:ascii="Calibri" w:cs="Calibri" w:eastAsia="Calibri" w:hAnsi="Calibri"/>
          <w:b w:val="false"/>
          <w:bCs w:val="false"/>
          <w:color w:val="1A1A1A"/>
          <w:sz w:val="21"/>
          <w:szCs w:val="21"/>
        </w:rPr>
        <w:t xml:space="preserve">	36</w:t>
      </w:r>
    </w:p>
    <w:p>
      <w:pPr>
        <w:tabs>
          <w:tab w:val="right" w:pos="9026" w:leader="dot"/>
        </w:tabs>
        <w:spacing w:after="70"/>
      </w:pPr>
      <w:r>
        <w:rPr>
          <w:rFonts w:ascii="Calibri" w:cs="Calibri" w:eastAsia="Calibri" w:hAnsi="Calibri"/>
          <w:b w:val="false"/>
          <w:bCs w:val="false"/>
          <w:color w:val="1A1A1A"/>
          <w:sz w:val="21"/>
          <w:szCs w:val="21"/>
        </w:rPr>
        <w:t xml:space="preserve">Annex S: Legal and Policy Frequently Asked Questions</w:t>
      </w:r>
      <w:r>
        <w:rPr>
          <w:rFonts w:ascii="Calibri" w:cs="Calibri" w:eastAsia="Calibri" w:hAnsi="Calibri"/>
          <w:b w:val="false"/>
          <w:bCs w:val="false"/>
          <w:color w:val="1A1A1A"/>
          <w:sz w:val="21"/>
          <w:szCs w:val="21"/>
        </w:rPr>
        <w:t xml:space="preserve">	36</w:t>
      </w:r>
    </w:p>
    <w:p>
      <w:pPr>
        <w:tabs>
          <w:tab w:val="right" w:pos="9026" w:leader="dot"/>
        </w:tabs>
        <w:spacing w:after="70"/>
      </w:pPr>
      <w:r>
        <w:rPr>
          <w:rFonts w:ascii="Calibri" w:cs="Calibri" w:eastAsia="Calibri" w:hAnsi="Calibri"/>
          <w:b w:val="false"/>
          <w:bCs w:val="false"/>
          <w:color w:val="1A1A1A"/>
          <w:sz w:val="21"/>
          <w:szCs w:val="21"/>
        </w:rPr>
        <w:t xml:space="preserve">Annex T: Party Implementation Checklist</w:t>
      </w:r>
      <w:r>
        <w:rPr>
          <w:rFonts w:ascii="Calibri" w:cs="Calibri" w:eastAsia="Calibri" w:hAnsi="Calibri"/>
          <w:b w:val="false"/>
          <w:bCs w:val="false"/>
          <w:color w:val="1A1A1A"/>
          <w:sz w:val="21"/>
          <w:szCs w:val="21"/>
        </w:rPr>
        <w:t xml:space="preserve">	37</w:t>
      </w:r>
    </w:p>
    <w:p>
      <w:pPr>
        <w:tabs>
          <w:tab w:val="right" w:pos="9026" w:leader="dot"/>
        </w:tabs>
        <w:spacing w:after="70"/>
      </w:pPr>
      <w:r>
        <w:rPr>
          <w:rFonts w:ascii="Calibri" w:cs="Calibri" w:eastAsia="Calibri" w:hAnsi="Calibri"/>
          <w:b w:val="false"/>
          <w:bCs w:val="false"/>
          <w:color w:val="1A1A1A"/>
          <w:sz w:val="21"/>
          <w:szCs w:val="21"/>
        </w:rPr>
        <w:t xml:space="preserve">Annex U: Detailed WTO Legal Memorandum</w:t>
      </w:r>
      <w:r>
        <w:rPr>
          <w:rFonts w:ascii="Calibri" w:cs="Calibri" w:eastAsia="Calibri" w:hAnsi="Calibri"/>
          <w:b w:val="false"/>
          <w:bCs w:val="false"/>
          <w:color w:val="1A1A1A"/>
          <w:sz w:val="21"/>
          <w:szCs w:val="21"/>
        </w:rPr>
        <w:t xml:space="preserve">	38</w:t>
      </w:r>
    </w:p>
    <w:p>
      <w:pPr>
        <w:tabs>
          <w:tab w:val="right" w:pos="9026" w:leader="dot"/>
        </w:tabs>
        <w:spacing w:after="70"/>
      </w:pPr>
      <w:r>
        <w:rPr>
          <w:rFonts w:ascii="Calibri" w:cs="Calibri" w:eastAsia="Calibri" w:hAnsi="Calibri"/>
          <w:b w:val="false"/>
          <w:bCs w:val="false"/>
          <w:color w:val="1A1A1A"/>
          <w:sz w:val="21"/>
          <w:szCs w:val="21"/>
        </w:rPr>
        <w:t xml:space="preserve">Annex V: Coalition Council Voting Procedures</w:t>
      </w:r>
      <w:r>
        <w:rPr>
          <w:rFonts w:ascii="Calibri" w:cs="Calibri" w:eastAsia="Calibri" w:hAnsi="Calibri"/>
          <w:b w:val="false"/>
          <w:bCs w:val="false"/>
          <w:color w:val="1A1A1A"/>
          <w:sz w:val="21"/>
          <w:szCs w:val="21"/>
        </w:rPr>
        <w:t xml:space="preserve">	39</w:t>
      </w:r>
    </w:p>
    <w:p>
      <w:pPr>
        <w:tabs>
          <w:tab w:val="right" w:pos="9026" w:leader="dot"/>
        </w:tabs>
        <w:spacing w:after="70"/>
      </w:pPr>
      <w:r>
        <w:rPr>
          <w:rFonts w:ascii="Calibri" w:cs="Calibri" w:eastAsia="Calibri" w:hAnsi="Calibri"/>
          <w:b w:val="false"/>
          <w:bCs w:val="false"/>
          <w:color w:val="1A1A1A"/>
          <w:sz w:val="21"/>
          <w:szCs w:val="21"/>
        </w:rPr>
        <w:t xml:space="preserve">Annex W: Supplementary Provisions to the Operative Articles</w:t>
      </w:r>
      <w:r>
        <w:rPr>
          <w:rFonts w:ascii="Calibri" w:cs="Calibri" w:eastAsia="Calibri" w:hAnsi="Calibri"/>
          <w:b w:val="false"/>
          <w:bCs w:val="false"/>
          <w:color w:val="1A1A1A"/>
          <w:sz w:val="21"/>
          <w:szCs w:val="21"/>
        </w:rPr>
        <w:t xml:space="preserve">	40</w:t>
      </w:r>
    </w:p>
    <w:p>
      <w:pPr>
        <w:tabs>
          <w:tab w:val="right" w:pos="9026" w:leader="dot"/>
        </w:tabs>
        <w:spacing w:after="70"/>
      </w:pPr>
      <w:r>
        <w:rPr>
          <w:rFonts w:ascii="Calibri" w:cs="Calibri" w:eastAsia="Calibri" w:hAnsi="Calibri"/>
          <w:b w:val="false"/>
          <w:bCs w:val="false"/>
          <w:color w:val="1A1A1A"/>
          <w:sz w:val="21"/>
          <w:szCs w:val="21"/>
        </w:rPr>
        <w:t xml:space="preserve">Annex X: Comparative Precedent, the Ottawa Treaty Coalition Model</w:t>
      </w:r>
      <w:r>
        <w:rPr>
          <w:rFonts w:ascii="Calibri" w:cs="Calibri" w:eastAsia="Calibri" w:hAnsi="Calibri"/>
          <w:b w:val="false"/>
          <w:bCs w:val="false"/>
          <w:color w:val="1A1A1A"/>
          <w:sz w:val="21"/>
          <w:szCs w:val="21"/>
        </w:rPr>
        <w:t xml:space="preserve">	42</w:t>
      </w:r>
    </w:p>
    <w:p>
      <w:pPr>
        <w:tabs>
          <w:tab w:val="right" w:pos="9026" w:leader="dot"/>
        </w:tabs>
        <w:spacing w:after="70"/>
      </w:pPr>
      <w:r>
        <w:rPr>
          <w:rFonts w:ascii="Calibri" w:cs="Calibri" w:eastAsia="Calibri" w:hAnsi="Calibri"/>
          <w:b w:val="false"/>
          <w:bCs w:val="false"/>
          <w:color w:val="1A1A1A"/>
          <w:sz w:val="21"/>
          <w:szCs w:val="21"/>
        </w:rPr>
        <w:t xml:space="preserve">Annex Y: Public Opinion and Media Monitoring Plan</w:t>
      </w:r>
      <w:r>
        <w:rPr>
          <w:rFonts w:ascii="Calibri" w:cs="Calibri" w:eastAsia="Calibri" w:hAnsi="Calibri"/>
          <w:b w:val="false"/>
          <w:bCs w:val="false"/>
          <w:color w:val="1A1A1A"/>
          <w:sz w:val="21"/>
          <w:szCs w:val="21"/>
        </w:rPr>
        <w:t xml:space="preserve">	42</w:t>
      </w:r>
    </w:p>
    <w:p>
      <w:pPr>
        <w:tabs>
          <w:tab w:val="right" w:pos="9026" w:leader="dot"/>
        </w:tabs>
        <w:spacing w:after="70"/>
      </w:pPr>
      <w:r>
        <w:rPr>
          <w:rFonts w:ascii="Calibri" w:cs="Calibri" w:eastAsia="Calibri" w:hAnsi="Calibri"/>
          <w:b w:val="false"/>
          <w:bCs w:val="false"/>
          <w:color w:val="1A1A1A"/>
          <w:sz w:val="21"/>
          <w:szCs w:val="21"/>
        </w:rPr>
        <w:t xml:space="preserve">Annex Z: Interpretive Notes and Rules of Construction</w:t>
      </w:r>
      <w:r>
        <w:rPr>
          <w:rFonts w:ascii="Calibri" w:cs="Calibri" w:eastAsia="Calibri" w:hAnsi="Calibri"/>
          <w:b w:val="false"/>
          <w:bCs w:val="false"/>
          <w:color w:val="1A1A1A"/>
          <w:sz w:val="21"/>
          <w:szCs w:val="21"/>
        </w:rPr>
        <w:t xml:space="preserve">	43</w:t>
      </w:r>
    </w:p>
    <w:p>
      <w:pPr>
        <w:tabs>
          <w:tab w:val="right" w:pos="9026" w:leader="dot"/>
        </w:tabs>
        <w:spacing w:after="70"/>
      </w:pPr>
      <w:r>
        <w:rPr>
          <w:rFonts w:ascii="Calibri" w:cs="Calibri" w:eastAsia="Calibri" w:hAnsi="Calibri"/>
          <w:b w:val="false"/>
          <w:bCs w:val="false"/>
          <w:color w:val="1A1A1A"/>
          <w:sz w:val="21"/>
          <w:szCs w:val="21"/>
        </w:rPr>
        <w:t xml:space="preserve">Annex AA: Detailed Product Coverage Rationale by HS Heading</w:t>
      </w:r>
      <w:r>
        <w:rPr>
          <w:rFonts w:ascii="Calibri" w:cs="Calibri" w:eastAsia="Calibri" w:hAnsi="Calibri"/>
          <w:b w:val="false"/>
          <w:bCs w:val="false"/>
          <w:color w:val="1A1A1A"/>
          <w:sz w:val="21"/>
          <w:szCs w:val="21"/>
        </w:rPr>
        <w:t xml:space="preserve">	44</w:t>
      </w:r>
    </w:p>
    <w:p>
      <w:pPr>
        <w:tabs>
          <w:tab w:val="right" w:pos="9026" w:leader="dot"/>
        </w:tabs>
        <w:spacing w:after="70"/>
      </w:pPr>
      <w:r>
        <w:rPr>
          <w:rFonts w:ascii="Calibri" w:cs="Calibri" w:eastAsia="Calibri" w:hAnsi="Calibri"/>
          <w:b w:val="false"/>
          <w:bCs w:val="false"/>
          <w:color w:val="1A1A1A"/>
          <w:sz w:val="21"/>
          <w:szCs w:val="21"/>
        </w:rPr>
        <w:t xml:space="preserve">Annex AB: Sample Steering Committee Meeting Record</w:t>
      </w:r>
      <w:r>
        <w:rPr>
          <w:rFonts w:ascii="Calibri" w:cs="Calibri" w:eastAsia="Calibri" w:hAnsi="Calibri"/>
          <w:b w:val="false"/>
          <w:bCs w:val="false"/>
          <w:color w:val="1A1A1A"/>
          <w:sz w:val="21"/>
          <w:szCs w:val="21"/>
        </w:rPr>
        <w:t xml:space="preserve">	45</w:t>
      </w:r>
    </w:p>
    <w:p>
      <w:pPr>
        <w:tabs>
          <w:tab w:val="right" w:pos="9026" w:leader="dot"/>
        </w:tabs>
        <w:spacing w:after="70"/>
      </w:pPr>
      <w:r>
        <w:rPr>
          <w:rFonts w:ascii="Calibri" w:cs="Calibri" w:eastAsia="Calibri" w:hAnsi="Calibri"/>
          <w:b w:val="false"/>
          <w:bCs w:val="false"/>
          <w:color w:val="1A1A1A"/>
          <w:sz w:val="21"/>
          <w:szCs w:val="21"/>
        </w:rPr>
        <w:t xml:space="preserve">Annex AC: Coalition Communications Channel Specifications</w:t>
      </w:r>
      <w:r>
        <w:rPr>
          <w:rFonts w:ascii="Calibri" w:cs="Calibri" w:eastAsia="Calibri" w:hAnsi="Calibri"/>
          <w:b w:val="false"/>
          <w:bCs w:val="false"/>
          <w:color w:val="1A1A1A"/>
          <w:sz w:val="21"/>
          <w:szCs w:val="21"/>
        </w:rPr>
        <w:t xml:space="preserve">	46</w:t>
      </w:r>
    </w:p>
    <w:p>
      <w:pPr>
        <w:tabs>
          <w:tab w:val="right" w:pos="9026" w:leader="dot"/>
        </w:tabs>
        <w:spacing w:after="70"/>
      </w:pPr>
      <w:r>
        <w:rPr>
          <w:rFonts w:ascii="Calibri" w:cs="Calibri" w:eastAsia="Calibri" w:hAnsi="Calibri"/>
          <w:b w:val="false"/>
          <w:bCs w:val="false"/>
          <w:color w:val="1A1A1A"/>
          <w:sz w:val="21"/>
          <w:szCs w:val="21"/>
        </w:rPr>
        <w:t xml:space="preserve">Annex AD: Working Group Terms of Reference</w:t>
      </w:r>
      <w:r>
        <w:rPr>
          <w:rFonts w:ascii="Calibri" w:cs="Calibri" w:eastAsia="Calibri" w:hAnsi="Calibri"/>
          <w:b w:val="false"/>
          <w:bCs w:val="false"/>
          <w:color w:val="1A1A1A"/>
          <w:sz w:val="21"/>
          <w:szCs w:val="21"/>
        </w:rPr>
        <w:t xml:space="preserve">	46</w:t>
      </w:r>
    </w:p>
    <w:p>
      <w:pPr>
        <w:tabs>
          <w:tab w:val="right" w:pos="9026" w:leader="dot"/>
        </w:tabs>
        <w:spacing w:after="70"/>
      </w:pPr>
      <w:r>
        <w:rPr>
          <w:rFonts w:ascii="Calibri" w:cs="Calibri" w:eastAsia="Calibri" w:hAnsi="Calibri"/>
          <w:b w:val="false"/>
          <w:bCs w:val="false"/>
          <w:color w:val="1A1A1A"/>
          <w:sz w:val="21"/>
          <w:szCs w:val="21"/>
        </w:rPr>
        <w:t xml:space="preserve">Annex AE: The Prisoner's Dilemma, Extended Analysis</w:t>
      </w:r>
      <w:r>
        <w:rPr>
          <w:rFonts w:ascii="Calibri" w:cs="Calibri" w:eastAsia="Calibri" w:hAnsi="Calibri"/>
          <w:b w:val="false"/>
          <w:bCs w:val="false"/>
          <w:color w:val="1A1A1A"/>
          <w:sz w:val="21"/>
          <w:szCs w:val="21"/>
        </w:rPr>
        <w:t xml:space="preserve">	47</w:t>
      </w:r>
    </w:p>
    <w:p>
      <w:pPr>
        <w:tabs>
          <w:tab w:val="right" w:pos="9026" w:leader="dot"/>
        </w:tabs>
        <w:spacing w:after="70"/>
      </w:pPr>
      <w:r>
        <w:rPr>
          <w:rFonts w:ascii="Calibri" w:cs="Calibri" w:eastAsia="Calibri" w:hAnsi="Calibri"/>
          <w:b w:val="false"/>
          <w:bCs w:val="false"/>
          <w:color w:val="1A1A1A"/>
          <w:sz w:val="21"/>
          <w:szCs w:val="21"/>
        </w:rPr>
        <w:t xml:space="preserve">Annex AF: Contingency Planning for Early Defection Scenarios</w:t>
      </w:r>
      <w:r>
        <w:rPr>
          <w:rFonts w:ascii="Calibri" w:cs="Calibri" w:eastAsia="Calibri" w:hAnsi="Calibri"/>
          <w:b w:val="false"/>
          <w:bCs w:val="false"/>
          <w:color w:val="1A1A1A"/>
          <w:sz w:val="21"/>
          <w:szCs w:val="21"/>
        </w:rPr>
        <w:t xml:space="preserve">	48</w:t>
      </w:r>
    </w:p>
    <w:p>
      <w:pPr>
        <w:tabs>
          <w:tab w:val="right" w:pos="9026" w:leader="dot"/>
        </w:tabs>
        <w:spacing w:after="70"/>
      </w:pPr>
      <w:r>
        <w:rPr>
          <w:rFonts w:ascii="Calibri" w:cs="Calibri" w:eastAsia="Calibri" w:hAnsi="Calibri"/>
          <w:b w:val="false"/>
          <w:bCs w:val="false"/>
          <w:color w:val="1A1A1A"/>
          <w:sz w:val="21"/>
          <w:szCs w:val="21"/>
        </w:rPr>
        <w:t xml:space="preserve">Annex AG: Model Domestic Implementing Order</w:t>
      </w:r>
      <w:r>
        <w:rPr>
          <w:rFonts w:ascii="Calibri" w:cs="Calibri" w:eastAsia="Calibri" w:hAnsi="Calibri"/>
          <w:b w:val="false"/>
          <w:bCs w:val="false"/>
          <w:color w:val="1A1A1A"/>
          <w:sz w:val="21"/>
          <w:szCs w:val="21"/>
        </w:rPr>
        <w:t xml:space="preserve">	48</w:t>
      </w:r>
    </w:p>
    <w:p>
      <w:pPr>
        <w:tabs>
          <w:tab w:val="right" w:pos="9026" w:leader="dot"/>
        </w:tabs>
        <w:spacing w:after="70"/>
      </w:pPr>
      <w:r>
        <w:rPr>
          <w:rFonts w:ascii="Calibri" w:cs="Calibri" w:eastAsia="Calibri" w:hAnsi="Calibri"/>
          <w:b w:val="false"/>
          <w:bCs w:val="false"/>
          <w:color w:val="1A1A1A"/>
          <w:sz w:val="21"/>
          <w:szCs w:val="21"/>
        </w:rPr>
        <w:t xml:space="preserve">Annex AH: Intra-Coalition Dispute Resolution</w:t>
      </w:r>
      <w:r>
        <w:rPr>
          <w:rFonts w:ascii="Calibri" w:cs="Calibri" w:eastAsia="Calibri" w:hAnsi="Calibri"/>
          <w:b w:val="false"/>
          <w:bCs w:val="false"/>
          <w:color w:val="1A1A1A"/>
          <w:sz w:val="21"/>
          <w:szCs w:val="21"/>
        </w:rPr>
        <w:t xml:space="preserve">	49</w:t>
      </w:r>
    </w:p>
    <w:p>
      <w:pPr>
        <w:tabs>
          <w:tab w:val="right" w:pos="9026" w:leader="dot"/>
        </w:tabs>
        <w:spacing w:after="70"/>
      </w:pPr>
      <w:r>
        <w:rPr>
          <w:rFonts w:ascii="Calibri" w:cs="Calibri" w:eastAsia="Calibri" w:hAnsi="Calibri"/>
          <w:b w:val="false"/>
          <w:bCs w:val="false"/>
          <w:color w:val="1A1A1A"/>
          <w:sz w:val="21"/>
          <w:szCs w:val="21"/>
        </w:rPr>
        <w:t xml:space="preserve">Annex AI: Currency and Valuation for Ad Valorem Calculation</w:t>
      </w:r>
      <w:r>
        <w:rPr>
          <w:rFonts w:ascii="Calibri" w:cs="Calibri" w:eastAsia="Calibri" w:hAnsi="Calibri"/>
          <w:b w:val="false"/>
          <w:bCs w:val="false"/>
          <w:color w:val="1A1A1A"/>
          <w:sz w:val="21"/>
          <w:szCs w:val="21"/>
        </w:rPr>
        <w:t xml:space="preserve">	50</w:t>
      </w:r>
    </w:p>
    <w:p>
      <w:pPr>
        <w:tabs>
          <w:tab w:val="right" w:pos="9026" w:leader="dot"/>
        </w:tabs>
        <w:spacing w:after="70"/>
      </w:pPr>
      <w:r>
        <w:rPr>
          <w:rFonts w:ascii="Calibri" w:cs="Calibri" w:eastAsia="Calibri" w:hAnsi="Calibri"/>
          <w:b w:val="false"/>
          <w:bCs w:val="false"/>
          <w:color w:val="1A1A1A"/>
          <w:sz w:val="21"/>
          <w:szCs w:val="21"/>
        </w:rPr>
        <w:t xml:space="preserve">Annex AJ: Rules of Origin Verification</w:t>
      </w:r>
      <w:r>
        <w:rPr>
          <w:rFonts w:ascii="Calibri" w:cs="Calibri" w:eastAsia="Calibri" w:hAnsi="Calibri"/>
          <w:b w:val="false"/>
          <w:bCs w:val="false"/>
          <w:color w:val="1A1A1A"/>
          <w:sz w:val="21"/>
          <w:szCs w:val="21"/>
        </w:rPr>
        <w:t xml:space="preserve">	50</w:t>
      </w:r>
    </w:p>
    <w:p>
      <w:pPr>
        <w:tabs>
          <w:tab w:val="right" w:pos="9026" w:leader="dot"/>
        </w:tabs>
        <w:spacing w:after="70"/>
      </w:pPr>
      <w:r>
        <w:rPr>
          <w:rFonts w:ascii="Calibri" w:cs="Calibri" w:eastAsia="Calibri" w:hAnsi="Calibri"/>
          <w:b w:val="false"/>
          <w:bCs w:val="false"/>
          <w:color w:val="1A1A1A"/>
          <w:sz w:val="21"/>
          <w:szCs w:val="21"/>
        </w:rPr>
        <w:t xml:space="preserve">Annex AK: Domestic Industry Stakeholder Engagement Plan</w:t>
      </w:r>
      <w:r>
        <w:rPr>
          <w:rFonts w:ascii="Calibri" w:cs="Calibri" w:eastAsia="Calibri" w:hAnsi="Calibri"/>
          <w:b w:val="false"/>
          <w:bCs w:val="false"/>
          <w:color w:val="1A1A1A"/>
          <w:sz w:val="21"/>
          <w:szCs w:val="21"/>
        </w:rPr>
        <w:t xml:space="preserve">	51</w:t>
      </w:r>
    </w:p>
    <w:p>
      <w:pPr>
        <w:tabs>
          <w:tab w:val="right" w:pos="9026" w:leader="dot"/>
        </w:tabs>
        <w:spacing w:after="70"/>
      </w:pPr>
      <w:r>
        <w:rPr>
          <w:rFonts w:ascii="Calibri" w:cs="Calibri" w:eastAsia="Calibri" w:hAnsi="Calibri"/>
          <w:b w:val="false"/>
          <w:bCs w:val="false"/>
          <w:color w:val="1A1A1A"/>
          <w:sz w:val="21"/>
          <w:szCs w:val="21"/>
        </w:rPr>
        <w:t xml:space="preserve">Annex AL: Alternative Retaliation Instruments Considered and Rejected</w:t>
      </w:r>
      <w:r>
        <w:rPr>
          <w:rFonts w:ascii="Calibri" w:cs="Calibri" w:eastAsia="Calibri" w:hAnsi="Calibri"/>
          <w:b w:val="false"/>
          <w:bCs w:val="false"/>
          <w:color w:val="1A1A1A"/>
          <w:sz w:val="21"/>
          <w:szCs w:val="21"/>
        </w:rPr>
        <w:t xml:space="preserve">	51</w:t>
      </w:r>
    </w:p>
    <w:p>
      <w:pPr>
        <w:tabs>
          <w:tab w:val="right" w:pos="9026" w:leader="dot"/>
        </w:tabs>
        <w:spacing w:after="70"/>
      </w:pPr>
      <w:r>
        <w:rPr>
          <w:rFonts w:ascii="Calibri" w:cs="Calibri" w:eastAsia="Calibri" w:hAnsi="Calibri"/>
          <w:b w:val="false"/>
          <w:bCs w:val="false"/>
          <w:color w:val="1A1A1A"/>
          <w:sz w:val="21"/>
          <w:szCs w:val="21"/>
        </w:rPr>
        <w:t xml:space="preserve">Annex AM: Communications Working Group Crisis Response Scenarios</w:t>
      </w:r>
      <w:r>
        <w:rPr>
          <w:rFonts w:ascii="Calibri" w:cs="Calibri" w:eastAsia="Calibri" w:hAnsi="Calibri"/>
          <w:b w:val="false"/>
          <w:bCs w:val="false"/>
          <w:color w:val="1A1A1A"/>
          <w:sz w:val="21"/>
          <w:szCs w:val="21"/>
        </w:rPr>
        <w:t xml:space="preserve">	52</w:t>
      </w:r>
    </w:p>
    <w:p>
      <w:pPr>
        <w:tabs>
          <w:tab w:val="right" w:pos="9026" w:leader="dot"/>
        </w:tabs>
        <w:spacing w:after="70"/>
      </w:pPr>
      <w:r>
        <w:rPr>
          <w:rFonts w:ascii="Calibri" w:cs="Calibri" w:eastAsia="Calibri" w:hAnsi="Calibri"/>
          <w:b w:val="false"/>
          <w:bCs w:val="false"/>
          <w:color w:val="1A1A1A"/>
          <w:sz w:val="21"/>
          <w:szCs w:val="21"/>
        </w:rPr>
        <w:t xml:space="preserve">Annex AN: Model Diplomatic Notification</w:t>
      </w:r>
      <w:r>
        <w:rPr>
          <w:rFonts w:ascii="Calibri" w:cs="Calibri" w:eastAsia="Calibri" w:hAnsi="Calibri"/>
          <w:b w:val="false"/>
          <w:bCs w:val="false"/>
          <w:color w:val="1A1A1A"/>
          <w:sz w:val="21"/>
          <w:szCs w:val="21"/>
        </w:rPr>
        <w:t xml:space="preserve">	53</w:t>
      </w:r>
    </w:p>
    <w:p>
      <w:pPr>
        <w:tabs>
          <w:tab w:val="right" w:pos="9026" w:leader="dot"/>
        </w:tabs>
        <w:spacing w:after="70"/>
      </w:pPr>
      <w:r>
        <w:rPr>
          <w:rFonts w:ascii="Calibri" w:cs="Calibri" w:eastAsia="Calibri" w:hAnsi="Calibri"/>
          <w:b w:val="false"/>
          <w:bCs w:val="false"/>
          <w:color w:val="1A1A1A"/>
          <w:sz w:val="21"/>
          <w:szCs w:val="21"/>
        </w:rPr>
        <w:t xml:space="preserve">Annex AO: Long-Term Institutional Evolution and Potential Successor Arrangements</w:t>
      </w:r>
      <w:r>
        <w:rPr>
          <w:rFonts w:ascii="Calibri" w:cs="Calibri" w:eastAsia="Calibri" w:hAnsi="Calibri"/>
          <w:b w:val="false"/>
          <w:bCs w:val="false"/>
          <w:color w:val="1A1A1A"/>
          <w:sz w:val="21"/>
          <w:szCs w:val="21"/>
        </w:rPr>
        <w:t xml:space="preserve">	53</w:t>
      </w:r>
    </w:p>
    <w:p>
      <w:pPr>
        <w:tabs>
          <w:tab w:val="right" w:pos="9026" w:leader="dot"/>
        </w:tabs>
        <w:spacing w:after="70"/>
      </w:pPr>
      <w:r>
        <w:rPr>
          <w:rFonts w:ascii="Calibri" w:cs="Calibri" w:eastAsia="Calibri" w:hAnsi="Calibri"/>
          <w:b w:val="false"/>
          <w:bCs w:val="false"/>
          <w:color w:val="1A1A1A"/>
          <w:sz w:val="21"/>
          <w:szCs w:val="21"/>
        </w:rPr>
        <w:t xml:space="preserve">Annex AP: Budget and Administrative Cost Structure</w:t>
      </w:r>
      <w:r>
        <w:rPr>
          <w:rFonts w:ascii="Calibri" w:cs="Calibri" w:eastAsia="Calibri" w:hAnsi="Calibri"/>
          <w:b w:val="false"/>
          <w:bCs w:val="false"/>
          <w:color w:val="1A1A1A"/>
          <w:sz w:val="21"/>
          <w:szCs w:val="21"/>
        </w:rPr>
        <w:t xml:space="preserve">	54</w:t>
      </w:r>
    </w:p>
    <w:p>
      <w:pPr>
        <w:tabs>
          <w:tab w:val="right" w:pos="9026" w:leader="dot"/>
        </w:tabs>
        <w:spacing w:after="70"/>
      </w:pPr>
      <w:r>
        <w:rPr>
          <w:rFonts w:ascii="Calibri" w:cs="Calibri" w:eastAsia="Calibri" w:hAnsi="Calibri"/>
          <w:b w:val="false"/>
          <w:bCs w:val="false"/>
          <w:color w:val="1A1A1A"/>
          <w:sz w:val="21"/>
          <w:szCs w:val="21"/>
        </w:rPr>
        <w:t xml:space="preserve">Annex AQ: Model Parliamentary and Legislative Statements of Support</w:t>
      </w:r>
      <w:r>
        <w:rPr>
          <w:rFonts w:ascii="Calibri" w:cs="Calibri" w:eastAsia="Calibri" w:hAnsi="Calibri"/>
          <w:b w:val="false"/>
          <w:bCs w:val="false"/>
          <w:color w:val="1A1A1A"/>
          <w:sz w:val="21"/>
          <w:szCs w:val="21"/>
        </w:rPr>
        <w:t xml:space="preserve">	54</w:t>
      </w:r>
    </w:p>
    <w:p>
      <w:pPr>
        <w:tabs>
          <w:tab w:val="right" w:pos="9026" w:leader="dot"/>
        </w:tabs>
        <w:spacing w:after="70"/>
      </w:pPr>
      <w:r>
        <w:rPr>
          <w:rFonts w:ascii="Calibri" w:cs="Calibri" w:eastAsia="Calibri" w:hAnsi="Calibri"/>
          <w:b w:val="false"/>
          <w:bCs w:val="false"/>
          <w:color w:val="1A1A1A"/>
          <w:sz w:val="21"/>
          <w:szCs w:val="21"/>
        </w:rPr>
        <w:t xml:space="preserve">Annex AR: Environmental and Supply-Chain Co-Benefits</w:t>
      </w:r>
      <w:r>
        <w:rPr>
          <w:rFonts w:ascii="Calibri" w:cs="Calibri" w:eastAsia="Calibri" w:hAnsi="Calibri"/>
          <w:b w:val="false"/>
          <w:bCs w:val="false"/>
          <w:color w:val="1A1A1A"/>
          <w:sz w:val="21"/>
          <w:szCs w:val="21"/>
        </w:rPr>
        <w:t xml:space="preserve">	55</w:t>
      </w:r>
    </w:p>
    <w:p>
      <w:pPr>
        <w:tabs>
          <w:tab w:val="right" w:pos="9026" w:leader="dot"/>
        </w:tabs>
        <w:spacing w:after="70"/>
      </w:pPr>
      <w:r>
        <w:rPr>
          <w:rFonts w:ascii="Calibri" w:cs="Calibri" w:eastAsia="Calibri" w:hAnsi="Calibri"/>
          <w:b w:val="false"/>
          <w:bCs w:val="false"/>
          <w:color w:val="1A1A1A"/>
          <w:sz w:val="21"/>
          <w:szCs w:val="21"/>
        </w:rPr>
        <w:t xml:space="preserve">Annex AS: Detailed Weekly Implementation Schedule</w:t>
      </w:r>
      <w:r>
        <w:rPr>
          <w:rFonts w:ascii="Calibri" w:cs="Calibri" w:eastAsia="Calibri" w:hAnsi="Calibri"/>
          <w:b w:val="false"/>
          <w:bCs w:val="false"/>
          <w:color w:val="1A1A1A"/>
          <w:sz w:val="21"/>
          <w:szCs w:val="21"/>
        </w:rPr>
        <w:t xml:space="preserve">	55</w:t>
      </w:r>
    </w:p>
    <w:p>
      <w:pPr>
        <w:tabs>
          <w:tab w:val="right" w:pos="9026" w:leader="dot"/>
        </w:tabs>
        <w:spacing w:after="70"/>
      </w:pPr>
      <w:r>
        <w:rPr>
          <w:rFonts w:ascii="Calibri" w:cs="Calibri" w:eastAsia="Calibri" w:hAnsi="Calibri"/>
          <w:b w:val="false"/>
          <w:bCs w:val="false"/>
          <w:color w:val="1A1A1A"/>
          <w:sz w:val="21"/>
          <w:szCs w:val="21"/>
        </w:rPr>
        <w:t xml:space="preserve">Annex AT: Investor and Commercial Contract Considerations</w:t>
      </w:r>
      <w:r>
        <w:rPr>
          <w:rFonts w:ascii="Calibri" w:cs="Calibri" w:eastAsia="Calibri" w:hAnsi="Calibri"/>
          <w:b w:val="false"/>
          <w:bCs w:val="false"/>
          <w:color w:val="1A1A1A"/>
          <w:sz w:val="21"/>
          <w:szCs w:val="21"/>
        </w:rPr>
        <w:t xml:space="preserve">	56</w:t>
      </w:r>
    </w:p>
    <w:p>
      <w:pPr>
        <w:tabs>
          <w:tab w:val="right" w:pos="9026" w:leader="dot"/>
        </w:tabs>
        <w:spacing w:after="70"/>
      </w:pPr>
      <w:r>
        <w:rPr>
          <w:rFonts w:ascii="Calibri" w:cs="Calibri" w:eastAsia="Calibri" w:hAnsi="Calibri"/>
          <w:b w:val="false"/>
          <w:bCs w:val="false"/>
          <w:color w:val="1A1A1A"/>
          <w:sz w:val="21"/>
          <w:szCs w:val="21"/>
        </w:rPr>
        <w:t xml:space="preserve">Annex AU: Coalition Council Session Logistics</w:t>
      </w:r>
      <w:r>
        <w:rPr>
          <w:rFonts w:ascii="Calibri" w:cs="Calibri" w:eastAsia="Calibri" w:hAnsi="Calibri"/>
          <w:b w:val="false"/>
          <w:bCs w:val="false"/>
          <w:color w:val="1A1A1A"/>
          <w:sz w:val="21"/>
          <w:szCs w:val="21"/>
        </w:rPr>
        <w:t xml:space="preserve">	57</w:t>
      </w:r>
    </w:p>
    <w:p>
      <w:pPr>
        <w:tabs>
          <w:tab w:val="right" w:pos="9026" w:leader="dot"/>
        </w:tabs>
        <w:spacing w:after="70"/>
      </w:pPr>
      <w:r>
        <w:rPr>
          <w:rFonts w:ascii="Calibri" w:cs="Calibri" w:eastAsia="Calibri" w:hAnsi="Calibri"/>
          <w:b w:val="false"/>
          <w:bCs w:val="false"/>
          <w:color w:val="1A1A1A"/>
          <w:sz w:val="21"/>
          <w:szCs w:val="21"/>
        </w:rPr>
        <w:t xml:space="preserve">Annex AV: Relationship to Broader Multilateral Institutions</w:t>
      </w:r>
      <w:r>
        <w:rPr>
          <w:rFonts w:ascii="Calibri" w:cs="Calibri" w:eastAsia="Calibri" w:hAnsi="Calibri"/>
          <w:b w:val="false"/>
          <w:bCs w:val="false"/>
          <w:color w:val="1A1A1A"/>
          <w:sz w:val="21"/>
          <w:szCs w:val="21"/>
        </w:rPr>
        <w:t xml:space="preserve">	57</w:t>
      </w:r>
    </w:p>
    <w:p>
      <w:pPr>
        <w:tabs>
          <w:tab w:val="right" w:pos="9026" w:leader="dot"/>
        </w:tabs>
        <w:spacing w:after="70"/>
      </w:pPr>
      <w:r>
        <w:rPr>
          <w:rFonts w:ascii="Calibri" w:cs="Calibri" w:eastAsia="Calibri" w:hAnsi="Calibri"/>
          <w:b w:val="false"/>
          <w:bCs w:val="false"/>
          <w:color w:val="1A1A1A"/>
          <w:sz w:val="21"/>
          <w:szCs w:val="21"/>
        </w:rPr>
        <w:t xml:space="preserve">Annex AW: Data Sharing and Statistical Standards</w:t>
      </w:r>
      <w:r>
        <w:rPr>
          <w:rFonts w:ascii="Calibri" w:cs="Calibri" w:eastAsia="Calibri" w:hAnsi="Calibri"/>
          <w:b w:val="false"/>
          <w:bCs w:val="false"/>
          <w:color w:val="1A1A1A"/>
          <w:sz w:val="21"/>
          <w:szCs w:val="21"/>
        </w:rPr>
        <w:t xml:space="preserve">	58</w:t>
      </w:r>
    </w:p>
    <w:p>
      <w:pPr>
        <w:tabs>
          <w:tab w:val="right" w:pos="9026" w:leader="dot"/>
        </w:tabs>
        <w:spacing w:after="70"/>
      </w:pPr>
      <w:r>
        <w:rPr>
          <w:rFonts w:ascii="Calibri" w:cs="Calibri" w:eastAsia="Calibri" w:hAnsi="Calibri"/>
          <w:b w:val="false"/>
          <w:bCs w:val="false"/>
          <w:color w:val="1A1A1A"/>
          <w:sz w:val="21"/>
          <w:szCs w:val="21"/>
        </w:rPr>
        <w:t xml:space="preserve">Annex AX: Public-Private Sector Coordination Mechanisms</w:t>
      </w:r>
      <w:r>
        <w:rPr>
          <w:rFonts w:ascii="Calibri" w:cs="Calibri" w:eastAsia="Calibri" w:hAnsi="Calibri"/>
          <w:b w:val="false"/>
          <w:bCs w:val="false"/>
          <w:color w:val="1A1A1A"/>
          <w:sz w:val="21"/>
          <w:szCs w:val="21"/>
        </w:rPr>
        <w:t xml:space="preserve">	58</w:t>
      </w:r>
    </w:p>
    <w:p>
      <w:pPr>
        <w:tabs>
          <w:tab w:val="right" w:pos="9026" w:leader="dot"/>
        </w:tabs>
        <w:spacing w:after="70"/>
      </w:pPr>
      <w:r>
        <w:rPr>
          <w:rFonts w:ascii="Calibri" w:cs="Calibri" w:eastAsia="Calibri" w:hAnsi="Calibri"/>
          <w:b w:val="false"/>
          <w:bCs w:val="false"/>
          <w:color w:val="1A1A1A"/>
          <w:sz w:val="21"/>
          <w:szCs w:val="21"/>
        </w:rPr>
        <w:t xml:space="preserve">Annex AY: Digital Customs Systems Interoperability</w:t>
      </w:r>
      <w:r>
        <w:rPr>
          <w:rFonts w:ascii="Calibri" w:cs="Calibri" w:eastAsia="Calibri" w:hAnsi="Calibri"/>
          <w:b w:val="false"/>
          <w:bCs w:val="false"/>
          <w:color w:val="1A1A1A"/>
          <w:sz w:val="21"/>
          <w:szCs w:val="21"/>
        </w:rPr>
        <w:t xml:space="preserve">	59</w:t>
      </w:r>
    </w:p>
    <w:p>
      <w:pPr>
        <w:tabs>
          <w:tab w:val="right" w:pos="9026" w:leader="dot"/>
        </w:tabs>
        <w:spacing w:after="70"/>
      </w:pPr>
      <w:r>
        <w:rPr>
          <w:rFonts w:ascii="Calibri" w:cs="Calibri" w:eastAsia="Calibri" w:hAnsi="Calibri"/>
          <w:b w:val="false"/>
          <w:bCs w:val="false"/>
          <w:color w:val="1A1A1A"/>
          <w:sz w:val="21"/>
          <w:szCs w:val="21"/>
        </w:rPr>
        <w:t xml:space="preserve">Annex AZ: Translation and Multilingual Documentation Standards</w:t>
      </w:r>
      <w:r>
        <w:rPr>
          <w:rFonts w:ascii="Calibri" w:cs="Calibri" w:eastAsia="Calibri" w:hAnsi="Calibri"/>
          <w:b w:val="false"/>
          <w:bCs w:val="false"/>
          <w:color w:val="1A1A1A"/>
          <w:sz w:val="21"/>
          <w:szCs w:val="21"/>
        </w:rPr>
        <w:t xml:space="preserve">	59</w:t>
      </w:r>
    </w:p>
    <w:p>
      <w:pPr>
        <w:tabs>
          <w:tab w:val="right" w:pos="9026" w:leader="dot"/>
        </w:tabs>
        <w:spacing w:after="70"/>
      </w:pPr>
      <w:r>
        <w:rPr>
          <w:rFonts w:ascii="Calibri" w:cs="Calibri" w:eastAsia="Calibri" w:hAnsi="Calibri"/>
          <w:b w:val="false"/>
          <w:bCs w:val="false"/>
          <w:color w:val="1A1A1A"/>
          <w:sz w:val="21"/>
          <w:szCs w:val="21"/>
        </w:rPr>
        <w:t xml:space="preserve">Annex BA: Final Administrative Provisions and Anniversary Review</w:t>
      </w:r>
      <w:r>
        <w:rPr>
          <w:rFonts w:ascii="Calibri" w:cs="Calibri" w:eastAsia="Calibri" w:hAnsi="Calibri"/>
          <w:b w:val="false"/>
          <w:bCs w:val="false"/>
          <w:color w:val="1A1A1A"/>
          <w:sz w:val="21"/>
          <w:szCs w:val="21"/>
        </w:rPr>
        <w:t xml:space="preserve">	60</w:t>
      </w:r>
    </w:p>
    <w:p>
      <w:pPr>
        <w:tabs>
          <w:tab w:val="right" w:pos="9026" w:leader="dot"/>
        </w:tabs>
        <w:spacing w:after="70"/>
      </w:pPr>
      <w:r>
        <w:rPr>
          <w:rFonts w:ascii="Calibri" w:cs="Calibri" w:eastAsia="Calibri" w:hAnsi="Calibri"/>
          <w:b w:val="false"/>
          <w:bCs w:val="false"/>
          <w:color w:val="1A1A1A"/>
          <w:sz w:val="21"/>
          <w:szCs w:val="21"/>
        </w:rPr>
        <w:t xml:space="preserve">Annex BB: Coalition Expansion Beyond the Initial Target Pool</w:t>
      </w:r>
      <w:r>
        <w:rPr>
          <w:rFonts w:ascii="Calibri" w:cs="Calibri" w:eastAsia="Calibri" w:hAnsi="Calibri"/>
          <w:b w:val="false"/>
          <w:bCs w:val="false"/>
          <w:color w:val="1A1A1A"/>
          <w:sz w:val="21"/>
          <w:szCs w:val="21"/>
        </w:rPr>
        <w:t xml:space="preserve">	61</w:t>
      </w:r>
    </w:p>
    <w:p>
      <w:pPr>
        <w:tabs>
          <w:tab w:val="right" w:pos="9026" w:leader="dot"/>
        </w:tabs>
        <w:spacing w:after="70"/>
      </w:pPr>
      <w:r>
        <w:rPr>
          <w:rFonts w:ascii="Calibri" w:cs="Calibri" w:eastAsia="Calibri" w:hAnsi="Calibri"/>
          <w:b w:val="false"/>
          <w:bCs w:val="false"/>
          <w:color w:val="1A1A1A"/>
          <w:sz w:val="21"/>
          <w:szCs w:val="21"/>
        </w:rPr>
        <w:t xml:space="preserve">Annex BC: Model Text for Bilateral Side Letters</w:t>
      </w:r>
      <w:r>
        <w:rPr>
          <w:rFonts w:ascii="Calibri" w:cs="Calibri" w:eastAsia="Calibri" w:hAnsi="Calibri"/>
          <w:b w:val="false"/>
          <w:bCs w:val="false"/>
          <w:color w:val="1A1A1A"/>
          <w:sz w:val="21"/>
          <w:szCs w:val="21"/>
        </w:rPr>
        <w:t xml:space="preserve">	61</w:t>
      </w:r>
    </w:p>
    <w:p>
      <w:pPr>
        <w:tabs>
          <w:tab w:val="right" w:pos="9026" w:leader="dot"/>
        </w:tabs>
        <w:spacing w:after="70"/>
      </w:pPr>
      <w:r>
        <w:rPr>
          <w:rFonts w:ascii="Calibri" w:cs="Calibri" w:eastAsia="Calibri" w:hAnsi="Calibri"/>
          <w:b w:val="false"/>
          <w:bCs w:val="false"/>
          <w:color w:val="1A1A1A"/>
          <w:sz w:val="21"/>
          <w:szCs w:val="21"/>
        </w:rPr>
        <w:t xml:space="preserve">Annex BD: Succession and Continuity Planning</w:t>
      </w:r>
      <w:r>
        <w:rPr>
          <w:rFonts w:ascii="Calibri" w:cs="Calibri" w:eastAsia="Calibri" w:hAnsi="Calibri"/>
          <w:b w:val="false"/>
          <w:bCs w:val="false"/>
          <w:color w:val="1A1A1A"/>
          <w:sz w:val="21"/>
          <w:szCs w:val="21"/>
        </w:rPr>
        <w:t xml:space="preserve">	62</w:t>
      </w:r>
    </w:p>
    <w:p>
      <w:pPr>
        <w:tabs>
          <w:tab w:val="right" w:pos="9026" w:leader="dot"/>
        </w:tabs>
        <w:spacing w:after="70"/>
      </w:pPr>
      <w:r>
        <w:rPr>
          <w:rFonts w:ascii="Calibri" w:cs="Calibri" w:eastAsia="Calibri" w:hAnsi="Calibri"/>
          <w:b w:val="false"/>
          <w:bCs w:val="false"/>
          <w:color w:val="1A1A1A"/>
          <w:sz w:val="21"/>
          <w:szCs w:val="21"/>
        </w:rPr>
        <w:t xml:space="preserve">Annex BE: Framework Acronyms and Abbreviations</w:t>
      </w:r>
      <w:r>
        <w:rPr>
          <w:rFonts w:ascii="Calibri" w:cs="Calibri" w:eastAsia="Calibri" w:hAnsi="Calibri"/>
          <w:b w:val="false"/>
          <w:bCs w:val="false"/>
          <w:color w:val="1A1A1A"/>
          <w:sz w:val="21"/>
          <w:szCs w:val="21"/>
        </w:rPr>
        <w:t xml:space="preserve">	62</w:t>
      </w:r>
    </w:p>
    <w:p>
      <w:pPr>
        <w:tabs>
          <w:tab w:val="right" w:pos="9026" w:leader="dot"/>
        </w:tabs>
        <w:spacing w:after="70"/>
      </w:pPr>
      <w:r>
        <w:rPr>
          <w:rFonts w:ascii="Calibri" w:cs="Calibri" w:eastAsia="Calibri" w:hAnsi="Calibri"/>
          <w:b w:val="false"/>
          <w:bCs w:val="false"/>
          <w:color w:val="1A1A1A"/>
          <w:sz w:val="21"/>
          <w:szCs w:val="21"/>
        </w:rPr>
        <w:t xml:space="preserve">Annex BF: Signature and Ratification Block</w:t>
      </w:r>
      <w:r>
        <w:rPr>
          <w:rFonts w:ascii="Calibri" w:cs="Calibri" w:eastAsia="Calibri" w:hAnsi="Calibri"/>
          <w:b w:val="false"/>
          <w:bCs w:val="false"/>
          <w:color w:val="1A1A1A"/>
          <w:sz w:val="21"/>
          <w:szCs w:val="21"/>
        </w:rPr>
        <w:t xml:space="preserve">	63</w:t>
      </w:r>
    </w:p>
    <w:p>
      <w:pPr>
        <w:tabs>
          <w:tab w:val="right" w:pos="9026" w:leader="dot"/>
        </w:tabs>
        <w:spacing w:after="70"/>
      </w:pPr>
      <w:r>
        <w:rPr>
          <w:rFonts w:ascii="Calibri" w:cs="Calibri" w:eastAsia="Calibri" w:hAnsi="Calibri"/>
          <w:b w:val="false"/>
          <w:bCs w:val="false"/>
          <w:color w:val="1A1A1A"/>
          <w:sz w:val="21"/>
          <w:szCs w:val="21"/>
        </w:rPr>
        <w:t xml:space="preserve">Annex BG: Framework Visual Identity Standards</w:t>
      </w:r>
      <w:r>
        <w:rPr>
          <w:rFonts w:ascii="Calibri" w:cs="Calibri" w:eastAsia="Calibri" w:hAnsi="Calibri"/>
          <w:b w:val="false"/>
          <w:bCs w:val="false"/>
          <w:color w:val="1A1A1A"/>
          <w:sz w:val="21"/>
          <w:szCs w:val="21"/>
        </w:rPr>
        <w:t xml:space="preserve">	64</w:t>
      </w:r>
    </w:p>
    <w:p>
      <w:pPr>
        <w:tabs>
          <w:tab w:val="right" w:pos="9026" w:leader="dot"/>
        </w:tabs>
        <w:spacing w:after="70"/>
      </w:pPr>
      <w:r>
        <w:rPr>
          <w:rFonts w:ascii="Calibri" w:cs="Calibri" w:eastAsia="Calibri" w:hAnsi="Calibri"/>
          <w:b w:val="false"/>
          <w:bCs w:val="false"/>
          <w:color w:val="1A1A1A"/>
          <w:sz w:val="21"/>
          <w:szCs w:val="21"/>
        </w:rPr>
        <w:t xml:space="preserve">Annex BH: Framework Contact Directory</w:t>
      </w:r>
      <w:r>
        <w:rPr>
          <w:rFonts w:ascii="Calibri" w:cs="Calibri" w:eastAsia="Calibri" w:hAnsi="Calibri"/>
          <w:b w:val="false"/>
          <w:bCs w:val="false"/>
          <w:color w:val="1A1A1A"/>
          <w:sz w:val="21"/>
          <w:szCs w:val="21"/>
        </w:rPr>
        <w:t xml:space="preserve">	64</w:t>
      </w:r>
    </w:p>
    <w:p>
      <w:pPr>
        <w:tabs>
          <w:tab w:val="right" w:pos="9026" w:leader="dot"/>
        </w:tabs>
        <w:spacing w:after="70"/>
      </w:pPr>
      <w:r>
        <w:rPr>
          <w:rFonts w:ascii="Calibri" w:cs="Calibri" w:eastAsia="Calibri" w:hAnsi="Calibri"/>
          <w:b w:val="false"/>
          <w:bCs w:val="false"/>
          <w:color w:val="1A1A1A"/>
          <w:sz w:val="21"/>
          <w:szCs w:val="21"/>
        </w:rPr>
        <w:t xml:space="preserve">Annex Q: Closing Statement</w:t>
      </w:r>
      <w:r>
        <w:rPr>
          <w:rFonts w:ascii="Calibri" w:cs="Calibri" w:eastAsia="Calibri" w:hAnsi="Calibri"/>
          <w:b w:val="false"/>
          <w:bCs w:val="false"/>
          <w:color w:val="1A1A1A"/>
          <w:sz w:val="21"/>
          <w:szCs w:val="21"/>
        </w:rPr>
        <w:t xml:space="preserve">	64</w:t>
      </w:r>
    </w:p>
    <w:p>
      <w:r>
        <w:br w:type="page"/>
      </w:r>
    </w:p>
    <w:p>
      <w:pPr>
        <w:pStyle w:val="Heading1"/>
        <w:pBdr>
          <w:bottom w:val="double" w:color="0B3D91" w:sz="8" w:space="6"/>
        </w:pBdr>
        <w:spacing w:after="300" w:before="200"/>
      </w:pPr>
      <w:r>
        <w:rPr>
          <w:rFonts w:ascii="Calibri" w:cs="Calibri" w:eastAsia="Calibri" w:hAnsi="Calibri"/>
          <w:b/>
          <w:bCs/>
          <w:color w:val="0B3D91"/>
          <w:sz w:val="36"/>
          <w:szCs w:val="36"/>
        </w:rPr>
        <w:t xml:space="preserve">PART ONE: THE FRAMEWORK INSTRUMENT</w:t>
      </w:r>
    </w:p>
    <w:p>
      <w:pPr>
        <w:pStyle w:val="Heading1"/>
        <w:keepNext/>
        <w:spacing w:after="200" w:before="360"/>
      </w:pPr>
      <w:r>
        <w:rPr>
          <w:rFonts w:ascii="Calibri" w:cs="Calibri" w:eastAsia="Calibri" w:hAnsi="Calibri"/>
          <w:b/>
          <w:bCs/>
          <w:color w:val="0B3D91"/>
          <w:sz w:val="30"/>
          <w:szCs w:val="30"/>
        </w:rPr>
        <w:t xml:space="preserve">Preamble</w:t>
      </w:r>
    </w:p>
    <w:p>
      <w:pPr>
        <w:spacing w:after="200" w:line="276"/>
        <w:jc w:val="both"/>
      </w:pPr>
      <w:r>
        <w:rPr>
          <w:rFonts w:ascii="Calibri" w:cs="Calibri" w:eastAsia="Calibri" w:hAnsi="Calibri"/>
          <w:color w:val="1A1A1A"/>
          <w:sz w:val="22"/>
          <w:szCs w:val="22"/>
        </w:rPr>
        <w:t xml:space="preserve">The Parties to this Agreement act in a global trading environment marked by the imposition of unilateral United States tariff measures against a wide range of trading partners, including tariffs that reach the plastics and plastic-articles sector under Harmonized System Chapter 39. The Parties observe that these measures depart from Most Favored Nation obligations under the General Agreement on Tariffs and Trade and from the ordinary operation of the multilateral trading system administered through the World Trade Organization. The Parties note that the stated national-security justification for these measures fails to withstand the ordinary scrutiny applied to Article XXI exceptions, and that the practical effect of the measures falls on exporters, workers, and downstream manufacturers across dozens of economies. The framework architecture established through this Agreement responds to that environment through a coordinated, proportionate, and reversible tariff mechanism rather than through uncoordinated national actions that the United States otherwise isolates and defeats in sequence.</w:t>
      </w:r>
    </w:p>
    <w:p>
      <w:pPr>
        <w:spacing w:after="200" w:line="276"/>
        <w:jc w:val="both"/>
      </w:pPr>
      <w:r>
        <w:rPr>
          <w:rFonts w:ascii="Calibri" w:cs="Calibri" w:eastAsia="Calibri" w:hAnsi="Calibri"/>
          <w:color w:val="1A1A1A"/>
          <w:sz w:val="22"/>
          <w:szCs w:val="22"/>
        </w:rPr>
        <w:t xml:space="preserve">Canada convenes this Agreement in its capacity as Lead Nation and Depositary, drawing on its own retaliatory tariff experience, its active WTO dispute filings, and its stated commitment to coalition-based responses to discriminatory trade measures. The Parties recognize that the United States plastics export sector carries acute dependency on foreign markets, with a substantial share of domestic polyethylene production destined for export, and that plastics as a commodity class permit rapid supplier substitution across Middle Eastern, Asian, and European sources. This commodity characteristic transforms a coordinated tariff response into a mechanism of genuine economic consequence rather than a symbolic gesture, and historical precedent involving prior tariff actions against United States plastics exports demonstrates the sector's sensitivity to exactly this kind of pressure. The Parties therefore establish, through the operative Articles that follow, a Coalition Plastics Retaliation and Tariff Harmonization framework that applies a uniform ad valorem rate, coordinates its timing, and locks its discipline against unilateral defection.</w:t>
      </w:r>
    </w:p>
    <w:p>
      <w:pPr>
        <w:spacing w:after="200" w:line="276"/>
        <w:jc w:val="both"/>
      </w:pPr>
      <w:r>
        <w:rPr>
          <w:rFonts w:ascii="Calibri" w:cs="Calibri" w:eastAsia="Calibri" w:hAnsi="Calibri"/>
          <w:color w:val="1A1A1A"/>
          <w:sz w:val="22"/>
          <w:szCs w:val="22"/>
        </w:rPr>
        <w:t xml:space="preserve">The framework architecture treats every commitment in this Agreement as a mutual structural feature rather than as a concession extended by any single Party to any other. Tariff measures under this Agreement operate as a defensive, proportionate, and rules-consistent response to prior United States action, and the framework architecture keeps an open channel for negotiated resolution at every stage of implementation. Nothing in this Agreement frames any Party's restraint from unilateral bilateral dealing as a favor to another Party; the non-defection architecture in Article 6 constitutes a shared structural commitment binding every Party symmetrically. The Parties record their shared understanding that unity among fifteen or more trading economies produces retaliatory leverage that no individual economy achieves alone, and that this unity constitutes the central operative mechanism of the entire Agreement.</w:t>
      </w:r>
    </w:p>
    <w:p>
      <w:pPr>
        <w:spacing w:after="200" w:line="276"/>
        <w:jc w:val="both"/>
      </w:pPr>
      <w:r>
        <w:rPr>
          <w:rFonts w:ascii="Calibri" w:cs="Calibri" w:eastAsia="Calibri" w:hAnsi="Calibri"/>
          <w:color w:val="1A1A1A"/>
          <w:sz w:val="22"/>
          <w:szCs w:val="22"/>
        </w:rPr>
        <w:t xml:space="preserve">This Agreement enters into force according to the ratification thresholds specified in Article 12 and operates continuously until the settlement conditions specified in Article 11 activate. The Parties draft every operative clause of this Agreement in the present tense, reflecting the framework's function as an immediately operating architecture rather than a set of future promises contingent on later action. Each Article below states an operating condition of the coalition as it exists from the date this Agreement enters into force, and each Annex below sets out the operational plans, schedules, and toolkits that give the operative Articles their practical effect.</w:t>
      </w:r>
    </w:p>
    <w:p>
      <w:pPr>
        <w:pStyle w:val="Heading1"/>
        <w:keepNext/>
        <w:spacing w:after="200" w:before="360"/>
      </w:pPr>
      <w:r>
        <w:rPr>
          <w:rFonts w:ascii="Calibri" w:cs="Calibri" w:eastAsia="Calibri" w:hAnsi="Calibri"/>
          <w:b/>
          <w:bCs/>
          <w:color w:val="0B3D91"/>
          <w:sz w:val="30"/>
          <w:szCs w:val="30"/>
        </w:rPr>
        <w:t xml:space="preserve">Article 1: Establishment, Purpose, and Nature of Measures</w:t>
      </w:r>
    </w:p>
    <w:p>
      <w:pPr>
        <w:pStyle w:val="Heading2"/>
        <w:keepNext/>
        <w:spacing w:after="140" w:before="260"/>
      </w:pPr>
      <w:r>
        <w:rPr>
          <w:rFonts w:ascii="Calibri" w:cs="Calibri" w:eastAsia="Calibri" w:hAnsi="Calibri"/>
          <w:b/>
          <w:bCs/>
          <w:color w:val="1F5FA8"/>
          <w:sz w:val="24"/>
          <w:szCs w:val="24"/>
        </w:rPr>
        <w:t xml:space="preserve">1.1 Name and Establishment</w:t>
      </w:r>
    </w:p>
    <w:p>
      <w:pPr>
        <w:spacing w:after="200" w:line="276"/>
        <w:jc w:val="both"/>
      </w:pPr>
      <w:r>
        <w:rPr>
          <w:rFonts w:ascii="Calibri" w:cs="Calibri" w:eastAsia="Calibri" w:hAnsi="Calibri"/>
          <w:color w:val="1A1A1A"/>
          <w:sz w:val="22"/>
          <w:szCs w:val="22"/>
        </w:rPr>
        <w:t xml:space="preserve">This Agreement establishes the Coalition Plastics Retaliation and Tariff Harmonization Framework, referenced throughout this Agreement as the Framework or, in its treaty form, the Coalition Plastics Retaliation Treaty. The Framework operates as a standing multilateral architecture among the Parties, coordinated through the governance structure specified in Article 3 and financed through the modest instruments specified in Article 7. The Framework's establishment reflects a coordinated response among independently sovereign trading economies rather than a subordinate arrangement under any single Party's direction, and the Steering Committee chaired by Canada performs a coordinating function within an architecture that every Full Member shapes through equal voting weight in the Coalition Council.</w:t>
      </w:r>
    </w:p>
    <w:p>
      <w:pPr>
        <w:pStyle w:val="Heading2"/>
        <w:keepNext/>
        <w:spacing w:after="140" w:before="260"/>
      </w:pPr>
      <w:r>
        <w:rPr>
          <w:rFonts w:ascii="Calibri" w:cs="Calibri" w:eastAsia="Calibri" w:hAnsi="Calibri"/>
          <w:b/>
          <w:bCs/>
          <w:color w:val="1F5FA8"/>
          <w:sz w:val="24"/>
          <w:szCs w:val="24"/>
        </w:rPr>
        <w:t xml:space="preserve">1.2 Purpose</w:t>
      </w:r>
    </w:p>
    <w:p>
      <w:pPr>
        <w:spacing w:after="200" w:line="276"/>
        <w:jc w:val="both"/>
      </w:pPr>
      <w:r>
        <w:rPr>
          <w:rFonts w:ascii="Calibri" w:cs="Calibri" w:eastAsia="Calibri" w:hAnsi="Calibri"/>
          <w:color w:val="1A1A1A"/>
          <w:sz w:val="22"/>
          <w:szCs w:val="22"/>
        </w:rPr>
        <w:t xml:space="preserve">The Framework establishes a coordinated system of retaliatory tariffs at a rate of twenty percent ad valorem on imports of plastics and plastic articles originating in the United States, classified principally under Harmonized System Chapter 39, in direct and proportionate response to discriminatory United States tariff measures against the Parties. The Framework's tariff architecture operates continuously from its effective date, specified through the coordinated implementation window in Article 4, until the settlement conditions in Article 11 activate a coordinated rollback. The Parties direct the Framework's economic pressure toward the restoration of Most Favored Nation-consistent trading conditions and toward a negotiated resolution of the underlying tariff dispute rather than toward permanent economic separation from the United States market. The Framework's design produces maximum coordinated leverage on United States plastics exporters while distributing the transitional costs of supply substitution across the full coalition membership through the solidarity instruments specified in Article 7.</w:t>
      </w:r>
    </w:p>
    <w:p>
      <w:pPr>
        <w:pStyle w:val="Heading2"/>
        <w:keepNext/>
        <w:spacing w:after="140" w:before="260"/>
      </w:pPr>
      <w:r>
        <w:rPr>
          <w:rFonts w:ascii="Calibri" w:cs="Calibri" w:eastAsia="Calibri" w:hAnsi="Calibri"/>
          <w:b/>
          <w:bCs/>
          <w:color w:val="1F5FA8"/>
          <w:sz w:val="24"/>
          <w:szCs w:val="24"/>
        </w:rPr>
        <w:t xml:space="preserve">1.3 Nature of the Measures</w:t>
      </w:r>
    </w:p>
    <w:p>
      <w:pPr>
        <w:spacing w:after="200" w:line="276"/>
        <w:jc w:val="both"/>
      </w:pPr>
      <w:r>
        <w:rPr>
          <w:rFonts w:ascii="Calibri" w:cs="Calibri" w:eastAsia="Calibri" w:hAnsi="Calibri"/>
          <w:color w:val="1A1A1A"/>
          <w:sz w:val="22"/>
          <w:szCs w:val="22"/>
        </w:rPr>
        <w:t xml:space="preserve">The tariff measures under this Framework constitute a defensive and proportionate structural response embedded in the Framework's architecture, calibrated directly against the scale of prior United States tariff action against the Parties. The Framework's twenty percent rate mirrors the reciprocal tariff levels that the United States itself applies against several Full Members, and this mirroring establishes the proportionality that anchors the Framework's legal and political defensibility. The Framework's architecture keeps a negotiated off-ramp permanently available: Article 11 activates a coordinated rollback automatically upon the fulfillment of its settlement conditions, without requiring any additional treaty instrument. The Framework's design excludes any characterization of these measures as an escalatory first strike; the measures respond directly to prior United States tariff action and the Framework's public messaging architecture, detailed in Article 9 and Annex G, reinforces this defensive characterization at every stage of implementation.</w:t>
      </w:r>
    </w:p>
    <w:p>
      <w:pPr>
        <w:pStyle w:val="Heading2"/>
        <w:keepNext/>
        <w:spacing w:after="140" w:before="260"/>
      </w:pPr>
      <w:r>
        <w:rPr>
          <w:rFonts w:ascii="Calibri" w:cs="Calibri" w:eastAsia="Calibri" w:hAnsi="Calibri"/>
          <w:b/>
          <w:bCs/>
          <w:color w:val="1F5FA8"/>
          <w:sz w:val="24"/>
          <w:szCs w:val="24"/>
        </w:rPr>
        <w:t xml:space="preserve">1.4 Relationship to Existing Instruments</w:t>
      </w:r>
    </w:p>
    <w:p>
      <w:pPr>
        <w:spacing w:after="200" w:line="276"/>
        <w:jc w:val="both"/>
      </w:pPr>
      <w:r>
        <w:rPr>
          <w:rFonts w:ascii="Calibri" w:cs="Calibri" w:eastAsia="Calibri" w:hAnsi="Calibri"/>
          <w:color w:val="1A1A1A"/>
          <w:sz w:val="22"/>
          <w:szCs w:val="22"/>
        </w:rPr>
        <w:t xml:space="preserve">The Framework operates alongside, and does not supersede, each Party's existing bilateral and regional trade instruments, including regional trade agreements such as the Comprehensive and Progressive Agreement for Trans-Pacific Partnership and applicable European Union trade instruments. Where a conflict arises between an operative provision of this Framework and an obligation under an existing regional trade instrument, the Coalition Council resolves the conflict through the Legal Working Group specified in Article 3.3, applying the interpretive principle that favors the construction most protective of Framework unity. The Framework's WTO dispute strategy in Article 8 runs in parallel with, and reinforces, each Party's individual WTO filings rather than replacing them. Nothing in this Agreement diminishes a Party's standing to pursue independent legal remedies against United States tariff measures, and the Framework's coordinated legal architecture exists to amplify, not restrict, each Party's existing legal options.</w:t>
      </w:r>
    </w:p>
    <w:p>
      <w:pPr>
        <w:pStyle w:val="Heading1"/>
        <w:keepNext/>
        <w:spacing w:after="200" w:before="360"/>
      </w:pPr>
      <w:r>
        <w:rPr>
          <w:rFonts w:ascii="Calibri" w:cs="Calibri" w:eastAsia="Calibri" w:hAnsi="Calibri"/>
          <w:b/>
          <w:bCs/>
          <w:color w:val="0B3D91"/>
          <w:sz w:val="30"/>
          <w:szCs w:val="30"/>
        </w:rPr>
        <w:t xml:space="preserve">Article 2: Membership and Accession</w:t>
      </w:r>
    </w:p>
    <w:p>
      <w:pPr>
        <w:pStyle w:val="Heading2"/>
        <w:keepNext/>
        <w:spacing w:after="140" w:before="260"/>
      </w:pPr>
      <w:r>
        <w:rPr>
          <w:rFonts w:ascii="Calibri" w:cs="Calibri" w:eastAsia="Calibri" w:hAnsi="Calibri"/>
          <w:b/>
          <w:bCs/>
          <w:color w:val="1F5FA8"/>
          <w:sz w:val="24"/>
          <w:szCs w:val="24"/>
        </w:rPr>
        <w:t xml:space="preserve">2.1 Founding Parties</w:t>
      </w:r>
    </w:p>
    <w:p>
      <w:pPr>
        <w:spacing w:after="200" w:line="276"/>
        <w:jc w:val="both"/>
      </w:pPr>
      <w:r>
        <w:rPr>
          <w:rFonts w:ascii="Calibri" w:cs="Calibri" w:eastAsia="Calibri" w:hAnsi="Calibri"/>
          <w:color w:val="1A1A1A"/>
          <w:sz w:val="22"/>
          <w:szCs w:val="22"/>
        </w:rPr>
        <w:t xml:space="preserve">Founding Parties comprise the states and customs territories that sign and ratify this Agreement within twelve months of the date this Agreement opens for signature, following the domestic ratification procedures applicable in each signatory's own legal order. Canada convenes the initial signature ceremony and coordinates the sequencing of Founding Party accession through the Steering Committee. Founding Party status carries identical rights and obligations to those of any later-acceding Full Member, and the Framework's architecture attaches no differential privilege to the timing of a Party's accession beyond the sequencing mechanics necessary for orderly implementation. The Parties anticipate an initial Founding Party cohort drawn primarily from the Tier One and Tier Two engagement categories specified in Annex A, reflecting the coalition-building sequence detailed in Annex B.</w:t>
      </w:r>
    </w:p>
    <w:p>
      <w:pPr>
        <w:pStyle w:val="Heading2"/>
        <w:keepNext/>
        <w:spacing w:after="140" w:before="260"/>
      </w:pPr>
      <w:r>
        <w:rPr>
          <w:rFonts w:ascii="Calibri" w:cs="Calibri" w:eastAsia="Calibri" w:hAnsi="Calibri"/>
          <w:b/>
          <w:bCs/>
          <w:color w:val="1F5FA8"/>
          <w:sz w:val="24"/>
          <w:szCs w:val="24"/>
        </w:rPr>
        <w:t xml:space="preserve">2.2 Accession Procedure</w:t>
      </w:r>
    </w:p>
    <w:p>
      <w:pPr>
        <w:spacing w:after="200" w:line="276"/>
        <w:jc w:val="both"/>
      </w:pPr>
      <w:r>
        <w:rPr>
          <w:rFonts w:ascii="Calibri" w:cs="Calibri" w:eastAsia="Calibri" w:hAnsi="Calibri"/>
          <w:color w:val="1A1A1A"/>
          <w:sz w:val="22"/>
          <w:szCs w:val="22"/>
        </w:rPr>
        <w:t xml:space="preserve">Any state or customs territory affected by discriminatory United States tariff measures accedes to this Agreement through a three-step procedure that operates identically for every acceding Party. The acceding Party transmits formal notification of its intent to the Depositary, specifying the membership category it seeks under Article 2.3. The acceding Party adopts the tariff measures specified in Article 4 within the timeframe the Coalition Council sets for that accession round. The existing Parties then confirm the accession through a simple majority vote of the Coalition Council, completing the acceding Party's admission to full Framework membership. This procedure operates without discrimination among applicants and applies uniformly regardless of an applicant's regional grouping, development status, or prior trade relationship with any existing Party.</w:t>
      </w:r>
    </w:p>
    <w:p>
      <w:pPr>
        <w:pStyle w:val="Heading2"/>
        <w:keepNext/>
        <w:spacing w:after="140" w:before="260"/>
      </w:pPr>
      <w:r>
        <w:rPr>
          <w:rFonts w:ascii="Calibri" w:cs="Calibri" w:eastAsia="Calibri" w:hAnsi="Calibri"/>
          <w:b/>
          <w:bCs/>
          <w:color w:val="1F5FA8"/>
          <w:sz w:val="24"/>
          <w:szCs w:val="24"/>
        </w:rPr>
        <w:t xml:space="preserve">2.3 Membership Categories</w:t>
      </w:r>
    </w:p>
    <w:p>
      <w:pPr>
        <w:spacing w:after="200" w:line="276"/>
        <w:jc w:val="both"/>
      </w:pPr>
      <w:r>
        <w:rPr>
          <w:rFonts w:ascii="Calibri" w:cs="Calibri" w:eastAsia="Calibri" w:hAnsi="Calibri"/>
          <w:color w:val="1A1A1A"/>
          <w:sz w:val="22"/>
          <w:szCs w:val="22"/>
        </w:rPr>
        <w:t xml:space="preserve">The Framework recognizes two membership categories that together accommodate the full range of economic capacity among prospective Parties. Full Members implement the complete tariff schedule specified in Article 4 against the entire product coverage list from the date of their accession, and Full Members hold complete voting rights within the Coalition Council. Associate Members implement at minimum fifty percent of the tariff schedule from the date of their accession and operate under a time-bound implementation plan that brings their coverage to full parity within a period the Coalition Council sets at the time of accession, ordinarily not exceeding twenty-four months. Associate Members participate in Coalition Council deliberations and hold voting rights proportionate to their implementation percentage, a mechanism that the Governance Working Group calibrates at each Council session to preserve incentive alignment across the membership.</w:t>
      </w:r>
    </w:p>
    <w:p>
      <w:pPr>
        <w:pStyle w:val="Heading2"/>
        <w:keepNext/>
        <w:spacing w:after="140" w:before="260"/>
      </w:pPr>
      <w:r>
        <w:rPr>
          <w:rFonts w:ascii="Calibri" w:cs="Calibri" w:eastAsia="Calibri" w:hAnsi="Calibri"/>
          <w:b/>
          <w:bCs/>
          <w:color w:val="1F5FA8"/>
          <w:sz w:val="24"/>
          <w:szCs w:val="24"/>
        </w:rPr>
        <w:t xml:space="preserve">2.4 Withdrawal</w:t>
      </w:r>
    </w:p>
    <w:p>
      <w:pPr>
        <w:spacing w:after="200" w:line="276"/>
        <w:jc w:val="both"/>
      </w:pPr>
      <w:r>
        <w:rPr>
          <w:rFonts w:ascii="Calibri" w:cs="Calibri" w:eastAsia="Calibri" w:hAnsi="Calibri"/>
          <w:color w:val="1A1A1A"/>
          <w:sz w:val="22"/>
          <w:szCs w:val="22"/>
        </w:rPr>
        <w:t xml:space="preserve">A Party that seeks withdrawal from this Agreement transmits formal notification to the Depositary, and the withdrawal takes effect ninety days after the Depositary's receipt of that notification. Withdrawal under this Article operates as a structural feature of the Framework's architecture rather than as a punitive act, and Article 6.3 specifies the consequences that attach automatically to any withdrawal that the Coalition Council characterizes as a material undermining of the Framework's non-defection architecture. A withdrawing Party retains its ratification and accession record in the Depositary's archive under Article 12.2, preserving the historical continuity of the Framework's membership even where active participation ends.</w:t>
      </w:r>
    </w:p>
    <w:p>
      <w:pPr>
        <w:pStyle w:val="Heading1"/>
        <w:keepNext/>
        <w:spacing w:after="200" w:before="360"/>
      </w:pPr>
      <w:r>
        <w:rPr>
          <w:rFonts w:ascii="Calibri" w:cs="Calibri" w:eastAsia="Calibri" w:hAnsi="Calibri"/>
          <w:b/>
          <w:bCs/>
          <w:color w:val="0B3D91"/>
          <w:sz w:val="30"/>
          <w:szCs w:val="30"/>
        </w:rPr>
        <w:t xml:space="preserve">Article 3: Governance Structure</w:t>
      </w:r>
    </w:p>
    <w:p>
      <w:pPr>
        <w:pStyle w:val="Heading2"/>
        <w:keepNext/>
        <w:spacing w:after="140" w:before="260"/>
      </w:pPr>
      <w:r>
        <w:rPr>
          <w:rFonts w:ascii="Calibri" w:cs="Calibri" w:eastAsia="Calibri" w:hAnsi="Calibri"/>
          <w:b/>
          <w:bCs/>
          <w:color w:val="1F5FA8"/>
          <w:sz w:val="24"/>
          <w:szCs w:val="24"/>
        </w:rPr>
        <w:t xml:space="preserve">3.1 Coalition Council</w:t>
      </w:r>
    </w:p>
    <w:p>
      <w:pPr>
        <w:spacing w:after="200" w:line="276"/>
        <w:jc w:val="both"/>
      </w:pPr>
      <w:r>
        <w:rPr>
          <w:rFonts w:ascii="Calibri" w:cs="Calibri" w:eastAsia="Calibri" w:hAnsi="Calibri"/>
          <w:color w:val="1A1A1A"/>
          <w:sz w:val="22"/>
          <w:szCs w:val="22"/>
        </w:rPr>
        <w:t xml:space="preserve">The Coalition Council, composed of one representative from each Party, functions as the Framework's principal decision-making body and convenes at minimum on a quarterly basis, with additional sessions convening on the request of any three Parties. The Coalition Council exercises authority over coverage expansion, escalation and de-escalation decisions, accession approvals, and amendments to this Agreement under the voting thresholds specified throughout this Article. Each Full Member holds one vote in ordinary Coalition Council proceedings, and Associate Members hold the proportional voting weight specified in Article 2.3. The Coalition Council operates its ordinary business through simple majority decision and reserves supermajority thresholds of seventy percent for the escalation, amendment, and coverage-expansion decisions that carry the most significant structural consequences for the Framework's operation.</w:t>
      </w:r>
    </w:p>
    <w:p>
      <w:pPr>
        <w:pStyle w:val="Heading2"/>
        <w:keepNext/>
        <w:spacing w:after="140" w:before="260"/>
      </w:pPr>
      <w:r>
        <w:rPr>
          <w:rFonts w:ascii="Calibri" w:cs="Calibri" w:eastAsia="Calibri" w:hAnsi="Calibri"/>
          <w:b/>
          <w:bCs/>
          <w:color w:val="1F5FA8"/>
          <w:sz w:val="24"/>
          <w:szCs w:val="24"/>
        </w:rPr>
        <w:t xml:space="preserve">3.2 Steering Committee</w:t>
      </w:r>
    </w:p>
    <w:p>
      <w:pPr>
        <w:spacing w:after="200" w:line="276"/>
        <w:jc w:val="both"/>
      </w:pPr>
      <w:r>
        <w:rPr>
          <w:rFonts w:ascii="Calibri" w:cs="Calibri" w:eastAsia="Calibri" w:hAnsi="Calibri"/>
          <w:color w:val="1A1A1A"/>
          <w:sz w:val="22"/>
          <w:szCs w:val="22"/>
        </w:rPr>
        <w:t xml:space="preserve">The Steering Committee, chaired by Canada as Lead Nation and rotating four to six additional seats among the largest Full Members by trade volume affected, coordinates the Framework's day-to-day operation between Coalition Council sessions. The Steering Committee oversees the implementation phases detailed in Annex I, directs the Legal Working Group's WTO strategy under Article 8, and proposes escalation or de-escalation recommendations for Coalition Council ratification under Article 3.1. The Steering Committee convenes on a biweekly basis during the first twelve months of Framework implementation and transitions to a monthly cadence thereafter, unless active escalation conditions under Annex D warrant a return to biweekly convening. The Steering Committee's composition rotates every eighteen months to prevent the concentration of coordinating influence in any fixed subset of the membership beyond Canada's permanent chairing role.</w:t>
      </w:r>
    </w:p>
    <w:p>
      <w:pPr>
        <w:pStyle w:val="Heading2"/>
        <w:keepNext/>
        <w:spacing w:after="140" w:before="260"/>
      </w:pPr>
      <w:r>
        <w:rPr>
          <w:rFonts w:ascii="Calibri" w:cs="Calibri" w:eastAsia="Calibri" w:hAnsi="Calibri"/>
          <w:b/>
          <w:bCs/>
          <w:color w:val="1F5FA8"/>
          <w:sz w:val="24"/>
          <w:szCs w:val="24"/>
        </w:rPr>
        <w:t xml:space="preserve">3.3 Technical Working Groups</w:t>
      </w:r>
    </w:p>
    <w:p>
      <w:pPr>
        <w:spacing w:after="200" w:line="276"/>
        <w:jc w:val="both"/>
      </w:pPr>
      <w:r>
        <w:rPr>
          <w:rFonts w:ascii="Calibri" w:cs="Calibri" w:eastAsia="Calibri" w:hAnsi="Calibri"/>
          <w:color w:val="1A1A1A"/>
          <w:sz w:val="22"/>
          <w:szCs w:val="22"/>
        </w:rPr>
        <w:t xml:space="preserve">The Coalition Council establishes four standing Working Groups that carry out the Framework's technical functions. The Legal Working Group develops WTO filings, regional trade agreement strategies, and Article XXVIII renegotiation pathways under the mandate specified in Article 8. The Tariff and Customs Working Group maintains the Harmonized System 39 alignment across member customs administrations, processes exemption requests under Article 5, and administers the periodic review mechanism. The Supply Chain and Exemptions Working Group maps alternative suppliers, coordinates logistics rerouting, and identifies critical input categories that warrant exemption consideration under Article 5.1. The Communications and Public Messaging Working Group operates the internal secure coordination channel and the external unified narrative detailed in Article 9 and Annex G, and each Working Group reports to the Steering Committee on a monthly cycle.</w:t>
      </w:r>
    </w:p>
    <w:p>
      <w:pPr>
        <w:pStyle w:val="Heading2"/>
        <w:keepNext/>
        <w:spacing w:after="140" w:before="260"/>
      </w:pPr>
      <w:r>
        <w:rPr>
          <w:rFonts w:ascii="Calibri" w:cs="Calibri" w:eastAsia="Calibri" w:hAnsi="Calibri"/>
          <w:b/>
          <w:bCs/>
          <w:color w:val="1F5FA8"/>
          <w:sz w:val="24"/>
          <w:szCs w:val="24"/>
        </w:rPr>
        <w:t xml:space="preserve">3.4 Secretariat Functions</w:t>
      </w:r>
    </w:p>
    <w:p>
      <w:pPr>
        <w:spacing w:after="200" w:line="276"/>
        <w:jc w:val="both"/>
      </w:pPr>
      <w:r>
        <w:rPr>
          <w:rFonts w:ascii="Calibri" w:cs="Calibri" w:eastAsia="Calibri" w:hAnsi="Calibri"/>
          <w:color w:val="1A1A1A"/>
          <w:sz w:val="22"/>
          <w:szCs w:val="22"/>
        </w:rPr>
        <w:t xml:space="preserve">Canada operates the Framework's Secretariat functions through its Global Affairs Canada apparatus, providing administrative continuity, meeting coordination, and document archiving services to the Coalition Council, the Steering Committee, and the four Working Groups. The Secretariat maintains the Framework's public-facing communications infrastructure and coordinates translation services across the official languages of the Parties under Article 12.3. The Secretariat's operating costs draw from the modest financing architecture specified in Article 7.2, and the Coalition Council reviews the Secretariat's budget and staffing on an annual basis. The Secretariat's Canadian hosting reflects Canada's Lead Nation and Depositary role rather than any hierarchical authority over other Parties, consistent with the mutual architecture principle that governs the Framework's entire institutional design.</w:t>
      </w:r>
    </w:p>
    <w:p>
      <w:pPr>
        <w:pStyle w:val="Heading1"/>
        <w:keepNext/>
        <w:spacing w:after="200" w:before="360"/>
      </w:pPr>
      <w:r>
        <w:rPr>
          <w:rFonts w:ascii="Calibri" w:cs="Calibri" w:eastAsia="Calibri" w:hAnsi="Calibri"/>
          <w:b/>
          <w:bCs/>
          <w:color w:val="0B3D91"/>
          <w:sz w:val="30"/>
          <w:szCs w:val="30"/>
        </w:rPr>
        <w:t xml:space="preserve">Article 4: Tariff Measures and Product Coverage</w:t>
      </w:r>
    </w:p>
    <w:p>
      <w:pPr>
        <w:pStyle w:val="Heading2"/>
        <w:keepNext/>
        <w:spacing w:after="140" w:before="260"/>
      </w:pPr>
      <w:r>
        <w:rPr>
          <w:rFonts w:ascii="Calibri" w:cs="Calibri" w:eastAsia="Calibri" w:hAnsi="Calibri"/>
          <w:b/>
          <w:bCs/>
          <w:color w:val="1F5FA8"/>
          <w:sz w:val="24"/>
          <w:szCs w:val="24"/>
        </w:rPr>
        <w:t xml:space="preserve">4.1 Core Tariff Rate</w:t>
      </w:r>
    </w:p>
    <w:p>
      <w:pPr>
        <w:spacing w:after="200" w:line="276"/>
        <w:jc w:val="both"/>
      </w:pPr>
      <w:r>
        <w:rPr>
          <w:rFonts w:ascii="Calibri" w:cs="Calibri" w:eastAsia="Calibri" w:hAnsi="Calibri"/>
          <w:color w:val="1A1A1A"/>
          <w:sz w:val="22"/>
          <w:szCs w:val="22"/>
        </w:rPr>
        <w:t xml:space="preserve">Every Full Member applies a twenty percent ad valorem tariff on imports of United States-origin goods classified under Harmonized System Chapter 39, plastics and articles thereof, as the Framework's operative baseline rate. This rate applies uniformly across the Full Member category from the coordinated effective date specified in Article 4.3, and Associate Members apply the proportional rate consistent with their implementation percentage under Article 2.3. The twenty percent figure operates as the Framework's tariff floor rather than as a ceiling; the Coalition Council retains authority under Article 4.2 to expand the rate or the product coverage through the supermajority mechanism, and no Party reduces its applied rate below this floor without triggering the consequences specified in Article 6.</w:t>
      </w:r>
    </w:p>
    <w:p>
      <w:pPr>
        <w:pStyle w:val="Heading2"/>
        <w:keepNext/>
        <w:spacing w:after="140" w:before="260"/>
      </w:pPr>
      <w:r>
        <w:rPr>
          <w:rFonts w:ascii="Calibri" w:cs="Calibri" w:eastAsia="Calibri" w:hAnsi="Calibri"/>
          <w:b/>
          <w:bCs/>
          <w:color w:val="1F5FA8"/>
          <w:sz w:val="24"/>
          <w:szCs w:val="24"/>
        </w:rPr>
        <w:t xml:space="preserve">4.2 Product Coverage</w:t>
      </w:r>
    </w:p>
    <w:tbl>
      <w:tblPr>
        <w:tblW w:type="dxa" w:w="9350"/>
        <w:tblBorders>
          <w:top w:val="single" w:color="AAB9D6" w:sz="4"/>
          <w:left w:val="single" w:color="AAB9D6" w:sz="4"/>
          <w:bottom w:val="single" w:color="AAB9D6" w:sz="4"/>
          <w:right w:val="single" w:color="AAB9D6" w:sz="4"/>
          <w:insideH w:val="single" w:color="D3DCEE" w:sz="2"/>
          <w:insideV w:val="single" w:color="D3DCEE" w:sz="2"/>
        </w:tblBorders>
      </w:tblPr>
      <w:tblGrid>
        <w:gridCol w:w="3116"/>
        <w:gridCol w:w="3116"/>
        <w:gridCol w:w="3116"/>
      </w:tblGrid>
      <w:tr>
        <w:trPr>
          <w:tblHeader/>
        </w:trPr>
        <w:tc>
          <w:tcPr>
            <w:tcW w:type="dxa" w:w="3116"/>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HS Code</w:t>
            </w:r>
          </w:p>
        </w:tc>
        <w:tc>
          <w:tcPr>
            <w:tcW w:type="dxa" w:w="3116"/>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Product Category</w:t>
            </w:r>
          </w:p>
        </w:tc>
        <w:tc>
          <w:tcPr>
            <w:tcW w:type="dxa" w:w="3116"/>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Coverage Tier</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3901</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Polyethylene, primary forms</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Core (Tier 1)</w:t>
            </w:r>
          </w:p>
        </w:tc>
      </w:tr>
      <w:tr>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3902</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Polypropylene and olefin polymers, primary forms</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Core (Tier 1)</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3903</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Polystyrene, primary forms</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Core (Tier 1)</w:t>
            </w:r>
          </w:p>
        </w:tc>
      </w:tr>
      <w:tr>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3904</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Polyvinyl chloride and other halogenated polymers, primary forms</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Core (Tier 1)</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3906–3911</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Acrylic, polyamide, and specialty resin polymers</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Core (Tier 1)</w:t>
            </w:r>
          </w:p>
        </w:tc>
      </w:tr>
      <w:tr>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3916–3917</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Plastic monofilament, tubes, pipes, and hoses</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Core (Tier 1)</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3920</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Plastic plates, sheets, film, foil, and strip</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Core (Tier 1)</w:t>
            </w:r>
          </w:p>
        </w:tc>
      </w:tr>
      <w:tr>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3923</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Plastic packaging articles, containers, and closures</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Core (Tier 1)</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3926</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Other articles of plastics not elsewhere specified</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Core (Tier 1)</w:t>
            </w:r>
          </w:p>
        </w:tc>
      </w:tr>
      <w:tr>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8477</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Plastics-processing machinery and molds</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Expansion (Tier 2, Article 4.4)</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8480</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Molding boxes and molds for plastics and rubber</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Expansion (Tier 2, Article 4.4)</w:t>
            </w:r>
          </w:p>
        </w:tc>
      </w:tr>
    </w:tbl>
    <w:p>
      <w:pPr>
        <w:spacing w:after="200"/>
      </w:pPr>
    </w:p>
    <w:p>
      <w:pPr>
        <w:spacing w:after="200" w:line="276"/>
        <w:jc w:val="both"/>
      </w:pPr>
      <w:r>
        <w:rPr>
          <w:rFonts w:ascii="Calibri" w:cs="Calibri" w:eastAsia="Calibri" w:hAnsi="Calibri"/>
          <w:color w:val="1A1A1A"/>
          <w:sz w:val="22"/>
          <w:szCs w:val="22"/>
        </w:rPr>
        <w:t xml:space="preserve">The Tariff and Customs Working Group maintains the technical mapping between this coverage table and each Party's domestic customs nomenclature, ensuring consistent application across jurisdictions that maintain differing tariff schedule structures at the eight-digit and ten-digit levels. The Working Group publishes an updated coverage reconciliation document on a quarterly basis and circulates that document to every Party's customs administration through the Secretariat. Coalition Council estimates place the Tier 1 coverage at approximately five to ten billion dollars in annual affected United States export value across the Full Member group at initial accession, a figure the Working Group revises as accession rounds proceed and as the coverage table itself evolves under Article 4.4.</w:t>
      </w:r>
    </w:p>
    <w:p>
      <w:pPr>
        <w:pStyle w:val="Heading2"/>
        <w:keepNext/>
        <w:spacing w:after="140" w:before="260"/>
      </w:pPr>
      <w:r>
        <w:rPr>
          <w:rFonts w:ascii="Calibri" w:cs="Calibri" w:eastAsia="Calibri" w:hAnsi="Calibri"/>
          <w:b/>
          <w:bCs/>
          <w:color w:val="1F5FA8"/>
          <w:sz w:val="24"/>
          <w:szCs w:val="24"/>
        </w:rPr>
        <w:t xml:space="preserve">4.3 Effective Date and Coordinated Implementation</w:t>
      </w:r>
    </w:p>
    <w:p>
      <w:pPr>
        <w:spacing w:after="200" w:line="276"/>
        <w:jc w:val="both"/>
      </w:pPr>
      <w:r>
        <w:rPr>
          <w:rFonts w:ascii="Calibri" w:cs="Calibri" w:eastAsia="Calibri" w:hAnsi="Calibri"/>
          <w:color w:val="1A1A1A"/>
          <w:sz w:val="22"/>
          <w:szCs w:val="22"/>
        </w:rPr>
        <w:t xml:space="preserve">Every Full Member coordinates its tariff implementation to enter into force within a common ninety-day window measured from the date this Agreement achieves its initial ratification threshold under Article 12, unless the Coalition Council sets an alternative coordinated date through simple majority decision. This coordinated timing prevents the sequential, country-by-country implementation pattern that historically permits the United States to isolate and pressure individual economies before a broader coalition materializes. The Steering Committee publishes the confirmed coordinated effective date to all Parties no later than thirty days before implementation, giving customs administrations, importers, and affected industries adequate operational notice. Associate Members synchronize their partial implementation to the same coordinated window, applying their proportional rate from that common date forward.</w:t>
      </w:r>
    </w:p>
    <w:p>
      <w:pPr>
        <w:pStyle w:val="Heading2"/>
        <w:keepNext/>
        <w:spacing w:after="140" w:before="260"/>
      </w:pPr>
      <w:r>
        <w:rPr>
          <w:rFonts w:ascii="Calibri" w:cs="Calibri" w:eastAsia="Calibri" w:hAnsi="Calibri"/>
          <w:b/>
          <w:bCs/>
          <w:color w:val="1F5FA8"/>
          <w:sz w:val="24"/>
          <w:szCs w:val="24"/>
        </w:rPr>
        <w:t xml:space="preserve">4.4 Coverage Expansion: The Retaliation Ladder</w:t>
      </w:r>
    </w:p>
    <w:p>
      <w:pPr>
        <w:spacing w:after="200" w:line="276"/>
        <w:jc w:val="both"/>
      </w:pPr>
      <w:r>
        <w:rPr>
          <w:rFonts w:ascii="Calibri" w:cs="Calibri" w:eastAsia="Calibri" w:hAnsi="Calibri"/>
          <w:color w:val="1A1A1A"/>
          <w:sz w:val="22"/>
          <w:szCs w:val="22"/>
        </w:rPr>
        <w:t xml:space="preserve">The Coalition Council holds standing authority, exercised through the seventy percent supermajority threshold, to expand product coverage beyond the Tier 1 list to the Tier 2 category specified in Article 4.2, encompassing plastics-processing machinery, molds, and related capital goods. This expansion authority operates as Level 2 of the retaliation ladder detailed fully in Annex D, and the Coalition Council activates Level 2 in direct response to United States escalation or to a Steering Committee recommendation grounded in insufficient progress toward the negotiation benchmarks specified in Article 10. A further Level 3 expansion, extending coverage to additional United States export categories beyond plastics, activates only through Coalition Council supermajority decision following formal Steering Committee proposal, and Annex D specifies the deliberative sequence that precedes any Level 3 activation.</w:t>
      </w:r>
    </w:p>
    <w:p>
      <w:pPr>
        <w:pStyle w:val="Heading1"/>
        <w:keepNext/>
        <w:spacing w:after="200" w:before="360"/>
      </w:pPr>
      <w:r>
        <w:rPr>
          <w:rFonts w:ascii="Calibri" w:cs="Calibri" w:eastAsia="Calibri" w:hAnsi="Calibri"/>
          <w:b/>
          <w:bCs/>
          <w:color w:val="0B3D91"/>
          <w:sz w:val="30"/>
          <w:szCs w:val="30"/>
        </w:rPr>
        <w:t xml:space="preserve">Article 5: Exemptions and Safeguards</w:t>
      </w:r>
    </w:p>
    <w:p>
      <w:pPr>
        <w:pStyle w:val="Heading2"/>
        <w:keepNext/>
        <w:spacing w:after="140" w:before="260"/>
      </w:pPr>
      <w:r>
        <w:rPr>
          <w:rFonts w:ascii="Calibri" w:cs="Calibri" w:eastAsia="Calibri" w:hAnsi="Calibri"/>
          <w:b/>
          <w:bCs/>
          <w:color w:val="1F5FA8"/>
          <w:sz w:val="24"/>
          <w:szCs w:val="24"/>
        </w:rPr>
        <w:t xml:space="preserve">5.1 Critical Input Exemptions</w:t>
      </w:r>
    </w:p>
    <w:p>
      <w:pPr>
        <w:spacing w:after="200" w:line="276"/>
        <w:jc w:val="both"/>
      </w:pPr>
      <w:r>
        <w:rPr>
          <w:rFonts w:ascii="Calibri" w:cs="Calibri" w:eastAsia="Calibri" w:hAnsi="Calibri"/>
          <w:color w:val="1A1A1A"/>
          <w:sz w:val="22"/>
          <w:szCs w:val="22"/>
        </w:rPr>
        <w:t xml:space="preserve">A Party exempts a specific product from the Framework's tariff coverage where the Party demonstrates the absence of a commercially viable non-United States alternative source for that product, and where the Party notifies the Supply Chain and Exemptions Working Group of the exemption request with supporting supply-chain documentation. The Working Group reviews each exemption request within thirty days of submission and issues a determination that the Steering Committee ratifies at its next scheduled session. Exemptions granted under this Article remain subject to the periodic review mechanism specified in Article 5.2, ensuring that an exemption justified by a genuine supply gap at one point in time does not persist automatically once alternative suppliers become commercially available.</w:t>
      </w:r>
    </w:p>
    <w:p>
      <w:pPr>
        <w:pStyle w:val="Heading2"/>
        <w:keepNext/>
        <w:spacing w:after="140" w:before="260"/>
      </w:pPr>
      <w:r>
        <w:rPr>
          <w:rFonts w:ascii="Calibri" w:cs="Calibri" w:eastAsia="Calibri" w:hAnsi="Calibri"/>
          <w:b/>
          <w:bCs/>
          <w:color w:val="1F5FA8"/>
          <w:sz w:val="24"/>
          <w:szCs w:val="24"/>
        </w:rPr>
        <w:t xml:space="preserve">5.2 Periodic Review Mechanism</w:t>
      </w:r>
    </w:p>
    <w:p>
      <w:pPr>
        <w:spacing w:after="200" w:line="276"/>
        <w:jc w:val="both"/>
      </w:pPr>
      <w:r>
        <w:rPr>
          <w:rFonts w:ascii="Calibri" w:cs="Calibri" w:eastAsia="Calibri" w:hAnsi="Calibri"/>
          <w:color w:val="1A1A1A"/>
          <w:sz w:val="22"/>
          <w:szCs w:val="22"/>
        </w:rPr>
        <w:t xml:space="preserve">The Coalition Council conducts a formal review of the Framework's exemption architecture six months after the coordinated effective date specified in Article 4.3, assessing the accumulated economic impact of the tariff measures across the membership, the continued justification for each active exemption, and the case for adjustment to the product coverage table. This six-month review produces a public report that the Communications Working Group circulates alongside the Framework's broader monitoring output under Article 10. The Coalition Council conducts subsequent reviews on an annual cycle thereafter, maintaining the Framework's twenty percent core rate intact at each review unless the Council jointly agrees to an adjustment through the applicable supermajority or simple majority threshold specified elsewhere in this Article.</w:t>
      </w:r>
    </w:p>
    <w:p>
      <w:pPr>
        <w:pStyle w:val="Heading2"/>
        <w:keepNext/>
        <w:spacing w:after="140" w:before="260"/>
      </w:pPr>
      <w:r>
        <w:rPr>
          <w:rFonts w:ascii="Calibri" w:cs="Calibri" w:eastAsia="Calibri" w:hAnsi="Calibri"/>
          <w:b/>
          <w:bCs/>
          <w:color w:val="1F5FA8"/>
          <w:sz w:val="24"/>
          <w:szCs w:val="24"/>
        </w:rPr>
        <w:t xml:space="preserve">5.3 Product-Specific Adjustments</w:t>
      </w:r>
    </w:p>
    <w:p>
      <w:pPr>
        <w:spacing w:after="200" w:line="276"/>
        <w:jc w:val="both"/>
      </w:pPr>
      <w:r>
        <w:rPr>
          <w:rFonts w:ascii="Calibri" w:cs="Calibri" w:eastAsia="Calibri" w:hAnsi="Calibri"/>
          <w:color w:val="1A1A1A"/>
          <w:sz w:val="22"/>
          <w:szCs w:val="22"/>
        </w:rPr>
        <w:t xml:space="preserve">The Tariff and Customs Working Group processes requests from individual Parties facing unexpected shortages or acute domestic industrial disruption attributable to the Framework's tariff measures, recommending targeted, time-limited adjustments to the Steering Committee for ratification. These adjustments operate as narrow corrections to unanticipated domestic effects rather than as a general relaxation of the Framework's tariff floor, and the Working Group documents each adjustment's expected duration and the supply-chain conditions that trigger its automatic expiration. A Party seeking a product-specific adjustment retains its full Framework voting rights and membership status throughout the adjustment process, and the adjustment mechanism operates entirely within the Framework's architecture rather than as an exception negotiated outside it.</w:t>
      </w:r>
    </w:p>
    <w:p>
      <w:pPr>
        <w:pStyle w:val="Heading1"/>
        <w:keepNext/>
        <w:spacing w:after="200" w:before="360"/>
      </w:pPr>
      <w:r>
        <w:rPr>
          <w:rFonts w:ascii="Calibri" w:cs="Calibri" w:eastAsia="Calibri" w:hAnsi="Calibri"/>
          <w:b/>
          <w:bCs/>
          <w:color w:val="0B3D91"/>
          <w:sz w:val="30"/>
          <w:szCs w:val="30"/>
        </w:rPr>
        <w:t xml:space="preserve">Article 6: Discipline and Non-Defection Architecture</w:t>
      </w:r>
    </w:p>
    <w:p>
      <w:pPr>
        <w:pStyle w:val="Heading2"/>
        <w:keepNext/>
        <w:spacing w:after="140" w:before="260"/>
      </w:pPr>
      <w:r>
        <w:rPr>
          <w:rFonts w:ascii="Calibri" w:cs="Calibri" w:eastAsia="Calibri" w:hAnsi="Calibri"/>
          <w:b/>
          <w:bCs/>
          <w:color w:val="1F5FA8"/>
          <w:sz w:val="24"/>
          <w:szCs w:val="24"/>
        </w:rPr>
        <w:t xml:space="preserve">6.1 The Mutual Non-Defection Commitment</w:t>
      </w:r>
    </w:p>
    <w:p>
      <w:pPr>
        <w:spacing w:after="200" w:line="276"/>
        <w:jc w:val="both"/>
      </w:pPr>
      <w:r>
        <w:rPr>
          <w:rFonts w:ascii="Calibri" w:cs="Calibri" w:eastAsia="Calibri" w:hAnsi="Calibri"/>
          <w:color w:val="1A1A1A"/>
          <w:sz w:val="22"/>
          <w:szCs w:val="22"/>
        </w:rPr>
        <w:t xml:space="preserve">The Framework's architecture excludes any reduction of a Full Member's applied tariff rate below the twenty percent floor on covered United States plastics products, and the Framework's architecture excludes bilateral arrangements between any Party and the United States that undermine the Framework's coordinated objectives. This exclusion operates as a shared structural feature that binds every Party symmetrically rather than as a restraint that any individual Party extends as a favor to the coalition; every Party accepts the identical constraint in exchange for the identical collective leverage the Framework produces. The Framework's public non-defection architecture, formalized through each Party's accession instrument under Article 2, transforms what would otherwise remain an informal understanding into a binding structural commitment with clear, symmetric consequences under Article 6.3.</w:t>
      </w:r>
    </w:p>
    <w:p>
      <w:pPr>
        <w:pStyle w:val="Heading2"/>
        <w:keepNext/>
        <w:spacing w:after="140" w:before="260"/>
      </w:pPr>
      <w:r>
        <w:rPr>
          <w:rFonts w:ascii="Calibri" w:cs="Calibri" w:eastAsia="Calibri" w:hAnsi="Calibri"/>
          <w:b/>
          <w:bCs/>
          <w:color w:val="1F5FA8"/>
          <w:sz w:val="24"/>
          <w:szCs w:val="24"/>
        </w:rPr>
        <w:t xml:space="preserve">6.2 Transparency for United States Offers</w:t>
      </w:r>
    </w:p>
    <w:p>
      <w:pPr>
        <w:spacing w:after="200" w:line="276"/>
        <w:jc w:val="both"/>
      </w:pPr>
      <w:r>
        <w:rPr>
          <w:rFonts w:ascii="Calibri" w:cs="Calibri" w:eastAsia="Calibri" w:hAnsi="Calibri"/>
          <w:color w:val="1A1A1A"/>
          <w:sz w:val="22"/>
          <w:szCs w:val="22"/>
        </w:rPr>
        <w:t xml:space="preserve">Where the United States extends an offer to modify or remove its plastics tariff measures against an individual Party, the Framework's transparency architecture activates automatically: the receiving Party notifies the Coalition Council of the offer's terms within seven days of receipt, and the Framework's architecture excludes unilateral acceptance of that offer without prior Coalition Council consultation. This transparency mechanism, detailed operationally as the No Side Deals Clause in Annex C, prevents the sequential bilateral pressure pattern that historically dissolves uncoordinated coalitions. The Coalition Council convenes an emergency session within ten days of any such notification, and the affected Party participates fully in that session's deliberation on the Framework's collective response to the underlying offer.</w:t>
      </w:r>
    </w:p>
    <w:p>
      <w:pPr>
        <w:pStyle w:val="Heading2"/>
        <w:keepNext/>
        <w:spacing w:after="140" w:before="260"/>
      </w:pPr>
      <w:r>
        <w:rPr>
          <w:rFonts w:ascii="Calibri" w:cs="Calibri" w:eastAsia="Calibri" w:hAnsi="Calibri"/>
          <w:b/>
          <w:bCs/>
          <w:color w:val="1F5FA8"/>
          <w:sz w:val="24"/>
          <w:szCs w:val="24"/>
        </w:rPr>
        <w:t xml:space="preserve">6.3 Consequences of Defection</w:t>
      </w:r>
    </w:p>
    <w:p>
      <w:pPr>
        <w:spacing w:after="200" w:line="276"/>
        <w:jc w:val="both"/>
      </w:pPr>
      <w:r>
        <w:rPr>
          <w:rFonts w:ascii="Calibri" w:cs="Calibri" w:eastAsia="Calibri" w:hAnsi="Calibri"/>
          <w:color w:val="1A1A1A"/>
          <w:sz w:val="22"/>
          <w:szCs w:val="22"/>
        </w:rPr>
        <w:t xml:space="preserve">Where a Party unilaterally withdraws from the tariff floor specified in Article 4.1 or materially undermines the Framework's coordinated measures outside the transparency architecture of Article 6.2, that Party's access to the solidarity mechanisms specified in Article 7 suspends automatically, pending Coalition Council review. The remaining Parties retain the option to adjust their own bilateral commitments toward the defecting Party's exports under the collective counter-retaliation architecture detailed in Annex D, restoring symmetry to a relationship that unilateral defection otherwise distorts. These consequences operate as automatic structural features of the Framework's architecture rather than as discretionary punishments imposed by any individual Party, and the Coalition Council documents each defection determination in a public record maintained by the Secretariat.</w:t>
      </w:r>
    </w:p>
    <w:p>
      <w:pPr>
        <w:pStyle w:val="Heading2"/>
        <w:keepNext/>
        <w:spacing w:after="140" w:before="260"/>
      </w:pPr>
      <w:r>
        <w:rPr>
          <w:rFonts w:ascii="Calibri" w:cs="Calibri" w:eastAsia="Calibri" w:hAnsi="Calibri"/>
          <w:b/>
          <w:bCs/>
          <w:color w:val="1F5FA8"/>
          <w:sz w:val="24"/>
          <w:szCs w:val="24"/>
        </w:rPr>
        <w:t xml:space="preserve">6.4 Time-Bound Commitment Window</w:t>
      </w:r>
    </w:p>
    <w:p>
      <w:pPr>
        <w:spacing w:after="200" w:line="276"/>
        <w:jc w:val="both"/>
      </w:pPr>
      <w:r>
        <w:rPr>
          <w:rFonts w:ascii="Calibri" w:cs="Calibri" w:eastAsia="Calibri" w:hAnsi="Calibri"/>
          <w:color w:val="1A1A1A"/>
          <w:sz w:val="22"/>
          <w:szCs w:val="22"/>
        </w:rPr>
        <w:t xml:space="preserve">Every Full Member maintains its Article 4.1 tariff floor for a minimum commitment window of twelve months from its accession date, absent a joint Coalition Council decision to enter negotiations under Article 11. This time-bound architecture prevents the early defection pattern that acute, sudden bilateral pressure otherwise produces, giving the Framework's collective leverage time to accumulate before any individual Party faces a decision point on its continued participation. The Coalition Council retains authority to extend this commitment window through simple majority decision as implementation experience warrants, and the Steering Committee reports on window compliance at each quarterly Coalition Council session.</w:t>
      </w:r>
    </w:p>
    <w:p>
      <w:pPr>
        <w:pStyle w:val="Heading1"/>
        <w:keepNext/>
        <w:spacing w:after="200" w:before="360"/>
      </w:pPr>
      <w:r>
        <w:rPr>
          <w:rFonts w:ascii="Calibri" w:cs="Calibri" w:eastAsia="Calibri" w:hAnsi="Calibri"/>
          <w:b/>
          <w:bCs/>
          <w:color w:val="0B3D91"/>
          <w:sz w:val="30"/>
          <w:szCs w:val="30"/>
        </w:rPr>
        <w:t xml:space="preserve">Article 7: Support and Solidarity Measures</w:t>
      </w:r>
    </w:p>
    <w:p>
      <w:pPr>
        <w:pStyle w:val="Heading2"/>
        <w:keepNext/>
        <w:spacing w:after="140" w:before="260"/>
      </w:pPr>
      <w:r>
        <w:rPr>
          <w:rFonts w:ascii="Calibri" w:cs="Calibri" w:eastAsia="Calibri" w:hAnsi="Calibri"/>
          <w:b/>
          <w:bCs/>
          <w:color w:val="1F5FA8"/>
          <w:sz w:val="24"/>
          <w:szCs w:val="24"/>
        </w:rPr>
        <w:t xml:space="preserve">7.1 Mutual Market Access Guarantees</w:t>
      </w:r>
    </w:p>
    <w:p>
      <w:pPr>
        <w:spacing w:after="200" w:line="276"/>
        <w:jc w:val="both"/>
      </w:pPr>
      <w:r>
        <w:rPr>
          <w:rFonts w:ascii="Calibri" w:cs="Calibri" w:eastAsia="Calibri" w:hAnsi="Calibri"/>
          <w:color w:val="1A1A1A"/>
          <w:sz w:val="22"/>
          <w:szCs w:val="22"/>
        </w:rPr>
        <w:t xml:space="preserve">Where United States retaliation targets an individual Party's export sector, the remaining Parties activate preferential market access arrangements for the affected sector's products, drawing on pre-negotiated quota and tariff-preference instruments that the Tariff and Customs Working Group maintains in standing readiness. This mechanism operates with particular relevance for agricultural exports, historically the United States' most frequent retaliation target against trading partners that impose counter-tariffs, and the Framework's architecture pre-positions coordinated agricultural absorption capacity specifically to blunt this predictable pressure point. A Party facing this kind of targeted retaliation transmits a support activation request to the Steering Committee, which coordinates the affected sector's market redirection within a target window of thirty days.</w:t>
      </w:r>
    </w:p>
    <w:p>
      <w:pPr>
        <w:pStyle w:val="Heading2"/>
        <w:keepNext/>
        <w:spacing w:after="140" w:before="260"/>
      </w:pPr>
      <w:r>
        <w:rPr>
          <w:rFonts w:ascii="Calibri" w:cs="Calibri" w:eastAsia="Calibri" w:hAnsi="Calibri"/>
          <w:b/>
          <w:bCs/>
          <w:color w:val="1F5FA8"/>
          <w:sz w:val="24"/>
          <w:szCs w:val="24"/>
        </w:rPr>
        <w:t xml:space="preserve">7.2 Emergency Stabilization Facility</w:t>
      </w:r>
    </w:p>
    <w:p>
      <w:pPr>
        <w:spacing w:after="200" w:line="276"/>
        <w:jc w:val="both"/>
      </w:pPr>
      <w:r>
        <w:rPr>
          <w:rFonts w:ascii="Calibri" w:cs="Calibri" w:eastAsia="Calibri" w:hAnsi="Calibri"/>
          <w:color w:val="1A1A1A"/>
          <w:sz w:val="22"/>
          <w:szCs w:val="22"/>
        </w:rPr>
        <w:t xml:space="preserve">The Coalition Council establishes a modest pooled Stabilization Facility, financed through proportional contributions from Full Members calibrated to trade volume, that provides short-term support to industries and firms experiencing acute disruption from United States countermeasures. The Facility extends bridge financing to firms actively reorienting supply chains away from United States sourcing, and the Facility coordinates with national export credit agencies to amplify its practical financing capacity beyond its own modest pooled capital base. The Steering Committee administers Facility disbursements according to criteria the Coalition Council establishes at the Framework's founding session, and the Facility's annual financial statements circulate to every Party through the Secretariat.</w:t>
      </w:r>
    </w:p>
    <w:p>
      <w:pPr>
        <w:pStyle w:val="Heading2"/>
        <w:keepNext/>
        <w:spacing w:after="140" w:before="260"/>
      </w:pPr>
      <w:r>
        <w:rPr>
          <w:rFonts w:ascii="Calibri" w:cs="Calibri" w:eastAsia="Calibri" w:hAnsi="Calibri"/>
          <w:b/>
          <w:bCs/>
          <w:color w:val="1F5FA8"/>
          <w:sz w:val="24"/>
          <w:szCs w:val="24"/>
        </w:rPr>
        <w:t xml:space="preserve">7.3 Diversification and Supply Chain Guarantees</w:t>
      </w:r>
    </w:p>
    <w:p>
      <w:pPr>
        <w:spacing w:after="200" w:line="276"/>
        <w:jc w:val="both"/>
      </w:pPr>
      <w:r>
        <w:rPr>
          <w:rFonts w:ascii="Calibri" w:cs="Calibri" w:eastAsia="Calibri" w:hAnsi="Calibri"/>
          <w:color w:val="1A1A1A"/>
          <w:sz w:val="22"/>
          <w:szCs w:val="22"/>
        </w:rPr>
        <w:t xml:space="preserve">Parties pre-arrange alternative supplier relationships, alternative buyer relationships, and alternative shipping route capacity through the Supply Chain and Exemptions Working Group, reducing the Framework's collective vulnerability to sudden United States import restrictions or supply interruptions. This diversification architecture operates continuously, independent of any specific retaliation event, building structural resilience into the coalition's trading relationships over the full duration of the Framework's operation. The Working Group publishes a confidential diversification status report to the Steering Committee on a quarterly basis, tracking the coalition's progress toward reduced United States dependency across the covered product categories.</w:t>
      </w:r>
    </w:p>
    <w:p>
      <w:pPr>
        <w:pStyle w:val="Heading2"/>
        <w:keepNext/>
        <w:spacing w:after="140" w:before="260"/>
      </w:pPr>
      <w:r>
        <w:rPr>
          <w:rFonts w:ascii="Calibri" w:cs="Calibri" w:eastAsia="Calibri" w:hAnsi="Calibri"/>
          <w:b/>
          <w:bCs/>
          <w:color w:val="1F5FA8"/>
          <w:sz w:val="24"/>
          <w:szCs w:val="24"/>
        </w:rPr>
        <w:t xml:space="preserve">7.4 Intelligence and Negotiation Support</w:t>
      </w:r>
    </w:p>
    <w:p>
      <w:pPr>
        <w:spacing w:after="200" w:line="276"/>
        <w:jc w:val="both"/>
      </w:pPr>
      <w:r>
        <w:rPr>
          <w:rFonts w:ascii="Calibri" w:cs="Calibri" w:eastAsia="Calibri" w:hAnsi="Calibri"/>
          <w:color w:val="1A1A1A"/>
          <w:sz w:val="22"/>
          <w:szCs w:val="22"/>
        </w:rPr>
        <w:t xml:space="preserve">Parties share intelligence on United States negotiation tactics, congressional dynamics, and industry lobbying signals through the secure communications channel specified in Article 9.3, reducing the informational asymmetry that smaller Parties otherwise face in direct bilateral dealings with the United States. The Framework provides joint negotiation coaching and preparatory briefing support to Parties facing direct United States pressure, drawing on the accumulated experience of Parties that have previously navigated similar bilateral dynamics. This intelligence-sharing architecture strengthens every Party's individual negotiating position without requiring any Party to disclose sensitive domestic policy deliberations beyond what each Party judges appropriate for coalition-wide circulation.</w:t>
      </w:r>
    </w:p>
    <w:p>
      <w:pPr>
        <w:pStyle w:val="Heading1"/>
        <w:keepNext/>
        <w:spacing w:after="200" w:before="360"/>
      </w:pPr>
      <w:r>
        <w:rPr>
          <w:rFonts w:ascii="Calibri" w:cs="Calibri" w:eastAsia="Calibri" w:hAnsi="Calibri"/>
          <w:b/>
          <w:bCs/>
          <w:color w:val="0B3D91"/>
          <w:sz w:val="30"/>
          <w:szCs w:val="30"/>
        </w:rPr>
        <w:t xml:space="preserve">Article 8: WTO and Legal Strategy</w:t>
      </w:r>
    </w:p>
    <w:p>
      <w:pPr>
        <w:pStyle w:val="Heading2"/>
        <w:keepNext/>
        <w:spacing w:after="140" w:before="260"/>
      </w:pPr>
      <w:r>
        <w:rPr>
          <w:rFonts w:ascii="Calibri" w:cs="Calibri" w:eastAsia="Calibri" w:hAnsi="Calibri"/>
          <w:b/>
          <w:bCs/>
          <w:color w:val="1F5FA8"/>
          <w:sz w:val="24"/>
          <w:szCs w:val="24"/>
        </w:rPr>
        <w:t xml:space="preserve">8.1 Joint and Parallel Dispute Filings</w:t>
      </w:r>
    </w:p>
    <w:p>
      <w:pPr>
        <w:spacing w:after="200" w:line="276"/>
        <w:jc w:val="both"/>
      </w:pPr>
      <w:r>
        <w:rPr>
          <w:rFonts w:ascii="Calibri" w:cs="Calibri" w:eastAsia="Calibri" w:hAnsi="Calibri"/>
          <w:color w:val="1A1A1A"/>
          <w:sz w:val="22"/>
          <w:szCs w:val="22"/>
        </w:rPr>
        <w:t xml:space="preserve">Every Party pursues joint or parallel World Trade Organization dispute consultations against the underlying United States tariff measures, coordinated through the Legal Working Group to present a unified legal argument across every active filing. The coordinated legal argument centers on the proposition that United States tariff measures violate Most Favored Nation obligations under Article I of the General Agreement on Tariffs and Trade, and that the national-security justification the United States invokes under Article XXI fails the standard the Appellate Body and prior panels apply to that exception. This coordinated filing strategy raises the reputational and procedural cost of the underlying United States measures far beyond what any single Party's individual dispute achieves, and the Legal Working Group circulates model pleading language that Parties adapt to their own domestic legal procedures.</w:t>
      </w:r>
    </w:p>
    <w:p>
      <w:pPr>
        <w:pStyle w:val="Heading2"/>
        <w:keepNext/>
        <w:spacing w:after="140" w:before="260"/>
      </w:pPr>
      <w:r>
        <w:rPr>
          <w:rFonts w:ascii="Calibri" w:cs="Calibri" w:eastAsia="Calibri" w:hAnsi="Calibri"/>
          <w:b/>
          <w:bCs/>
          <w:color w:val="1F5FA8"/>
          <w:sz w:val="24"/>
          <w:szCs w:val="24"/>
        </w:rPr>
        <w:t xml:space="preserve">8.2 Authorization Pathway and Alternatives</w:t>
      </w:r>
    </w:p>
    <w:p>
      <w:pPr>
        <w:spacing w:after="200" w:line="276"/>
        <w:jc w:val="both"/>
      </w:pPr>
      <w:r>
        <w:rPr>
          <w:rFonts w:ascii="Calibri" w:cs="Calibri" w:eastAsia="Calibri" w:hAnsi="Calibri"/>
          <w:color w:val="1A1A1A"/>
          <w:sz w:val="22"/>
          <w:szCs w:val="22"/>
        </w:rPr>
        <w:t xml:space="preserve">Where the World Trade Organization's dispute resolution and Appellate Body mechanisms remain unavailable or delayed, consistent with the institutional paralysis that has affected the Appellate Body in recent years, Parties pursue alternative legal pathways that the Legal Working Group coordinates in parallel with the primary WTO track. These alternatives include remedies available under Article XXVIII for the renegotiation of tariff concessions, and coordinated use of regional trade agreement mechanisms, including dispute provisions available under the Comprehensive and Progressive Agreement for Trans-Pacific Partnership and applicable European Union trade instruments, applied consistently with each Party's obligations under international law. The Legal Working Group maintains a standing assessment of which pathway offers the fastest practical relief at any given point in the dispute's evolution, and updates the Steering Committee on this assessment at each quarterly session.</w:t>
      </w:r>
    </w:p>
    <w:p>
      <w:pPr>
        <w:pStyle w:val="Heading2"/>
        <w:keepNext/>
        <w:spacing w:after="140" w:before="260"/>
      </w:pPr>
      <w:r>
        <w:rPr>
          <w:rFonts w:ascii="Calibri" w:cs="Calibri" w:eastAsia="Calibri" w:hAnsi="Calibri"/>
          <w:b/>
          <w:bCs/>
          <w:color w:val="1F5FA8"/>
          <w:sz w:val="24"/>
          <w:szCs w:val="24"/>
        </w:rPr>
        <w:t xml:space="preserve">8.3 Legal Lock-In Through Domestic Legislation</w:t>
      </w:r>
    </w:p>
    <w:p>
      <w:pPr>
        <w:spacing w:after="200" w:line="276"/>
        <w:jc w:val="both"/>
      </w:pPr>
      <w:r>
        <w:rPr>
          <w:rFonts w:ascii="Calibri" w:cs="Calibri" w:eastAsia="Calibri" w:hAnsi="Calibri"/>
          <w:color w:val="1A1A1A"/>
          <w:sz w:val="22"/>
          <w:szCs w:val="22"/>
        </w:rPr>
        <w:t xml:space="preserve">Parties pursue, where consistent with their domestic constitutional and legislative procedures, the codification of the twenty percent plastics tariff as the default legislated response to United States tariff discrimination. This domestic legal lock-in raises the institutional cost of reversal, requiring a Party's legislature to actively debate and repeal the measure rather than permitting an executive-level reversal that a single change in political leadership produces without broader deliberation. The Legal Working Group provides model legislative language to Parties pursuing this lock-in mechanism, adapted to the constitutional traditions of common law, civil law, and mixed legal systems represented across the membership. This mechanism operates as an optional strengthening tool available to Parties whose domestic systems accommodate it, rather than as a uniform Framework requirement.</w:t>
      </w:r>
    </w:p>
    <w:p>
      <w:pPr>
        <w:pStyle w:val="Heading2"/>
        <w:keepNext/>
        <w:spacing w:after="140" w:before="260"/>
      </w:pPr>
      <w:r>
        <w:rPr>
          <w:rFonts w:ascii="Calibri" w:cs="Calibri" w:eastAsia="Calibri" w:hAnsi="Calibri"/>
          <w:b/>
          <w:bCs/>
          <w:color w:val="1F5FA8"/>
          <w:sz w:val="24"/>
          <w:szCs w:val="24"/>
        </w:rPr>
        <w:t xml:space="preserve">8.4 Coordination with Existing Canadian and Coalition Filings</w:t>
      </w:r>
    </w:p>
    <w:p>
      <w:pPr>
        <w:spacing w:after="200" w:line="276"/>
        <w:jc w:val="both"/>
      </w:pPr>
      <w:r>
        <w:rPr>
          <w:rFonts w:ascii="Calibri" w:cs="Calibri" w:eastAsia="Calibri" w:hAnsi="Calibri"/>
          <w:color w:val="1A1A1A"/>
          <w:sz w:val="22"/>
          <w:szCs w:val="22"/>
        </w:rPr>
        <w:t xml:space="preserve">The Legal Working Group builds directly on the existing WTO complaints that Canada, China, and Brazil have filed against the underlying United States tariff measures, integrating these existing filings into the Framework's coordinated legal architecture rather than duplicating them. New accessions to the Framework contribute their own dispute filings to this integrated architecture as their domestic legal processes permit, and the Legal Working Group maintains a public docket tracking the status of every Party's individual and joint filings. This docket functions as a transparency instrument that reinforces the Framework's broader communications strategy under Article 9, demonstrating the breadth and coordination of the coalition's legal response to global audiences.</w:t>
      </w:r>
    </w:p>
    <w:p>
      <w:pPr>
        <w:pStyle w:val="Heading1"/>
        <w:keepNext/>
        <w:spacing w:after="200" w:before="360"/>
      </w:pPr>
      <w:r>
        <w:rPr>
          <w:rFonts w:ascii="Calibri" w:cs="Calibri" w:eastAsia="Calibri" w:hAnsi="Calibri"/>
          <w:b/>
          <w:bCs/>
          <w:color w:val="0B3D91"/>
          <w:sz w:val="30"/>
          <w:szCs w:val="30"/>
        </w:rPr>
        <w:t xml:space="preserve">Article 9: Communications and Public Messaging</w:t>
      </w:r>
    </w:p>
    <w:p>
      <w:pPr>
        <w:pStyle w:val="Heading2"/>
        <w:keepNext/>
        <w:spacing w:after="140" w:before="260"/>
      </w:pPr>
      <w:r>
        <w:rPr>
          <w:rFonts w:ascii="Calibri" w:cs="Calibri" w:eastAsia="Calibri" w:hAnsi="Calibri"/>
          <w:b/>
          <w:bCs/>
          <w:color w:val="1F5FA8"/>
          <w:sz w:val="24"/>
          <w:szCs w:val="24"/>
        </w:rPr>
        <w:t xml:space="preserve">9.1 Unified External Message</w:t>
      </w:r>
    </w:p>
    <w:p>
      <w:pPr>
        <w:spacing w:after="200" w:line="276"/>
        <w:jc w:val="both"/>
      </w:pPr>
      <w:r>
        <w:rPr>
          <w:rFonts w:ascii="Calibri" w:cs="Calibri" w:eastAsia="Calibri" w:hAnsi="Calibri"/>
          <w:color w:val="1A1A1A"/>
          <w:sz w:val="22"/>
          <w:szCs w:val="22"/>
        </w:rPr>
        <w:t xml:space="preserve">Parties coordinate public messaging around a consistent core narrative that frames the Framework's measures as a response rather than an initiation, emphasizing four themes that the Communications Working Group maintains as the Framework's standing messaging architecture. The response frame states plainly that the coalition responds to prior United States tariff action rather than initiating new trade conflict. The proportionality frame states that the twenty percent rate matches the tariff levels the United States itself applies against several coalition members. The unity frame states that the Parties stand together against unfair trade practices rather than negotiating in isolation. The dialogue frame states that the coalition remains open to negotiations at every stage, provided the United States removes its discriminatory measures.</w:t>
      </w:r>
    </w:p>
    <w:p>
      <w:pPr>
        <w:pStyle w:val="Heading2"/>
        <w:keepNext/>
        <w:spacing w:after="140" w:before="260"/>
      </w:pPr>
      <w:r>
        <w:rPr>
          <w:rFonts w:ascii="Calibri" w:cs="Calibri" w:eastAsia="Calibri" w:hAnsi="Calibri"/>
          <w:b/>
          <w:bCs/>
          <w:color w:val="1F5FA8"/>
          <w:sz w:val="24"/>
          <w:szCs w:val="24"/>
        </w:rPr>
        <w:t xml:space="preserve">9.2 Target Audience Messaging Matrix</w:t>
      </w:r>
    </w:p>
    <w:tbl>
      <w:tblPr>
        <w:tblW w:type="dxa" w:w="9350"/>
        <w:tblBorders>
          <w:top w:val="single" w:color="AAB9D6" w:sz="4"/>
          <w:left w:val="single" w:color="AAB9D6" w:sz="4"/>
          <w:bottom w:val="single" w:color="AAB9D6" w:sz="4"/>
          <w:right w:val="single" w:color="AAB9D6" w:sz="4"/>
          <w:insideH w:val="single" w:color="D3DCEE" w:sz="2"/>
          <w:insideV w:val="single" w:color="D3DCEE" w:sz="2"/>
        </w:tblBorders>
      </w:tblPr>
      <w:tblGrid>
        <w:gridCol w:w="4675"/>
        <w:gridCol w:w="4675"/>
      </w:tblGrid>
      <w:tr>
        <w:trPr>
          <w:tblHeader/>
        </w:trPr>
        <w:tc>
          <w:tcPr>
            <w:tcW w:type="dxa" w:w="4675"/>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Audience</w:t>
            </w:r>
          </w:p>
        </w:tc>
        <w:tc>
          <w:tcPr>
            <w:tcW w:type="dxa" w:w="4675"/>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Core Message</w:t>
            </w:r>
          </w:p>
        </w:tc>
      </w:tr>
      <w:tr>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United States policymakers</w:t>
            </w:r>
          </w:p>
        </w:tc>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Coalition exporters face measurable harm; a negotiated settlement remains available.</w:t>
            </w:r>
          </w:p>
        </w:tc>
      </w:tr>
      <w:tr>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United States plastics industry</w:t>
            </w:r>
          </w:p>
        </w:tc>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The industry's own export interests favor lobbying Washington toward tariff removal.</w:t>
            </w:r>
          </w:p>
        </w:tc>
      </w:tr>
      <w:tr>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Global media</w:t>
            </w:r>
          </w:p>
        </w:tc>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The coalition's response is coordinated, proportionate, and grounded in established trade law.</w:t>
            </w:r>
          </w:p>
        </w:tc>
      </w:tr>
      <w:tr>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Domestic publics across the coalition</w:t>
            </w:r>
          </w:p>
        </w:tc>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The measures defend domestic workers and industries against discriminatory foreign tariffs.</w:t>
            </w:r>
          </w:p>
        </w:tc>
      </w:tr>
    </w:tbl>
    <w:p>
      <w:pPr>
        <w:spacing w:after="200"/>
      </w:pPr>
    </w:p>
    <w:p>
      <w:pPr>
        <w:pStyle w:val="Heading2"/>
        <w:keepNext/>
        <w:spacing w:after="140" w:before="260"/>
      </w:pPr>
      <w:r>
        <w:rPr>
          <w:rFonts w:ascii="Calibri" w:cs="Calibri" w:eastAsia="Calibri" w:hAnsi="Calibri"/>
          <w:b/>
          <w:bCs/>
          <w:color w:val="1F5FA8"/>
          <w:sz w:val="24"/>
          <w:szCs w:val="24"/>
        </w:rPr>
        <w:t xml:space="preserve">9.3 Internal Secure Communications</w:t>
      </w:r>
    </w:p>
    <w:p>
      <w:pPr>
        <w:spacing w:after="200" w:line="276"/>
        <w:jc w:val="both"/>
      </w:pPr>
      <w:r>
        <w:rPr>
          <w:rFonts w:ascii="Calibri" w:cs="Calibri" w:eastAsia="Calibri" w:hAnsi="Calibri"/>
          <w:color w:val="1A1A1A"/>
          <w:sz w:val="22"/>
          <w:szCs w:val="22"/>
        </w:rPr>
        <w:t xml:space="preserve">Parties operate an encrypted diplomatic communications channel dedicated to Framework coordination, carrying regular updates on United States response patterns, individual Party pressure events, and coalition member domestic political developments relevant to Framework cohesion. The Communications Working Group convenes coordination calls on a weekly cadence during periods of active United States pressure and transitions to a biweekly cadence during periods of relative stability. This internal channel operates separately from each Party's own diplomatic communications infrastructure, providing a dedicated coalition-specific coordination layer that the Secretariat maintains and secures.</w:t>
      </w:r>
    </w:p>
    <w:p>
      <w:pPr>
        <w:pStyle w:val="Heading2"/>
        <w:keepNext/>
        <w:spacing w:after="140" w:before="260"/>
      </w:pPr>
      <w:r>
        <w:rPr>
          <w:rFonts w:ascii="Calibri" w:cs="Calibri" w:eastAsia="Calibri" w:hAnsi="Calibri"/>
          <w:b/>
          <w:bCs/>
          <w:color w:val="1F5FA8"/>
          <w:sz w:val="24"/>
          <w:szCs w:val="24"/>
        </w:rPr>
        <w:t xml:space="preserve">9.4 Domestic Political Shielding</w:t>
      </w:r>
    </w:p>
    <w:p>
      <w:pPr>
        <w:spacing w:after="200" w:line="276"/>
        <w:jc w:val="both"/>
      </w:pPr>
      <w:r>
        <w:rPr>
          <w:rFonts w:ascii="Calibri" w:cs="Calibri" w:eastAsia="Calibri" w:hAnsi="Calibri"/>
          <w:color w:val="1A1A1A"/>
          <w:sz w:val="22"/>
          <w:szCs w:val="22"/>
        </w:rPr>
        <w:t xml:space="preserve">Each Party prepares sector-specific economic impact briefings, industry engagement materials, and media talking points in advance of the Framework's coordinated implementation date, reducing the likelihood that domestic political pressure forces a premature retreat from the Framework's commitments. The Communications Working Group circulates template materials that individual Parties adapt to their own domestic political and linguistic context, accelerating each Party's own preparation timeline. This domestic shielding architecture directly addresses the vulnerability that acute, sudden United States pressure otherwise exploits, giving each Party's domestic constituencies a clear, pre-positioned explanation of the Framework's purpose and expected duration.</w:t>
      </w:r>
    </w:p>
    <w:p>
      <w:pPr>
        <w:pStyle w:val="Heading1"/>
        <w:keepNext/>
        <w:spacing w:after="200" w:before="360"/>
      </w:pPr>
      <w:r>
        <w:rPr>
          <w:rFonts w:ascii="Calibri" w:cs="Calibri" w:eastAsia="Calibri" w:hAnsi="Calibri"/>
          <w:b/>
          <w:bCs/>
          <w:color w:val="0B3D91"/>
          <w:sz w:val="30"/>
          <w:szCs w:val="30"/>
        </w:rPr>
        <w:t xml:space="preserve">Article 10: Monitoring, Metrics, and Review</w:t>
      </w:r>
    </w:p>
    <w:p>
      <w:pPr>
        <w:pStyle w:val="Heading2"/>
        <w:keepNext/>
        <w:spacing w:after="140" w:before="260"/>
      </w:pPr>
      <w:r>
        <w:rPr>
          <w:rFonts w:ascii="Calibri" w:cs="Calibri" w:eastAsia="Calibri" w:hAnsi="Calibri"/>
          <w:b/>
          <w:bCs/>
          <w:color w:val="1F5FA8"/>
          <w:sz w:val="24"/>
          <w:szCs w:val="24"/>
        </w:rPr>
        <w:t xml:space="preserve">10.1 Standing Monitoring Functions</w:t>
      </w:r>
    </w:p>
    <w:p>
      <w:pPr>
        <w:spacing w:after="200" w:line="276"/>
        <w:jc w:val="both"/>
      </w:pPr>
      <w:r>
        <w:rPr>
          <w:rFonts w:ascii="Calibri" w:cs="Calibri" w:eastAsia="Calibri" w:hAnsi="Calibri"/>
          <w:color w:val="1A1A1A"/>
          <w:sz w:val="22"/>
          <w:szCs w:val="22"/>
        </w:rPr>
        <w:t xml:space="preserve">The Steering Committee monitors four categories of indicator on a continuous basis throughout the Framework's operation: coalition membership size and composition against the fifteen-Party target specified in Annex A; United States plastics export volumes to Framework Parties, tracked against pre-implementation baseline data; observable evidence of United States plastics industry lobbying activity directed at tariff removal; and the pace of progress toward formal negotiation between the United States and the coalition. The Tariff and Customs Working Group supplies the trade-volume data underlying this monitoring function, drawing on customs statistics that Parties submit through the Secretariat on a monthly basis.</w:t>
      </w:r>
    </w:p>
    <w:p>
      <w:pPr>
        <w:pStyle w:val="Heading2"/>
        <w:keepNext/>
        <w:spacing w:after="140" w:before="260"/>
      </w:pPr>
      <w:r>
        <w:rPr>
          <w:rFonts w:ascii="Calibri" w:cs="Calibri" w:eastAsia="Calibri" w:hAnsi="Calibri"/>
          <w:b/>
          <w:bCs/>
          <w:color w:val="1F5FA8"/>
          <w:sz w:val="24"/>
          <w:szCs w:val="24"/>
        </w:rPr>
        <w:t xml:space="preserve">10.2 Success Metrics Dashboard</w:t>
      </w:r>
    </w:p>
    <w:tbl>
      <w:tblPr>
        <w:tblW w:type="dxa" w:w="9350"/>
        <w:tblBorders>
          <w:top w:val="single" w:color="AAB9D6" w:sz="4"/>
          <w:left w:val="single" w:color="AAB9D6" w:sz="4"/>
          <w:bottom w:val="single" w:color="AAB9D6" w:sz="4"/>
          <w:right w:val="single" w:color="AAB9D6" w:sz="4"/>
          <w:insideH w:val="single" w:color="D3DCEE" w:sz="2"/>
          <w:insideV w:val="single" w:color="D3DCEE" w:sz="2"/>
        </w:tblBorders>
      </w:tblPr>
      <w:tblGrid>
        <w:gridCol w:w="4675"/>
        <w:gridCol w:w="4675"/>
      </w:tblGrid>
      <w:tr>
        <w:trPr>
          <w:tblHeader/>
        </w:trPr>
        <w:tc>
          <w:tcPr>
            <w:tcW w:type="dxa" w:w="4675"/>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Metric</w:t>
            </w:r>
          </w:p>
        </w:tc>
        <w:tc>
          <w:tcPr>
            <w:tcW w:type="dxa" w:w="4675"/>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w:t>
            </w:r>
          </w:p>
        </w:tc>
      </w:tr>
      <w:tr>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Coalition size</w:t>
            </w:r>
          </w:p>
        </w:tc>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Fifteen or more Parties within the first twelve months</w:t>
            </w:r>
          </w:p>
        </w:tc>
      </w:tr>
      <w:tr>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United States plastics export decline</w:t>
            </w:r>
          </w:p>
        </w:tc>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Thirty to fifty percent within six to twelve months of implementation</w:t>
            </w:r>
          </w:p>
        </w:tc>
      </w:tr>
      <w:tr>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United States industry lobbying evidence</w:t>
            </w:r>
          </w:p>
        </w:tc>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Documented, visible lobbying activity directed at tariff removal</w:t>
            </w:r>
          </w:p>
        </w:tc>
      </w:tr>
      <w:tr>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Negotiation progress</w:t>
            </w:r>
          </w:p>
        </w:tc>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United States engagement in formal negotiation within six months</w:t>
            </w:r>
          </w:p>
        </w:tc>
      </w:tr>
      <w:tr>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WTO proceedings</w:t>
            </w:r>
          </w:p>
        </w:tc>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Favorable ruling, authorization, or negotiated settlement</w:t>
            </w:r>
          </w:p>
        </w:tc>
      </w:tr>
    </w:tbl>
    <w:p>
      <w:pPr>
        <w:spacing w:after="200"/>
      </w:pPr>
    </w:p>
    <w:p>
      <w:pPr>
        <w:pStyle w:val="Heading2"/>
        <w:keepNext/>
        <w:spacing w:after="140" w:before="260"/>
      </w:pPr>
      <w:r>
        <w:rPr>
          <w:rFonts w:ascii="Calibri" w:cs="Calibri" w:eastAsia="Calibri" w:hAnsi="Calibri"/>
          <w:b/>
          <w:bCs/>
          <w:color w:val="1F5FA8"/>
          <w:sz w:val="24"/>
          <w:szCs w:val="24"/>
        </w:rPr>
        <w:t xml:space="preserve">10.3 Periodic Review Cadence</w:t>
      </w:r>
    </w:p>
    <w:p>
      <w:pPr>
        <w:spacing w:after="200" w:line="276"/>
        <w:jc w:val="both"/>
      </w:pPr>
      <w:r>
        <w:rPr>
          <w:rFonts w:ascii="Calibri" w:cs="Calibri" w:eastAsia="Calibri" w:hAnsi="Calibri"/>
          <w:color w:val="1A1A1A"/>
          <w:sz w:val="22"/>
          <w:szCs w:val="22"/>
        </w:rPr>
        <w:t xml:space="preserve">The Coalition Council conducts a formal six-month impact review, assessing the Framework's economic effect on member supply chains, the continued appropriateness of active exemptions under Article 5, and the case for coverage adjustment under Article 4.4. The Coalition Council conducts an annual strategic review thereafter, evaluating whether the Framework's evidence supports maintaining current measures, adjusting product coverage, escalating through the retaliation ladder specified in Annex D, or winding down measures toward the settlement conditions in Article 11. Each review produces a public summary report that the Communications Working Group circulates alongside the Framework's standing messaging architecture, reinforcing the transparency that underpins the Framework's broader legitimacy.</w:t>
      </w:r>
    </w:p>
    <w:p>
      <w:pPr>
        <w:pStyle w:val="Heading2"/>
        <w:keepNext/>
        <w:spacing w:after="140" w:before="260"/>
      </w:pPr>
      <w:r>
        <w:rPr>
          <w:rFonts w:ascii="Calibri" w:cs="Calibri" w:eastAsia="Calibri" w:hAnsi="Calibri"/>
          <w:b/>
          <w:bCs/>
          <w:color w:val="1F5FA8"/>
          <w:sz w:val="24"/>
          <w:szCs w:val="24"/>
        </w:rPr>
        <w:t xml:space="preserve">10.4 Reporting to Parties</w:t>
      </w:r>
    </w:p>
    <w:p>
      <w:pPr>
        <w:spacing w:after="200" w:line="276"/>
        <w:jc w:val="both"/>
      </w:pPr>
      <w:r>
        <w:rPr>
          <w:rFonts w:ascii="Calibri" w:cs="Calibri" w:eastAsia="Calibri" w:hAnsi="Calibri"/>
          <w:color w:val="1A1A1A"/>
          <w:sz w:val="22"/>
          <w:szCs w:val="22"/>
        </w:rPr>
        <w:t xml:space="preserve">The Secretariat compiles the Steering Committee's monitoring output into a quarterly status report circulated to every Party, the Coalition Council, and, in a redacted public-facing form, to external audiences through the Framework's communications infrastructure. This reporting cycle keeps every Party informed of the Framework's aggregate performance against the Annex F metrics dashboard, supporting the informed Coalition Council decision-making that Articles 4, 6, and 11 each depend on at their respective decision points.</w:t>
      </w:r>
    </w:p>
    <w:p>
      <w:pPr>
        <w:pStyle w:val="Heading1"/>
        <w:keepNext/>
        <w:spacing w:after="200" w:before="360"/>
      </w:pPr>
      <w:r>
        <w:rPr>
          <w:rFonts w:ascii="Calibri" w:cs="Calibri" w:eastAsia="Calibri" w:hAnsi="Calibri"/>
          <w:b/>
          <w:bCs/>
          <w:color w:val="0B3D91"/>
          <w:sz w:val="30"/>
          <w:szCs w:val="30"/>
        </w:rPr>
        <w:t xml:space="preserve">Article 11: Settlement and Termination</w:t>
      </w:r>
    </w:p>
    <w:p>
      <w:pPr>
        <w:pStyle w:val="Heading2"/>
        <w:keepNext/>
        <w:spacing w:after="140" w:before="260"/>
      </w:pPr>
      <w:r>
        <w:rPr>
          <w:rFonts w:ascii="Calibri" w:cs="Calibri" w:eastAsia="Calibri" w:hAnsi="Calibri"/>
          <w:b/>
          <w:bCs/>
          <w:color w:val="1F5FA8"/>
          <w:sz w:val="24"/>
          <w:szCs w:val="24"/>
        </w:rPr>
        <w:t xml:space="preserve">11.1 Settlement Conditions</w:t>
      </w:r>
    </w:p>
    <w:p>
      <w:pPr>
        <w:spacing w:after="200" w:line="276"/>
        <w:jc w:val="both"/>
      </w:pPr>
      <w:r>
        <w:rPr>
          <w:rFonts w:ascii="Calibri" w:cs="Calibri" w:eastAsia="Calibri" w:hAnsi="Calibri"/>
          <w:color w:val="1A1A1A"/>
          <w:sz w:val="22"/>
          <w:szCs w:val="22"/>
        </w:rPr>
        <w:t xml:space="preserve">The Coalition Council activates the settlement and rollback procedure specified in Article 11.2 upon the joint satisfaction of two conditions: the United States removes its discriminatory tariff measures against the Parties' exports, and the Parties reach a negotiated settlement consistent with World Trade Organization rules that the Coalition Council ratifies through simple majority decision. The Coalition Council retains authority to determine, through its own deliberative process, whether a proposed United States tariff modification satisfies the first condition in substance rather than merely in form, guarding against a partial or cosmetic adjustment that leaves the underlying discriminatory structure intact. Individual Parties do not activate settlement unilaterally; the settlement determination operates as a collective Coalition Council function consistent with the Framework's non-defection architecture under Article 6.</w:t>
      </w:r>
    </w:p>
    <w:p>
      <w:pPr>
        <w:pStyle w:val="Heading2"/>
        <w:keepNext/>
        <w:spacing w:after="140" w:before="260"/>
      </w:pPr>
      <w:r>
        <w:rPr>
          <w:rFonts w:ascii="Calibri" w:cs="Calibri" w:eastAsia="Calibri" w:hAnsi="Calibri"/>
          <w:b/>
          <w:bCs/>
          <w:color w:val="1F5FA8"/>
          <w:sz w:val="24"/>
          <w:szCs w:val="24"/>
        </w:rPr>
        <w:t xml:space="preserve">11.2 Coordinated Rollback</w:t>
      </w:r>
    </w:p>
    <w:p>
      <w:pPr>
        <w:spacing w:after="200" w:line="276"/>
        <w:jc w:val="both"/>
      </w:pPr>
      <w:r>
        <w:rPr>
          <w:rFonts w:ascii="Calibri" w:cs="Calibri" w:eastAsia="Calibri" w:hAnsi="Calibri"/>
          <w:color w:val="1A1A1A"/>
          <w:sz w:val="22"/>
          <w:szCs w:val="22"/>
        </w:rPr>
        <w:t xml:space="preserve">Where the settlement conditions in Article 11.1 activate, every Party coordinates its tariff rollback to a common announced date, avoiding the fragmented, staggered unwinding that would otherwise create competitive distortion among Parties completing their rollback at different speeds. The Coalition Council announces the coordinated rollback jointly, through the Communications Working Group's external messaging architecture, framing the rollback as the successful conclusion of a defensive measure rather than as a concession extracted under pressure. This coordinated announcement mechanism mirrors the coordinated implementation architecture in Article 4.3, applying the same synchronization logic in reverse to preserve Framework unity through the Framework's conclusion.</w:t>
      </w:r>
    </w:p>
    <w:p>
      <w:pPr>
        <w:pStyle w:val="Heading2"/>
        <w:keepNext/>
        <w:spacing w:after="140" w:before="260"/>
      </w:pPr>
      <w:r>
        <w:rPr>
          <w:rFonts w:ascii="Calibri" w:cs="Calibri" w:eastAsia="Calibri" w:hAnsi="Calibri"/>
          <w:b/>
          <w:bCs/>
          <w:color w:val="1F5FA8"/>
          <w:sz w:val="24"/>
          <w:szCs w:val="24"/>
        </w:rPr>
        <w:t xml:space="preserve">11.3 Partial and Phased Termination</w:t>
      </w:r>
    </w:p>
    <w:p>
      <w:pPr>
        <w:spacing w:after="200" w:line="276"/>
        <w:jc w:val="both"/>
      </w:pPr>
      <w:r>
        <w:rPr>
          <w:rFonts w:ascii="Calibri" w:cs="Calibri" w:eastAsia="Calibri" w:hAnsi="Calibri"/>
          <w:color w:val="1A1A1A"/>
          <w:sz w:val="22"/>
          <w:szCs w:val="22"/>
        </w:rPr>
        <w:t xml:space="preserve">The Coalition Council retains authority to authorize a phased termination sequence where full simultaneous rollback proves impractical across the full membership, provided the phased sequence completes within a Coalition Council-approved timeframe and provided every Party commits publicly to the sequence's endpoint at the time the phased approach receives approval. This flexibility accommodates the practical customs administration lead times that a coalition spanning fifteen or more distinct legal jurisdictions inevitably produces, without compromising the coordinated character that distinguishes this Framework's rollback from an uncoordinated, Party-by-Party unwinding.</w:t>
      </w:r>
    </w:p>
    <w:p>
      <w:pPr>
        <w:pStyle w:val="Heading1"/>
        <w:keepNext/>
        <w:spacing w:after="200" w:before="360"/>
      </w:pPr>
      <w:r>
        <w:rPr>
          <w:rFonts w:ascii="Calibri" w:cs="Calibri" w:eastAsia="Calibri" w:hAnsi="Calibri"/>
          <w:b/>
          <w:bCs/>
          <w:color w:val="0B3D91"/>
          <w:sz w:val="30"/>
          <w:szCs w:val="30"/>
        </w:rPr>
        <w:t xml:space="preserve">Article 12: Final Provisions</w:t>
      </w:r>
    </w:p>
    <w:p>
      <w:pPr>
        <w:pStyle w:val="Heading2"/>
        <w:keepNext/>
        <w:spacing w:after="140" w:before="260"/>
      </w:pPr>
      <w:r>
        <w:rPr>
          <w:rFonts w:ascii="Calibri" w:cs="Calibri" w:eastAsia="Calibri" w:hAnsi="Calibri"/>
          <w:b/>
          <w:bCs/>
          <w:color w:val="1F5FA8"/>
          <w:sz w:val="24"/>
          <w:szCs w:val="24"/>
        </w:rPr>
        <w:t xml:space="preserve">12.1 Amendment Procedure</w:t>
      </w:r>
    </w:p>
    <w:p>
      <w:pPr>
        <w:spacing w:after="200" w:line="276"/>
        <w:jc w:val="both"/>
      </w:pPr>
      <w:r>
        <w:rPr>
          <w:rFonts w:ascii="Calibri" w:cs="Calibri" w:eastAsia="Calibri" w:hAnsi="Calibri"/>
          <w:color w:val="1A1A1A"/>
          <w:sz w:val="22"/>
          <w:szCs w:val="22"/>
        </w:rPr>
        <w:t xml:space="preserve">The Coalition Council amends this Agreement through a seventy percent supermajority vote of Full Members, followed by the domestic ratification or approval procedures each amending Party's own legal order requires. Proposed amendments circulate to every Party through the Secretariat at minimum sixty days before the Coalition Council session at which the amendment vote occurs, giving every Party's domestic stakeholders adequate opportunity for consultation. Technical or administrative corrections that do not alter substantive rights or obligations proceed through a simplified Steering Committee approval process, reserving the full amendment procedure for changes of genuine structural consequence.</w:t>
      </w:r>
    </w:p>
    <w:p>
      <w:pPr>
        <w:pStyle w:val="Heading2"/>
        <w:keepNext/>
        <w:spacing w:after="140" w:before="260"/>
      </w:pPr>
      <w:r>
        <w:rPr>
          <w:rFonts w:ascii="Calibri" w:cs="Calibri" w:eastAsia="Calibri" w:hAnsi="Calibri"/>
          <w:b/>
          <w:bCs/>
          <w:color w:val="1F5FA8"/>
          <w:sz w:val="24"/>
          <w:szCs w:val="24"/>
        </w:rPr>
        <w:t xml:space="preserve">12.2 Depositary Functions</w:t>
      </w:r>
    </w:p>
    <w:p>
      <w:pPr>
        <w:spacing w:after="200" w:line="276"/>
        <w:jc w:val="both"/>
      </w:pPr>
      <w:r>
        <w:rPr>
          <w:rFonts w:ascii="Calibri" w:cs="Calibri" w:eastAsia="Calibri" w:hAnsi="Calibri"/>
          <w:color w:val="1A1A1A"/>
          <w:sz w:val="22"/>
          <w:szCs w:val="22"/>
        </w:rPr>
        <w:t xml:space="preserve">Canada functions as this Agreement's Depositary, maintaining the official archive of ratification instruments, accession notifications, withdrawal notices, and Coalition Council decision records. The Depositary circulates certified copies of this Agreement and its amendments to every Party and to the World Trade Organization Secretariat for informational registration consistent with applicable transparency obligations. The Depositary's archival function operates as an administrative service to the full membership rather than as a source of interpretive authority over this Agreement's substantive provisions, and interpretive questions route instead through the Legal Working Group and, where necessary, the Coalition Council itself.</w:t>
      </w:r>
    </w:p>
    <w:p>
      <w:pPr>
        <w:pStyle w:val="Heading2"/>
        <w:keepNext/>
        <w:spacing w:after="140" w:before="260"/>
      </w:pPr>
      <w:r>
        <w:rPr>
          <w:rFonts w:ascii="Calibri" w:cs="Calibri" w:eastAsia="Calibri" w:hAnsi="Calibri"/>
          <w:b/>
          <w:bCs/>
          <w:color w:val="1F5FA8"/>
          <w:sz w:val="24"/>
          <w:szCs w:val="24"/>
        </w:rPr>
        <w:t xml:space="preserve">12.3 Authentic Texts and Languages</w:t>
      </w:r>
    </w:p>
    <w:p>
      <w:pPr>
        <w:spacing w:after="200" w:line="276"/>
        <w:jc w:val="both"/>
      </w:pPr>
      <w:r>
        <w:rPr>
          <w:rFonts w:ascii="Calibri" w:cs="Calibri" w:eastAsia="Calibri" w:hAnsi="Calibri"/>
          <w:color w:val="1A1A1A"/>
          <w:sz w:val="22"/>
          <w:szCs w:val="22"/>
        </w:rPr>
        <w:t xml:space="preserve">This Agreement carries equal authenticity across the official languages of the Parties, and the Secretariat coordinates certified translation of the authoritative English and French texts into the additional official languages that accession brings into the Framework. Where a divergence in interpretation arises between authentic texts, the Legal Working Group prepares a reconciliation analysis for Coalition Council resolution, applying the ordinary principles of treaty interpretation reflected in customary international law. Canada bears responsibility for the initial English and French texts at the Framework's founding, and each acceding Party bears responsibility for the accuracy of its own official-language translation, subject to Legal Working Group review.</w:t>
      </w:r>
    </w:p>
    <w:p>
      <w:pPr>
        <w:pStyle w:val="Heading2"/>
        <w:keepNext/>
        <w:spacing w:after="140" w:before="260"/>
      </w:pPr>
      <w:r>
        <w:rPr>
          <w:rFonts w:ascii="Calibri" w:cs="Calibri" w:eastAsia="Calibri" w:hAnsi="Calibri"/>
          <w:b/>
          <w:bCs/>
          <w:color w:val="1F5FA8"/>
          <w:sz w:val="24"/>
          <w:szCs w:val="24"/>
        </w:rPr>
        <w:t xml:space="preserve">12.4 Entry Into Force</w:t>
      </w:r>
    </w:p>
    <w:p>
      <w:pPr>
        <w:spacing w:after="200" w:line="276"/>
        <w:jc w:val="both"/>
      </w:pPr>
      <w:r>
        <w:rPr>
          <w:rFonts w:ascii="Calibri" w:cs="Calibri" w:eastAsia="Calibri" w:hAnsi="Calibri"/>
          <w:color w:val="1A1A1A"/>
          <w:sz w:val="22"/>
          <w:szCs w:val="22"/>
        </w:rPr>
        <w:t xml:space="preserve">This Agreement enters into force thirty days after the deposit of ratification instruments from a minimum of eight Founding Parties representing, in aggregate, at minimum forty percent of the United States plastics export value affected by Tier 1 coverage under Article 4.2. This entry-into-force threshold balances the Framework's need for genuine coordinated weight against the practical reality that ratification timelines vary across the Parties' distinct domestic legal procedures. The Depositary publishes formal confirmation of entry into force to all signatories and to the World Trade Organization Secretariat immediately upon satisfaction of this threshold, triggering the ninety-day coordinated implementation window specified in Article 4.3.</w:t>
      </w:r>
    </w:p>
    <w:p>
      <w:r>
        <w:br w:type="page"/>
      </w:r>
    </w:p>
    <w:p>
      <w:pPr>
        <w:pStyle w:val="Heading1"/>
        <w:pBdr>
          <w:bottom w:val="double" w:color="0B3D91" w:sz="8" w:space="6"/>
        </w:pBdr>
        <w:spacing w:after="300" w:before="200"/>
      </w:pPr>
      <w:r>
        <w:rPr>
          <w:rFonts w:ascii="Calibri" w:cs="Calibri" w:eastAsia="Calibri" w:hAnsi="Calibri"/>
          <w:b/>
          <w:bCs/>
          <w:color w:val="0B3D91"/>
          <w:sz w:val="36"/>
          <w:szCs w:val="36"/>
        </w:rPr>
        <w:t xml:space="preserve">PART TWO: OPERATIONAL ANNEXES</w:t>
      </w:r>
    </w:p>
    <w:p>
      <w:pPr>
        <w:spacing w:after="200" w:line="276"/>
        <w:jc w:val="both"/>
      </w:pPr>
      <w:r>
        <w:rPr>
          <w:rFonts w:ascii="Calibri" w:cs="Calibri" w:eastAsia="Calibri" w:hAnsi="Calibri"/>
          <w:color w:val="1A1A1A"/>
          <w:sz w:val="22"/>
          <w:szCs w:val="22"/>
        </w:rPr>
        <w:t xml:space="preserve">The Annexes that follow translate the operative Articles of Part One into the concrete operational plans, schedules, and toolkits that give the Framework its practical effect. Annex B, in particular, sets out Canada's coalition-building and outreach plan in full operational detail, structured around the bilateral, multilateral, and legal-preparation phases that together move the Framework from concept to coordinated implementation. Every Annex operates as an integral part of this Agreement, and the Coalition Council maintains and updates each Annex through the same governance procedures specified in Article 3, without requiring the full amendment procedure of Article 12.1 for routine operational updates that do not alter the Framework's substantive obligations.</w:t>
      </w:r>
    </w:p>
    <w:p>
      <w:pPr>
        <w:pStyle w:val="Heading1"/>
        <w:keepNext/>
        <w:spacing w:after="200" w:before="360"/>
      </w:pPr>
      <w:r>
        <w:rPr>
          <w:rFonts w:ascii="Calibri" w:cs="Calibri" w:eastAsia="Calibri" w:hAnsi="Calibri"/>
          <w:b/>
          <w:bCs/>
          <w:color w:val="0B3D91"/>
          <w:sz w:val="30"/>
          <w:szCs w:val="30"/>
        </w:rPr>
        <w:t xml:space="preserve">Annex A: Strategic Rationale and Target Assessment</w:t>
      </w:r>
    </w:p>
    <w:p>
      <w:pPr>
        <w:pStyle w:val="Heading2"/>
        <w:keepNext/>
        <w:spacing w:after="140" w:before="260"/>
      </w:pPr>
      <w:r>
        <w:rPr>
          <w:rFonts w:ascii="Calibri" w:cs="Calibri" w:eastAsia="Calibri" w:hAnsi="Calibri"/>
          <w:b/>
          <w:bCs/>
          <w:color w:val="1F5FA8"/>
          <w:sz w:val="24"/>
          <w:szCs w:val="24"/>
        </w:rPr>
        <w:t xml:space="preserve">A.1 Sector Rationale</w:t>
      </w:r>
    </w:p>
    <w:p>
      <w:pPr>
        <w:spacing w:after="200" w:line="276"/>
        <w:jc w:val="both"/>
      </w:pPr>
      <w:r>
        <w:rPr>
          <w:rFonts w:ascii="Calibri" w:cs="Calibri" w:eastAsia="Calibri" w:hAnsi="Calibri"/>
          <w:color w:val="1A1A1A"/>
          <w:sz w:val="22"/>
          <w:szCs w:val="22"/>
        </w:rPr>
        <w:t xml:space="preserve">The plastics sector presents four characteristics that make it the Framework's optimal point of coordinated pressure against United States export interests. United States plastics exports total approximately seventy-three billion dollars annually across resins, finished products, machinery, and molds, representing a export volume of genuine macroeconomic significance to the sector's domestic producers. United States plastics producers depend heavily on foreign markets, with close to forty-seven percent of domestic polyethylene production destined for export, a dependency ratio that few other manufacturing sectors match. Plastics as a commodity class permit rapid supplier substitution, since coalition members source readily available alternative supply from Middle Eastern, Asian, and European producers without the specialized retooling that other sectors require. Historical precedent confirms the sector's tariff sensitivity: prior Chinese tariff action against United States plastics exports produced export declines exceeding fifty percent in several product categories within a comparably short implementation window.</w:t>
      </w:r>
    </w:p>
    <w:p>
      <w:pPr>
        <w:pStyle w:val="Heading2"/>
        <w:keepNext/>
        <w:spacing w:after="140" w:before="260"/>
      </w:pPr>
      <w:r>
        <w:rPr>
          <w:rFonts w:ascii="Calibri" w:cs="Calibri" w:eastAsia="Calibri" w:hAnsi="Calibri"/>
          <w:b/>
          <w:bCs/>
          <w:color w:val="1F5FA8"/>
          <w:sz w:val="24"/>
          <w:szCs w:val="24"/>
        </w:rPr>
        <w:t xml:space="preserve">A.2 Rate Calibration Rationale</w:t>
      </w:r>
    </w:p>
    <w:p>
      <w:pPr>
        <w:spacing w:after="200" w:line="276"/>
        <w:jc w:val="both"/>
      </w:pPr>
      <w:r>
        <w:rPr>
          <w:rFonts w:ascii="Calibri" w:cs="Calibri" w:eastAsia="Calibri" w:hAnsi="Calibri"/>
          <w:color w:val="1A1A1A"/>
          <w:sz w:val="22"/>
          <w:szCs w:val="22"/>
        </w:rPr>
        <w:t xml:space="preserve">The Framework's twenty percent ad valorem rate reflects a deliberate calibration between two competing objectives that the Steering Committee's economic analysis weighs directly against each other. A rate set meaningfully above twenty percent risks triggering a full collapse in the underlying trade relationship, foreclosing the negotiated settlement pathway that Article 11 keeps available and imposing self-inflicted costs on coalition importers that begin to outweigh the pressure generated against United States exporters. A rate set meaningfully below twenty percent fails to generate sufficient economic consequence to move United States policy, particularly once individual Party actions face the isolation and defeat pattern that motivates this Framework's coordinated design in the first place. The twenty percent figure additionally mirrors the reciprocal tariff rate the United States itself applies against the European Union and several other coalition members, giving the Framework's rate a proportionality argument that strengthens both its domestic political defensibility and its WTO legal posture.</w:t>
      </w:r>
    </w:p>
    <w:p>
      <w:pPr>
        <w:pStyle w:val="Heading2"/>
        <w:keepNext/>
        <w:spacing w:after="140" w:before="260"/>
      </w:pPr>
      <w:r>
        <w:rPr>
          <w:rFonts w:ascii="Calibri" w:cs="Calibri" w:eastAsia="Calibri" w:hAnsi="Calibri"/>
          <w:b/>
          <w:bCs/>
          <w:color w:val="1F5FA8"/>
          <w:sz w:val="24"/>
          <w:szCs w:val="24"/>
        </w:rPr>
        <w:t xml:space="preserve">A.3 Coalition Sizing Rationale</w:t>
      </w:r>
    </w:p>
    <w:p>
      <w:pPr>
        <w:spacing w:after="200" w:line="276"/>
        <w:jc w:val="both"/>
      </w:pPr>
      <w:r>
        <w:rPr>
          <w:rFonts w:ascii="Calibri" w:cs="Calibri" w:eastAsia="Calibri" w:hAnsi="Calibri"/>
          <w:color w:val="1A1A1A"/>
          <w:sz w:val="22"/>
          <w:szCs w:val="22"/>
        </w:rPr>
        <w:t xml:space="preserve">Steering Committee modeling indicates that a coordinated coalition of fifteen Parties achieves approximately sixty percent of the total theoretical global retaliatory impact available against United States plastics exports, a threshold that the Framework treats as the minimum viable coalition size for genuine negotiating leverage. Individual, uncoordinated Party actions face straightforward United States bypass through supply rerouting or targeted bilateral counter-pressure, a pattern that historically dissolves uncoordinated retaliatory efforts well before they accumulate meaningful economic consequence. Coalition unity forecloses the divide-and-conquer dynamic that otherwise favors the larger, more diplomatically resourced counterparty in any bilateral negotiation, and the Framework's non-defection architecture under Article 6 exists specifically to preserve this unity once initial coalition-building achieves its target size.</w:t>
      </w:r>
    </w:p>
    <w:p>
      <w:pPr>
        <w:pStyle w:val="Heading2"/>
        <w:keepNext/>
        <w:spacing w:after="140" w:before="260"/>
      </w:pPr>
      <w:r>
        <w:rPr>
          <w:rFonts w:ascii="Calibri" w:cs="Calibri" w:eastAsia="Calibri" w:hAnsi="Calibri"/>
          <w:b/>
          <w:bCs/>
          <w:color w:val="1F5FA8"/>
          <w:sz w:val="24"/>
          <w:szCs w:val="24"/>
        </w:rPr>
        <w:t xml:space="preserve">A.4 Target Country Tiering</w:t>
      </w:r>
    </w:p>
    <w:tbl>
      <w:tblPr>
        <w:tblW w:type="dxa" w:w="9350"/>
        <w:tblBorders>
          <w:top w:val="single" w:color="AAB9D6" w:sz="4"/>
          <w:left w:val="single" w:color="AAB9D6" w:sz="4"/>
          <w:bottom w:val="single" w:color="AAB9D6" w:sz="4"/>
          <w:right w:val="single" w:color="AAB9D6" w:sz="4"/>
          <w:insideH w:val="single" w:color="D3DCEE" w:sz="2"/>
          <w:insideV w:val="single" w:color="D3DCEE" w:sz="2"/>
        </w:tblBorders>
      </w:tblPr>
      <w:tblGrid>
        <w:gridCol w:w="2337"/>
        <w:gridCol w:w="2337"/>
        <w:gridCol w:w="2337"/>
        <w:gridCol w:w="2337"/>
      </w:tblGrid>
      <w:tr>
        <w:trPr>
          <w:tblHeader/>
        </w:trPr>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Tier</w:t>
            </w:r>
          </w:p>
        </w:tc>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Countries / Blocs</w:t>
            </w:r>
          </w:p>
        </w:tc>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Engagement Priority</w:t>
            </w:r>
          </w:p>
        </w:tc>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Current Posture</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Tier 1</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China, European Union, United Kingdom, Brazil</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Highest: early adopters</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Already retaliating against United States tariffs</w:t>
            </w:r>
          </w:p>
        </w:tc>
      </w:tr>
      <w:tr>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Tier 2</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Mexico, India, Japan, South Korea</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High</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Threatening or actively preparing retaliation</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Tier 3</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Taiwan, Vietnam, Thailand, Indonesia, Malaysia, Philippines, South Africa, Switzerland, Norway</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Medium</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Significantly affected by United States tariffs</w:t>
            </w:r>
          </w:p>
        </w:tc>
      </w:tr>
      <w:tr>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Tier 3</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New Zealand, Australia</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Medium</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WTO challenge filed or public criticism voiced</w:t>
            </w:r>
          </w:p>
        </w:tc>
      </w:tr>
    </w:tbl>
    <w:p>
      <w:pPr>
        <w:spacing w:after="200"/>
      </w:pPr>
    </w:p>
    <w:p>
      <w:pPr>
        <w:spacing w:after="200" w:line="276"/>
        <w:jc w:val="both"/>
      </w:pPr>
      <w:r>
        <w:rPr>
          <w:rFonts w:ascii="Calibri" w:cs="Calibri" w:eastAsia="Calibri" w:hAnsi="Calibri"/>
          <w:color w:val="1A1A1A"/>
          <w:sz w:val="22"/>
          <w:szCs w:val="22"/>
        </w:rPr>
        <w:t xml:space="preserve">This tiering structure directly informs the sequencing of Canada's bilateral outreach in Annex B, prioritizing Tier 1 economies whose existing retaliatory posture positions them as natural early adopters capable of anchoring the coalition's initial credibility. The total potential coalition membership across all three tiers reaches eighteen to twenty-two economies, comfortably exceeding the fifteen-Party threshold that Annex A.3 identifies as the coalition's minimum viable size, and this surplus gives the Framework meaningful tolerance for the attrition that any real-world coalition-building process encounters along the way.</w:t>
      </w:r>
    </w:p>
    <w:p>
      <w:pPr>
        <w:pStyle w:val="Heading1"/>
        <w:keepNext/>
        <w:spacing w:after="200" w:before="360"/>
      </w:pPr>
      <w:r>
        <w:rPr>
          <w:rFonts w:ascii="Calibri" w:cs="Calibri" w:eastAsia="Calibri" w:hAnsi="Calibri"/>
          <w:b/>
          <w:bCs/>
          <w:color w:val="0B3D91"/>
          <w:sz w:val="30"/>
          <w:szCs w:val="30"/>
        </w:rPr>
        <w:t xml:space="preserve">Annex B: Canada's Coalition-Building and Outreach Plan</w:t>
      </w:r>
    </w:p>
    <w:p>
      <w:pPr>
        <w:spacing w:after="200" w:line="276"/>
        <w:jc w:val="both"/>
      </w:pPr>
      <w:r>
        <w:rPr>
          <w:rFonts w:ascii="Calibri" w:cs="Calibri" w:eastAsia="Calibri" w:hAnsi="Calibri"/>
          <w:color w:val="1A1A1A"/>
          <w:sz w:val="22"/>
          <w:szCs w:val="22"/>
        </w:rPr>
        <w:t xml:space="preserve">This Annex sets out, in full operational detail, the plan through which Canada organizes and leads the coalition-building effort that brings the Framework from a proposed instrument to a ratified, operating multilateral tariff architecture. Canada's Global Affairs department, the Prime Minister's Office, and the Minister of International Trade jointly execute this plan, coordinating through the Steering Committee structure that Article 3.2 establishes once the Framework's initial signatory group crystallizes. The plan proceeds through five sequenced phases, each building the diplomatic, legal, and communications foundation the next phase requires.</w:t>
      </w:r>
    </w:p>
    <w:p>
      <w:pPr>
        <w:pStyle w:val="Heading2"/>
        <w:keepNext/>
        <w:spacing w:after="140" w:before="260"/>
      </w:pPr>
      <w:r>
        <w:rPr>
          <w:rFonts w:ascii="Calibri" w:cs="Calibri" w:eastAsia="Calibri" w:hAnsi="Calibri"/>
          <w:b/>
          <w:bCs/>
          <w:color w:val="1F5FA8"/>
          <w:sz w:val="24"/>
          <w:szCs w:val="24"/>
        </w:rPr>
        <w:t xml:space="preserve">B.1 Phase One: Bilateral Outreach (Weeks One Through Four)</w:t>
      </w:r>
    </w:p>
    <w:p>
      <w:pPr>
        <w:spacing w:after="200" w:line="276"/>
        <w:jc w:val="both"/>
      </w:pPr>
      <w:r>
        <w:rPr>
          <w:rFonts w:ascii="Calibri" w:cs="Calibri" w:eastAsia="Calibri" w:hAnsi="Calibri"/>
          <w:color w:val="1A1A1A"/>
          <w:sz w:val="22"/>
          <w:szCs w:val="22"/>
        </w:rPr>
        <w:t xml:space="preserve">Canada's diplomatic apparatus conducts direct, one-on-one engagement with each target country identified in Annex A.4, beginning with the Tier 1 economies whose existing retaliatory posture makes them the coalition's natural anchor members. Global Affairs Canada assigns a senior diplomat to lead the coalition-building effort as a dedicated, full-time mandate for the duration of this phase, supported by a small dedicated team drawn from the trade policy and legal bureaus. The Canadian Prime Minister's Office engages directly with Tier 1 heads of government or state, reflecting the political weight that head-of-government engagement signals to a prospective coalition partner, while the Minister of International Trade conducts the working-level ministerial engagements that translate political-level interest into technical coalition commitments.</w:t>
      </w:r>
    </w:p>
    <w:p>
      <w:pPr>
        <w:spacing w:after="200" w:line="276"/>
        <w:jc w:val="both"/>
      </w:pPr>
      <w:r>
        <w:rPr>
          <w:rFonts w:ascii="Calibri" w:cs="Calibri" w:eastAsia="Calibri" w:hAnsi="Calibri"/>
          <w:color w:val="1A1A1A"/>
          <w:sz w:val="22"/>
          <w:szCs w:val="22"/>
        </w:rPr>
        <w:t xml:space="preserve">Canada's bilateral messaging in this phase centers on three core arguments that the diplomatic team presents consistently across every engagement. The first argument establishes the legal foundation: United States tariff measures violate World Trade Organization rules and impose harm across the full community of affected trading partners, not on any single country in isolation. The second argument establishes the coalition logic: individual countries acting alone remain vulnerable to United States bilateral pressure, while a coordinated coalition achieves leverage that no individual economy achieves independently. The third argument establishes the proportionality of the proposed response: a twenty percent coordinated tariff constitutes a surgical, calibrated response that maximizes pressure on United States exporters while minimizing self-inflicted cost to coalition members, precisely the balance that Annex A.2 documents in its rate calibration analysis.</w:t>
      </w:r>
    </w:p>
    <w:p>
      <w:pPr>
        <w:spacing w:after="200" w:line="276"/>
        <w:jc w:val="both"/>
      </w:pPr>
      <w:r>
        <w:rPr>
          <w:rFonts w:ascii="Calibri" w:cs="Calibri" w:eastAsia="Calibri" w:hAnsi="Calibri"/>
          <w:color w:val="1A1A1A"/>
          <w:sz w:val="22"/>
          <w:szCs w:val="22"/>
        </w:rPr>
        <w:t xml:space="preserve">Canada targets initial bilateral meetings with China, the European Union, the United Kingdom, and Brazil within the first two weeks of this phase, reflecting these four economies' status as Tier 1 priorities already engaged in their own retaliatory measures against United States tariffs. Canada extends bilateral engagement to the Tier 2 economies of Mexico, India, Japan, and South Korea across weeks two through four, and initiates preliminary contact with select Tier 3 economies where diplomatic capacity permits, without allowing Tier 3 outreach to dilute the diplomatic focus that Tier 1 and Tier 2 engagement requires in this initial phase. Canada prepares tailored briefing materials for each target country in advance of its bilateral meeting, incorporating country-specific United States tariff exposure data, sector-specific plastics trade statistics, and a draft accession pathway calibrated to that country's likely membership category under Article 2.3.</w:t>
      </w:r>
    </w:p>
    <w:p>
      <w:pPr>
        <w:pStyle w:val="Heading2"/>
        <w:keepNext/>
        <w:spacing w:after="140" w:before="260"/>
      </w:pPr>
      <w:r>
        <w:rPr>
          <w:rFonts w:ascii="Calibri" w:cs="Calibri" w:eastAsia="Calibri" w:hAnsi="Calibri"/>
          <w:b/>
          <w:bCs/>
          <w:color w:val="1F5FA8"/>
          <w:sz w:val="24"/>
          <w:szCs w:val="24"/>
        </w:rPr>
        <w:t xml:space="preserve">B.2 Phase Two: Multilateral Convening (Weeks Five Through Eight)</w:t>
      </w:r>
    </w:p>
    <w:p>
      <w:pPr>
        <w:spacing w:after="200" w:line="276"/>
        <w:jc w:val="both"/>
      </w:pPr>
      <w:r>
        <w:rPr>
          <w:rFonts w:ascii="Calibri" w:cs="Calibri" w:eastAsia="Calibri" w:hAnsi="Calibri"/>
          <w:color w:val="1A1A1A"/>
          <w:sz w:val="22"/>
          <w:szCs w:val="22"/>
        </w:rPr>
        <w:t xml:space="preserve">Canada hosts a multilateral summit, convened virtually or in person depending on participant availability and logistical feasibility, bringing together every country that expressed substantive interest during the Phase One bilateral outreach. Canada leverages its existing convening infrastructure, including its 2025 Group of Seven hosting experience, to lend institutional credibility and logistical familiarity to this summit-organizing effort. Potential venues include dedicated Group of Seven adjacent sessions, World Trade Organization Ministerial gathering side events, and a standalone virtual summit that Canada hosts independently where scheduling around existing multilateral calendars proves impractical.</w:t>
      </w:r>
    </w:p>
    <w:p>
      <w:pPr>
        <w:spacing w:after="200" w:line="276"/>
        <w:jc w:val="both"/>
      </w:pPr>
      <w:r>
        <w:rPr>
          <w:rFonts w:ascii="Calibri" w:cs="Calibri" w:eastAsia="Calibri" w:hAnsi="Calibri"/>
          <w:color w:val="1A1A1A"/>
          <w:sz w:val="22"/>
          <w:szCs w:val="22"/>
        </w:rPr>
        <w:t xml:space="preserve">The summit agenda proceeds through five substantive items that together produce the coalition's founding operational consensus. Participants share intelligence on United States plastics export data and sector vulnerabilities, establishing the shared factual foundation that Annex A's strategic rationale documents. Participants agree formally on the common twenty percent tariff rate and the coordinated implementation timeline specified in Article 4.3, converting the Phase One bilateral discussions into a collective commitment. Participants coordinate the joint legal strategy at the World Trade Organization that Article 8 formalizes, aligning individual dispute filings into the unified legal argument the Legal Working Group subsequently develops. Participants establish the joint external communications plan that Article 9 and Annex G detail, agreeing on the core messaging themes before any public announcement occurs. Participants create the Steering Committee structure specified in Article 3.2, selecting the rotating membership that joins Canada in the Framework's ongoing coordination function.</w:t>
      </w:r>
    </w:p>
    <w:p>
      <w:pPr>
        <w:spacing w:after="200" w:line="276"/>
        <w:jc w:val="both"/>
      </w:pPr>
      <w:r>
        <w:rPr>
          <w:rFonts w:ascii="Calibri" w:cs="Calibri" w:eastAsia="Calibri" w:hAnsi="Calibri"/>
          <w:color w:val="1A1A1A"/>
          <w:sz w:val="22"/>
          <w:szCs w:val="22"/>
        </w:rPr>
        <w:t xml:space="preserve">Canada structures the summit to produce a public communique at its conclusion, announcing the coalition's formation, its founding membership, and its intent to proceed toward formal signature and ratification under the timeline Article 12.4 specifies. This public communique activates the Framework's external communications architecture under Article 9.1 for the first time, introducing the coalition to global media and to United States policymakers simultaneously, and Canada coordinates the communique's release timing with the Communications Working Group to maximize its diplomatic and political impact.</w:t>
      </w:r>
    </w:p>
    <w:p>
      <w:pPr>
        <w:pStyle w:val="Heading2"/>
        <w:keepNext/>
        <w:spacing w:after="140" w:before="260"/>
      </w:pPr>
      <w:r>
        <w:rPr>
          <w:rFonts w:ascii="Calibri" w:cs="Calibri" w:eastAsia="Calibri" w:hAnsi="Calibri"/>
          <w:b/>
          <w:bCs/>
          <w:color w:val="1F5FA8"/>
          <w:sz w:val="24"/>
          <w:szCs w:val="24"/>
        </w:rPr>
        <w:t xml:space="preserve">B.3 Phase Three: Legal Filings and Domestic Approvals (Weeks Nine Through Twelve)</w:t>
      </w:r>
    </w:p>
    <w:p>
      <w:pPr>
        <w:spacing w:after="200" w:line="276"/>
        <w:jc w:val="both"/>
      </w:pPr>
      <w:r>
        <w:rPr>
          <w:rFonts w:ascii="Calibri" w:cs="Calibri" w:eastAsia="Calibri" w:hAnsi="Calibri"/>
          <w:color w:val="1A1A1A"/>
          <w:sz w:val="22"/>
          <w:szCs w:val="22"/>
        </w:rPr>
        <w:t xml:space="preserve">Following the summit's political consensus, Canada coordinates the Legal Working Group's formal establishment and its immediate work on the joint World Trade Organization filing strategy specified in Article 8.1, integrating the existing Canadian, Chinese, and Brazilian complaints into the coalition's unified legal architecture. Each Party proceeds in parallel through its own domestic ratification or approval procedure during this phase, and Canada's diplomatic team provides model legislative and administrative language, adapted from the Legal Working Group's templates under Article 8.3, to Parties whose domestic systems benefit from that support. Canada tracks each Party's domestic approval timeline through the Secretariat function specified in Article 3.4, flagging jurisdictions whose approval process risks delaying the coordinated implementation window and directing additional diplomatic support toward those jurisdictions as needed.</w:t>
      </w:r>
    </w:p>
    <w:p>
      <w:pPr>
        <w:pStyle w:val="Heading2"/>
        <w:keepNext/>
        <w:spacing w:after="140" w:before="260"/>
      </w:pPr>
      <w:r>
        <w:rPr>
          <w:rFonts w:ascii="Calibri" w:cs="Calibri" w:eastAsia="Calibri" w:hAnsi="Calibri"/>
          <w:b/>
          <w:bCs/>
          <w:color w:val="1F5FA8"/>
          <w:sz w:val="24"/>
          <w:szCs w:val="24"/>
        </w:rPr>
        <w:t xml:space="preserve">B.4 Phase Four: Coordinated Tariff Implementation (Week Thirteen)</w:t>
      </w:r>
    </w:p>
    <w:p>
      <w:pPr>
        <w:spacing w:after="200" w:line="276"/>
        <w:jc w:val="both"/>
      </w:pPr>
      <w:r>
        <w:rPr>
          <w:rFonts w:ascii="Calibri" w:cs="Calibri" w:eastAsia="Calibri" w:hAnsi="Calibri"/>
          <w:color w:val="1A1A1A"/>
          <w:sz w:val="22"/>
          <w:szCs w:val="22"/>
        </w:rPr>
        <w:t xml:space="preserve">Canada coordinates the simultaneous activation of the Framework's tariff measures across every Party that has completed its domestic ratification process by the coordinated implementation date, consistent with the ninety-day coordinated window that Article 4.3 establishes measured from the Framework's entry into force under Article 12.4. Canada's Communications Working Group activates the external unified narrative specified in Article 9.1 at the moment of implementation, ensuring that global media, United States policymakers, and domestic publics across the coalition receive a consistent explanation of the measures' defensive and proportionate character simultaneously with the measures themselves taking effect. Canada monitors the initial implementation period closely, coordinating with each Party's customs administration through the Tariff and Customs Working Group to resolve technical classification questions before they escalate into disputes that could fracture the coalition's operational unity.</w:t>
      </w:r>
    </w:p>
    <w:p>
      <w:pPr>
        <w:pStyle w:val="Heading2"/>
        <w:keepNext/>
        <w:spacing w:after="140" w:before="260"/>
      </w:pPr>
      <w:r>
        <w:rPr>
          <w:rFonts w:ascii="Calibri" w:cs="Calibri" w:eastAsia="Calibri" w:hAnsi="Calibri"/>
          <w:b/>
          <w:bCs/>
          <w:color w:val="1F5FA8"/>
          <w:sz w:val="24"/>
          <w:szCs w:val="24"/>
        </w:rPr>
        <w:t xml:space="preserve">B.5 Phase Five: Ongoing Monitoring, Enforcement, and Negotiation (Continuous)</w:t>
      </w:r>
    </w:p>
    <w:p>
      <w:pPr>
        <w:spacing w:after="200" w:line="276"/>
        <w:jc w:val="both"/>
      </w:pPr>
      <w:r>
        <w:rPr>
          <w:rFonts w:ascii="Calibri" w:cs="Calibri" w:eastAsia="Calibri" w:hAnsi="Calibri"/>
          <w:color w:val="1A1A1A"/>
          <w:sz w:val="22"/>
          <w:szCs w:val="22"/>
        </w:rPr>
        <w:t xml:space="preserve">Canada's Steering Committee role transitions, following successful implementation, into the ongoing monitoring, enforcement, and negotiation-readiness functions specified across Articles 6, 9, and 10. Canada maintains its Depositary and Secretariat functions under Article 12.2 and Article 3.4 continuously through this phase, providing the administrative continuity that lets the coalition's technical Working Groups operate without interruption. Canada remains available as the coalition's primary interlocutor for any United States overture toward negotiation, consistent with the transparency architecture Article 6.2 establishes, and Canada channels any such overture immediately into the Coalition Council's collective deliberation process rather than pursuing an independent bilateral track.</w:t>
      </w:r>
    </w:p>
    <w:p>
      <w:pPr>
        <w:pStyle w:val="Heading2"/>
        <w:keepNext/>
        <w:spacing w:after="140" w:before="260"/>
      </w:pPr>
      <w:r>
        <w:rPr>
          <w:rFonts w:ascii="Calibri" w:cs="Calibri" w:eastAsia="Calibri" w:hAnsi="Calibri"/>
          <w:b/>
          <w:bCs/>
          <w:color w:val="1F5FA8"/>
          <w:sz w:val="24"/>
          <w:szCs w:val="24"/>
        </w:rPr>
        <w:t xml:space="preserve">B.6 Overcoming the Prisoner's Dilemma: Canada's Retention Strategy</w:t>
      </w:r>
    </w:p>
    <w:p>
      <w:pPr>
        <w:spacing w:after="200" w:line="276"/>
        <w:jc w:val="both"/>
      </w:pPr>
      <w:r>
        <w:rPr>
          <w:rFonts w:ascii="Calibri" w:cs="Calibri" w:eastAsia="Calibri" w:hAnsi="Calibri"/>
          <w:color w:val="1A1A1A"/>
          <w:sz w:val="22"/>
          <w:szCs w:val="22"/>
        </w:rPr>
        <w:t xml:space="preserve">Canada's outreach plan addresses directly the structural challenge that every prospective coalition member faces an individual temptation to defect toward a separate bilateral deal with the United States, particularly where that member's economy carries deep integration into United States supply chains. Canada's retention strategy operationalizes three complementary mechanisms throughout the outreach process. The lock-in mechanism has each recruited Party commit publicly to coalition membership at the earliest practical point in its accession process, making a subsequent reversal politically costly in a way that a purely private commitment would not achieve. The side-benefits mechanism offers each recruited Party immediate access to the intelligence-sharing, joint litigation support, and coordination benefits specified in Article 7.4 and Article 8, giving continued membership tangible value beyond the tariff measures themselves. The escalation-deterrence mechanism communicates clearly, consistent with Article 6's non-defection architecture, that a Party breaking coalition ranks faces the consequences Article 6.3 specifies, converting an abstract discipline concept into a concrete, well-understood expectation before any individual Party faces real United States pressure to defect.</w:t>
      </w:r>
    </w:p>
    <w:p>
      <w:pPr>
        <w:pStyle w:val="Heading2"/>
        <w:keepNext/>
        <w:spacing w:after="140" w:before="260"/>
      </w:pPr>
      <w:r>
        <w:rPr>
          <w:rFonts w:ascii="Calibri" w:cs="Calibri" w:eastAsia="Calibri" w:hAnsi="Calibri"/>
          <w:b/>
          <w:bCs/>
          <w:color w:val="1F5FA8"/>
          <w:sz w:val="24"/>
          <w:szCs w:val="24"/>
        </w:rPr>
        <w:t xml:space="preserve">B.7 Realistic Timeline Expectations</w:t>
      </w:r>
    </w:p>
    <w:p>
      <w:pPr>
        <w:spacing w:after="200" w:line="276"/>
        <w:jc w:val="both"/>
      </w:pPr>
      <w:r>
        <w:rPr>
          <w:rFonts w:ascii="Calibri" w:cs="Calibri" w:eastAsia="Calibri" w:hAnsi="Calibri"/>
          <w:color w:val="1A1A1A"/>
          <w:sz w:val="22"/>
          <w:szCs w:val="22"/>
        </w:rPr>
        <w:t xml:space="preserve">Canada's outreach team maintains a realistic understanding that the thirteen-week phase structure outlined above represents an accelerated, best-case coordination timeline, and that comparable historical trade retaliation coalitions have typically required six to eighteen months to achieve comparable coordination depth. Canada builds contingency flexibility into the phase structure accordingly, permitting Phase One bilateral outreach to extend beyond its nominal four-week window where individual Tier 1 or Tier 2 engagements require additional diplomatic time, without allowing that extension to indefinitely delay the Phase Two multilateral convening that depends on a critical mass of bilateral interest having already crystallized. Canada's Steering Committee reviews the outreach timeline at each phase transition, adjusting subsequent phase scheduling based on the actual pace of Party engagement rather than rigidly adhering to the nominal thirteen-week structure where real-world diplomatic conditions warrant adjustment.</w:t>
      </w:r>
    </w:p>
    <w:p>
      <w:pPr>
        <w:pStyle w:val="Heading2"/>
        <w:keepNext/>
        <w:spacing w:after="140" w:before="260"/>
      </w:pPr>
      <w:r>
        <w:rPr>
          <w:rFonts w:ascii="Calibri" w:cs="Calibri" w:eastAsia="Calibri" w:hAnsi="Calibri"/>
          <w:b/>
          <w:bCs/>
          <w:color w:val="1F5FA8"/>
          <w:sz w:val="24"/>
          <w:szCs w:val="24"/>
        </w:rPr>
        <w:t xml:space="preserve">B.8 Addressing the Agricultural Retaliation Risk</w:t>
      </w:r>
    </w:p>
    <w:p>
      <w:pPr>
        <w:spacing w:after="200" w:line="276"/>
        <w:jc w:val="both"/>
      </w:pPr>
      <w:r>
        <w:rPr>
          <w:rFonts w:ascii="Calibri" w:cs="Calibri" w:eastAsia="Calibri" w:hAnsi="Calibri"/>
          <w:color w:val="1A1A1A"/>
          <w:sz w:val="22"/>
          <w:szCs w:val="22"/>
        </w:rPr>
        <w:t xml:space="preserve">Canada's outreach plan incorporates specific messaging and coordination preparation addressing the risk that United States counter-retaliation targets coalition members' agricultural exports, historically the United States' preferred retaliation instrument against countries that impose counter-tariffs. Canada briefs Tier 1 and Tier 2 economies with significant agricultural export exposure, including Brazil, Australia, the European Union, and Mexico, on the mutual market access guarantees specified in Article 7.1 before those economies finalize their accession decision, ensuring that agricultural vulnerability does not become an unaddressed obstacle to coalition membership. Canada coordinates with the Supply Chain and Exemptions Working Group to pre-position the coordinated agricultural absorption capacity that Article 7.1 references, giving agriculturally exposed Parties concrete evidence of the Framework's solidarity architecture rather than an abstract promise of future support.</w:t>
      </w:r>
    </w:p>
    <w:p>
      <w:pPr>
        <w:pStyle w:val="Heading2"/>
        <w:keepNext/>
        <w:spacing w:after="140" w:before="260"/>
      </w:pPr>
      <w:r>
        <w:rPr>
          <w:rFonts w:ascii="Calibri" w:cs="Calibri" w:eastAsia="Calibri" w:hAnsi="Calibri"/>
          <w:b/>
          <w:bCs/>
          <w:color w:val="1F5FA8"/>
          <w:sz w:val="24"/>
          <w:szCs w:val="24"/>
        </w:rPr>
        <w:t xml:space="preserve">B.9 Outreach Resourcing and Accountability</w:t>
      </w:r>
    </w:p>
    <w:p>
      <w:pPr>
        <w:spacing w:after="200" w:line="276"/>
        <w:jc w:val="both"/>
      </w:pPr>
      <w:r>
        <w:rPr>
          <w:rFonts w:ascii="Calibri" w:cs="Calibri" w:eastAsia="Calibri" w:hAnsi="Calibri"/>
          <w:color w:val="1A1A1A"/>
          <w:sz w:val="22"/>
          <w:szCs w:val="22"/>
        </w:rPr>
        <w:t xml:space="preserve">Canada resources this outreach plan through a dedicated coalition-building unit within Global Affairs Canada, reporting jointly to the Minister of International Trade and, on politically significant developments, to the Prime Minister's Office directly. This unit maintains a running accountability log tracking every target country's engagement status against the Annex A.4 tiering structure, the specific messaging delivered at each bilateral engagement, and the country-specific obstacles the outreach team identifies and works to resolve. Canada reviews this accountability log on a weekly basis throughout Phases One and Two, adjusting resource allocation toward target countries whose engagement shows genuine momentum and away from countries whose engagement stalls despite sustained diplomatic effort.</w:t>
      </w:r>
    </w:p>
    <w:p>
      <w:pPr>
        <w:pStyle w:val="Heading1"/>
        <w:keepNext/>
        <w:spacing w:after="200" w:before="360"/>
      </w:pPr>
      <w:r>
        <w:rPr>
          <w:rFonts w:ascii="Calibri" w:cs="Calibri" w:eastAsia="Calibri" w:hAnsi="Calibri"/>
          <w:b/>
          <w:bCs/>
          <w:color w:val="0B3D91"/>
          <w:sz w:val="30"/>
          <w:szCs w:val="30"/>
        </w:rPr>
        <w:t xml:space="preserve">Annex C: Coalition Discipline Architecture</w:t>
      </w:r>
    </w:p>
    <w:p>
      <w:pPr>
        <w:spacing w:after="200" w:line="276"/>
        <w:jc w:val="both"/>
      </w:pPr>
      <w:r>
        <w:rPr>
          <w:rFonts w:ascii="Calibri" w:cs="Calibri" w:eastAsia="Calibri" w:hAnsi="Calibri"/>
          <w:color w:val="1A1A1A"/>
          <w:sz w:val="22"/>
          <w:szCs w:val="22"/>
        </w:rPr>
        <w:t xml:space="preserve">This Annex elaborates the full set of structural mechanisms that operationalize the non-defection architecture Article 6 establishes, organized across four functional categories that together make coalition membership durable under sustained United States bilateral pressure.</w:t>
      </w:r>
    </w:p>
    <w:p>
      <w:pPr>
        <w:pStyle w:val="Heading2"/>
        <w:keepNext/>
        <w:spacing w:after="140" w:before="260"/>
      </w:pPr>
      <w:r>
        <w:rPr>
          <w:rFonts w:ascii="Calibri" w:cs="Calibri" w:eastAsia="Calibri" w:hAnsi="Calibri"/>
          <w:b/>
          <w:bCs/>
          <w:color w:val="1F5FA8"/>
          <w:sz w:val="24"/>
          <w:szCs w:val="24"/>
        </w:rPr>
        <w:t xml:space="preserve">C.1 Anti-Defection Mechanisms</w:t>
      </w:r>
    </w:p>
    <w:p>
      <w:pPr>
        <w:pStyle w:val="ListParagraph"/>
        <w:numPr>
          <w:ilvl w:val="0"/>
          <w:numId w:val="1"/>
        </w:numPr>
        <w:spacing w:after="140" w:line="276"/>
      </w:pPr>
      <w:r>
        <w:rPr>
          <w:rFonts w:ascii="Calibri" w:cs="Calibri" w:eastAsia="Calibri" w:hAnsi="Calibri"/>
          <w:color w:val="1A1A1A"/>
          <w:sz w:val="22"/>
          <w:szCs w:val="22"/>
        </w:rPr>
        <w:t xml:space="preserve">Public Non-Defection Commitment: each Party issues a public accession statement committing to the twenty percent tariff floor and rejecting bilateral deals that undermine coalition action, raising the domestic political cost of any later reversal.</w:t>
      </w:r>
    </w:p>
    <w:p>
      <w:pPr>
        <w:pStyle w:val="ListParagraph"/>
        <w:numPr>
          <w:ilvl w:val="0"/>
          <w:numId w:val="1"/>
        </w:numPr>
        <w:spacing w:after="140" w:line="276"/>
      </w:pPr>
      <w:r>
        <w:rPr>
          <w:rFonts w:ascii="Calibri" w:cs="Calibri" w:eastAsia="Calibri" w:hAnsi="Calibri"/>
          <w:color w:val="1A1A1A"/>
          <w:sz w:val="22"/>
          <w:szCs w:val="22"/>
        </w:rPr>
        <w:t xml:space="preserve">No Side Deals Clause: Parties disclose any United States offer of bilateral tariff concessions to the Coalition Council under Article 6.2, foreclosing quiet divide-and-conquer tactics before they gain traction.</w:t>
      </w:r>
    </w:p>
    <w:p>
      <w:pPr>
        <w:pStyle w:val="ListParagraph"/>
        <w:numPr>
          <w:ilvl w:val="0"/>
          <w:numId w:val="1"/>
        </w:numPr>
        <w:spacing w:after="140" w:line="276"/>
      </w:pPr>
      <w:r>
        <w:rPr>
          <w:rFonts w:ascii="Calibri" w:cs="Calibri" w:eastAsia="Calibri" w:hAnsi="Calibri"/>
          <w:color w:val="1A1A1A"/>
          <w:sz w:val="22"/>
          <w:szCs w:val="22"/>
        </w:rPr>
        <w:t xml:space="preserve">Minimum Tariff Floor: every Full Member maintains the twenty percent ad valorem rate as an absolute floor, with exemptions available only through the narrow, vetted process Article 5.1 specifies.</w:t>
      </w:r>
    </w:p>
    <w:p>
      <w:pPr>
        <w:pStyle w:val="ListParagraph"/>
        <w:numPr>
          <w:ilvl w:val="0"/>
          <w:numId w:val="1"/>
        </w:numPr>
        <w:spacing w:after="140" w:line="276"/>
      </w:pPr>
      <w:r>
        <w:rPr>
          <w:rFonts w:ascii="Calibri" w:cs="Calibri" w:eastAsia="Calibri" w:hAnsi="Calibri"/>
          <w:color w:val="1A1A1A"/>
          <w:sz w:val="22"/>
          <w:szCs w:val="22"/>
        </w:rPr>
        <w:t xml:space="preserve">Time-Bound Commitment Window: no Party reduces tariffs or concludes a separate United States deal within the minimum twelve-month window Article 6.4 establishes, absent a joint Coalition Council decision to enter negotiations.</w:t>
      </w:r>
    </w:p>
    <w:p>
      <w:pPr>
        <w:spacing w:after="100"/>
      </w:pPr>
    </w:p>
    <w:p>
      <w:pPr>
        <w:pStyle w:val="Heading2"/>
        <w:keepNext/>
        <w:spacing w:after="140" w:before="260"/>
      </w:pPr>
      <w:r>
        <w:rPr>
          <w:rFonts w:ascii="Calibri" w:cs="Calibri" w:eastAsia="Calibri" w:hAnsi="Calibri"/>
          <w:b/>
          <w:bCs/>
          <w:color w:val="1F5FA8"/>
          <w:sz w:val="24"/>
          <w:szCs w:val="24"/>
        </w:rPr>
        <w:t xml:space="preserve">C.2 Incentive Architecture: Why Membership Outperforms Defection</w:t>
      </w:r>
    </w:p>
    <w:p>
      <w:pPr>
        <w:pStyle w:val="ListParagraph"/>
        <w:numPr>
          <w:ilvl w:val="0"/>
          <w:numId w:val="1"/>
        </w:numPr>
        <w:spacing w:after="140" w:line="276"/>
      </w:pPr>
      <w:r>
        <w:rPr>
          <w:rFonts w:ascii="Calibri" w:cs="Calibri" w:eastAsia="Calibri" w:hAnsi="Calibri"/>
          <w:color w:val="1A1A1A"/>
          <w:sz w:val="22"/>
          <w:szCs w:val="22"/>
        </w:rPr>
        <w:t xml:space="preserve">Mutual Market Access Guarantees: Parties extend preferential access for each other's exports when the United States targets an individual member, operationalized through Article 7.1.</w:t>
      </w:r>
    </w:p>
    <w:p>
      <w:pPr>
        <w:pStyle w:val="ListParagraph"/>
        <w:numPr>
          <w:ilvl w:val="0"/>
          <w:numId w:val="1"/>
        </w:numPr>
        <w:spacing w:after="140" w:line="276"/>
      </w:pPr>
      <w:r>
        <w:rPr>
          <w:rFonts w:ascii="Calibri" w:cs="Calibri" w:eastAsia="Calibri" w:hAnsi="Calibri"/>
          <w:color w:val="1A1A1A"/>
          <w:sz w:val="22"/>
          <w:szCs w:val="22"/>
        </w:rPr>
        <w:t xml:space="preserve">Emergency Stabilization Facility: the pooled financing instrument under Article 7.2 provides short-term industry support and bridge financing, signaling durable coalition commitment beyond the facility's modest capital base.</w:t>
      </w:r>
    </w:p>
    <w:p>
      <w:pPr>
        <w:pStyle w:val="ListParagraph"/>
        <w:numPr>
          <w:ilvl w:val="0"/>
          <w:numId w:val="1"/>
        </w:numPr>
        <w:spacing w:after="140" w:line="276"/>
      </w:pPr>
      <w:r>
        <w:rPr>
          <w:rFonts w:ascii="Calibri" w:cs="Calibri" w:eastAsia="Calibri" w:hAnsi="Calibri"/>
          <w:color w:val="1A1A1A"/>
          <w:sz w:val="22"/>
          <w:szCs w:val="22"/>
        </w:rPr>
        <w:t xml:space="preserve">Tariff Insurance via Internal Preferences: Parties grant each other reduced tariffs or quotas on selected goods to offset United States market losses, making coalition membership economically advantageous independent of the underlying tariff dispute's resolution timeline.</w:t>
      </w:r>
    </w:p>
    <w:p>
      <w:pPr>
        <w:pStyle w:val="ListParagraph"/>
        <w:numPr>
          <w:ilvl w:val="0"/>
          <w:numId w:val="1"/>
        </w:numPr>
        <w:spacing w:after="140" w:line="276"/>
      </w:pPr>
      <w:r>
        <w:rPr>
          <w:rFonts w:ascii="Calibri" w:cs="Calibri" w:eastAsia="Calibri" w:hAnsi="Calibri"/>
          <w:color w:val="1A1A1A"/>
          <w:sz w:val="22"/>
          <w:szCs w:val="22"/>
        </w:rPr>
        <w:t xml:space="preserve">Intelligence and Negotiation Support: the coalition provides shared intelligence on United States tactics and joint negotiation coaching under Article 7.4, reducing the bargaining asymmetry that smaller Parties otherwise face bilaterally.</w:t>
      </w:r>
    </w:p>
    <w:p>
      <w:pPr>
        <w:spacing w:after="100"/>
      </w:pPr>
    </w:p>
    <w:p>
      <w:pPr>
        <w:pStyle w:val="Heading2"/>
        <w:keepNext/>
        <w:spacing w:after="140" w:before="260"/>
      </w:pPr>
      <w:r>
        <w:rPr>
          <w:rFonts w:ascii="Calibri" w:cs="Calibri" w:eastAsia="Calibri" w:hAnsi="Calibri"/>
          <w:b/>
          <w:bCs/>
          <w:color w:val="1F5FA8"/>
          <w:sz w:val="24"/>
          <w:szCs w:val="24"/>
        </w:rPr>
        <w:t xml:space="preserve">C.3 Deterrence and Collective Response Mechanisms</w:t>
      </w:r>
    </w:p>
    <w:p>
      <w:pPr>
        <w:pStyle w:val="ListParagraph"/>
        <w:numPr>
          <w:ilvl w:val="0"/>
          <w:numId w:val="1"/>
        </w:numPr>
        <w:spacing w:after="140" w:line="276"/>
      </w:pPr>
      <w:r>
        <w:rPr>
          <w:rFonts w:ascii="Calibri" w:cs="Calibri" w:eastAsia="Calibri" w:hAnsi="Calibri"/>
          <w:color w:val="1A1A1A"/>
          <w:sz w:val="22"/>
          <w:szCs w:val="22"/>
        </w:rPr>
        <w:t xml:space="preserve">Collective Counter-Retaliation Clause: where the United States targets one member with disproportionate pressure, every member applies a pre-agreed additional tariff increment on a designated United States product list, converting a single-country target into a coalition-wide response.</w:t>
      </w:r>
    </w:p>
    <w:p>
      <w:pPr>
        <w:pStyle w:val="ListParagraph"/>
        <w:numPr>
          <w:ilvl w:val="0"/>
          <w:numId w:val="1"/>
        </w:numPr>
        <w:spacing w:after="140" w:line="276"/>
      </w:pPr>
      <w:r>
        <w:rPr>
          <w:rFonts w:ascii="Calibri" w:cs="Calibri" w:eastAsia="Calibri" w:hAnsi="Calibri"/>
          <w:color w:val="1A1A1A"/>
          <w:sz w:val="22"/>
          <w:szCs w:val="22"/>
        </w:rPr>
        <w:t xml:space="preserve">Retaliation Ladder: the three-level escalation structure detailed fully in Annex D provides a predictable, pre-agreed sequence of responses that prevents ad hoc panic reactions to United States pressure.</w:t>
      </w:r>
    </w:p>
    <w:p>
      <w:pPr>
        <w:pStyle w:val="ListParagraph"/>
        <w:numPr>
          <w:ilvl w:val="0"/>
          <w:numId w:val="1"/>
        </w:numPr>
        <w:spacing w:after="140" w:line="276"/>
      </w:pPr>
      <w:r>
        <w:rPr>
          <w:rFonts w:ascii="Calibri" w:cs="Calibri" w:eastAsia="Calibri" w:hAnsi="Calibri"/>
          <w:color w:val="1A1A1A"/>
          <w:sz w:val="22"/>
          <w:szCs w:val="22"/>
        </w:rPr>
        <w:t xml:space="preserve">Escalation Deterrence Messaging: the coalition states publicly, through the channels Article 9 specifies, that disproportionate United States retaliation against any single member triggers a coordinated response from the full membership.</w:t>
      </w:r>
    </w:p>
    <w:p>
      <w:pPr>
        <w:pStyle w:val="ListParagraph"/>
        <w:numPr>
          <w:ilvl w:val="0"/>
          <w:numId w:val="1"/>
        </w:numPr>
        <w:spacing w:after="140" w:line="276"/>
      </w:pPr>
      <w:r>
        <w:rPr>
          <w:rFonts w:ascii="Calibri" w:cs="Calibri" w:eastAsia="Calibri" w:hAnsi="Calibri"/>
          <w:color w:val="1A1A1A"/>
          <w:sz w:val="22"/>
          <w:szCs w:val="22"/>
        </w:rPr>
        <w:t xml:space="preserve">Diplomatic Shielding: Parties coordinate joint demarches, joint statements, and joint ambassador-level engagement in response to United States pressure directed at individual members, reducing the intimidation effect that isolated bilateral pressure otherwise achieves.</w:t>
      </w:r>
    </w:p>
    <w:p>
      <w:pPr>
        <w:spacing w:after="100"/>
      </w:pPr>
    </w:p>
    <w:p>
      <w:pPr>
        <w:pStyle w:val="Heading2"/>
        <w:keepNext/>
        <w:spacing w:after="140" w:before="260"/>
      </w:pPr>
      <w:r>
        <w:rPr>
          <w:rFonts w:ascii="Calibri" w:cs="Calibri" w:eastAsia="Calibri" w:hAnsi="Calibri"/>
          <w:b/>
          <w:bCs/>
          <w:color w:val="1F5FA8"/>
          <w:sz w:val="24"/>
          <w:szCs w:val="24"/>
        </w:rPr>
        <w:t xml:space="preserve">C.4 Legal and Institutional Lock-In</w:t>
      </w:r>
    </w:p>
    <w:p>
      <w:pPr>
        <w:pStyle w:val="ListParagraph"/>
        <w:numPr>
          <w:ilvl w:val="0"/>
          <w:numId w:val="1"/>
        </w:numPr>
        <w:spacing w:after="140" w:line="276"/>
      </w:pPr>
      <w:r>
        <w:rPr>
          <w:rFonts w:ascii="Calibri" w:cs="Calibri" w:eastAsia="Calibri" w:hAnsi="Calibri"/>
          <w:color w:val="1A1A1A"/>
          <w:sz w:val="22"/>
          <w:szCs w:val="22"/>
        </w:rPr>
        <w:t xml:space="preserve">Parallel WTO Filings: coordinated dispute consultations under Article 8.1 raise the reputational and procedural cost of continued United States tariff discrimination.</w:t>
      </w:r>
    </w:p>
    <w:p>
      <w:pPr>
        <w:pStyle w:val="ListParagraph"/>
        <w:numPr>
          <w:ilvl w:val="0"/>
          <w:numId w:val="1"/>
        </w:numPr>
        <w:spacing w:after="140" w:line="276"/>
      </w:pPr>
      <w:r>
        <w:rPr>
          <w:rFonts w:ascii="Calibri" w:cs="Calibri" w:eastAsia="Calibri" w:hAnsi="Calibri"/>
          <w:color w:val="1A1A1A"/>
          <w:sz w:val="22"/>
          <w:szCs w:val="22"/>
        </w:rPr>
        <w:t xml:space="preserve">Legal Lock-In Through Domestic Legislation: the optional codification mechanism under Article 8.3 raises the institutional cost of a Party's unilateral reversal.</w:t>
      </w:r>
    </w:p>
    <w:p>
      <w:pPr>
        <w:pStyle w:val="ListParagraph"/>
        <w:numPr>
          <w:ilvl w:val="0"/>
          <w:numId w:val="1"/>
        </w:numPr>
        <w:spacing w:after="140" w:line="276"/>
      </w:pPr>
      <w:r>
        <w:rPr>
          <w:rFonts w:ascii="Calibri" w:cs="Calibri" w:eastAsia="Calibri" w:hAnsi="Calibri"/>
          <w:color w:val="1A1A1A"/>
          <w:sz w:val="22"/>
          <w:szCs w:val="22"/>
        </w:rPr>
        <w:t xml:space="preserve">Shadow Negotiation Team: a dedicated Legal and Steering Committee function monitors United States signals continuously and prepares unified negotiation positions in advance, preventing any single Party from facing isolated negotiating pressure without coalition backing.</w:t>
      </w:r>
    </w:p>
    <w:p>
      <w:pPr>
        <w:pStyle w:val="ListParagraph"/>
        <w:numPr>
          <w:ilvl w:val="0"/>
          <w:numId w:val="1"/>
        </w:numPr>
        <w:spacing w:after="140" w:line="276"/>
      </w:pPr>
      <w:r>
        <w:rPr>
          <w:rFonts w:ascii="Calibri" w:cs="Calibri" w:eastAsia="Calibri" w:hAnsi="Calibri"/>
          <w:color w:val="1A1A1A"/>
          <w:sz w:val="22"/>
          <w:szCs w:val="22"/>
        </w:rPr>
        <w:t xml:space="preserve">Six-Month Review and Coordinated Off-Ramp: the periodic review mechanism under Article 5.2 and Article 10.3, paired with the coordinated rollback architecture under Article 11.2, gives every Party confidence that the Framework's discipline serves a defined strategic purpose with a clear, jointly managed conclusion rather than open-ended, unlimited commitment.</w:t>
      </w:r>
    </w:p>
    <w:p>
      <w:pPr>
        <w:spacing w:after="100"/>
      </w:pPr>
    </w:p>
    <w:p>
      <w:pPr>
        <w:pStyle w:val="Heading1"/>
        <w:keepNext/>
        <w:spacing w:after="200" w:before="360"/>
      </w:pPr>
      <w:r>
        <w:rPr>
          <w:rFonts w:ascii="Calibri" w:cs="Calibri" w:eastAsia="Calibri" w:hAnsi="Calibri"/>
          <w:b/>
          <w:bCs/>
          <w:color w:val="0B3D91"/>
          <w:sz w:val="30"/>
          <w:szCs w:val="30"/>
        </w:rPr>
        <w:t xml:space="preserve">Annex D: Retaliation Ladder and Escalation Framework</w:t>
      </w:r>
    </w:p>
    <w:p>
      <w:pPr>
        <w:pStyle w:val="Heading2"/>
        <w:keepNext/>
        <w:spacing w:after="140" w:before="260"/>
      </w:pPr>
      <w:r>
        <w:rPr>
          <w:rFonts w:ascii="Calibri" w:cs="Calibri" w:eastAsia="Calibri" w:hAnsi="Calibri"/>
          <w:b/>
          <w:bCs/>
          <w:color w:val="1F5FA8"/>
          <w:sz w:val="24"/>
          <w:szCs w:val="24"/>
        </w:rPr>
        <w:t xml:space="preserve">D.1 Level One: Core Implementation</w:t>
      </w:r>
    </w:p>
    <w:p>
      <w:pPr>
        <w:spacing w:after="200" w:line="276"/>
        <w:jc w:val="both"/>
      </w:pPr>
      <w:r>
        <w:rPr>
          <w:rFonts w:ascii="Calibri" w:cs="Calibri" w:eastAsia="Calibri" w:hAnsi="Calibri"/>
          <w:color w:val="1A1A1A"/>
          <w:sz w:val="22"/>
          <w:szCs w:val="22"/>
        </w:rPr>
        <w:t xml:space="preserve">Level One consists of the Tier 1 tariff coverage specified in Article 4.2, applied at the twenty percent ad valorem rate across Harmonized System Chapter 39 plastics products from the coordinated implementation date. Level One constitutes the Framework's baseline operating condition, and the Coalition Council maintains Level One as the default posture absent a specific decision to escalate or de-escalate under the procedures this Annex specifies. Every Party's Level One implementation proceeds automatically upon accession, without requiring a separate activation decision beyond the accession process itself.</w:t>
      </w:r>
    </w:p>
    <w:p>
      <w:pPr>
        <w:pStyle w:val="Heading2"/>
        <w:keepNext/>
        <w:spacing w:after="140" w:before="260"/>
      </w:pPr>
      <w:r>
        <w:rPr>
          <w:rFonts w:ascii="Calibri" w:cs="Calibri" w:eastAsia="Calibri" w:hAnsi="Calibri"/>
          <w:b/>
          <w:bCs/>
          <w:color w:val="1F5FA8"/>
          <w:sz w:val="24"/>
          <w:szCs w:val="24"/>
        </w:rPr>
        <w:t xml:space="preserve">D.2 Level Two: Machinery and Molds Expansion</w:t>
      </w:r>
    </w:p>
    <w:p>
      <w:pPr>
        <w:spacing w:after="200" w:line="276"/>
        <w:jc w:val="both"/>
      </w:pPr>
      <w:r>
        <w:rPr>
          <w:rFonts w:ascii="Calibri" w:cs="Calibri" w:eastAsia="Calibri" w:hAnsi="Calibri"/>
          <w:color w:val="1A1A1A"/>
          <w:sz w:val="22"/>
          <w:szCs w:val="22"/>
        </w:rPr>
        <w:t xml:space="preserve">Level Two expands product coverage to the Tier 2 category specified in Article 4.2, encompassing plastics-processing machinery and molds under Harmonized System headings 8477 and 8480. The Coalition Council activates Level Two through the seventy percent supermajority threshold specified in Article 4.4, triggered either by direct United States escalation against coalition members or by a Steering Committee recommendation grounded in insufficient progress toward the Article 10.2 negotiation benchmarks within the review windows Article 10.3 specifies. Level Two activation follows the same coordinated timing principle as the initial implementation, with the Steering Committee publishing a confirmed activation date that gives every Party's customs administration adequate operational notice.</w:t>
      </w:r>
    </w:p>
    <w:p>
      <w:pPr>
        <w:pStyle w:val="Heading2"/>
        <w:keepNext/>
        <w:spacing w:after="140" w:before="260"/>
      </w:pPr>
      <w:r>
        <w:rPr>
          <w:rFonts w:ascii="Calibri" w:cs="Calibri" w:eastAsia="Calibri" w:hAnsi="Calibri"/>
          <w:b/>
          <w:bCs/>
          <w:color w:val="1F5FA8"/>
          <w:sz w:val="24"/>
          <w:szCs w:val="24"/>
        </w:rPr>
        <w:t xml:space="preserve">D.3 Level Three: Extended Product Categories</w:t>
      </w:r>
    </w:p>
    <w:p>
      <w:pPr>
        <w:spacing w:after="200" w:line="276"/>
        <w:jc w:val="both"/>
      </w:pPr>
      <w:r>
        <w:rPr>
          <w:rFonts w:ascii="Calibri" w:cs="Calibri" w:eastAsia="Calibri" w:hAnsi="Calibri"/>
          <w:color w:val="1A1A1A"/>
          <w:sz w:val="22"/>
          <w:szCs w:val="22"/>
        </w:rPr>
        <w:t xml:space="preserve">Level Three extends coverage to additional United States export categories beyond plastics, drawing on candidate categories the Steering Committee identifies and formally proposes to the Coalition Council for supermajority decision. Level Three activation follows a deliberative sequence that begins with Steering Committee analysis of candidate sectors, proceeds through Working Group consultation on the practical implementation implications for each candidate sector, and concludes with Coalition Council supermajority ratification following formal proposal circulation to every Party at minimum thirty days in advance. This deliberative sequence ensures that Level Three escalation, carrying the most significant structural consequence of the three-level ladder, receives the full institutional scrutiny its consequence warrants.</w:t>
      </w:r>
    </w:p>
    <w:p>
      <w:pPr>
        <w:pStyle w:val="Heading2"/>
        <w:keepNext/>
        <w:spacing w:after="140" w:before="260"/>
      </w:pPr>
      <w:r>
        <w:rPr>
          <w:rFonts w:ascii="Calibri" w:cs="Calibri" w:eastAsia="Calibri" w:hAnsi="Calibri"/>
          <w:b/>
          <w:bCs/>
          <w:color w:val="1F5FA8"/>
          <w:sz w:val="24"/>
          <w:szCs w:val="24"/>
        </w:rPr>
        <w:t xml:space="preserve">D.4 De-Escalation Sequence</w:t>
      </w:r>
    </w:p>
    <w:p>
      <w:pPr>
        <w:spacing w:after="200" w:line="276"/>
        <w:jc w:val="both"/>
      </w:pPr>
      <w:r>
        <w:rPr>
          <w:rFonts w:ascii="Calibri" w:cs="Calibri" w:eastAsia="Calibri" w:hAnsi="Calibri"/>
          <w:color w:val="1A1A1A"/>
          <w:sz w:val="22"/>
          <w:szCs w:val="22"/>
        </w:rPr>
        <w:t xml:space="preserve">The Coalition Council retains symmetric authority to de-escalate from any active level back toward Level One or toward the coordinated rollback specified in Article 11.2, applying the same supermajority threshold that governs escalation decisions in the reverse direction. De-escalation decisions draw on the same monitoring evidence specified in Article 10.1, ensuring that the ladder's downward movement responds to genuine improvement in the underlying dispute rather than to unilateral pressure from any individual Party seeking early relief from the Framework's measures. The de-escalation sequence coordinates its timing and public announcement through the same Communications Working Group architecture that governs escalation announcements, maintaining consistent coalition messaging discipline in both directions.</w:t>
      </w:r>
    </w:p>
    <w:p>
      <w:pPr>
        <w:pStyle w:val="Heading1"/>
        <w:keepNext/>
        <w:spacing w:after="200" w:before="360"/>
      </w:pPr>
      <w:r>
        <w:rPr>
          <w:rFonts w:ascii="Calibri" w:cs="Calibri" w:eastAsia="Calibri" w:hAnsi="Calibri"/>
          <w:b/>
          <w:bCs/>
          <w:color w:val="0B3D91"/>
          <w:sz w:val="30"/>
          <w:szCs w:val="30"/>
        </w:rPr>
        <w:t xml:space="preserve">Annex E: Risk Assessment and Mitigation Matrix</w:t>
      </w:r>
    </w:p>
    <w:tbl>
      <w:tblPr>
        <w:tblW w:type="dxa" w:w="9350"/>
        <w:tblBorders>
          <w:top w:val="single" w:color="AAB9D6" w:sz="4"/>
          <w:left w:val="single" w:color="AAB9D6" w:sz="4"/>
          <w:bottom w:val="single" w:color="AAB9D6" w:sz="4"/>
          <w:right w:val="single" w:color="AAB9D6" w:sz="4"/>
          <w:insideH w:val="single" w:color="D3DCEE" w:sz="2"/>
          <w:insideV w:val="single" w:color="D3DCEE" w:sz="2"/>
        </w:tblBorders>
      </w:tblPr>
      <w:tblGrid>
        <w:gridCol w:w="4675"/>
        <w:gridCol w:w="4675"/>
      </w:tblGrid>
      <w:tr>
        <w:trPr>
          <w:tblHeader/>
        </w:trPr>
        <w:tc>
          <w:tcPr>
            <w:tcW w:type="dxa" w:w="4675"/>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Risk</w:t>
            </w:r>
          </w:p>
        </w:tc>
        <w:tc>
          <w:tcPr>
            <w:tcW w:type="dxa" w:w="4675"/>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Mitigation Mechanism</w:t>
            </w:r>
          </w:p>
        </w:tc>
      </w:tr>
      <w:tr>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Parties break ranks under United States pressure</w:t>
            </w:r>
          </w:p>
        </w:tc>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Lock-in mechanisms, public commitments, and peer pressure under Annex C.1; collective counter-retaliation under Annex C.3</w:t>
            </w:r>
          </w:p>
        </w:tc>
      </w:tr>
      <w:tr>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United States escalates coverage or intensity</w:t>
            </w:r>
          </w:p>
        </w:tc>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Pre-agreed retaliation ladder under Annex D; collective counter-retaliation clause under Article 6.3 and Annex C.3</w:t>
            </w:r>
          </w:p>
        </w:tc>
      </w:tr>
      <w:tr>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WTO rules against the coalition or remains paralyzed</w:t>
            </w:r>
          </w:p>
        </w:tc>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Continued unilateral retaliation authority under Article 4.1; Article XXVIII and regional mechanism alternatives under Article 8.2</w:t>
            </w:r>
          </w:p>
        </w:tc>
      </w:tr>
      <w:tr>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Domestic backlash within a Party</w:t>
            </w:r>
          </w:p>
        </w:tc>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Domestic political shielding under Article 9.4; product-specific adjustments under Article 5.3; critical input exemptions under Article 5.1</w:t>
            </w:r>
          </w:p>
        </w:tc>
      </w:tr>
      <w:tr>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Supply chain disruption for coalition importers</w:t>
            </w:r>
          </w:p>
        </w:tc>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Diversification guarantees under Article 7.3; alternative supplier identification in advance of implementation</w:t>
            </w:r>
          </w:p>
        </w:tc>
      </w:tr>
      <w:tr>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United States targets agriculture in counter-retaliation</w:t>
            </w:r>
          </w:p>
        </w:tc>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Mutual market access guarantees under Article 7.1; coordinated agricultural absorption capacity under Annex B.8</w:t>
            </w:r>
          </w:p>
        </w:tc>
      </w:tr>
      <w:tr>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Ratification delays fragment the coordinated timeline</w:t>
            </w:r>
          </w:p>
        </w:tc>
        <w:tc>
          <w:tcPr>
            <w:tcW w:type="dxa" w:w="4675"/>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Entry-into-force threshold under Article 12.4 calibrated to a practical minimum; Secretariat tracking of domestic approval timelines under Annex B.3</w:t>
            </w:r>
          </w:p>
        </w:tc>
      </w:tr>
      <w:tr>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United States plastics lobby pressures coalition governments directly</w:t>
            </w:r>
          </w:p>
        </w:tc>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Domestic shielding and industry engagement materials under Article 9.4; unified external messaging emphasizing the lobby's own export interests under Article 9.1</w:t>
            </w:r>
          </w:p>
        </w:tc>
      </w:tr>
    </w:tbl>
    <w:p>
      <w:pPr>
        <w:spacing w:after="200"/>
      </w:pPr>
    </w:p>
    <w:p>
      <w:pPr>
        <w:spacing w:after="200" w:line="276"/>
        <w:jc w:val="both"/>
      </w:pPr>
      <w:r>
        <w:rPr>
          <w:rFonts w:ascii="Calibri" w:cs="Calibri" w:eastAsia="Calibri" w:hAnsi="Calibri"/>
          <w:color w:val="1A1A1A"/>
          <w:sz w:val="22"/>
          <w:szCs w:val="22"/>
        </w:rPr>
        <w:t xml:space="preserve">The Steering Committee reviews this risk matrix at each quarterly session, updating mitigation status against each identified risk and adding newly identified risks as the Framework's implementation experience accumulates. The Risk Assessment function operates as a standing responsibility of the Steering Committee rather than a one-time assessment fixed at the Framework's founding, reflecting the reality that a coalition of this scale and duration encounters evolving risk conditions throughout its operational life.</w:t>
      </w:r>
    </w:p>
    <w:p>
      <w:pPr>
        <w:pStyle w:val="Heading1"/>
        <w:keepNext/>
        <w:spacing w:after="200" w:before="360"/>
      </w:pPr>
      <w:r>
        <w:rPr>
          <w:rFonts w:ascii="Calibri" w:cs="Calibri" w:eastAsia="Calibri" w:hAnsi="Calibri"/>
          <w:b/>
          <w:bCs/>
          <w:color w:val="0B3D91"/>
          <w:sz w:val="30"/>
          <w:szCs w:val="30"/>
        </w:rPr>
        <w:t xml:space="preserve">Annex F: Success Metrics and Monitoring Dashboard</w:t>
      </w:r>
    </w:p>
    <w:p>
      <w:pPr>
        <w:spacing w:after="200" w:line="276"/>
        <w:jc w:val="both"/>
      </w:pPr>
      <w:r>
        <w:rPr>
          <w:rFonts w:ascii="Calibri" w:cs="Calibri" w:eastAsia="Calibri" w:hAnsi="Calibri"/>
          <w:color w:val="1A1A1A"/>
          <w:sz w:val="22"/>
          <w:szCs w:val="22"/>
        </w:rPr>
        <w:t xml:space="preserve">This Annex consolidates the Framework's full monitoring architecture, providing the Steering Committee and Coalition Council with a single reference dashboard structure that Article 10 operationalizes on a continuous basis. The dashboard tracks five core metric categories, each assigned a responsible Working Group and a reporting cadence that together ensure no metric category lacks a clear institutional owner.</w:t>
      </w:r>
    </w:p>
    <w:tbl>
      <w:tblPr>
        <w:tblW w:type="dxa" w:w="9350"/>
        <w:tblBorders>
          <w:top w:val="single" w:color="AAB9D6" w:sz="4"/>
          <w:left w:val="single" w:color="AAB9D6" w:sz="4"/>
          <w:bottom w:val="single" w:color="AAB9D6" w:sz="4"/>
          <w:right w:val="single" w:color="AAB9D6" w:sz="4"/>
          <w:insideH w:val="single" w:color="D3DCEE" w:sz="2"/>
          <w:insideV w:val="single" w:color="D3DCEE" w:sz="2"/>
        </w:tblBorders>
      </w:tblPr>
      <w:tblGrid>
        <w:gridCol w:w="3116"/>
        <w:gridCol w:w="3116"/>
        <w:gridCol w:w="3116"/>
      </w:tblGrid>
      <w:tr>
        <w:trPr>
          <w:tblHeader/>
        </w:trPr>
        <w:tc>
          <w:tcPr>
            <w:tcW w:type="dxa" w:w="3116"/>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Metric Category</w:t>
            </w:r>
          </w:p>
        </w:tc>
        <w:tc>
          <w:tcPr>
            <w:tcW w:type="dxa" w:w="3116"/>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Responsible Working Group</w:t>
            </w:r>
          </w:p>
        </w:tc>
        <w:tc>
          <w:tcPr>
            <w:tcW w:type="dxa" w:w="3116"/>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Reporting Cadence</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Coalition size and composition</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Secretariat, coordinated by Steering Committee</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Monthly</w:t>
            </w:r>
          </w:p>
        </w:tc>
      </w:tr>
      <w:tr>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United States plastics export volumes to coalition Parties</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Tariff and Customs Working Group</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Monthly</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Evidence of United States industry lobbying activity</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Communications Working Group</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Quarterly</w:t>
            </w:r>
          </w:p>
        </w:tc>
      </w:tr>
      <w:tr>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Negotiation progress indicators</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Legal Working Group, Steering Committee</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Quarterly</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WTO proceeding status across all filings</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Legal Working Group</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Quarterly</w:t>
            </w:r>
          </w:p>
        </w:tc>
      </w:tr>
    </w:tbl>
    <w:p>
      <w:pPr>
        <w:spacing w:after="200"/>
      </w:pPr>
    </w:p>
    <w:p>
      <w:pPr>
        <w:spacing w:after="200" w:line="276"/>
        <w:jc w:val="both"/>
      </w:pPr>
      <w:r>
        <w:rPr>
          <w:rFonts w:ascii="Calibri" w:cs="Calibri" w:eastAsia="Calibri" w:hAnsi="Calibri"/>
          <w:color w:val="1A1A1A"/>
          <w:sz w:val="22"/>
          <w:szCs w:val="22"/>
        </w:rPr>
        <w:t xml:space="preserve">The Secretariat compiles these five metric streams into the unified quarterly status report specified in Article 10.4, and the Steering Committee applies this consolidated dashboard directly in its six-month and annual review deliberations under Article 10.3. The dashboard's design deliberately favors a small number of clear, trackable indicators over an exhaustive metrics catalog, reflecting the Framework's operational priority of maintaining coalition attention on the handful of indicators that most directly measure progress toward the negotiated settlement Article 11 defines as the Framework's ultimate objective.</w:t>
      </w:r>
    </w:p>
    <w:p>
      <w:pPr>
        <w:pStyle w:val="Heading1"/>
        <w:keepNext/>
        <w:spacing w:after="200" w:before="360"/>
      </w:pPr>
      <w:r>
        <w:rPr>
          <w:rFonts w:ascii="Calibri" w:cs="Calibri" w:eastAsia="Calibri" w:hAnsi="Calibri"/>
          <w:b/>
          <w:bCs/>
          <w:color w:val="0B3D91"/>
          <w:sz w:val="30"/>
          <w:szCs w:val="30"/>
        </w:rPr>
        <w:t xml:space="preserve">Annex G: Communications Toolkit and Messaging Matrix</w:t>
      </w:r>
    </w:p>
    <w:p>
      <w:pPr>
        <w:pStyle w:val="Heading2"/>
        <w:keepNext/>
        <w:spacing w:after="140" w:before="260"/>
      </w:pPr>
      <w:r>
        <w:rPr>
          <w:rFonts w:ascii="Calibri" w:cs="Calibri" w:eastAsia="Calibri" w:hAnsi="Calibri"/>
          <w:b/>
          <w:bCs/>
          <w:color w:val="1F5FA8"/>
          <w:sz w:val="24"/>
          <w:szCs w:val="24"/>
        </w:rPr>
        <w:t xml:space="preserve">G.1 Core Unified Narrative</w:t>
      </w:r>
    </w:p>
    <w:p>
      <w:pPr>
        <w:spacing w:after="200" w:line="276"/>
        <w:jc w:val="both"/>
      </w:pPr>
      <w:r>
        <w:rPr>
          <w:rFonts w:ascii="Calibri" w:cs="Calibri" w:eastAsia="Calibri" w:hAnsi="Calibri"/>
          <w:color w:val="1A1A1A"/>
          <w:sz w:val="22"/>
          <w:szCs w:val="22"/>
        </w:rPr>
        <w:t xml:space="preserve">The Framework's standing public narrative states that the coalition responds to unjustified tariff measures the United States has imposed on the Parties' exports, and that the coalition's twenty percent coordinated tariff on United States plastics constitutes a measured, proportionate, and coordinated response rather than an escalation. This narrative affirms that the coalition remains open to negotiations at every stage, provided the United States removes its discriminatory measures, reinforcing the dialogue theme that Article 9.1 establishes as one of the Framework's four standing messaging pillars. The Communications Working Group maintains this narrative as the Framework's single authoritative public statement, from which every Party's own domestic communications materials derive.</w:t>
      </w:r>
    </w:p>
    <w:p>
      <w:pPr>
        <w:pStyle w:val="Heading2"/>
        <w:keepNext/>
        <w:spacing w:after="140" w:before="260"/>
      </w:pPr>
      <w:r>
        <w:rPr>
          <w:rFonts w:ascii="Calibri" w:cs="Calibri" w:eastAsia="Calibri" w:hAnsi="Calibri"/>
          <w:b/>
          <w:bCs/>
          <w:color w:val="1F5FA8"/>
          <w:sz w:val="24"/>
          <w:szCs w:val="24"/>
        </w:rPr>
        <w:t xml:space="preserve">G.2 Messaging Themes and Application</w:t>
      </w:r>
    </w:p>
    <w:p>
      <w:pPr>
        <w:pStyle w:val="ListParagraph"/>
        <w:numPr>
          <w:ilvl w:val="0"/>
          <w:numId w:val="1"/>
        </w:numPr>
        <w:spacing w:after="140" w:line="276"/>
      </w:pPr>
      <w:r>
        <w:rPr>
          <w:rFonts w:ascii="Calibri" w:cs="Calibri" w:eastAsia="Calibri" w:hAnsi="Calibri"/>
          <w:color w:val="1A1A1A"/>
          <w:sz w:val="22"/>
          <w:szCs w:val="22"/>
        </w:rPr>
        <w:t xml:space="preserve">Defensive, not aggressive: 'The coalition responds to prior United States tariff action rather than initiating new conflict', applied consistently in every public statement addressing the Framework's origin.</w:t>
      </w:r>
    </w:p>
    <w:p>
      <w:pPr>
        <w:pStyle w:val="ListParagraph"/>
        <w:numPr>
          <w:ilvl w:val="0"/>
          <w:numId w:val="1"/>
        </w:numPr>
        <w:spacing w:after="140" w:line="276"/>
      </w:pPr>
      <w:r>
        <w:rPr>
          <w:rFonts w:ascii="Calibri" w:cs="Calibri" w:eastAsia="Calibri" w:hAnsi="Calibri"/>
          <w:color w:val="1A1A1A"/>
          <w:sz w:val="22"/>
          <w:szCs w:val="22"/>
        </w:rPr>
        <w:t xml:space="preserve">Proportionate: 'The coordinated rate matches the tariff levels the United States itself applies against several coalition members', applied whenever the Framework's rate faces public scrutiny or challenge.</w:t>
      </w:r>
    </w:p>
    <w:p>
      <w:pPr>
        <w:pStyle w:val="ListParagraph"/>
        <w:numPr>
          <w:ilvl w:val="0"/>
          <w:numId w:val="1"/>
        </w:numPr>
        <w:spacing w:after="140" w:line="276"/>
      </w:pPr>
      <w:r>
        <w:rPr>
          <w:rFonts w:ascii="Calibri" w:cs="Calibri" w:eastAsia="Calibri" w:hAnsi="Calibri"/>
          <w:color w:val="1A1A1A"/>
          <w:sz w:val="22"/>
          <w:szCs w:val="22"/>
        </w:rPr>
        <w:t xml:space="preserve">United: 'The Parties stand together against unfair trade practices', applied to reinforce coalition cohesion in the face of any individual Party facing targeted United States pressure.</w:t>
      </w:r>
    </w:p>
    <w:p>
      <w:pPr>
        <w:pStyle w:val="ListParagraph"/>
        <w:numPr>
          <w:ilvl w:val="0"/>
          <w:numId w:val="1"/>
        </w:numPr>
        <w:spacing w:after="140" w:line="276"/>
      </w:pPr>
      <w:r>
        <w:rPr>
          <w:rFonts w:ascii="Calibri" w:cs="Calibri" w:eastAsia="Calibri" w:hAnsi="Calibri"/>
          <w:color w:val="1A1A1A"/>
          <w:sz w:val="22"/>
          <w:szCs w:val="22"/>
        </w:rPr>
        <w:t xml:space="preserve">Open to dialogue: 'The coalition prefers negotiations, and remains available for them, while declining to accept discriminatory treatment', applied in every communication addressing the pathway toward settlement under Article 11.</w:t>
      </w:r>
    </w:p>
    <w:p>
      <w:pPr>
        <w:spacing w:after="100"/>
      </w:pPr>
    </w:p>
    <w:p>
      <w:pPr>
        <w:pStyle w:val="Heading2"/>
        <w:keepNext/>
        <w:spacing w:after="140" w:before="260"/>
      </w:pPr>
      <w:r>
        <w:rPr>
          <w:rFonts w:ascii="Calibri" w:cs="Calibri" w:eastAsia="Calibri" w:hAnsi="Calibri"/>
          <w:b/>
          <w:bCs/>
          <w:color w:val="1F5FA8"/>
          <w:sz w:val="24"/>
          <w:szCs w:val="24"/>
        </w:rPr>
        <w:t xml:space="preserve">G.3 Toolkit Components</w:t>
      </w:r>
    </w:p>
    <w:p>
      <w:pPr>
        <w:spacing w:after="200" w:line="276"/>
        <w:jc w:val="both"/>
      </w:pPr>
      <w:r>
        <w:rPr>
          <w:rFonts w:ascii="Calibri" w:cs="Calibri" w:eastAsia="Calibri" w:hAnsi="Calibri"/>
          <w:color w:val="1A1A1A"/>
          <w:sz w:val="22"/>
          <w:szCs w:val="22"/>
        </w:rPr>
        <w:t xml:space="preserve">The Communications Working Group maintains a standing toolkit that every Party's domestic communications team draws on throughout the Framework's implementation. This toolkit includes template press statements calibrated to each phase of Annex B's outreach plan, sector-specific economic impact briefing materials for the plastics, agriculture, and manufacturing sectors most affected by the underlying trade dispute, a media question-and-answer reference document addressing the most frequent challenges to the Framework's legal and economic rationale, and a translated core-message library covering every official language represented across the membership under Article 12.3. The Working Group updates this toolkit at each phase transition in the Framework's implementation, ensuring that Party communications teams always operate from current, coordinated materials rather than outdated messaging that risks contradicting the Framework's evolving public posture.</w:t>
      </w:r>
    </w:p>
    <w:p>
      <w:pPr>
        <w:pStyle w:val="Heading1"/>
        <w:keepNext/>
        <w:spacing w:after="200" w:before="360"/>
      </w:pPr>
      <w:r>
        <w:rPr>
          <w:rFonts w:ascii="Calibri" w:cs="Calibri" w:eastAsia="Calibri" w:hAnsi="Calibri"/>
          <w:b/>
          <w:bCs/>
          <w:color w:val="0B3D91"/>
          <w:sz w:val="30"/>
          <w:szCs w:val="30"/>
        </w:rPr>
        <w:t xml:space="preserve">Annex H: Detailed Tariff Schedule</w:t>
      </w:r>
    </w:p>
    <w:p>
      <w:pPr>
        <w:spacing w:after="200" w:line="276"/>
        <w:jc w:val="both"/>
      </w:pPr>
      <w:r>
        <w:rPr>
          <w:rFonts w:ascii="Calibri" w:cs="Calibri" w:eastAsia="Calibri" w:hAnsi="Calibri"/>
          <w:color w:val="1A1A1A"/>
          <w:sz w:val="22"/>
          <w:szCs w:val="22"/>
        </w:rPr>
        <w:t xml:space="preserve">This Annex provides the detailed Harmonized System reference schedule that the Tariff and Customs Working Group applies in reconciling the Article 4.2 coverage table against individual Party customs nomenclatures. The schedule below reflects the coverage as it stands at the Framework's founding, subject to the quarterly reconciliation update process Article 4.2 specifies and the coverage expansion mechanism Article 4.4 and Annex D govern.</w:t>
      </w:r>
    </w:p>
    <w:tbl>
      <w:tblPr>
        <w:tblW w:type="dxa" w:w="9350"/>
        <w:tblBorders>
          <w:top w:val="single" w:color="AAB9D6" w:sz="4"/>
          <w:left w:val="single" w:color="AAB9D6" w:sz="4"/>
          <w:bottom w:val="single" w:color="AAB9D6" w:sz="4"/>
          <w:right w:val="single" w:color="AAB9D6" w:sz="4"/>
          <w:insideH w:val="single" w:color="D3DCEE" w:sz="2"/>
          <w:insideV w:val="single" w:color="D3DCEE" w:sz="2"/>
        </w:tblBorders>
      </w:tblPr>
      <w:tblGrid>
        <w:gridCol w:w="2337"/>
        <w:gridCol w:w="2337"/>
        <w:gridCol w:w="2337"/>
        <w:gridCol w:w="2337"/>
      </w:tblGrid>
      <w:tr>
        <w:trPr>
          <w:tblHeader/>
        </w:trPr>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HS Heading</w:t>
            </w:r>
          </w:p>
        </w:tc>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Base Rate</w:t>
            </w:r>
          </w:p>
        </w:tc>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Framework Rate</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3901</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Polymers of ethylene, primary forms</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Party MFN rate</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MFN rate plus 20 percentage points</w:t>
            </w:r>
          </w:p>
        </w:tc>
      </w:tr>
      <w:tr>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3902</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Polymers of propylene or other olefins, primary forms</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Party MFN rate</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MFN rate plus 20 percentage points</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3903</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Polymers of styrene, primary forms</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Party MFN rate</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MFN rate plus 20 percentage points</w:t>
            </w:r>
          </w:p>
        </w:tc>
      </w:tr>
      <w:tr>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3904</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Polymers of vinyl chloride or other halogenated olefins, primary forms</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Party MFN rate</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MFN rate plus 20 percentage points</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3906</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Acrylic polymers, primary forms</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Party MFN rate</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MFN rate plus 20 percentage points</w:t>
            </w:r>
          </w:p>
        </w:tc>
      </w:tr>
      <w:tr>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3908</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Polyamides, primary forms</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Party MFN rate</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MFN rate plus 20 percentage points</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3916</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Monofilament, rods, sticks, and profile shapes of plastics</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Party MFN rate</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MFN rate plus 20 percentage points</w:t>
            </w:r>
          </w:p>
        </w:tc>
      </w:tr>
      <w:tr>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3917</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Tubes, pipes, and hoses of plastics</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Party MFN rate</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MFN rate plus 20 percentage points</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3920</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Plates, sheets, film, foil, and strip of plastics, non-cellular</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Party MFN rate</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MFN rate plus 20 percentage points</w:t>
            </w:r>
          </w:p>
        </w:tc>
      </w:tr>
      <w:tr>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3923</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Articles for the conveyance or packing of goods, of plastics</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Party MFN rate</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MFN rate plus 20 percentage points</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3926</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Other articles of plastics not elsewhere specified</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Party MFN rate</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MFN rate plus 20 percentage points</w:t>
            </w:r>
          </w:p>
        </w:tc>
      </w:tr>
      <w:tr>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8477</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Machinery for working rubber or plastics, not elsewhere specified</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Party MFN rate</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Tier 2: activates under Annex D.2</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8480</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Molding boxes, mold bases, and molds for rubber or plastics</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Party MFN rate</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Tier 2: activates under Annex D.2</w:t>
            </w:r>
          </w:p>
        </w:tc>
      </w:tr>
    </w:tbl>
    <w:p>
      <w:pPr>
        <w:spacing w:after="200"/>
      </w:pPr>
    </w:p>
    <w:p>
      <w:pPr>
        <w:spacing w:after="200" w:line="276"/>
        <w:jc w:val="both"/>
      </w:pPr>
      <w:r>
        <w:rPr>
          <w:rFonts w:ascii="Calibri" w:cs="Calibri" w:eastAsia="Calibri" w:hAnsi="Calibri"/>
          <w:color w:val="1A1A1A"/>
          <w:sz w:val="22"/>
          <w:szCs w:val="22"/>
        </w:rPr>
        <w:t xml:space="preserve">Parties apply the Framework Rate as an addition to each Party's own existing Most Favored Nation applied rate for the corresponding tariff line, rather than as a replacement rate, ensuring that the twenty percentage point retaliatory increment operates consistently regardless of the underlying MFN baseline that varies across Party customs schedules. The Tariff and Customs Working Group publishes a Party-specific implementation guide translating this schedule into each Party's own national tariff nomenclature within thirty days of that Party's accession, supporting the customs administration continuity that coordinated implementation under Article 4.3 depends on.</w:t>
      </w:r>
    </w:p>
    <w:p>
      <w:pPr>
        <w:pStyle w:val="Heading1"/>
        <w:keepNext/>
        <w:spacing w:after="200" w:before="360"/>
      </w:pPr>
      <w:r>
        <w:rPr>
          <w:rFonts w:ascii="Calibri" w:cs="Calibri" w:eastAsia="Calibri" w:hAnsi="Calibri"/>
          <w:b/>
          <w:bCs/>
          <w:color w:val="0B3D91"/>
          <w:sz w:val="30"/>
          <w:szCs w:val="30"/>
        </w:rPr>
        <w:t xml:space="preserve">Annex I: Master Implementation Timeline</w:t>
      </w:r>
    </w:p>
    <w:tbl>
      <w:tblPr>
        <w:tblW w:type="dxa" w:w="9350"/>
        <w:tblBorders>
          <w:top w:val="single" w:color="AAB9D6" w:sz="4"/>
          <w:left w:val="single" w:color="AAB9D6" w:sz="4"/>
          <w:bottom w:val="single" w:color="AAB9D6" w:sz="4"/>
          <w:right w:val="single" w:color="AAB9D6" w:sz="4"/>
          <w:insideH w:val="single" w:color="D3DCEE" w:sz="2"/>
          <w:insideV w:val="single" w:color="D3DCEE" w:sz="2"/>
        </w:tblBorders>
      </w:tblPr>
      <w:tblGrid>
        <w:gridCol w:w="2337"/>
        <w:gridCol w:w="2337"/>
        <w:gridCol w:w="2337"/>
        <w:gridCol w:w="2337"/>
      </w:tblGrid>
      <w:tr>
        <w:trPr>
          <w:tblHeader/>
        </w:trPr>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Phase</w:t>
            </w:r>
          </w:p>
        </w:tc>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Timeline</w:t>
            </w:r>
          </w:p>
        </w:tc>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Primary Activity</w:t>
            </w:r>
          </w:p>
        </w:tc>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Responsible Body</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1</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Weeks 1-4</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Bilateral diplomatic outreach to Tier 1 and Tier 2 economies</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Canada: Global Affairs, PMO, Minister of International Trade</w:t>
            </w:r>
          </w:p>
        </w:tc>
      </w:tr>
      <w:tr>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2</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Weeks 5-8</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Multilateral summit, founding consensus, Steering Committee formation</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Canada as convening host; all interested Parties</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3</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Weeks 9-12</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WTO legal filings and domestic ratification procedures</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Legal Working Group; each Party's domestic institutions</w:t>
            </w:r>
          </w:p>
        </w:tc>
      </w:tr>
      <w:tr>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4</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Week 13</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Coordinated tariff implementation across ratified Parties</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Coalition Council; Tariff and Customs Working Group</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5</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Ongoing</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Monitoring, enforcement, negotiation readiness, periodic review</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Steering Committee; all four Working Groups</w:t>
            </w:r>
          </w:p>
        </w:tc>
      </w:tr>
    </w:tbl>
    <w:p>
      <w:pPr>
        <w:spacing w:after="200"/>
      </w:pPr>
    </w:p>
    <w:p>
      <w:pPr>
        <w:spacing w:after="200" w:line="276"/>
        <w:jc w:val="both"/>
      </w:pPr>
      <w:r>
        <w:rPr>
          <w:rFonts w:ascii="Calibri" w:cs="Calibri" w:eastAsia="Calibri" w:hAnsi="Calibri"/>
          <w:color w:val="1A1A1A"/>
          <w:sz w:val="22"/>
          <w:szCs w:val="22"/>
        </w:rPr>
        <w:t xml:space="preserve">This master timeline consolidates the phase structure detailed operationally throughout Annex B, presenting the full Framework-building sequence in a single consolidated reference. The Steering Committee treats this timeline as a coordination planning instrument rather than a rigid deadline structure, consistent with the realistic timeline expectations Annex B.7 documents, and adjusts phase boundaries as actual coalition-building experience warrants while preserving the underlying phase sequence and its internal logic.</w:t>
      </w:r>
    </w:p>
    <w:p>
      <w:pPr>
        <w:pStyle w:val="Heading1"/>
        <w:keepNext/>
        <w:spacing w:after="200" w:before="360"/>
      </w:pPr>
      <w:r>
        <w:rPr>
          <w:rFonts w:ascii="Calibri" w:cs="Calibri" w:eastAsia="Calibri" w:hAnsi="Calibri"/>
          <w:b/>
          <w:bCs/>
          <w:color w:val="0B3D91"/>
          <w:sz w:val="30"/>
          <w:szCs w:val="30"/>
        </w:rPr>
        <w:t xml:space="preserve">Annex J: Country-by-Country Outreach Briefing Sheets</w:t>
      </w:r>
    </w:p>
    <w:p>
      <w:pPr>
        <w:spacing w:after="200" w:line="276"/>
        <w:jc w:val="both"/>
      </w:pPr>
      <w:r>
        <w:rPr>
          <w:rFonts w:ascii="Calibri" w:cs="Calibri" w:eastAsia="Calibri" w:hAnsi="Calibri"/>
          <w:color w:val="1A1A1A"/>
          <w:sz w:val="22"/>
          <w:szCs w:val="22"/>
        </w:rPr>
        <w:t xml:space="preserve">This Annex equips Canada's diplomatic teams with a dedicated briefing sheet for each priority target economy, translating the general messaging architecture of Annex B into country-specific talking points, trade data references, and accession pathway recommendations. Each briefing sheet follows a consistent structure so that Canadian diplomats moving between bilateral engagements carry a familiar reference format regardless of the target economy, and the Communications Working Group updates each sheet as engagement outcomes and evolving United States trade posture warrant.</w:t>
      </w:r>
    </w:p>
    <w:p>
      <w:pPr>
        <w:pStyle w:val="Heading2"/>
        <w:keepNext/>
        <w:spacing w:after="140" w:before="260"/>
      </w:pPr>
      <w:r>
        <w:rPr>
          <w:rFonts w:ascii="Calibri" w:cs="Calibri" w:eastAsia="Calibri" w:hAnsi="Calibri"/>
          <w:b/>
          <w:bCs/>
          <w:color w:val="1F5FA8"/>
          <w:sz w:val="24"/>
          <w:szCs w:val="24"/>
        </w:rPr>
        <w:t xml:space="preserve">J.1 China</w:t>
      </w:r>
    </w:p>
    <w:p>
      <w:pPr>
        <w:spacing w:after="200" w:line="276"/>
        <w:jc w:val="both"/>
      </w:pPr>
      <w:r>
        <w:rPr>
          <w:rFonts w:ascii="Calibri" w:cs="Calibri" w:eastAsia="Calibri" w:hAnsi="Calibri"/>
          <w:color w:val="1A1A1A"/>
          <w:sz w:val="22"/>
          <w:szCs w:val="22"/>
        </w:rPr>
        <w:t xml:space="preserve">China's existing posture of retaliatory tariffs exceeding one hundred percent on select United States goods positions it as the Framework's most natural anchor member, and Canadian outreach frames China's accession as reinforcing, rather than replacing, China's own independent trade countermeasures. Canadian briefing materials emphasize China's substantial domestic plastics manufacturing capacity as a source of coalition-wide alternative supply once United States plastics imports decline, strengthening the practical diversification case detailed in Article 7.3. Canadian diplomats coordinate this engagement closely with the Minister of International Trade given the political sensitivity that Canada's own bilateral relationship with China carries, and Global Affairs Canada assigns senior-level attention to this engagement from the outreach effort's opening week.</w:t>
      </w:r>
    </w:p>
    <w:p>
      <w:pPr>
        <w:pStyle w:val="Heading2"/>
        <w:keepNext/>
        <w:spacing w:after="140" w:before="260"/>
      </w:pPr>
      <w:r>
        <w:rPr>
          <w:rFonts w:ascii="Calibri" w:cs="Calibri" w:eastAsia="Calibri" w:hAnsi="Calibri"/>
          <w:b/>
          <w:bCs/>
          <w:color w:val="1F5FA8"/>
          <w:sz w:val="24"/>
          <w:szCs w:val="24"/>
        </w:rPr>
        <w:t xml:space="preserve">J.2 European Union</w:t>
      </w:r>
    </w:p>
    <w:p>
      <w:pPr>
        <w:spacing w:after="200" w:line="276"/>
        <w:jc w:val="both"/>
      </w:pPr>
      <w:r>
        <w:rPr>
          <w:rFonts w:ascii="Calibri" w:cs="Calibri" w:eastAsia="Calibri" w:hAnsi="Calibri"/>
          <w:color w:val="1A1A1A"/>
          <w:sz w:val="22"/>
          <w:szCs w:val="22"/>
        </w:rPr>
        <w:t xml:space="preserve">The European Union's own retaliation package, valued at approximately twenty-six billion euros, and its parallel World Trade Organization notification give Brussels an existing institutional posture that aligns closely with the Framework's founding logic. Canadian outreach engages the European Commission's Directorate-General for Trade directly, presenting the Framework as a complement to the European Union's own measures that extends European leverage through coordinated multilateral weight rather than substituting for the Union's independent trade policy authority. Canada highlights the twenty percent rate's direct correspondence to the tariff level the United States applies against the European Union, reinforcing the proportionality argument Annex A.2 documents and giving European trade officials a ready-made public justification for coalition accession.</w:t>
      </w:r>
    </w:p>
    <w:p>
      <w:pPr>
        <w:pStyle w:val="Heading2"/>
        <w:keepNext/>
        <w:spacing w:after="140" w:before="260"/>
      </w:pPr>
      <w:r>
        <w:rPr>
          <w:rFonts w:ascii="Calibri" w:cs="Calibri" w:eastAsia="Calibri" w:hAnsi="Calibri"/>
          <w:b/>
          <w:bCs/>
          <w:color w:val="1F5FA8"/>
          <w:sz w:val="24"/>
          <w:szCs w:val="24"/>
        </w:rPr>
        <w:t xml:space="preserve">J.3 United Kingdom</w:t>
      </w:r>
    </w:p>
    <w:p>
      <w:pPr>
        <w:spacing w:after="200" w:line="276"/>
        <w:jc w:val="both"/>
      </w:pPr>
      <w:r>
        <w:rPr>
          <w:rFonts w:ascii="Calibri" w:cs="Calibri" w:eastAsia="Calibri" w:hAnsi="Calibri"/>
          <w:color w:val="1A1A1A"/>
          <w:sz w:val="22"/>
          <w:szCs w:val="22"/>
        </w:rPr>
        <w:t xml:space="preserve">The United Kingdom's formal World Trade Organization notification of its intent to retaliate signals institutional readiness that Canadian outreach engages directly through the Department for Business and Trade. Canada's historically close bilateral relationship with the United Kingdom, reinforced through the Trade Continuity Agreement and ongoing Comprehensive and Progressive Agreement for Trans-Pacific Partnership accession cooperation, gives Canadian diplomats an established channel for rapid, high-trust engagement on this Framework's accession terms. Canadian briefing materials emphasize the United Kingdom's plastics export and import profile specifically, quantifying the domestic industrial benefit the United Kingdom captures through coordinated tariff pressure on a major competing plastics exporter.</w:t>
      </w:r>
    </w:p>
    <w:p>
      <w:pPr>
        <w:pStyle w:val="Heading2"/>
        <w:keepNext/>
        <w:spacing w:after="140" w:before="260"/>
      </w:pPr>
      <w:r>
        <w:rPr>
          <w:rFonts w:ascii="Calibri" w:cs="Calibri" w:eastAsia="Calibri" w:hAnsi="Calibri"/>
          <w:b/>
          <w:bCs/>
          <w:color w:val="1F5FA8"/>
          <w:sz w:val="24"/>
          <w:szCs w:val="24"/>
        </w:rPr>
        <w:t xml:space="preserve">J.4 Brazil</w:t>
      </w:r>
    </w:p>
    <w:p>
      <w:pPr>
        <w:spacing w:after="200" w:line="276"/>
        <w:jc w:val="both"/>
      </w:pPr>
      <w:r>
        <w:rPr>
          <w:rFonts w:ascii="Calibri" w:cs="Calibri" w:eastAsia="Calibri" w:hAnsi="Calibri"/>
          <w:color w:val="1A1A1A"/>
          <w:sz w:val="22"/>
          <w:szCs w:val="22"/>
        </w:rPr>
        <w:t xml:space="preserve">Brazil's active World Trade Organization complaint and its domestically passed retaliation law give Brazilian trade officials a legislative foundation that Canadian outreach references directly when proposing Framework accession as an extension of Brazil's existing legal architecture. Canadian briefing materials address Brazil's agricultural export exposure proactively, referencing the mutual market access guarantees under Article 7.1 and the coordinated agricultural absorption capacity Annex B.8 details, since Brazil's own agricultural sector carries acute vulnerability to United States counter-retaliation. Canada engages Brazil's Ministry of Development, Industry, Trade and Services alongside its Ministry of Foreign Affairs, reflecting the dual economic and diplomatic dimensions of Brazil's coalition interest.</w:t>
      </w:r>
    </w:p>
    <w:p>
      <w:pPr>
        <w:pStyle w:val="Heading2"/>
        <w:keepNext/>
        <w:spacing w:after="140" w:before="260"/>
      </w:pPr>
      <w:r>
        <w:rPr>
          <w:rFonts w:ascii="Calibri" w:cs="Calibri" w:eastAsia="Calibri" w:hAnsi="Calibri"/>
          <w:b/>
          <w:bCs/>
          <w:color w:val="1F5FA8"/>
          <w:sz w:val="24"/>
          <w:szCs w:val="24"/>
        </w:rPr>
        <w:t xml:space="preserve">J.5 Mexico</w:t>
      </w:r>
    </w:p>
    <w:p>
      <w:pPr>
        <w:spacing w:after="200" w:line="276"/>
        <w:jc w:val="both"/>
      </w:pPr>
      <w:r>
        <w:rPr>
          <w:rFonts w:ascii="Calibri" w:cs="Calibri" w:eastAsia="Calibri" w:hAnsi="Calibri"/>
          <w:color w:val="1A1A1A"/>
          <w:sz w:val="22"/>
          <w:szCs w:val="22"/>
        </w:rPr>
        <w:t xml:space="preserve">Mexico's deep supply-chain integration with the United States, including extensive plastics and plastics-adjacent manufacturing linkages under the existing North American trading relationship, makes Mexico's accession decision one of the Framework's most diplomatically delicate engagements. Canadian outreach acknowledges this integration directly rather than minimizing it, presenting the Associate Member category under Article 2.3 as a calibrated entry point that allows Mexico's initial coverage commitment to reflect its distinct exposure profile while preserving a credible pathway to full membership. Canada coordinates this engagement closely with its own trilateral trade relationship management, ensuring that Framework outreach to Mexico complements rather than complicates the broader North American trade architecture that all three continental partners maintain.</w:t>
      </w:r>
    </w:p>
    <w:p>
      <w:pPr>
        <w:pStyle w:val="Heading2"/>
        <w:keepNext/>
        <w:spacing w:after="140" w:before="260"/>
      </w:pPr>
      <w:r>
        <w:rPr>
          <w:rFonts w:ascii="Calibri" w:cs="Calibri" w:eastAsia="Calibri" w:hAnsi="Calibri"/>
          <w:b/>
          <w:bCs/>
          <w:color w:val="1F5FA8"/>
          <w:sz w:val="24"/>
          <w:szCs w:val="24"/>
        </w:rPr>
        <w:t xml:space="preserve">J.6 India</w:t>
      </w:r>
    </w:p>
    <w:p>
      <w:pPr>
        <w:spacing w:after="200" w:line="276"/>
        <w:jc w:val="both"/>
      </w:pPr>
      <w:r>
        <w:rPr>
          <w:rFonts w:ascii="Calibri" w:cs="Calibri" w:eastAsia="Calibri" w:hAnsi="Calibri"/>
          <w:color w:val="1A1A1A"/>
          <w:sz w:val="22"/>
          <w:szCs w:val="22"/>
        </w:rPr>
        <w:t xml:space="preserve">India's requested World Trade Organization dispute consultations demonstrate an institutional posture receptive to coordinated legal action, and Canadian outreach to India's Ministry of Commerce and Industry emphasizes the Legal Working Group's coordinated filing strategy under Article 8.1 as a direct extension of India's own consultation request. Canadian briefing materials highlight India's growing domestic plastics manufacturing base as a beneficiary of coordinated pressure on United States competitors, and Canada positions this engagement within its broader strategic trade relationship with India, reflecting the growing weight India carries in Indo-Pacific trade diplomacy.</w:t>
      </w:r>
    </w:p>
    <w:p>
      <w:pPr>
        <w:pStyle w:val="Heading2"/>
        <w:keepNext/>
        <w:spacing w:after="140" w:before="260"/>
      </w:pPr>
      <w:r>
        <w:rPr>
          <w:rFonts w:ascii="Calibri" w:cs="Calibri" w:eastAsia="Calibri" w:hAnsi="Calibri"/>
          <w:b/>
          <w:bCs/>
          <w:color w:val="1F5FA8"/>
          <w:sz w:val="24"/>
          <w:szCs w:val="24"/>
        </w:rPr>
        <w:t xml:space="preserve">J.7 Japan and South Korea</w:t>
      </w:r>
    </w:p>
    <w:p>
      <w:pPr>
        <w:spacing w:after="200" w:line="276"/>
        <w:jc w:val="both"/>
      </w:pPr>
      <w:r>
        <w:rPr>
          <w:rFonts w:ascii="Calibri" w:cs="Calibri" w:eastAsia="Calibri" w:hAnsi="Calibri"/>
          <w:color w:val="1A1A1A"/>
          <w:sz w:val="22"/>
          <w:szCs w:val="22"/>
        </w:rPr>
        <w:t xml:space="preserve">Japan and South Korea each face a fifteen percent United States tariff and each maintain active internal consideration of retaliatory measures, giving Canadian outreach a receptive starting posture in both capitals. Canada engages both economies with particular attention to their sophisticated plastics-processing machinery sectors, which fall within the Framework's Tier 2 expansion category under Article 4.2, presenting early accession as an opportunity to shape the Tier 2 coverage definition before Level Two activation under Annex D.2 occurs. Canadian diplomats coordinate parallel engagement with Tokyo and Seoul where scheduling permits, recognizing the practical value of consistent regional messaging across two economies that frequently coordinate their own trade policy posture toward the United States.</w:t>
      </w:r>
    </w:p>
    <w:p>
      <w:pPr>
        <w:pStyle w:val="Heading2"/>
        <w:keepNext/>
        <w:spacing w:after="140" w:before="260"/>
      </w:pPr>
      <w:r>
        <w:rPr>
          <w:rFonts w:ascii="Calibri" w:cs="Calibri" w:eastAsia="Calibri" w:hAnsi="Calibri"/>
          <w:b/>
          <w:bCs/>
          <w:color w:val="1F5FA8"/>
          <w:sz w:val="24"/>
          <w:szCs w:val="24"/>
        </w:rPr>
        <w:t xml:space="preserve">J.8 Vietnam and Thailand</w:t>
      </w:r>
    </w:p>
    <w:p>
      <w:pPr>
        <w:spacing w:after="200" w:line="276"/>
        <w:jc w:val="both"/>
      </w:pPr>
      <w:r>
        <w:rPr>
          <w:rFonts w:ascii="Calibri" w:cs="Calibri" w:eastAsia="Calibri" w:hAnsi="Calibri"/>
          <w:color w:val="1A1A1A"/>
          <w:sz w:val="22"/>
          <w:szCs w:val="22"/>
        </w:rPr>
        <w:t xml:space="preserve">Vietnam's forty-six percent United States tariff exposure and Thailand's thirty-six percent exposure place these two economies at the front of the Tier 3 engagement queue, and Canadian briefing materials for both economies emphasize the acute severity of their current exposure as the central accession argument rather than relying primarily on WTO-process framing as with several Tier 1 and Tier 2 economies. Canada engages Vietnam's Ministry of Industry and Trade with particular attention to Vietnam's substantial finished plastic-article export sector, positioning coalition membership as protective of Vietnam's own competitive position against United States producers rather than as a cost to Vietnamese industry. Canadian outreach to Thailand proceeds through the Ministry of Commerce, emphasizing Thailand's established petrochemical and resin manufacturing base as a candidate source of coalition-wide alternative supply once Framework tariffs redirect procurement away from United States producers.</w:t>
      </w:r>
    </w:p>
    <w:p>
      <w:pPr>
        <w:pStyle w:val="Heading2"/>
        <w:keepNext/>
        <w:spacing w:after="140" w:before="260"/>
      </w:pPr>
      <w:r>
        <w:rPr>
          <w:rFonts w:ascii="Calibri" w:cs="Calibri" w:eastAsia="Calibri" w:hAnsi="Calibri"/>
          <w:b/>
          <w:bCs/>
          <w:color w:val="1F5FA8"/>
          <w:sz w:val="24"/>
          <w:szCs w:val="24"/>
        </w:rPr>
        <w:t xml:space="preserve">J.9 Indonesia, Malaysia, and the Philippines</w:t>
      </w:r>
    </w:p>
    <w:p>
      <w:pPr>
        <w:spacing w:after="200" w:line="276"/>
        <w:jc w:val="both"/>
      </w:pPr>
      <w:r>
        <w:rPr>
          <w:rFonts w:ascii="Calibri" w:cs="Calibri" w:eastAsia="Calibri" w:hAnsi="Calibri"/>
          <w:color w:val="1A1A1A"/>
          <w:sz w:val="22"/>
          <w:szCs w:val="22"/>
        </w:rPr>
        <w:t xml:space="preserve">Indonesia, Malaysia, and the Philippines each face a nineteen percent United States tariff, and Canadian outreach treats this shared exposure level as an opportunity for coordinated, near-simultaneous engagement across the three Association of Southeast Asian Nations economies. Canada briefs each economy on the Association's own internal trade coordination mechanisms as a potential channel for accelerating joint accession, without making joint accession a precondition for any individual economy's participation. Canadian diplomats emphasize each economy's own plastics and petrochemical export interests, noting that coordinated coalition pressure on United States producers directly benefits each economy's competing domestic resin and finished-article manufacturers.</w:t>
      </w:r>
    </w:p>
    <w:p>
      <w:pPr>
        <w:pStyle w:val="Heading2"/>
        <w:keepNext/>
        <w:spacing w:after="140" w:before="260"/>
      </w:pPr>
      <w:r>
        <w:rPr>
          <w:rFonts w:ascii="Calibri" w:cs="Calibri" w:eastAsia="Calibri" w:hAnsi="Calibri"/>
          <w:b/>
          <w:bCs/>
          <w:color w:val="1F5FA8"/>
          <w:sz w:val="24"/>
          <w:szCs w:val="24"/>
        </w:rPr>
        <w:t xml:space="preserve">J.10 South Africa</w:t>
      </w:r>
    </w:p>
    <w:p>
      <w:pPr>
        <w:spacing w:after="200" w:line="276"/>
        <w:jc w:val="both"/>
      </w:pPr>
      <w:r>
        <w:rPr>
          <w:rFonts w:ascii="Calibri" w:cs="Calibri" w:eastAsia="Calibri" w:hAnsi="Calibri"/>
          <w:color w:val="1A1A1A"/>
          <w:sz w:val="22"/>
          <w:szCs w:val="22"/>
        </w:rPr>
        <w:t xml:space="preserve">South Africa's thirty percent United States tariff exposure gives Canadian outreach a clear proportionality argument grounded in the severity of South Africa's current exposure relative to the Framework's twenty percent coordinated rate. Canada engages South Africa's Department of Trade, Industry and Competition, highlighting South Africa's position as a natural coalition anchor for the broader African continental trading bloc, and Canadian briefing materials address South Africa's own domestic plastics manufacturing sensitivities, ensuring that South Africa's accession decision accounts fully for any domestic industry that depends on United States plastics inputs currently unavailable from alternative suppliers.</w:t>
      </w:r>
    </w:p>
    <w:p>
      <w:pPr>
        <w:pStyle w:val="Heading2"/>
        <w:keepNext/>
        <w:spacing w:after="140" w:before="260"/>
      </w:pPr>
      <w:r>
        <w:rPr>
          <w:rFonts w:ascii="Calibri" w:cs="Calibri" w:eastAsia="Calibri" w:hAnsi="Calibri"/>
          <w:b/>
          <w:bCs/>
          <w:color w:val="1F5FA8"/>
          <w:sz w:val="24"/>
          <w:szCs w:val="24"/>
        </w:rPr>
        <w:t xml:space="preserve">J.11 Switzerland and Norway</w:t>
      </w:r>
    </w:p>
    <w:p>
      <w:pPr>
        <w:spacing w:after="200" w:line="276"/>
        <w:jc w:val="both"/>
      </w:pPr>
      <w:r>
        <w:rPr>
          <w:rFonts w:ascii="Calibri" w:cs="Calibri" w:eastAsia="Calibri" w:hAnsi="Calibri"/>
          <w:color w:val="1A1A1A"/>
          <w:sz w:val="22"/>
          <w:szCs w:val="22"/>
        </w:rPr>
        <w:t xml:space="preserve">Switzerland's thirty-nine percent United States tariff exposure and Norway's fifteen percent exposure give Canadian outreach two distinct entry points within the European Free Trade Association grouping. Canada engages Switzerland's State Secretariat for Economic Affairs with emphasis on Switzerland's sophisticated specialty-plastics and precision-manufacturing sectors, while Canadian outreach to Norway proceeds through Norway's existing WTO criticism of United States tariff measures as the primary accession argument, given Norway's comparatively lower direct tariff exposure relative to other Tier 3 priority economies.</w:t>
      </w:r>
    </w:p>
    <w:p>
      <w:pPr>
        <w:pStyle w:val="Heading2"/>
        <w:keepNext/>
        <w:spacing w:after="140" w:before="260"/>
      </w:pPr>
      <w:r>
        <w:rPr>
          <w:rFonts w:ascii="Calibri" w:cs="Calibri" w:eastAsia="Calibri" w:hAnsi="Calibri"/>
          <w:b/>
          <w:bCs/>
          <w:color w:val="1F5FA8"/>
          <w:sz w:val="24"/>
          <w:szCs w:val="24"/>
        </w:rPr>
        <w:t xml:space="preserve">J.12 New Zealand and Australia</w:t>
      </w:r>
    </w:p>
    <w:p>
      <w:pPr>
        <w:spacing w:after="200" w:line="276"/>
        <w:jc w:val="both"/>
      </w:pPr>
      <w:r>
        <w:rPr>
          <w:rFonts w:ascii="Calibri" w:cs="Calibri" w:eastAsia="Calibri" w:hAnsi="Calibri"/>
          <w:color w:val="1A1A1A"/>
          <w:sz w:val="22"/>
          <w:szCs w:val="22"/>
        </w:rPr>
        <w:t xml:space="preserve">New Zealand's formal WTO challenge and Australia's public WTO criticism of United States tariff measures give Canadian outreach to both economies a strong existing institutional foundation, and Canada engages both governments through their respective trade ministries with emphasis on the Legal Working Group's coordinated filing strategy under Article 8.1 as a direct amplification of each economy's own existing legal posture. Canada's long-standing Commonwealth and Comprehensive and Progressive Agreement for Trans-Pacific Partnership relationships with both economies give Canadian diplomats an established, high-trust channel for this engagement, and Canadian briefing materials for both economies emphasize the practical trade-diversion benefit each economy's own plastics exporters capture as United States competitors face coordinated coalition tariffs.</w:t>
      </w:r>
    </w:p>
    <w:p>
      <w:pPr>
        <w:pStyle w:val="Heading2"/>
        <w:keepNext/>
        <w:spacing w:after="140" w:before="260"/>
      </w:pPr>
      <w:r>
        <w:rPr>
          <w:rFonts w:ascii="Calibri" w:cs="Calibri" w:eastAsia="Calibri" w:hAnsi="Calibri"/>
          <w:b/>
          <w:bCs/>
          <w:color w:val="1F5FA8"/>
          <w:sz w:val="24"/>
          <w:szCs w:val="24"/>
        </w:rPr>
        <w:t xml:space="preserve">J.13 Taiwan</w:t>
      </w:r>
    </w:p>
    <w:p>
      <w:pPr>
        <w:spacing w:after="200" w:line="276"/>
        <w:jc w:val="both"/>
      </w:pPr>
      <w:r>
        <w:rPr>
          <w:rFonts w:ascii="Calibri" w:cs="Calibri" w:eastAsia="Calibri" w:hAnsi="Calibri"/>
          <w:color w:val="1A1A1A"/>
          <w:sz w:val="22"/>
          <w:szCs w:val="22"/>
        </w:rPr>
        <w:t xml:space="preserve">Taiwan's twenty percent United States tariff exposure aligns numerically with the Framework's own coordinated rate, giving Canadian outreach a straightforward proportionality argument in this engagement. Canada conducts this outreach with appropriate sensitivity to the diplomatic complexities that attend Taiwan's international engagements, coordinating Taiwan's participation through established trade-office channels consistent with the practice Canada and other coalition members maintain in their existing economic relationships with Taiwan, and Canadian briefing materials emphasize Taiwan's substantial semiconductor-adjacent plastics and specialty-materials manufacturing sector as a direct beneficiary of coordinated pressure on competing United States producers.</w:t>
      </w:r>
    </w:p>
    <w:p>
      <w:pPr>
        <w:pStyle w:val="Heading1"/>
        <w:keepNext/>
        <w:spacing w:after="200" w:before="360"/>
      </w:pPr>
      <w:r>
        <w:rPr>
          <w:rFonts w:ascii="Calibri" w:cs="Calibri" w:eastAsia="Calibri" w:hAnsi="Calibri"/>
          <w:b/>
          <w:bCs/>
          <w:color w:val="0B3D91"/>
          <w:sz w:val="30"/>
          <w:szCs w:val="30"/>
        </w:rPr>
        <w:t xml:space="preserve">Annex K: Specimen Instruments and Draft Communications</w:t>
      </w:r>
    </w:p>
    <w:p>
      <w:pPr>
        <w:spacing w:after="200" w:line="276"/>
        <w:jc w:val="both"/>
      </w:pPr>
      <w:r>
        <w:rPr>
          <w:rFonts w:ascii="Calibri" w:cs="Calibri" w:eastAsia="Calibri" w:hAnsi="Calibri"/>
          <w:color w:val="1A1A1A"/>
          <w:sz w:val="22"/>
          <w:szCs w:val="22"/>
        </w:rPr>
        <w:t xml:space="preserve">This Annex provides model text that Canadian diplomats and Framework Working Groups adapt for use throughout the coalition-building and implementation process, reducing the drafting burden on individual Parties and preserving message consistency across the full membership.</w:t>
      </w:r>
    </w:p>
    <w:p>
      <w:pPr>
        <w:pStyle w:val="Heading2"/>
        <w:keepNext/>
        <w:spacing w:after="140" w:before="260"/>
      </w:pPr>
      <w:r>
        <w:rPr>
          <w:rFonts w:ascii="Calibri" w:cs="Calibri" w:eastAsia="Calibri" w:hAnsi="Calibri"/>
          <w:b/>
          <w:bCs/>
          <w:color w:val="1F5FA8"/>
          <w:sz w:val="24"/>
          <w:szCs w:val="24"/>
        </w:rPr>
        <w:t xml:space="preserve">K.1 Specimen Public Communique: Coalition Formation</w:t>
      </w:r>
    </w:p>
    <w:p>
      <w:pPr>
        <w:spacing w:after="200" w:line="276"/>
        <w:jc w:val="both"/>
      </w:pPr>
      <w:r>
        <w:rPr>
          <w:rFonts w:ascii="Calibri" w:cs="Calibri" w:eastAsia="Calibri" w:hAnsi="Calibri"/>
          <w:color w:val="1A1A1A"/>
          <w:sz w:val="22"/>
          <w:szCs w:val="22"/>
        </w:rPr>
        <w:t xml:space="preserve">The specimen communique announces, on behalf of the founding membership, the establishment of a coordinated coalition responding to discriminatory United States tariff measures affecting the plastics sector. The specimen text states that the founding Parties apply a coordinated twenty percent ad valorem tariff on United States plastics exports, effective on the coordinated date the Coalition Council confirms, and that the founding Parties undertake this measure as a defensive, proportionate response consistent with applicable World Trade Organization principles. The specimen text affirms that the coalition remains open to negotiation at every stage, and that the coalition welcomes accession from any additional economy affected by the underlying United States measures. The specimen text closes with attributed quotations reserved for each founding Party's own head of government or senior trade minister, formatted for simultaneous release across every Party's domestic media channels at the moment the Communications Working Group activates the announcement.</w:t>
      </w:r>
    </w:p>
    <w:p>
      <w:pPr>
        <w:pStyle w:val="Heading2"/>
        <w:keepNext/>
        <w:spacing w:after="140" w:before="260"/>
      </w:pPr>
      <w:r>
        <w:rPr>
          <w:rFonts w:ascii="Calibri" w:cs="Calibri" w:eastAsia="Calibri" w:hAnsi="Calibri"/>
          <w:b/>
          <w:bCs/>
          <w:color w:val="1F5FA8"/>
          <w:sz w:val="24"/>
          <w:szCs w:val="24"/>
        </w:rPr>
        <w:t xml:space="preserve">K.2 Specimen Instrument of Accession</w:t>
      </w:r>
    </w:p>
    <w:p>
      <w:pPr>
        <w:spacing w:after="200" w:line="276"/>
        <w:jc w:val="both"/>
      </w:pPr>
      <w:r>
        <w:rPr>
          <w:rFonts w:ascii="Calibri" w:cs="Calibri" w:eastAsia="Calibri" w:hAnsi="Calibri"/>
          <w:color w:val="1A1A1A"/>
          <w:sz w:val="22"/>
          <w:szCs w:val="22"/>
        </w:rPr>
        <w:t xml:space="preserve">The specimen accession instrument records the acceding Party's formal notification of intent under Article 2.2, specifies the membership category the acceding Party selects under Article 2.3, and confirms the acceding Party's commitment to the tariff measures and non-defection architecture specified in Articles 4 and 6. The specimen instrument includes a signature block for the acceding Party's authorized representative and a countersignature block for Canada's Depositary function under Article 12.2, together with a designated effective date field that the Coalition Council completes upon ratifying the accession under Article 2.2's simple majority procedure.</w:t>
      </w:r>
    </w:p>
    <w:p>
      <w:pPr>
        <w:pStyle w:val="Heading2"/>
        <w:keepNext/>
        <w:spacing w:after="140" w:before="260"/>
      </w:pPr>
      <w:r>
        <w:rPr>
          <w:rFonts w:ascii="Calibri" w:cs="Calibri" w:eastAsia="Calibri" w:hAnsi="Calibri"/>
          <w:b/>
          <w:bCs/>
          <w:color w:val="1F5FA8"/>
          <w:sz w:val="24"/>
          <w:szCs w:val="24"/>
        </w:rPr>
        <w:t xml:space="preserve">K.3 Specimen Ministerial Talking Points</w:t>
      </w:r>
    </w:p>
    <w:p>
      <w:pPr>
        <w:spacing w:after="200" w:line="276"/>
        <w:jc w:val="both"/>
      </w:pPr>
      <w:r>
        <w:rPr>
          <w:rFonts w:ascii="Calibri" w:cs="Calibri" w:eastAsia="Calibri" w:hAnsi="Calibri"/>
          <w:color w:val="1A1A1A"/>
          <w:sz w:val="22"/>
          <w:szCs w:val="22"/>
        </w:rPr>
        <w:t xml:space="preserve">The specimen talking points equip each Party's trade minister with a consistent five-point framework for domestic and international media engagement throughout the Framework's implementation. The framework opens with the response frame, establishing that the Party's participation answers prior United States tariff action. The framework proceeds through the proportionality frame, the unity frame, and the dialogue frame, mirroring the four-theme structure Article 9.1 establishes, before closing with a domestic benefit frame that each Party's minister tailors to the specific industries and workers the measures protect within that Party's own economy. The Communications Working Group circulates an updated version of these talking points at each phase transition in the Framework's implementation, ensuring every minister speaks from current, coordinated material.</w:t>
      </w:r>
    </w:p>
    <w:p>
      <w:pPr>
        <w:pStyle w:val="Heading2"/>
        <w:keepNext/>
        <w:spacing w:after="140" w:before="260"/>
      </w:pPr>
      <w:r>
        <w:rPr>
          <w:rFonts w:ascii="Calibri" w:cs="Calibri" w:eastAsia="Calibri" w:hAnsi="Calibri"/>
          <w:b/>
          <w:bCs/>
          <w:color w:val="1F5FA8"/>
          <w:sz w:val="24"/>
          <w:szCs w:val="24"/>
        </w:rPr>
        <w:t xml:space="preserve">K.4 Specimen Multilateral Summit Agenda</w:t>
      </w:r>
    </w:p>
    <w:p>
      <w:pPr>
        <w:spacing w:after="200" w:line="276"/>
        <w:jc w:val="both"/>
      </w:pPr>
      <w:r>
        <w:rPr>
          <w:rFonts w:ascii="Calibri" w:cs="Calibri" w:eastAsia="Calibri" w:hAnsi="Calibri"/>
          <w:color w:val="1A1A1A"/>
          <w:sz w:val="22"/>
          <w:szCs w:val="22"/>
        </w:rPr>
        <w:t xml:space="preserve">The specimen summit agenda structures the Phase Two convening described in Annex B.2 across a single working day, opening with a plenary session presenting the shared United States plastics export data and vulnerability assessment that Annex A compiles. The agenda proceeds to a working session on tariff rate and coverage confirmation, a working session on the joint legal strategy Article 8 specifies, and a working session on the communications plan Article 9 and Annex G detail. The agenda allocates a dedicated session to Steering Committee formation under Article 3.2, including the selection of the rotating membership seats, and closes with a plenary session finalizing the public communique specified in Annex K.1 for joint release at the summit's conclusion.</w:t>
      </w:r>
    </w:p>
    <w:p>
      <w:pPr>
        <w:pStyle w:val="Heading1"/>
        <w:keepNext/>
        <w:spacing w:after="200" w:before="360"/>
      </w:pPr>
      <w:r>
        <w:rPr>
          <w:rFonts w:ascii="Calibri" w:cs="Calibri" w:eastAsia="Calibri" w:hAnsi="Calibri"/>
          <w:b/>
          <w:bCs/>
          <w:color w:val="0B3D91"/>
          <w:sz w:val="30"/>
          <w:szCs w:val="30"/>
        </w:rPr>
        <w:t xml:space="preserve">Annex L: Financial Architecture of the Stabilization Facility</w:t>
      </w:r>
    </w:p>
    <w:p>
      <w:pPr>
        <w:pStyle w:val="Heading2"/>
        <w:keepNext/>
        <w:spacing w:after="140" w:before="260"/>
      </w:pPr>
      <w:r>
        <w:rPr>
          <w:rFonts w:ascii="Calibri" w:cs="Calibri" w:eastAsia="Calibri" w:hAnsi="Calibri"/>
          <w:b/>
          <w:bCs/>
          <w:color w:val="1F5FA8"/>
          <w:sz w:val="24"/>
          <w:szCs w:val="24"/>
        </w:rPr>
        <w:t xml:space="preserve">L.1 Contribution Formula</w:t>
      </w:r>
    </w:p>
    <w:p>
      <w:pPr>
        <w:spacing w:after="200" w:line="276"/>
        <w:jc w:val="both"/>
      </w:pPr>
      <w:r>
        <w:rPr>
          <w:rFonts w:ascii="Calibri" w:cs="Calibri" w:eastAsia="Calibri" w:hAnsi="Calibri"/>
          <w:color w:val="1A1A1A"/>
          <w:sz w:val="22"/>
          <w:szCs w:val="22"/>
        </w:rPr>
        <w:t xml:space="preserve">Full Members contribute to the Stabilization Facility established under Article 7.2 according to a formula that weights each Party's contribution toward its share of total coalition trade volume affected by the underlying United States tariff dispute, ensuring that the Facility's funding burden tracks each Party's proportional stake in the Framework's success rather than falling disproportionately on any single large economy. Associate Members contribute at a rate proportional to their partial implementation percentage under Article 2.3, consistent with the graduated rights and obligations that category carries throughout this Agreement. The Coalition Council reviews the contribution formula annually alongside the broader periodic review mechanism under Article 10.3, adjusting the formula as coalition membership and trade patterns evolve.</w:t>
      </w:r>
    </w:p>
    <w:p>
      <w:pPr>
        <w:pStyle w:val="Heading2"/>
        <w:keepNext/>
        <w:spacing w:after="140" w:before="260"/>
      </w:pPr>
      <w:r>
        <w:rPr>
          <w:rFonts w:ascii="Calibri" w:cs="Calibri" w:eastAsia="Calibri" w:hAnsi="Calibri"/>
          <w:b/>
          <w:bCs/>
          <w:color w:val="1F5FA8"/>
          <w:sz w:val="24"/>
          <w:szCs w:val="24"/>
        </w:rPr>
        <w:t xml:space="preserve">L.2 Disbursement Criteria</w:t>
      </w:r>
    </w:p>
    <w:p>
      <w:pPr>
        <w:spacing w:after="200" w:line="276"/>
        <w:jc w:val="both"/>
      </w:pPr>
      <w:r>
        <w:rPr>
          <w:rFonts w:ascii="Calibri" w:cs="Calibri" w:eastAsia="Calibri" w:hAnsi="Calibri"/>
          <w:color w:val="1A1A1A"/>
          <w:sz w:val="22"/>
          <w:szCs w:val="22"/>
        </w:rPr>
        <w:t xml:space="preserve">The Steering Committee disburses Facility resources against three qualifying criteria that a requesting Party's application addresses directly. The application demonstrates a documented economic disruption directly attributable to United States countermeasures rather than to unrelated domestic economic conditions. The application specifies a concrete use of Facility resources, whether bridge financing for reorienting firms, short-term industry stabilization support, or coordinated export credit enhancement. The application includes an expected resolution timeline, consistent with the Facility's design as a short-term stabilization instrument rather than a permanent subsidy architecture. The Steering Committee processes disbursement applications within twenty-one days of submission, reflecting the time-sensitive nature of the disruptions the Facility addresses.</w:t>
      </w:r>
    </w:p>
    <w:p>
      <w:pPr>
        <w:pStyle w:val="Heading2"/>
        <w:keepNext/>
        <w:spacing w:after="140" w:before="260"/>
      </w:pPr>
      <w:r>
        <w:rPr>
          <w:rFonts w:ascii="Calibri" w:cs="Calibri" w:eastAsia="Calibri" w:hAnsi="Calibri"/>
          <w:b/>
          <w:bCs/>
          <w:color w:val="1F5FA8"/>
          <w:sz w:val="24"/>
          <w:szCs w:val="24"/>
        </w:rPr>
        <w:t xml:space="preserve">L.3 Coordination with National Export Credit Agencies</w:t>
      </w:r>
    </w:p>
    <w:p>
      <w:pPr>
        <w:spacing w:after="200" w:line="276"/>
        <w:jc w:val="both"/>
      </w:pPr>
      <w:r>
        <w:rPr>
          <w:rFonts w:ascii="Calibri" w:cs="Calibri" w:eastAsia="Calibri" w:hAnsi="Calibri"/>
          <w:color w:val="1A1A1A"/>
          <w:sz w:val="22"/>
          <w:szCs w:val="22"/>
        </w:rPr>
        <w:t xml:space="preserve">The Facility's modest pooled capital base operates as a catalytic instrument that coordinates with, rather than substitutes for, each Party's own national export credit agency capacity. The Steering Committee negotiates standing coordination arrangements with major coalition members' export credit agencies, enabling the Facility's disbursements to unlock larger parallel financing commitments from national institutions whose balance sheets substantially exceed the Facility's own pooled contributions. This coordination architecture allows the Facility to achieve financing impact well beyond its direct capital base, consistent with the modest financing design Article 7.2 specifies while still delivering meaningful practical support to affected industries.</w:t>
      </w:r>
    </w:p>
    <w:p>
      <w:pPr>
        <w:pStyle w:val="Heading2"/>
        <w:keepNext/>
        <w:spacing w:after="140" w:before="260"/>
      </w:pPr>
      <w:r>
        <w:rPr>
          <w:rFonts w:ascii="Calibri" w:cs="Calibri" w:eastAsia="Calibri" w:hAnsi="Calibri"/>
          <w:b/>
          <w:bCs/>
          <w:color w:val="1F5FA8"/>
          <w:sz w:val="24"/>
          <w:szCs w:val="24"/>
        </w:rPr>
        <w:t xml:space="preserve">L.4 Transparency and Reporting</w:t>
      </w:r>
    </w:p>
    <w:p>
      <w:pPr>
        <w:spacing w:after="200" w:line="276"/>
        <w:jc w:val="both"/>
      </w:pPr>
      <w:r>
        <w:rPr>
          <w:rFonts w:ascii="Calibri" w:cs="Calibri" w:eastAsia="Calibri" w:hAnsi="Calibri"/>
          <w:color w:val="1A1A1A"/>
          <w:sz w:val="22"/>
          <w:szCs w:val="22"/>
        </w:rPr>
        <w:t xml:space="preserve">The Facility's administrator, operating under Steering Committee direction, publishes annual financial statements to every Party through the Secretariat, detailing aggregate contributions, aggregate disbursements, and the Facility's remaining pooled balance. This reporting cycle integrates with the broader quarterly status reporting Article 10.4 specifies, giving every Party continuous visibility into the Facility's operational capacity and financial health throughout the Framework's implementation.</w:t>
      </w:r>
    </w:p>
    <w:p>
      <w:pPr>
        <w:pStyle w:val="Heading1"/>
        <w:keepNext/>
        <w:spacing w:after="200" w:before="360"/>
      </w:pPr>
      <w:r>
        <w:rPr>
          <w:rFonts w:ascii="Calibri" w:cs="Calibri" w:eastAsia="Calibri" w:hAnsi="Calibri"/>
          <w:b/>
          <w:bCs/>
          <w:color w:val="0B3D91"/>
          <w:sz w:val="30"/>
          <w:szCs w:val="30"/>
        </w:rPr>
        <w:t xml:space="preserve">Annex M: Sector-Specific Economic Impact Analysis</w:t>
      </w:r>
    </w:p>
    <w:p>
      <w:pPr>
        <w:pStyle w:val="Heading2"/>
        <w:keepNext/>
        <w:spacing w:after="140" w:before="260"/>
      </w:pPr>
      <w:r>
        <w:rPr>
          <w:rFonts w:ascii="Calibri" w:cs="Calibri" w:eastAsia="Calibri" w:hAnsi="Calibri"/>
          <w:b/>
          <w:bCs/>
          <w:color w:val="1F5FA8"/>
          <w:sz w:val="24"/>
          <w:szCs w:val="24"/>
        </w:rPr>
        <w:t xml:space="preserve">M.1 Polyethylene and Polypropylene</w:t>
      </w:r>
    </w:p>
    <w:p>
      <w:pPr>
        <w:spacing w:after="200" w:line="276"/>
        <w:jc w:val="both"/>
      </w:pPr>
      <w:r>
        <w:rPr>
          <w:rFonts w:ascii="Calibri" w:cs="Calibri" w:eastAsia="Calibri" w:hAnsi="Calibri"/>
          <w:color w:val="1A1A1A"/>
          <w:sz w:val="22"/>
          <w:szCs w:val="22"/>
        </w:rPr>
        <w:t xml:space="preserve">Polyethylene and polypropylene together constitute the largest single category of Tier 1 coverage under Article 4.2, and Steering Committee analysis indicates that these two resin categories carry the highest export dependency ratio within the entire United States plastics sector. Coalition members sourcing polyethylene and polypropylene inputs redirect procurement toward Middle Eastern and Asian producers with comparatively modest logistics adjustment, reflecting the genuinely commodity-like character of these two resin categories that Annex A.1 identifies as central to the Framework's sector selection rationale. The Supply Chain and Exemptions Working Group prioritizes alternative supplier mapping for these two categories above all other covered products, given their outsized share of total covered trade value.</w:t>
      </w:r>
    </w:p>
    <w:p>
      <w:pPr>
        <w:pStyle w:val="Heading2"/>
        <w:keepNext/>
        <w:spacing w:after="140" w:before="260"/>
      </w:pPr>
      <w:r>
        <w:rPr>
          <w:rFonts w:ascii="Calibri" w:cs="Calibri" w:eastAsia="Calibri" w:hAnsi="Calibri"/>
          <w:b/>
          <w:bCs/>
          <w:color w:val="1F5FA8"/>
          <w:sz w:val="24"/>
          <w:szCs w:val="24"/>
        </w:rPr>
        <w:t xml:space="preserve">M.2 Polyvinyl Chloride and Polystyrene</w:t>
      </w:r>
    </w:p>
    <w:p>
      <w:pPr>
        <w:spacing w:after="200" w:line="276"/>
        <w:jc w:val="both"/>
      </w:pPr>
      <w:r>
        <w:rPr>
          <w:rFonts w:ascii="Calibri" w:cs="Calibri" w:eastAsia="Calibri" w:hAnsi="Calibri"/>
          <w:color w:val="1A1A1A"/>
          <w:sz w:val="22"/>
          <w:szCs w:val="22"/>
        </w:rPr>
        <w:t xml:space="preserve">Polyvinyl chloride and polystyrene carry somewhat more specialized production characteristics than the olefin resins addressed in Annex M.1, and the Supply Chain and Exemptions Working Group monitors these two categories closely for exemption requests under Article 5.1 where coalition members identify genuine supply gaps. United States producers maintain particular strength in specialized polyvinyl chloride formulations used in construction and infrastructure applications, and coalition members with significant construction-sector plastics demand coordinate closely with the Working Group to ensure adequate alternative sourcing before the coordinated implementation date under Article 4.3.</w:t>
      </w:r>
    </w:p>
    <w:p>
      <w:pPr>
        <w:pStyle w:val="Heading2"/>
        <w:keepNext/>
        <w:spacing w:after="140" w:before="260"/>
      </w:pPr>
      <w:r>
        <w:rPr>
          <w:rFonts w:ascii="Calibri" w:cs="Calibri" w:eastAsia="Calibri" w:hAnsi="Calibri"/>
          <w:b/>
          <w:bCs/>
          <w:color w:val="1F5FA8"/>
          <w:sz w:val="24"/>
          <w:szCs w:val="24"/>
        </w:rPr>
        <w:t xml:space="preserve">M.3 Finished Plastic Articles and Packaging</w:t>
      </w:r>
    </w:p>
    <w:p>
      <w:pPr>
        <w:spacing w:after="200" w:line="276"/>
        <w:jc w:val="both"/>
      </w:pPr>
      <w:r>
        <w:rPr>
          <w:rFonts w:ascii="Calibri" w:cs="Calibri" w:eastAsia="Calibri" w:hAnsi="Calibri"/>
          <w:color w:val="1A1A1A"/>
          <w:sz w:val="22"/>
          <w:szCs w:val="22"/>
        </w:rPr>
        <w:t xml:space="preserve">Finished plastic articles under Harmonized System headings 3920, 3923, and 3926 represent a more diffuse product category spanning packaging, consumer goods, and industrial components, and this diversity means the sector-wide impact of Framework tariffs varies considerably across individual product lines within this category. The Tariff and Customs Working Group applies particular attention to this category's exemption requests under Article 5.1, recognizing that finished-article substitution sometimes requires longer supply chain adjustment than primary resin substitution due to specification and quality certification requirements that vary by end-use application.</w:t>
      </w:r>
    </w:p>
    <w:p>
      <w:pPr>
        <w:pStyle w:val="Heading2"/>
        <w:keepNext/>
        <w:spacing w:after="140" w:before="260"/>
      </w:pPr>
      <w:r>
        <w:rPr>
          <w:rFonts w:ascii="Calibri" w:cs="Calibri" w:eastAsia="Calibri" w:hAnsi="Calibri"/>
          <w:b/>
          <w:bCs/>
          <w:color w:val="1F5FA8"/>
          <w:sz w:val="24"/>
          <w:szCs w:val="24"/>
        </w:rPr>
        <w:t xml:space="preserve">M.4 Plastics-Processing Machinery</w:t>
      </w:r>
    </w:p>
    <w:p>
      <w:pPr>
        <w:spacing w:after="200" w:line="276"/>
        <w:jc w:val="both"/>
      </w:pPr>
      <w:r>
        <w:rPr>
          <w:rFonts w:ascii="Calibri" w:cs="Calibri" w:eastAsia="Calibri" w:hAnsi="Calibri"/>
          <w:color w:val="1A1A1A"/>
          <w:sz w:val="22"/>
          <w:szCs w:val="22"/>
        </w:rPr>
        <w:t xml:space="preserve">Plastics-processing machinery and molds under Harmonized System headings 8477 and 8480 remain outside Tier 1 coverage at the Framework's founding, reserved for Tier 2 activation under Article 4.4 and Annex D.2 given the more specialized and capital-intensive character of this equipment category. Steering Committee analysis indicates that United States machinery manufacturers maintain a smaller export dependency ratio than resin producers, since this equipment category serves a global market with more diversified competing suppliers already established in Germany, Japan, and China, and this diversification makes Tier 2 activation a matter of escalatory choice under Annex D rather than an initial-implementation priority.</w:t>
      </w:r>
    </w:p>
    <w:p>
      <w:pPr>
        <w:pStyle w:val="Heading1"/>
        <w:keepNext/>
        <w:spacing w:after="200" w:before="360"/>
      </w:pPr>
      <w:r>
        <w:rPr>
          <w:rFonts w:ascii="Calibri" w:cs="Calibri" w:eastAsia="Calibri" w:hAnsi="Calibri"/>
          <w:b/>
          <w:bCs/>
          <w:color w:val="0B3D91"/>
          <w:sz w:val="30"/>
          <w:szCs w:val="30"/>
        </w:rPr>
        <w:t xml:space="preserve">Annex N: Model Domestic Legislative Language</w:t>
      </w:r>
    </w:p>
    <w:p>
      <w:pPr>
        <w:spacing w:after="200" w:line="276"/>
        <w:jc w:val="both"/>
      </w:pPr>
      <w:r>
        <w:rPr>
          <w:rFonts w:ascii="Calibri" w:cs="Calibri" w:eastAsia="Calibri" w:hAnsi="Calibri"/>
          <w:color w:val="1A1A1A"/>
          <w:sz w:val="22"/>
          <w:szCs w:val="22"/>
        </w:rPr>
        <w:t xml:space="preserve">This Annex provides the Legal Working Group's model legislative language, referenced in Article 8.3, adapted by Parties whose domestic constitutional systems accommodate legislative codification of the Framework's tariff measures. The model language establishes a domestic statutory basis for the twenty percent ad valorem tariff on covered United States plastics imports, references the enacting Party's accession to this Agreement as the statute's operative trigger, and specifies that any future reduction below the coalition floor requires the enacting Party's ordinary legislative amendment procedure rather than executive-level adjustment alone.</w:t>
      </w:r>
    </w:p>
    <w:p>
      <w:pPr>
        <w:spacing w:after="200" w:line="276"/>
        <w:jc w:val="both"/>
      </w:pPr>
      <w:r>
        <w:rPr>
          <w:rFonts w:ascii="Calibri" w:cs="Calibri" w:eastAsia="Calibri" w:hAnsi="Calibri"/>
          <w:color w:val="1A1A1A"/>
          <w:sz w:val="22"/>
          <w:szCs w:val="22"/>
        </w:rPr>
        <w:t xml:space="preserve">The model language includes a sunset and review clause that aligns with the Framework's own periodic review architecture under Article 5.2 and Article 10.3, ensuring that domestic legislative review cycles remain synchronized with the Framework's own institutional review calendar rather than introducing a parallel, potentially conflicting domestic review timeline. The model language additionally includes an emergency exemption delegation clause, empowering the enacting Party's competent trade authority to grant the critical input exemptions specified in Article 5.1 without requiring a separate legislative act for each individual exemption determination, preserving the administrative flexibility the Framework's exemption architecture depends on. The Legal Working Group adapts this model language to common law, civil law, and mixed legal system drafting conventions, maintaining three parallel template versions that Parties select according to their own domestic legal tradition.</w:t>
      </w:r>
    </w:p>
    <w:p>
      <w:pPr>
        <w:pStyle w:val="Heading1"/>
        <w:keepNext/>
        <w:spacing w:after="200" w:before="360"/>
      </w:pPr>
      <w:r>
        <w:rPr>
          <w:rFonts w:ascii="Calibri" w:cs="Calibri" w:eastAsia="Calibri" w:hAnsi="Calibri"/>
          <w:b/>
          <w:bCs/>
          <w:color w:val="0B3D91"/>
          <w:sz w:val="30"/>
          <w:szCs w:val="30"/>
        </w:rPr>
        <w:t xml:space="preserve">Annex O: Glossary of Terms</w:t>
      </w:r>
    </w:p>
    <w:p>
      <w:pPr>
        <w:pStyle w:val="ListParagraph"/>
        <w:numPr>
          <w:ilvl w:val="0"/>
          <w:numId w:val="1"/>
        </w:numPr>
        <w:spacing w:after="140" w:line="276"/>
      </w:pPr>
      <w:r>
        <w:rPr>
          <w:rFonts w:ascii="Calibri" w:cs="Calibri" w:eastAsia="Calibri" w:hAnsi="Calibri"/>
          <w:color w:val="1A1A1A"/>
          <w:sz w:val="22"/>
          <w:szCs w:val="22"/>
        </w:rPr>
        <w:t xml:space="preserve">Ad valorem tariff: a tariff calculated as a percentage of a good's declared customs value, the form the Framework's twenty percent rate takes under Article 4.1.</w:t>
      </w:r>
    </w:p>
    <w:p>
      <w:pPr>
        <w:pStyle w:val="ListParagraph"/>
        <w:numPr>
          <w:ilvl w:val="0"/>
          <w:numId w:val="1"/>
        </w:numPr>
        <w:spacing w:after="140" w:line="276"/>
      </w:pPr>
      <w:r>
        <w:rPr>
          <w:rFonts w:ascii="Calibri" w:cs="Calibri" w:eastAsia="Calibri" w:hAnsi="Calibri"/>
          <w:color w:val="1A1A1A"/>
          <w:sz w:val="22"/>
          <w:szCs w:val="22"/>
        </w:rPr>
        <w:t xml:space="preserve">Associate Member: a Party implementing a partial tariff schedule under a time-bound plan toward full coverage, as defined in Article 2.3.</w:t>
      </w:r>
    </w:p>
    <w:p>
      <w:pPr>
        <w:pStyle w:val="ListParagraph"/>
        <w:numPr>
          <w:ilvl w:val="0"/>
          <w:numId w:val="1"/>
        </w:numPr>
        <w:spacing w:after="140" w:line="276"/>
      </w:pPr>
      <w:r>
        <w:rPr>
          <w:rFonts w:ascii="Calibri" w:cs="Calibri" w:eastAsia="Calibri" w:hAnsi="Calibri"/>
          <w:color w:val="1A1A1A"/>
          <w:sz w:val="22"/>
          <w:szCs w:val="22"/>
        </w:rPr>
        <w:t xml:space="preserve">Coalition Council: the Framework's principal decision-making body, composed of one representative from each Party, established under Article 3.1.</w:t>
      </w:r>
    </w:p>
    <w:p>
      <w:pPr>
        <w:pStyle w:val="ListParagraph"/>
        <w:numPr>
          <w:ilvl w:val="0"/>
          <w:numId w:val="1"/>
        </w:numPr>
        <w:spacing w:after="140" w:line="276"/>
      </w:pPr>
      <w:r>
        <w:rPr>
          <w:rFonts w:ascii="Calibri" w:cs="Calibri" w:eastAsia="Calibri" w:hAnsi="Calibri"/>
          <w:color w:val="1A1A1A"/>
          <w:sz w:val="22"/>
          <w:szCs w:val="22"/>
        </w:rPr>
        <w:t xml:space="preserve">Coordinated Implementation Window: the common ninety-day period within which every Full Member activates its tariff measures, specified in Article 4.3.</w:t>
      </w:r>
    </w:p>
    <w:p>
      <w:pPr>
        <w:pStyle w:val="ListParagraph"/>
        <w:numPr>
          <w:ilvl w:val="0"/>
          <w:numId w:val="1"/>
        </w:numPr>
        <w:spacing w:after="140" w:line="276"/>
      </w:pPr>
      <w:r>
        <w:rPr>
          <w:rFonts w:ascii="Calibri" w:cs="Calibri" w:eastAsia="Calibri" w:hAnsi="Calibri"/>
          <w:color w:val="1A1A1A"/>
          <w:sz w:val="22"/>
          <w:szCs w:val="22"/>
        </w:rPr>
        <w:t xml:space="preserve">Depositary: the institution, held by Canada under Article 12.2, that maintains the Framework's official ratification and accession archive.</w:t>
      </w:r>
    </w:p>
    <w:p>
      <w:pPr>
        <w:pStyle w:val="ListParagraph"/>
        <w:numPr>
          <w:ilvl w:val="0"/>
          <w:numId w:val="1"/>
        </w:numPr>
        <w:spacing w:after="140" w:line="276"/>
      </w:pPr>
      <w:r>
        <w:rPr>
          <w:rFonts w:ascii="Calibri" w:cs="Calibri" w:eastAsia="Calibri" w:hAnsi="Calibri"/>
          <w:color w:val="1A1A1A"/>
          <w:sz w:val="22"/>
          <w:szCs w:val="22"/>
        </w:rPr>
        <w:t xml:space="preserve">Escalation Ladder: the three-level coverage expansion sequence detailed in Annex D, governing the Framework's response to United States escalation.</w:t>
      </w:r>
    </w:p>
    <w:p>
      <w:pPr>
        <w:pStyle w:val="ListParagraph"/>
        <w:numPr>
          <w:ilvl w:val="0"/>
          <w:numId w:val="1"/>
        </w:numPr>
        <w:spacing w:after="140" w:line="276"/>
      </w:pPr>
      <w:r>
        <w:rPr>
          <w:rFonts w:ascii="Calibri" w:cs="Calibri" w:eastAsia="Calibri" w:hAnsi="Calibri"/>
          <w:color w:val="1A1A1A"/>
          <w:sz w:val="22"/>
          <w:szCs w:val="22"/>
        </w:rPr>
        <w:t xml:space="preserve">Founding Party: a Party that signs and ratifies this Agreement within twelve months of its opening for signature, as defined in Article 2.1.</w:t>
      </w:r>
    </w:p>
    <w:p>
      <w:pPr>
        <w:pStyle w:val="ListParagraph"/>
        <w:numPr>
          <w:ilvl w:val="0"/>
          <w:numId w:val="1"/>
        </w:numPr>
        <w:spacing w:after="140" w:line="276"/>
      </w:pPr>
      <w:r>
        <w:rPr>
          <w:rFonts w:ascii="Calibri" w:cs="Calibri" w:eastAsia="Calibri" w:hAnsi="Calibri"/>
          <w:color w:val="1A1A1A"/>
          <w:sz w:val="22"/>
          <w:szCs w:val="22"/>
        </w:rPr>
        <w:t xml:space="preserve">Full Member: a Party implementing the complete tariff schedule with full voting rights, as defined in Article 2.3.</w:t>
      </w:r>
    </w:p>
    <w:p>
      <w:pPr>
        <w:pStyle w:val="ListParagraph"/>
        <w:numPr>
          <w:ilvl w:val="0"/>
          <w:numId w:val="1"/>
        </w:numPr>
        <w:spacing w:after="140" w:line="276"/>
      </w:pPr>
      <w:r>
        <w:rPr>
          <w:rFonts w:ascii="Calibri" w:cs="Calibri" w:eastAsia="Calibri" w:hAnsi="Calibri"/>
          <w:color w:val="1A1A1A"/>
          <w:sz w:val="22"/>
          <w:szCs w:val="22"/>
        </w:rPr>
        <w:t xml:space="preserve">Harmonized System (HS): the international nomenclature for classifying traded products, the basis for the Framework's product coverage under Article 4.2.</w:t>
      </w:r>
    </w:p>
    <w:p>
      <w:pPr>
        <w:pStyle w:val="ListParagraph"/>
        <w:numPr>
          <w:ilvl w:val="0"/>
          <w:numId w:val="1"/>
        </w:numPr>
        <w:spacing w:after="140" w:line="276"/>
      </w:pPr>
      <w:r>
        <w:rPr>
          <w:rFonts w:ascii="Calibri" w:cs="Calibri" w:eastAsia="Calibri" w:hAnsi="Calibri"/>
          <w:color w:val="1A1A1A"/>
          <w:sz w:val="22"/>
          <w:szCs w:val="22"/>
        </w:rPr>
        <w:t xml:space="preserve">Most Favored Nation (MFN): the World Trade Organization principle requiring equal tariff treatment among trading partners, central to the Framework's legal argument under Article 8.1.</w:t>
      </w:r>
    </w:p>
    <w:p>
      <w:pPr>
        <w:pStyle w:val="ListParagraph"/>
        <w:numPr>
          <w:ilvl w:val="0"/>
          <w:numId w:val="1"/>
        </w:numPr>
        <w:spacing w:after="140" w:line="276"/>
      </w:pPr>
      <w:r>
        <w:rPr>
          <w:rFonts w:ascii="Calibri" w:cs="Calibri" w:eastAsia="Calibri" w:hAnsi="Calibri"/>
          <w:color w:val="1A1A1A"/>
          <w:sz w:val="22"/>
          <w:szCs w:val="22"/>
        </w:rPr>
        <w:t xml:space="preserve">Non-Defection Architecture: the collective term for the discipline mechanisms specified in Article 6 and elaborated in Annex C.</w:t>
      </w:r>
    </w:p>
    <w:p>
      <w:pPr>
        <w:pStyle w:val="ListParagraph"/>
        <w:numPr>
          <w:ilvl w:val="0"/>
          <w:numId w:val="1"/>
        </w:numPr>
        <w:spacing w:after="140" w:line="276"/>
      </w:pPr>
      <w:r>
        <w:rPr>
          <w:rFonts w:ascii="Calibri" w:cs="Calibri" w:eastAsia="Calibri" w:hAnsi="Calibri"/>
          <w:color w:val="1A1A1A"/>
          <w:sz w:val="22"/>
          <w:szCs w:val="22"/>
        </w:rPr>
        <w:t xml:space="preserve">Retaliation Ladder: see Escalation Ladder.</w:t>
      </w:r>
    </w:p>
    <w:p>
      <w:pPr>
        <w:pStyle w:val="ListParagraph"/>
        <w:numPr>
          <w:ilvl w:val="0"/>
          <w:numId w:val="1"/>
        </w:numPr>
        <w:spacing w:after="140" w:line="276"/>
      </w:pPr>
      <w:r>
        <w:rPr>
          <w:rFonts w:ascii="Calibri" w:cs="Calibri" w:eastAsia="Calibri" w:hAnsi="Calibri"/>
          <w:color w:val="1A1A1A"/>
          <w:sz w:val="22"/>
          <w:szCs w:val="22"/>
        </w:rPr>
        <w:t xml:space="preserve">Secretariat: the administrative function Canada operates under Article 3.4, supporting the Coalition Council and Working Groups.</w:t>
      </w:r>
    </w:p>
    <w:p>
      <w:pPr>
        <w:pStyle w:val="ListParagraph"/>
        <w:numPr>
          <w:ilvl w:val="0"/>
          <w:numId w:val="1"/>
        </w:numPr>
        <w:spacing w:after="140" w:line="276"/>
      </w:pPr>
      <w:r>
        <w:rPr>
          <w:rFonts w:ascii="Calibri" w:cs="Calibri" w:eastAsia="Calibri" w:hAnsi="Calibri"/>
          <w:color w:val="1A1A1A"/>
          <w:sz w:val="22"/>
          <w:szCs w:val="22"/>
        </w:rPr>
        <w:t xml:space="preserve">Settlement Conditions: the two conditions specified in Article 11.1 that trigger the Framework's coordinated rollback.</w:t>
      </w:r>
    </w:p>
    <w:p>
      <w:pPr>
        <w:pStyle w:val="ListParagraph"/>
        <w:numPr>
          <w:ilvl w:val="0"/>
          <w:numId w:val="1"/>
        </w:numPr>
        <w:spacing w:after="140" w:line="276"/>
      </w:pPr>
      <w:r>
        <w:rPr>
          <w:rFonts w:ascii="Calibri" w:cs="Calibri" w:eastAsia="Calibri" w:hAnsi="Calibri"/>
          <w:color w:val="1A1A1A"/>
          <w:sz w:val="22"/>
          <w:szCs w:val="22"/>
        </w:rPr>
        <w:t xml:space="preserve">Stabilization Facility: the pooled financing instrument established under Article 7.2 and detailed in Annex L.</w:t>
      </w:r>
    </w:p>
    <w:p>
      <w:pPr>
        <w:pStyle w:val="ListParagraph"/>
        <w:numPr>
          <w:ilvl w:val="0"/>
          <w:numId w:val="1"/>
        </w:numPr>
        <w:spacing w:after="140" w:line="276"/>
      </w:pPr>
      <w:r>
        <w:rPr>
          <w:rFonts w:ascii="Calibri" w:cs="Calibri" w:eastAsia="Calibri" w:hAnsi="Calibri"/>
          <w:color w:val="1A1A1A"/>
          <w:sz w:val="22"/>
          <w:szCs w:val="22"/>
        </w:rPr>
        <w:t xml:space="preserve">Steering Committee: the coordinating body chaired by Canada, with rotating additional seats, established under Article 3.2.</w:t>
      </w:r>
    </w:p>
    <w:p>
      <w:pPr>
        <w:pStyle w:val="ListParagraph"/>
        <w:numPr>
          <w:ilvl w:val="0"/>
          <w:numId w:val="1"/>
        </w:numPr>
        <w:spacing w:after="140" w:line="276"/>
      </w:pPr>
      <w:r>
        <w:rPr>
          <w:rFonts w:ascii="Calibri" w:cs="Calibri" w:eastAsia="Calibri" w:hAnsi="Calibri"/>
          <w:color w:val="1A1A1A"/>
          <w:sz w:val="22"/>
          <w:szCs w:val="22"/>
        </w:rPr>
        <w:t xml:space="preserve">Supermajority: a seventy percent threshold of Full Member votes, required for escalation, amendment, and coverage-expansion decisions.</w:t>
      </w:r>
    </w:p>
    <w:p>
      <w:pPr>
        <w:pStyle w:val="ListParagraph"/>
        <w:numPr>
          <w:ilvl w:val="0"/>
          <w:numId w:val="1"/>
        </w:numPr>
        <w:spacing w:after="140" w:line="276"/>
      </w:pPr>
      <w:r>
        <w:rPr>
          <w:rFonts w:ascii="Calibri" w:cs="Calibri" w:eastAsia="Calibri" w:hAnsi="Calibri"/>
          <w:color w:val="1A1A1A"/>
          <w:sz w:val="22"/>
          <w:szCs w:val="22"/>
        </w:rPr>
        <w:t xml:space="preserve">Tier 1 Coverage: the core Harmonized System 39 product list subject to the Framework's tariff from initial implementation, specified in Article 4.2.</w:t>
      </w:r>
    </w:p>
    <w:p>
      <w:pPr>
        <w:pStyle w:val="ListParagraph"/>
        <w:numPr>
          <w:ilvl w:val="0"/>
          <w:numId w:val="1"/>
        </w:numPr>
        <w:spacing w:after="140" w:line="276"/>
      </w:pPr>
      <w:r>
        <w:rPr>
          <w:rFonts w:ascii="Calibri" w:cs="Calibri" w:eastAsia="Calibri" w:hAnsi="Calibri"/>
          <w:color w:val="1A1A1A"/>
          <w:sz w:val="22"/>
          <w:szCs w:val="22"/>
        </w:rPr>
        <w:t xml:space="preserve">Tier 2 Coverage: the plastics machinery and molds category subject to Level Two escalation under Annex D.2.</w:t>
      </w:r>
    </w:p>
    <w:p>
      <w:pPr>
        <w:pStyle w:val="ListParagraph"/>
        <w:numPr>
          <w:ilvl w:val="0"/>
          <w:numId w:val="1"/>
        </w:numPr>
        <w:spacing w:after="140" w:line="276"/>
      </w:pPr>
      <w:r>
        <w:rPr>
          <w:rFonts w:ascii="Calibri" w:cs="Calibri" w:eastAsia="Calibri" w:hAnsi="Calibri"/>
          <w:color w:val="1A1A1A"/>
          <w:sz w:val="22"/>
          <w:szCs w:val="22"/>
        </w:rPr>
        <w:t xml:space="preserve">Working Group: one of the four standing technical bodies (Legal, Tariff and Customs, Supply Chain and Exemptions, Communications) established under Article 3.3.</w:t>
      </w:r>
    </w:p>
    <w:p>
      <w:pPr>
        <w:spacing w:after="100"/>
      </w:pPr>
    </w:p>
    <w:p>
      <w:pPr>
        <w:pStyle w:val="Heading1"/>
        <w:keepNext/>
        <w:spacing w:after="200" w:before="360"/>
      </w:pPr>
      <w:r>
        <w:rPr>
          <w:rFonts w:ascii="Calibri" w:cs="Calibri" w:eastAsia="Calibri" w:hAnsi="Calibri"/>
          <w:b/>
          <w:bCs/>
          <w:color w:val="0B3D91"/>
          <w:sz w:val="30"/>
          <w:szCs w:val="30"/>
        </w:rPr>
        <w:t xml:space="preserve">Annex P: Steering Committee Rules of Procedure</w:t>
      </w:r>
    </w:p>
    <w:p>
      <w:pPr>
        <w:pStyle w:val="Heading2"/>
        <w:keepNext/>
        <w:spacing w:after="140" w:before="260"/>
      </w:pPr>
      <w:r>
        <w:rPr>
          <w:rFonts w:ascii="Calibri" w:cs="Calibri" w:eastAsia="Calibri" w:hAnsi="Calibri"/>
          <w:b/>
          <w:bCs/>
          <w:color w:val="1F5FA8"/>
          <w:sz w:val="24"/>
          <w:szCs w:val="24"/>
        </w:rPr>
        <w:t xml:space="preserve">P.1 Convening and Quorum</w:t>
      </w:r>
    </w:p>
    <w:p>
      <w:pPr>
        <w:spacing w:after="200" w:line="276"/>
        <w:jc w:val="both"/>
      </w:pPr>
      <w:r>
        <w:rPr>
          <w:rFonts w:ascii="Calibri" w:cs="Calibri" w:eastAsia="Calibri" w:hAnsi="Calibri"/>
          <w:color w:val="1A1A1A"/>
          <w:sz w:val="22"/>
          <w:szCs w:val="22"/>
        </w:rPr>
        <w:t xml:space="preserve">The Steering Committee convenes according to the biweekly and monthly cadence specified in Article 3.2, and a quorum for any Steering Committee session consists of Canada as permanent chair together with a majority of the rotating additional seats. The Steering Committee chair, held permanently by Canada, sets each session's agenda in consultation with the four Working Group leads, circulating the agenda to all Steering Committee members at minimum five days before each scheduled session. Any Steering Committee member proposes agenda items for the chair's consideration, and the chair includes any properly submitted item unless a majority of members votes to defer it to a subsequent session.</w:t>
      </w:r>
    </w:p>
    <w:p>
      <w:pPr>
        <w:pStyle w:val="Heading2"/>
        <w:keepNext/>
        <w:spacing w:after="140" w:before="260"/>
      </w:pPr>
      <w:r>
        <w:rPr>
          <w:rFonts w:ascii="Calibri" w:cs="Calibri" w:eastAsia="Calibri" w:hAnsi="Calibri"/>
          <w:b/>
          <w:bCs/>
          <w:color w:val="1F5FA8"/>
          <w:sz w:val="24"/>
          <w:szCs w:val="24"/>
        </w:rPr>
        <w:t xml:space="preserve">P.2 Decision-Making Within the Steering Committee</w:t>
      </w:r>
    </w:p>
    <w:p>
      <w:pPr>
        <w:spacing w:after="200" w:line="276"/>
        <w:jc w:val="both"/>
      </w:pPr>
      <w:r>
        <w:rPr>
          <w:rFonts w:ascii="Calibri" w:cs="Calibri" w:eastAsia="Calibri" w:hAnsi="Calibri"/>
          <w:color w:val="1A1A1A"/>
          <w:sz w:val="22"/>
          <w:szCs w:val="22"/>
        </w:rPr>
        <w:t xml:space="preserve">The Steering Committee operates primarily through consensus-seeking deliberation, reserving formal votes for matters requiring a recommendation to the full Coalition Council under Article 3.2's mandate. Where consensus proves unavailable, the Steering Committee proceeds through simple majority vote among its seated members, with Canada's chair casting a tiebreaking vote only where a formal vote produces an exact tie. The Steering Committee documents every formal vote and every substantive recommendation in written minutes that the Secretariat circulates to the full Coalition Council within seven days of each session.</w:t>
      </w:r>
    </w:p>
    <w:p>
      <w:pPr>
        <w:pStyle w:val="Heading2"/>
        <w:keepNext/>
        <w:spacing w:after="140" w:before="260"/>
      </w:pPr>
      <w:r>
        <w:rPr>
          <w:rFonts w:ascii="Calibri" w:cs="Calibri" w:eastAsia="Calibri" w:hAnsi="Calibri"/>
          <w:b/>
          <w:bCs/>
          <w:color w:val="1F5FA8"/>
          <w:sz w:val="24"/>
          <w:szCs w:val="24"/>
        </w:rPr>
        <w:t xml:space="preserve">P.3 Rotation Mechanics</w:t>
      </w:r>
    </w:p>
    <w:p>
      <w:pPr>
        <w:spacing w:after="200" w:line="276"/>
        <w:jc w:val="both"/>
      </w:pPr>
      <w:r>
        <w:rPr>
          <w:rFonts w:ascii="Calibri" w:cs="Calibri" w:eastAsia="Calibri" w:hAnsi="Calibri"/>
          <w:color w:val="1A1A1A"/>
          <w:sz w:val="22"/>
          <w:szCs w:val="22"/>
        </w:rPr>
        <w:t xml:space="preserve">The four to six rotating Steering Committee seats beyond Canada's permanent chair rotate every eighteen months among the largest Full Members by trade volume affected under the Framework's coverage, ensuring that Steering Committee composition reflects the Framework's evolving membership rather than freezing around its founding cohort. The Coalition Council confirms each rotation through simple majority vote at the Coalition Council session immediately preceding the rotation date, and outgoing Steering Committee members provide a formal transition briefing to incoming members covering active Working Group initiatives and pending decisions.</w:t>
      </w:r>
    </w:p>
    <w:p>
      <w:pPr>
        <w:pStyle w:val="Heading1"/>
        <w:keepNext/>
        <w:spacing w:after="200" w:before="360"/>
      </w:pPr>
      <w:r>
        <w:rPr>
          <w:rFonts w:ascii="Calibri" w:cs="Calibri" w:eastAsia="Calibri" w:hAnsi="Calibri"/>
          <w:b/>
          <w:bCs/>
          <w:color w:val="0B3D91"/>
          <w:sz w:val="30"/>
          <w:szCs w:val="30"/>
        </w:rPr>
        <w:t xml:space="preserve">Annex R: Historical Precedent Case Studies</w:t>
      </w:r>
    </w:p>
    <w:p>
      <w:pPr>
        <w:pStyle w:val="Heading2"/>
        <w:keepNext/>
        <w:spacing w:after="140" w:before="260"/>
      </w:pPr>
      <w:r>
        <w:rPr>
          <w:rFonts w:ascii="Calibri" w:cs="Calibri" w:eastAsia="Calibri" w:hAnsi="Calibri"/>
          <w:b/>
          <w:bCs/>
          <w:color w:val="1F5FA8"/>
          <w:sz w:val="24"/>
          <w:szCs w:val="24"/>
        </w:rPr>
        <w:t xml:space="preserve">R.1 The 2018-2019 China-United States Tariff Exchange</w:t>
      </w:r>
    </w:p>
    <w:p>
      <w:pPr>
        <w:spacing w:after="200" w:line="276"/>
        <w:jc w:val="both"/>
      </w:pPr>
      <w:r>
        <w:rPr>
          <w:rFonts w:ascii="Calibri" w:cs="Calibri" w:eastAsia="Calibri" w:hAnsi="Calibri"/>
          <w:color w:val="1A1A1A"/>
          <w:sz w:val="22"/>
          <w:szCs w:val="22"/>
        </w:rPr>
        <w:t xml:space="preserve">The Steering Committee's design for this Framework draws directly on the documented outcomes of the 2018-2019 tariff exchange between China and the United States, in which Chinese retaliatory tariffs on United States plastics and chemical exports produced export declines exceeding fifty percent in several affected product categories within a comparably short implementation window. This precedent demonstrates two propositions central to the Framework's design. It demonstrates that plastics as a commodity sector responds with unusual sensitivity to coordinated tariff pressure, consistent with the sector rationale Annex A.1 documents. It demonstrates that a single large economy acting alone achieves meaningful sectoral impact, reinforcing the Steering Committee's confidence that a coordinated coalition of fifteen or more economies achieves proportionally greater and more durable impact than any individual action, including China's own historical action, achieves in isolation.</w:t>
      </w:r>
    </w:p>
    <w:p>
      <w:pPr>
        <w:pStyle w:val="Heading2"/>
        <w:keepNext/>
        <w:spacing w:after="140" w:before="260"/>
      </w:pPr>
      <w:r>
        <w:rPr>
          <w:rFonts w:ascii="Calibri" w:cs="Calibri" w:eastAsia="Calibri" w:hAnsi="Calibri"/>
          <w:b/>
          <w:bCs/>
          <w:color w:val="1F5FA8"/>
          <w:sz w:val="24"/>
          <w:szCs w:val="24"/>
        </w:rPr>
        <w:t xml:space="preserve">R.2 Lessons on Coalition Durability</w:t>
      </w:r>
    </w:p>
    <w:p>
      <w:pPr>
        <w:spacing w:after="200" w:line="276"/>
        <w:jc w:val="both"/>
      </w:pPr>
      <w:r>
        <w:rPr>
          <w:rFonts w:ascii="Calibri" w:cs="Calibri" w:eastAsia="Calibri" w:hAnsi="Calibri"/>
          <w:color w:val="1A1A1A"/>
          <w:sz w:val="22"/>
          <w:szCs w:val="22"/>
        </w:rPr>
        <w:t xml:space="preserve">Historical trade retaliation episodes involving multiple coordinating economies, including the European Union's own coordinated responses to prior United States steel and aluminum tariff actions, demonstrate that coalition durability depends heavily on the transparency and lock-in mechanisms this Framework builds into Article 6 and Annex C. Episodes in which individual coalition members negotiated separate bilateral arrangements without prior coalition consultation produced rapid coalition fragmentation in comparable historical cases, directly informing the No Side Deals Clause and the transparency architecture under Article 6.2. The Framework's design deliberately incorporates these lessons rather than treating coalition durability as a matter the Parties address only after defection risk materializes.</w:t>
      </w:r>
    </w:p>
    <w:p>
      <w:pPr>
        <w:pStyle w:val="Heading2"/>
        <w:keepNext/>
        <w:spacing w:after="140" w:before="260"/>
      </w:pPr>
      <w:r>
        <w:rPr>
          <w:rFonts w:ascii="Calibri" w:cs="Calibri" w:eastAsia="Calibri" w:hAnsi="Calibri"/>
          <w:b/>
          <w:bCs/>
          <w:color w:val="1F5FA8"/>
          <w:sz w:val="24"/>
          <w:szCs w:val="24"/>
        </w:rPr>
        <w:t xml:space="preserve">R.3 Lessons on Agricultural Counter-Retaliation</w:t>
      </w:r>
    </w:p>
    <w:p>
      <w:pPr>
        <w:spacing w:after="200" w:line="276"/>
        <w:jc w:val="both"/>
      </w:pPr>
      <w:r>
        <w:rPr>
          <w:rFonts w:ascii="Calibri" w:cs="Calibri" w:eastAsia="Calibri" w:hAnsi="Calibri"/>
          <w:color w:val="1A1A1A"/>
          <w:sz w:val="22"/>
          <w:szCs w:val="22"/>
        </w:rPr>
        <w:t xml:space="preserve">The historical pattern of United States counter-retaliation targeting coalition members' agricultural exports, observed consistently across the China tariff exchange and subsequent European Union and Canadian trade disputes with the United States, directly informs the mutual market access guarantees under Article 7.1 and the coordinated agricultural absorption planning Annex B.8 details. The Steering Committee treats agricultural counter-retaliation as a near-certain United States response pattern rather than a speculative risk, and the Framework's proactive agricultural solidarity architecture reflects this historically grounded expectation rather than a generic risk-management posture applied without reference to documented precedent.</w:t>
      </w:r>
    </w:p>
    <w:p>
      <w:pPr>
        <w:pStyle w:val="Heading2"/>
        <w:keepNext/>
        <w:spacing w:after="140" w:before="260"/>
      </w:pPr>
      <w:r>
        <w:rPr>
          <w:rFonts w:ascii="Calibri" w:cs="Calibri" w:eastAsia="Calibri" w:hAnsi="Calibri"/>
          <w:b/>
          <w:bCs/>
          <w:color w:val="1F5FA8"/>
          <w:sz w:val="24"/>
          <w:szCs w:val="24"/>
        </w:rPr>
        <w:t xml:space="preserve">R.4 Lessons on WTO Institutional Paralysis</w:t>
      </w:r>
    </w:p>
    <w:p>
      <w:pPr>
        <w:spacing w:after="200" w:line="276"/>
        <w:jc w:val="both"/>
      </w:pPr>
      <w:r>
        <w:rPr>
          <w:rFonts w:ascii="Calibri" w:cs="Calibri" w:eastAsia="Calibri" w:hAnsi="Calibri"/>
          <w:color w:val="1A1A1A"/>
          <w:sz w:val="22"/>
          <w:szCs w:val="22"/>
        </w:rPr>
        <w:t xml:space="preserve">The prolonged paralysis of the World Trade Organization's Appellate Body, stemming from the blocking of new Appellate Body member appointments over several years, directly informs the Framework's dual-track legal strategy under Article 8.2, which pursues Article XXVIII renegotiation and regional trade agreement mechanisms in parallel with, rather than sequentially after, the primary WTO dispute track. This historical lesson prevents the Framework's legal strategy from depending entirely on an institutional pathway that recent precedent demonstrates carries substantial delay risk, and the Legal Working Group maintains both tracks in active parallel development from the Framework's founding rather than treating the alternative pathway as a contingency activated only after WTO delay materializes.</w:t>
      </w:r>
    </w:p>
    <w:p>
      <w:pPr>
        <w:pStyle w:val="Heading1"/>
        <w:keepNext/>
        <w:spacing w:after="200" w:before="360"/>
      </w:pPr>
      <w:r>
        <w:rPr>
          <w:rFonts w:ascii="Calibri" w:cs="Calibri" w:eastAsia="Calibri" w:hAnsi="Calibri"/>
          <w:b/>
          <w:bCs/>
          <w:color w:val="0B3D91"/>
          <w:sz w:val="30"/>
          <w:szCs w:val="30"/>
        </w:rPr>
        <w:t xml:space="preserve">Annex S: Legal and Policy Frequently Asked Questions</w:t>
      </w:r>
    </w:p>
    <w:p>
      <w:pPr>
        <w:pStyle w:val="Heading2"/>
        <w:keepNext/>
        <w:spacing w:after="140" w:before="260"/>
      </w:pPr>
      <w:r>
        <w:rPr>
          <w:rFonts w:ascii="Calibri" w:cs="Calibri" w:eastAsia="Calibri" w:hAnsi="Calibri"/>
          <w:b/>
          <w:bCs/>
          <w:color w:val="1F5FA8"/>
          <w:sz w:val="24"/>
          <w:szCs w:val="24"/>
        </w:rPr>
        <w:t xml:space="preserve">S.1 Does this Framework comply with World Trade Organization rules?</w:t>
      </w:r>
    </w:p>
    <w:p>
      <w:pPr>
        <w:spacing w:after="200" w:line="276"/>
        <w:jc w:val="both"/>
      </w:pPr>
      <w:r>
        <w:rPr>
          <w:rFonts w:ascii="Calibri" w:cs="Calibri" w:eastAsia="Calibri" w:hAnsi="Calibri"/>
          <w:color w:val="1A1A1A"/>
          <w:sz w:val="22"/>
          <w:szCs w:val="22"/>
        </w:rPr>
        <w:t xml:space="preserve">The Framework's tariff measures respond to prior United States tariff action that itself departs from Most Favored Nation obligations, and the Framework's proportionate twenty percent rate, calibrated directly against United States tariff levels applied to coalition members, supports the Framework's characterization as a legitimate rebalancing response rather than an independent violation. The Legal Working Group's coordinated filing strategy under Article 8.1 pursues formal WTO authorization for these measures, and the Framework's Article 8.2 alternative pathways provide additional legal grounding where WTO authorization faces delay. The Framework's architecture treats WTO consistency as an ongoing legal objective actively pursued through Article 8 rather than as a settled question resolved definitively at the Framework's founding.</w:t>
      </w:r>
    </w:p>
    <w:p>
      <w:pPr>
        <w:pStyle w:val="Heading2"/>
        <w:keepNext/>
        <w:spacing w:after="140" w:before="260"/>
      </w:pPr>
      <w:r>
        <w:rPr>
          <w:rFonts w:ascii="Calibri" w:cs="Calibri" w:eastAsia="Calibri" w:hAnsi="Calibri"/>
          <w:b/>
          <w:bCs/>
          <w:color w:val="1F5FA8"/>
          <w:sz w:val="24"/>
          <w:szCs w:val="24"/>
        </w:rPr>
        <w:t xml:space="preserve">S.2 Does a Party need to fully implement the tariff schedule immediately to join the Framework?</w:t>
      </w:r>
    </w:p>
    <w:p>
      <w:pPr>
        <w:spacing w:after="200" w:line="276"/>
        <w:jc w:val="both"/>
      </w:pPr>
      <w:r>
        <w:rPr>
          <w:rFonts w:ascii="Calibri" w:cs="Calibri" w:eastAsia="Calibri" w:hAnsi="Calibri"/>
          <w:color w:val="1A1A1A"/>
          <w:sz w:val="22"/>
          <w:szCs w:val="22"/>
        </w:rPr>
        <w:t xml:space="preserve">The Associate Member category under Article 2.3 provides exactly this pathway, permitting a Party to implement at minimum fifty percent of the tariff schedule immediately while working toward full parity within a Coalition Council-approved timeframe. This graduated accession option accommodates Parties whose domestic economic structure, particularly acute United States supply-chain integration of the kind Mexico's briefing sheet in Annex J.5 addresses, warrants a more measured implementation approach without excluding that Party from Framework membership altogether.</w:t>
      </w:r>
    </w:p>
    <w:p>
      <w:pPr>
        <w:pStyle w:val="Heading2"/>
        <w:keepNext/>
        <w:spacing w:after="140" w:before="260"/>
      </w:pPr>
      <w:r>
        <w:rPr>
          <w:rFonts w:ascii="Calibri" w:cs="Calibri" w:eastAsia="Calibri" w:hAnsi="Calibri"/>
          <w:b/>
          <w:bCs/>
          <w:color w:val="1F5FA8"/>
          <w:sz w:val="24"/>
          <w:szCs w:val="24"/>
        </w:rPr>
        <w:t xml:space="preserve">S.3 What happens if the United States offers to negotiate with an individual Party?</w:t>
      </w:r>
    </w:p>
    <w:p>
      <w:pPr>
        <w:spacing w:after="200" w:line="276"/>
        <w:jc w:val="both"/>
      </w:pPr>
      <w:r>
        <w:rPr>
          <w:rFonts w:ascii="Calibri" w:cs="Calibri" w:eastAsia="Calibri" w:hAnsi="Calibri"/>
          <w:color w:val="1A1A1A"/>
          <w:sz w:val="22"/>
          <w:szCs w:val="22"/>
        </w:rPr>
        <w:t xml:space="preserve">Article 6.2 requires the receiving Party to notify the Coalition Council of any such offer within seven days and to refrain from unilateral acceptance pending Coalition Council consultation. The Coalition Council convenes an emergency session within ten days of notification, ensuring the offer receives prompt collective deliberation rather than languishing while the receiving Party faces continued individual pressure. This mechanism channels individual United States overtures into the Framework's collective negotiation-readiness architecture rather than permitting the sequential, Party-by-Party negotiation pattern the Framework's coordinated design specifically aims to prevent.</w:t>
      </w:r>
    </w:p>
    <w:p>
      <w:pPr>
        <w:pStyle w:val="Heading2"/>
        <w:keepNext/>
        <w:spacing w:after="140" w:before="260"/>
      </w:pPr>
      <w:r>
        <w:rPr>
          <w:rFonts w:ascii="Calibri" w:cs="Calibri" w:eastAsia="Calibri" w:hAnsi="Calibri"/>
          <w:b/>
          <w:bCs/>
          <w:color w:val="1F5FA8"/>
          <w:sz w:val="24"/>
          <w:szCs w:val="24"/>
        </w:rPr>
        <w:t xml:space="preserve">S.4 How does the Framework avoid becoming a permanent trade barrier?</w:t>
      </w:r>
    </w:p>
    <w:p>
      <w:pPr>
        <w:spacing w:after="200" w:line="276"/>
        <w:jc w:val="both"/>
      </w:pPr>
      <w:r>
        <w:rPr>
          <w:rFonts w:ascii="Calibri" w:cs="Calibri" w:eastAsia="Calibri" w:hAnsi="Calibri"/>
          <w:color w:val="1A1A1A"/>
          <w:sz w:val="22"/>
          <w:szCs w:val="22"/>
        </w:rPr>
        <w:t xml:space="preserve">Article 11's settlement conditions and coordinated rollback architecture, together with the periodic review mechanisms under Article 5.2 and Article 10.3, ensure that the Framework's measures remain tied to the specific discriminatory United States tariff dispute that motivates their imposition. The Framework's design contemplates a defined operating period bounded by the settlement conditions rather than an indefinite trade barrier, and the Coalition Council's annual strategic review under Article 10.3 provides a standing institutional check on whether continued measures remain justified by current conditions.</w:t>
      </w:r>
    </w:p>
    <w:p>
      <w:pPr>
        <w:pStyle w:val="Heading2"/>
        <w:keepNext/>
        <w:spacing w:after="140" w:before="260"/>
      </w:pPr>
      <w:r>
        <w:rPr>
          <w:rFonts w:ascii="Calibri" w:cs="Calibri" w:eastAsia="Calibri" w:hAnsi="Calibri"/>
          <w:b/>
          <w:bCs/>
          <w:color w:val="1F5FA8"/>
          <w:sz w:val="24"/>
          <w:szCs w:val="24"/>
        </w:rPr>
        <w:t xml:space="preserve">S.5 What legal exposure does a Party face for participating in this Framework?</w:t>
      </w:r>
    </w:p>
    <w:p>
      <w:pPr>
        <w:spacing w:after="200" w:line="276"/>
        <w:jc w:val="both"/>
      </w:pPr>
      <w:r>
        <w:rPr>
          <w:rFonts w:ascii="Calibri" w:cs="Calibri" w:eastAsia="Calibri" w:hAnsi="Calibri"/>
          <w:color w:val="1A1A1A"/>
          <w:sz w:val="22"/>
          <w:szCs w:val="22"/>
        </w:rPr>
        <w:t xml:space="preserve">A Party's participation in this Framework carries the same category of legal exposure that any WTO member faces when imposing retaliatory tariff measures in response to another member's prior discriminatory action, and the Framework's coordinated legal strategy under Article 8 exists specifically to minimize and manage that exposure through unified argumentation and parallel legal pathways. Individual Parties retain their own sovereign legal authority throughout, and nothing in this Framework compels a Party to take any legal position inconsistent with that Party's own domestic legal constraints or international obligations beyond this Agreement.</w:t>
      </w:r>
    </w:p>
    <w:p>
      <w:pPr>
        <w:pStyle w:val="Heading1"/>
        <w:keepNext/>
        <w:spacing w:after="200" w:before="360"/>
      </w:pPr>
      <w:r>
        <w:rPr>
          <w:rFonts w:ascii="Calibri" w:cs="Calibri" w:eastAsia="Calibri" w:hAnsi="Calibri"/>
          <w:b/>
          <w:bCs/>
          <w:color w:val="0B3D91"/>
          <w:sz w:val="30"/>
          <w:szCs w:val="30"/>
        </w:rPr>
        <w:t xml:space="preserve">Annex T: Party Implementation Checklist</w:t>
      </w:r>
    </w:p>
    <w:p>
      <w:pPr>
        <w:spacing w:after="200" w:line="276"/>
        <w:jc w:val="both"/>
      </w:pPr>
      <w:r>
        <w:rPr>
          <w:rFonts w:ascii="Calibri" w:cs="Calibri" w:eastAsia="Calibri" w:hAnsi="Calibri"/>
          <w:color w:val="1A1A1A"/>
          <w:sz w:val="22"/>
          <w:szCs w:val="22"/>
        </w:rPr>
        <w:t xml:space="preserve">This Annex provides each Party's domestic implementation team with a consolidated checklist tracking the practical steps between accession and full operational compliance with this Agreement, reducing the risk that any individual step falls through administrative gaps during the coordinated implementation window Article 4.3 specifies.</w:t>
      </w:r>
    </w:p>
    <w:p>
      <w:pPr>
        <w:pStyle w:val="ListParagraph"/>
        <w:numPr>
          <w:ilvl w:val="0"/>
          <w:numId w:val="1"/>
        </w:numPr>
        <w:spacing w:after="140" w:line="276"/>
      </w:pPr>
      <w:r>
        <w:rPr>
          <w:rFonts w:ascii="Calibri" w:cs="Calibri" w:eastAsia="Calibri" w:hAnsi="Calibri"/>
          <w:color w:val="1A1A1A"/>
          <w:sz w:val="22"/>
          <w:szCs w:val="22"/>
        </w:rPr>
        <w:t xml:space="preserve">Complete domestic ratification or approval procedure consistent with the Party's own constitutional and legislative requirements, coordinated with Legal Working Group model language under Article 8.3 and Annex N where applicable.</w:t>
      </w:r>
    </w:p>
    <w:p>
      <w:pPr>
        <w:pStyle w:val="ListParagraph"/>
        <w:numPr>
          <w:ilvl w:val="0"/>
          <w:numId w:val="1"/>
        </w:numPr>
        <w:spacing w:after="140" w:line="276"/>
      </w:pPr>
      <w:r>
        <w:rPr>
          <w:rFonts w:ascii="Calibri" w:cs="Calibri" w:eastAsia="Calibri" w:hAnsi="Calibri"/>
          <w:color w:val="1A1A1A"/>
          <w:sz w:val="22"/>
          <w:szCs w:val="22"/>
        </w:rPr>
        <w:t xml:space="preserve">Transmit the completed instrument of accession, in the form specified in Annex K.2, to the Depositary, specifying the Party's selected membership category under Article 2.3.</w:t>
      </w:r>
    </w:p>
    <w:p>
      <w:pPr>
        <w:pStyle w:val="ListParagraph"/>
        <w:numPr>
          <w:ilvl w:val="0"/>
          <w:numId w:val="1"/>
        </w:numPr>
        <w:spacing w:after="140" w:line="276"/>
      </w:pPr>
      <w:r>
        <w:rPr>
          <w:rFonts w:ascii="Calibri" w:cs="Calibri" w:eastAsia="Calibri" w:hAnsi="Calibri"/>
          <w:color w:val="1A1A1A"/>
          <w:sz w:val="22"/>
          <w:szCs w:val="22"/>
        </w:rPr>
        <w:t xml:space="preserve">Notify the Tariff and Customs Working Group of the Party's domestic customs nomenclature structure, enabling the Working Group's reconciliation of the Article 4.2 coverage table against the Party's own tariff schedule.</w:t>
      </w:r>
    </w:p>
    <w:p>
      <w:pPr>
        <w:pStyle w:val="ListParagraph"/>
        <w:numPr>
          <w:ilvl w:val="0"/>
          <w:numId w:val="1"/>
        </w:numPr>
        <w:spacing w:after="140" w:line="276"/>
      </w:pPr>
      <w:r>
        <w:rPr>
          <w:rFonts w:ascii="Calibri" w:cs="Calibri" w:eastAsia="Calibri" w:hAnsi="Calibri"/>
          <w:color w:val="1A1A1A"/>
          <w:sz w:val="22"/>
          <w:szCs w:val="22"/>
        </w:rPr>
        <w:t xml:space="preserve">Designate a national point of contact for each of the four standing Working Groups specified in Article 3.3, ensuring the Party's active participation in ongoing technical coordination.</w:t>
      </w:r>
    </w:p>
    <w:p>
      <w:pPr>
        <w:pStyle w:val="ListParagraph"/>
        <w:numPr>
          <w:ilvl w:val="0"/>
          <w:numId w:val="1"/>
        </w:numPr>
        <w:spacing w:after="140" w:line="276"/>
      </w:pPr>
      <w:r>
        <w:rPr>
          <w:rFonts w:ascii="Calibri" w:cs="Calibri" w:eastAsia="Calibri" w:hAnsi="Calibri"/>
          <w:color w:val="1A1A1A"/>
          <w:sz w:val="22"/>
          <w:szCs w:val="22"/>
        </w:rPr>
        <w:t xml:space="preserve">Prepare domestic customs administration guidance implementing the twenty percent ad valorem rate against the confirmed coverage table, consistent with the reconciliation guide the Tariff and Customs Working Group publishes under Article 4.2.</w:t>
      </w:r>
    </w:p>
    <w:p>
      <w:pPr>
        <w:pStyle w:val="ListParagraph"/>
        <w:numPr>
          <w:ilvl w:val="0"/>
          <w:numId w:val="1"/>
        </w:numPr>
        <w:spacing w:after="140" w:line="276"/>
      </w:pPr>
      <w:r>
        <w:rPr>
          <w:rFonts w:ascii="Calibri" w:cs="Calibri" w:eastAsia="Calibri" w:hAnsi="Calibri"/>
          <w:color w:val="1A1A1A"/>
          <w:sz w:val="22"/>
          <w:szCs w:val="22"/>
        </w:rPr>
        <w:t xml:space="preserve">Submit any critical input exemption requests under Article 5.1 in advance of the coordinated implementation date, allowing the Supply Chain and Exemptions Working Group adequate review time under the thirty-day determination window.</w:t>
      </w:r>
    </w:p>
    <w:p>
      <w:pPr>
        <w:pStyle w:val="ListParagraph"/>
        <w:numPr>
          <w:ilvl w:val="0"/>
          <w:numId w:val="1"/>
        </w:numPr>
        <w:spacing w:after="140" w:line="276"/>
      </w:pPr>
      <w:r>
        <w:rPr>
          <w:rFonts w:ascii="Calibri" w:cs="Calibri" w:eastAsia="Calibri" w:hAnsi="Calibri"/>
          <w:color w:val="1A1A1A"/>
          <w:sz w:val="22"/>
          <w:szCs w:val="22"/>
        </w:rPr>
        <w:t xml:space="preserve">Activate domestic political shielding materials under Article 9.4, adapted from the Communications Working Group's standing toolkit specified in Annex G.3.</w:t>
      </w:r>
    </w:p>
    <w:p>
      <w:pPr>
        <w:pStyle w:val="ListParagraph"/>
        <w:numPr>
          <w:ilvl w:val="0"/>
          <w:numId w:val="1"/>
        </w:numPr>
        <w:spacing w:after="140" w:line="276"/>
      </w:pPr>
      <w:r>
        <w:rPr>
          <w:rFonts w:ascii="Calibri" w:cs="Calibri" w:eastAsia="Calibri" w:hAnsi="Calibri"/>
          <w:color w:val="1A1A1A"/>
          <w:sz w:val="22"/>
          <w:szCs w:val="22"/>
        </w:rPr>
        <w:t xml:space="preserve">Confirm the Party's designated representative to the Coalition Council under Article 3.1, and confirm eligibility and interest for rotating Steering Committee membership under Article 3.2 where applicable.</w:t>
      </w:r>
    </w:p>
    <w:p>
      <w:pPr>
        <w:pStyle w:val="ListParagraph"/>
        <w:numPr>
          <w:ilvl w:val="0"/>
          <w:numId w:val="1"/>
        </w:numPr>
        <w:spacing w:after="140" w:line="276"/>
      </w:pPr>
      <w:r>
        <w:rPr>
          <w:rFonts w:ascii="Calibri" w:cs="Calibri" w:eastAsia="Calibri" w:hAnsi="Calibri"/>
          <w:color w:val="1A1A1A"/>
          <w:sz w:val="22"/>
          <w:szCs w:val="22"/>
        </w:rPr>
        <w:t xml:space="preserve">Establish the Party's connection to the secure internal communications channel specified in Article 9.3, coordinated through the Secretariat.</w:t>
      </w:r>
    </w:p>
    <w:p>
      <w:pPr>
        <w:pStyle w:val="ListParagraph"/>
        <w:numPr>
          <w:ilvl w:val="0"/>
          <w:numId w:val="1"/>
        </w:numPr>
        <w:spacing w:after="140" w:line="276"/>
      </w:pPr>
      <w:r>
        <w:rPr>
          <w:rFonts w:ascii="Calibri" w:cs="Calibri" w:eastAsia="Calibri" w:hAnsi="Calibri"/>
          <w:color w:val="1A1A1A"/>
          <w:sz w:val="22"/>
          <w:szCs w:val="22"/>
        </w:rPr>
        <w:t xml:space="preserve">Submit the Party's first monthly customs statistics report to the Tariff and Customs Working Group, supporting the Article 10.1 monitoring function from the Party's first month of implementation forward.</w:t>
      </w:r>
    </w:p>
    <w:p>
      <w:pPr>
        <w:spacing w:after="100"/>
      </w:pPr>
    </w:p>
    <w:p>
      <w:pPr>
        <w:pStyle w:val="Heading1"/>
        <w:keepNext/>
        <w:spacing w:after="200" w:before="360"/>
      </w:pPr>
      <w:r>
        <w:rPr>
          <w:rFonts w:ascii="Calibri" w:cs="Calibri" w:eastAsia="Calibri" w:hAnsi="Calibri"/>
          <w:b/>
          <w:bCs/>
          <w:color w:val="0B3D91"/>
          <w:sz w:val="30"/>
          <w:szCs w:val="30"/>
        </w:rPr>
        <w:t xml:space="preserve">Annex U: Detailed WTO Legal Memorandum</w:t>
      </w:r>
    </w:p>
    <w:p>
      <w:pPr>
        <w:pStyle w:val="Heading2"/>
        <w:keepNext/>
        <w:spacing w:after="140" w:before="260"/>
      </w:pPr>
      <w:r>
        <w:rPr>
          <w:rFonts w:ascii="Calibri" w:cs="Calibri" w:eastAsia="Calibri" w:hAnsi="Calibri"/>
          <w:b/>
          <w:bCs/>
          <w:color w:val="1F5FA8"/>
          <w:sz w:val="24"/>
          <w:szCs w:val="24"/>
        </w:rPr>
        <w:t xml:space="preserve">U.1 The Most Favored Nation Violation Argument</w:t>
      </w:r>
    </w:p>
    <w:p>
      <w:pPr>
        <w:spacing w:after="200" w:line="276"/>
        <w:jc w:val="both"/>
      </w:pPr>
      <w:r>
        <w:rPr>
          <w:rFonts w:ascii="Calibri" w:cs="Calibri" w:eastAsia="Calibri" w:hAnsi="Calibri"/>
          <w:color w:val="1A1A1A"/>
          <w:sz w:val="22"/>
          <w:szCs w:val="22"/>
        </w:rPr>
        <w:t xml:space="preserve">The Legal Working Group's core legal argument establishes that United States tariff measures against the Parties violate Article I of the General Agreement on Tariffs and Trade, which requires that any advantage, favor, privilege, or immunity a member grants to any product originating in any other country extends immediately and unconditionally to the like product originating in the territories of every other member. The differential and discriminatory character of the underlying United States tariff measures, applied at varying rates across different trading partners without a consistent, WTO-consistent justification, forms the factual foundation for this argument across every coalition member's individual and joint filings. The Legal Working Group compiles a comparative tariff-rate dataset documenting the differential treatment across major United States trading partners, supporting this argument with concrete, verifiable customs data rather than general assertion.</w:t>
      </w:r>
    </w:p>
    <w:p>
      <w:pPr>
        <w:pStyle w:val="Heading2"/>
        <w:keepNext/>
        <w:spacing w:after="140" w:before="260"/>
      </w:pPr>
      <w:r>
        <w:rPr>
          <w:rFonts w:ascii="Calibri" w:cs="Calibri" w:eastAsia="Calibri" w:hAnsi="Calibri"/>
          <w:b/>
          <w:bCs/>
          <w:color w:val="1F5FA8"/>
          <w:sz w:val="24"/>
          <w:szCs w:val="24"/>
        </w:rPr>
        <w:t xml:space="preserve">U.2 The National Security Exception Argument</w:t>
      </w:r>
    </w:p>
    <w:p>
      <w:pPr>
        <w:spacing w:after="200" w:line="276"/>
        <w:jc w:val="both"/>
      </w:pPr>
      <w:r>
        <w:rPr>
          <w:rFonts w:ascii="Calibri" w:cs="Calibri" w:eastAsia="Calibri" w:hAnsi="Calibri"/>
          <w:color w:val="1A1A1A"/>
          <w:sz w:val="22"/>
          <w:szCs w:val="22"/>
        </w:rPr>
        <w:t xml:space="preserve">The Legal Working Group's secondary argument addresses the national-security justification the United States invokes under Article XXI of the General Agreement on Tariffs and Trade, arguing that this justification fails the standard of genuine necessity that prior WTO panel decisions, including the Russia-Traffic in Transit panel report, establish for invoking this exception. The Legal Working Group documents the absence of a credible security nexus between ordinary commercial plastics trade and the national security interests Article XXI protects, building on the panel's articulated standard that a member's invocation of the security exception remains subject to objective good-faith review rather than unlimited self-judging discretion. This argument forms a central pillar of the coordinated filing strategy under Article 8.1, applied consistently across every Party's individual and joint submissions.</w:t>
      </w:r>
    </w:p>
    <w:p>
      <w:pPr>
        <w:pStyle w:val="Heading2"/>
        <w:keepNext/>
        <w:spacing w:after="140" w:before="260"/>
      </w:pPr>
      <w:r>
        <w:rPr>
          <w:rFonts w:ascii="Calibri" w:cs="Calibri" w:eastAsia="Calibri" w:hAnsi="Calibri"/>
          <w:b/>
          <w:bCs/>
          <w:color w:val="1F5FA8"/>
          <w:sz w:val="24"/>
          <w:szCs w:val="24"/>
        </w:rPr>
        <w:t xml:space="preserve">U.3 The Proportionality and Countermeasures Argument</w:t>
      </w:r>
    </w:p>
    <w:p>
      <w:pPr>
        <w:spacing w:after="200" w:line="276"/>
        <w:jc w:val="both"/>
      </w:pPr>
      <w:r>
        <w:rPr>
          <w:rFonts w:ascii="Calibri" w:cs="Calibri" w:eastAsia="Calibri" w:hAnsi="Calibri"/>
          <w:color w:val="1A1A1A"/>
          <w:sz w:val="22"/>
          <w:szCs w:val="22"/>
        </w:rPr>
        <w:t xml:space="preserve">Where the primary MFN and security-exception arguments face procedural delay, the Legal Working Group develops a parallel argument grounded in the customary international law principle of proportionate countermeasures, supporting the Framework's twenty percent rate as a proportionate response to the scale of the underlying United States measures rather than an independent, freestanding trade restriction. This argument provides legal grounding for the Framework's measures even in scenarios where formal WTO authorization faces extended delay, consistent with the Article 8.2 alternative pathway strategy and the Annex R.4 historical lesson regarding WTO institutional paralysis. The Legal Working Group documents the direct rate correspondence between the Framework's twenty percent measure and the United States' own applied rates against major coalition members as the evidentiary foundation for this proportionality argument.</w:t>
      </w:r>
    </w:p>
    <w:p>
      <w:pPr>
        <w:pStyle w:val="Heading2"/>
        <w:keepNext/>
        <w:spacing w:after="140" w:before="260"/>
      </w:pPr>
      <w:r>
        <w:rPr>
          <w:rFonts w:ascii="Calibri" w:cs="Calibri" w:eastAsia="Calibri" w:hAnsi="Calibri"/>
          <w:b/>
          <w:bCs/>
          <w:color w:val="1F5FA8"/>
          <w:sz w:val="24"/>
          <w:szCs w:val="24"/>
        </w:rPr>
        <w:t xml:space="preserve">U.4 Coordination of Filing Timing</w:t>
      </w:r>
    </w:p>
    <w:p>
      <w:pPr>
        <w:spacing w:after="200" w:line="276"/>
        <w:jc w:val="both"/>
      </w:pPr>
      <w:r>
        <w:rPr>
          <w:rFonts w:ascii="Calibri" w:cs="Calibri" w:eastAsia="Calibri" w:hAnsi="Calibri"/>
          <w:color w:val="1A1A1A"/>
          <w:sz w:val="22"/>
          <w:szCs w:val="22"/>
        </w:rPr>
        <w:t xml:space="preserve">The Legal Working Group coordinates the timing of individual Party filings to maximize their cumulative legal and diplomatic impact, sequencing filings from Parties with the most developed existing WTO dispute infrastructure first, consistent with the existing Canadian, Chinese, and Brazilian complaints referenced in Article 8.4, and coordinating subsequent Party filings to arrive at the WTO Secretariat within a compressed window that maximizes the visible appearance of coordinated, unified legal action. This filing coordination reinforces the Framework's broader communications strategy under Article 9, presenting global media and United States policymakers with clear evidence of the coalition's legal unity alongside its economic and diplomatic coordination.</w:t>
      </w:r>
    </w:p>
    <w:p>
      <w:pPr>
        <w:pStyle w:val="Heading1"/>
        <w:keepNext/>
        <w:spacing w:after="200" w:before="360"/>
      </w:pPr>
      <w:r>
        <w:rPr>
          <w:rFonts w:ascii="Calibri" w:cs="Calibri" w:eastAsia="Calibri" w:hAnsi="Calibri"/>
          <w:b/>
          <w:bCs/>
          <w:color w:val="0B3D91"/>
          <w:sz w:val="30"/>
          <w:szCs w:val="30"/>
        </w:rPr>
        <w:t xml:space="preserve">Annex V: Coalition Council Voting Procedures</w:t>
      </w:r>
    </w:p>
    <w:p>
      <w:pPr>
        <w:pStyle w:val="Heading2"/>
        <w:keepNext/>
        <w:spacing w:after="140" w:before="260"/>
      </w:pPr>
      <w:r>
        <w:rPr>
          <w:rFonts w:ascii="Calibri" w:cs="Calibri" w:eastAsia="Calibri" w:hAnsi="Calibri"/>
          <w:b/>
          <w:bCs/>
          <w:color w:val="1F5FA8"/>
          <w:sz w:val="24"/>
          <w:szCs w:val="24"/>
        </w:rPr>
        <w:t xml:space="preserve">V.1 Simple Majority Matters</w:t>
      </w:r>
    </w:p>
    <w:p>
      <w:pPr>
        <w:spacing w:after="200" w:line="276"/>
        <w:jc w:val="both"/>
      </w:pPr>
      <w:r>
        <w:rPr>
          <w:rFonts w:ascii="Calibri" w:cs="Calibri" w:eastAsia="Calibri" w:hAnsi="Calibri"/>
          <w:color w:val="1A1A1A"/>
          <w:sz w:val="22"/>
          <w:szCs w:val="22"/>
        </w:rPr>
        <w:t xml:space="preserve">The Coalition Council applies its simple majority threshold to ordinary operational decisions, including accession approvals under Article 2.2, product-specific adjustment ratifications under Article 5.3, commitment window extensions under Article 6.4, settlement condition determinations under Article 11.1, and de-escalation decisions under Annex D.4 that mirror an escalation decision's supermajority requirement only where the de-escalation itself constitutes a structurally significant reversal. The Secretariat maintains a standing reference table classifying every recurring Coalition Council decision type against its applicable voting threshold, reducing procedural ambiguity at the point any individual decision requires a vote.</w:t>
      </w:r>
    </w:p>
    <w:p>
      <w:pPr>
        <w:pStyle w:val="Heading2"/>
        <w:keepNext/>
        <w:spacing w:after="140" w:before="260"/>
      </w:pPr>
      <w:r>
        <w:rPr>
          <w:rFonts w:ascii="Calibri" w:cs="Calibri" w:eastAsia="Calibri" w:hAnsi="Calibri"/>
          <w:b/>
          <w:bCs/>
          <w:color w:val="1F5FA8"/>
          <w:sz w:val="24"/>
          <w:szCs w:val="24"/>
        </w:rPr>
        <w:t xml:space="preserve">V.2 Supermajority Matters</w:t>
      </w:r>
    </w:p>
    <w:p>
      <w:pPr>
        <w:spacing w:after="200" w:line="276"/>
        <w:jc w:val="both"/>
      </w:pPr>
      <w:r>
        <w:rPr>
          <w:rFonts w:ascii="Calibri" w:cs="Calibri" w:eastAsia="Calibri" w:hAnsi="Calibri"/>
          <w:color w:val="1A1A1A"/>
          <w:sz w:val="22"/>
          <w:szCs w:val="22"/>
        </w:rPr>
        <w:t xml:space="preserve">The Coalition Council applies its seventy percent supermajority threshold to the Framework's most structurally consequential decisions: coverage expansion under Article 4.4, Level Two and Level Three escalation under Annex D.2 and Annex D.3, and amendments to this Agreement under Article 12.1. This heightened threshold ensures that decisions carrying significant consequence for the full membership's tariff obligations and diplomatic posture receive broad-based consensus before taking effect, protecting smaller Parties from having consequential Framework changes imposed against their collective interest by a narrow majority coalition within the Coalition Council itself.</w:t>
      </w:r>
    </w:p>
    <w:p>
      <w:pPr>
        <w:pStyle w:val="Heading2"/>
        <w:keepNext/>
        <w:spacing w:after="140" w:before="260"/>
      </w:pPr>
      <w:r>
        <w:rPr>
          <w:rFonts w:ascii="Calibri" w:cs="Calibri" w:eastAsia="Calibri" w:hAnsi="Calibri"/>
          <w:b/>
          <w:bCs/>
          <w:color w:val="1F5FA8"/>
          <w:sz w:val="24"/>
          <w:szCs w:val="24"/>
        </w:rPr>
        <w:t xml:space="preserve">V.3 Voting Weight for Associate Members</w:t>
      </w:r>
    </w:p>
    <w:p>
      <w:pPr>
        <w:spacing w:after="200" w:line="276"/>
        <w:jc w:val="both"/>
      </w:pPr>
      <w:r>
        <w:rPr>
          <w:rFonts w:ascii="Calibri" w:cs="Calibri" w:eastAsia="Calibri" w:hAnsi="Calibri"/>
          <w:color w:val="1A1A1A"/>
          <w:sz w:val="22"/>
          <w:szCs w:val="22"/>
        </w:rPr>
        <w:t xml:space="preserve">Associate Members hold voting weight proportional to their implementation percentage under Article 2.3, calculated and published by the Secretariat at each Coalition Council session, and this proportional weighting applies consistently across both simple majority and supermajority vote calculations. The Governance function within the Steering Committee recalculates each Associate Member's voting weight whenever that Member's implementation percentage changes, ensuring the Coalition Council's voting arithmetic remains current with each Party's actual, rather than nominal, level of Framework participation.</w:t>
      </w:r>
    </w:p>
    <w:p>
      <w:pPr>
        <w:pStyle w:val="Heading1"/>
        <w:keepNext/>
        <w:spacing w:after="200" w:before="360"/>
      </w:pPr>
      <w:r>
        <w:rPr>
          <w:rFonts w:ascii="Calibri" w:cs="Calibri" w:eastAsia="Calibri" w:hAnsi="Calibri"/>
          <w:b/>
          <w:bCs/>
          <w:color w:val="0B3D91"/>
          <w:sz w:val="30"/>
          <w:szCs w:val="30"/>
        </w:rPr>
        <w:t xml:space="preserve">Annex W: Supplementary Provisions to the Operative Articles</w:t>
      </w:r>
    </w:p>
    <w:p>
      <w:pPr>
        <w:spacing w:after="200" w:line="276"/>
        <w:jc w:val="both"/>
      </w:pPr>
      <w:r>
        <w:rPr>
          <w:rFonts w:ascii="Calibri" w:cs="Calibri" w:eastAsia="Calibri" w:hAnsi="Calibri"/>
          <w:color w:val="1A1A1A"/>
          <w:sz w:val="22"/>
          <w:szCs w:val="22"/>
        </w:rPr>
        <w:t xml:space="preserve">This Annex records one supplementary operative provision for each Article in Part One, addressing implementation details that the Coalition Council identifies as necessary refinements once the Framework moves from drafting into active operation. The Coalition Council incorporates each supplementary provision into the applicable Article's operative effect immediately upon this Agreement's entry into force, and treats future supplementary provisions of this kind as routine operational updates under the simplified Steering Committee approval process specified in Article 12.1, rather than requiring the full amendment procedure for provisions of this implementing character.</w:t>
      </w:r>
    </w:p>
    <w:p>
      <w:pPr>
        <w:pStyle w:val="Heading2"/>
        <w:keepNext/>
        <w:spacing w:after="140" w:before="260"/>
      </w:pPr>
      <w:r>
        <w:rPr>
          <w:rFonts w:ascii="Calibri" w:cs="Calibri" w:eastAsia="Calibri" w:hAnsi="Calibri"/>
          <w:b/>
          <w:bCs/>
          <w:color w:val="1F5FA8"/>
          <w:sz w:val="24"/>
          <w:szCs w:val="24"/>
        </w:rPr>
        <w:t xml:space="preserve">W.1 Supplementary Provision to Article 1</w:t>
      </w:r>
    </w:p>
    <w:p>
      <w:pPr>
        <w:spacing w:after="200" w:line="276"/>
        <w:jc w:val="both"/>
      </w:pPr>
      <w:r>
        <w:rPr>
          <w:rFonts w:ascii="Calibri" w:cs="Calibri" w:eastAsia="Calibri" w:hAnsi="Calibri"/>
          <w:color w:val="1A1A1A"/>
          <w:sz w:val="22"/>
          <w:szCs w:val="22"/>
        </w:rPr>
        <w:t xml:space="preserve">The Framework's Article 1 purpose statement extends to cover derivative and downstream products manufactured predominantly from Tier 1 covered plastics inputs, where a Party demonstrates that a specific downstream product category serves substantially as a pass-through mechanism for otherwise-covered United States plastics content. The Tariff and Customs Working Group develops technical criteria for identifying qualifying pass-through categories, preventing the Framework's core purpose from eroding through minor downstream processing that leaves the underlying United States plastics content substantially unchanged in its competitive character.</w:t>
      </w:r>
    </w:p>
    <w:p>
      <w:pPr>
        <w:pStyle w:val="Heading2"/>
        <w:keepNext/>
        <w:spacing w:after="140" w:before="260"/>
      </w:pPr>
      <w:r>
        <w:rPr>
          <w:rFonts w:ascii="Calibri" w:cs="Calibri" w:eastAsia="Calibri" w:hAnsi="Calibri"/>
          <w:b/>
          <w:bCs/>
          <w:color w:val="1F5FA8"/>
          <w:sz w:val="24"/>
          <w:szCs w:val="24"/>
        </w:rPr>
        <w:t xml:space="preserve">W.2 Supplementary Provision to Article 2</w:t>
      </w:r>
    </w:p>
    <w:p>
      <w:pPr>
        <w:spacing w:after="200" w:line="276"/>
        <w:jc w:val="both"/>
      </w:pPr>
      <w:r>
        <w:rPr>
          <w:rFonts w:ascii="Calibri" w:cs="Calibri" w:eastAsia="Calibri" w:hAnsi="Calibri"/>
          <w:color w:val="1A1A1A"/>
          <w:sz w:val="22"/>
          <w:szCs w:val="22"/>
        </w:rPr>
        <w:t xml:space="preserve">A prospective acceding Party facing an active, ongoing bilateral trade negotiation with the United States at the time of its accession notification retains full eligibility for Framework membership, and the Coalition Council does not treat an ongoing separate negotiation as a bar to accession provided the prospective Party's Framework commitments under Article 4 take precedence over any inconsistent element of that separate negotiation from the date of accession forward. This supplementary provision clarifies that Framework accession does not require a prospective Party to terminate unrelated diplomatic engagement with the United States, so long as that engagement does not itself constitute the kind of undermining bilateral arrangement Article 6.1 excludes.</w:t>
      </w:r>
    </w:p>
    <w:p>
      <w:pPr>
        <w:pStyle w:val="Heading2"/>
        <w:keepNext/>
        <w:spacing w:after="140" w:before="260"/>
      </w:pPr>
      <w:r>
        <w:rPr>
          <w:rFonts w:ascii="Calibri" w:cs="Calibri" w:eastAsia="Calibri" w:hAnsi="Calibri"/>
          <w:b/>
          <w:bCs/>
          <w:color w:val="1F5FA8"/>
          <w:sz w:val="24"/>
          <w:szCs w:val="24"/>
        </w:rPr>
        <w:t xml:space="preserve">W.3 Supplementary Provision to Article 3</w:t>
      </w:r>
    </w:p>
    <w:p>
      <w:pPr>
        <w:spacing w:after="200" w:line="276"/>
        <w:jc w:val="both"/>
      </w:pPr>
      <w:r>
        <w:rPr>
          <w:rFonts w:ascii="Calibri" w:cs="Calibri" w:eastAsia="Calibri" w:hAnsi="Calibri"/>
          <w:color w:val="1A1A1A"/>
          <w:sz w:val="22"/>
          <w:szCs w:val="22"/>
        </w:rPr>
        <w:t xml:space="preserve">The Coalition Council designates official observer status for international organizations with direct subject-matter relevance to the Framework's operation, including the World Trade Organization Secretariat and relevant regional trade organization secretariats, permitting these observers to attend specified Coalition Council sessions without voting rights. This observer mechanism supports the Framework's broader legitimacy and transparency objectives, giving relevant international institutions direct visibility into the Framework's governance processes without extending decision-making authority beyond the Parties themselves.</w:t>
      </w:r>
    </w:p>
    <w:p>
      <w:pPr>
        <w:pStyle w:val="Heading2"/>
        <w:keepNext/>
        <w:spacing w:after="140" w:before="260"/>
      </w:pPr>
      <w:r>
        <w:rPr>
          <w:rFonts w:ascii="Calibri" w:cs="Calibri" w:eastAsia="Calibri" w:hAnsi="Calibri"/>
          <w:b/>
          <w:bCs/>
          <w:color w:val="1F5FA8"/>
          <w:sz w:val="24"/>
          <w:szCs w:val="24"/>
        </w:rPr>
        <w:t xml:space="preserve">W.4 Supplementary Provision to Article 4</w:t>
      </w:r>
    </w:p>
    <w:p>
      <w:pPr>
        <w:spacing w:after="200" w:line="276"/>
        <w:jc w:val="both"/>
      </w:pPr>
      <w:r>
        <w:rPr>
          <w:rFonts w:ascii="Calibri" w:cs="Calibri" w:eastAsia="Calibri" w:hAnsi="Calibri"/>
          <w:color w:val="1A1A1A"/>
          <w:sz w:val="22"/>
          <w:szCs w:val="22"/>
        </w:rPr>
        <w:t xml:space="preserve">Where a covered product enters a Party's territory through a third-country transshipment point rather than direct importation from the United States, the Tariff and Customs Working Group applies country-of-origin verification procedures consistent with each Party's existing customs practice, ensuring that the Framework's tariff measures reach United States-origin content regardless of the specific shipping route through which that content enters a Party's market. This supplementary provision addresses the practical customs administration challenge that transshipment otherwise creates for any coordinated tariff measure of this kind.</w:t>
      </w:r>
    </w:p>
    <w:p>
      <w:pPr>
        <w:pStyle w:val="Heading2"/>
        <w:keepNext/>
        <w:spacing w:after="140" w:before="260"/>
      </w:pPr>
      <w:r>
        <w:rPr>
          <w:rFonts w:ascii="Calibri" w:cs="Calibri" w:eastAsia="Calibri" w:hAnsi="Calibri"/>
          <w:b/>
          <w:bCs/>
          <w:color w:val="1F5FA8"/>
          <w:sz w:val="24"/>
          <w:szCs w:val="24"/>
        </w:rPr>
        <w:t xml:space="preserve">W.5 Supplementary Provision to Article 5</w:t>
      </w:r>
    </w:p>
    <w:p>
      <w:pPr>
        <w:spacing w:after="200" w:line="276"/>
        <w:jc w:val="both"/>
      </w:pPr>
      <w:r>
        <w:rPr>
          <w:rFonts w:ascii="Calibri" w:cs="Calibri" w:eastAsia="Calibri" w:hAnsi="Calibri"/>
          <w:color w:val="1A1A1A"/>
          <w:sz w:val="22"/>
          <w:szCs w:val="22"/>
        </w:rPr>
        <w:t xml:space="preserve">A Party granted a critical input exemption under Article 5.1 reports the actual import volume utilizing that exemption to the Supply Chain and Exemptions Working Group on a quarterly basis, supporting the Working Group's ongoing assessment of whether the exemption's underlying supply gap persists and whether the exemption's scope requires narrowing as alternative suppliers become available. This reporting obligation ensures the exemption architecture remains grounded in current supply-chain reality rather than the conditions that justified the exemption's initial grant.</w:t>
      </w:r>
    </w:p>
    <w:p>
      <w:pPr>
        <w:pStyle w:val="Heading2"/>
        <w:keepNext/>
        <w:spacing w:after="140" w:before="260"/>
      </w:pPr>
      <w:r>
        <w:rPr>
          <w:rFonts w:ascii="Calibri" w:cs="Calibri" w:eastAsia="Calibri" w:hAnsi="Calibri"/>
          <w:b/>
          <w:bCs/>
          <w:color w:val="1F5FA8"/>
          <w:sz w:val="24"/>
          <w:szCs w:val="24"/>
        </w:rPr>
        <w:t xml:space="preserve">W.6 Supplementary Provision to Article 6</w:t>
      </w:r>
    </w:p>
    <w:p>
      <w:pPr>
        <w:spacing w:after="200" w:line="276"/>
        <w:jc w:val="both"/>
      </w:pPr>
      <w:r>
        <w:rPr>
          <w:rFonts w:ascii="Calibri" w:cs="Calibri" w:eastAsia="Calibri" w:hAnsi="Calibri"/>
          <w:color w:val="1A1A1A"/>
          <w:sz w:val="22"/>
          <w:szCs w:val="22"/>
        </w:rPr>
        <w:t xml:space="preserve">The Coalition Council extends the transparency architecture of Article 6.2 to cover indirect approaches, including engagement conducted through industry intermediaries or third-country channels that a Party reasonably understands to originate from United States government sources, ensuring that the non-defection architecture's disclosure requirement addresses the practical reality that not every approach arrives through a formal, direct diplomatic channel.</w:t>
      </w:r>
    </w:p>
    <w:p>
      <w:pPr>
        <w:pStyle w:val="Heading2"/>
        <w:keepNext/>
        <w:spacing w:after="140" w:before="260"/>
      </w:pPr>
      <w:r>
        <w:rPr>
          <w:rFonts w:ascii="Calibri" w:cs="Calibri" w:eastAsia="Calibri" w:hAnsi="Calibri"/>
          <w:b/>
          <w:bCs/>
          <w:color w:val="1F5FA8"/>
          <w:sz w:val="24"/>
          <w:szCs w:val="24"/>
        </w:rPr>
        <w:t xml:space="preserve">W.7 Supplementary Provision to Article 7</w:t>
      </w:r>
    </w:p>
    <w:p>
      <w:pPr>
        <w:spacing w:after="200" w:line="276"/>
        <w:jc w:val="both"/>
      </w:pPr>
      <w:r>
        <w:rPr>
          <w:rFonts w:ascii="Calibri" w:cs="Calibri" w:eastAsia="Calibri" w:hAnsi="Calibri"/>
          <w:color w:val="1A1A1A"/>
          <w:sz w:val="22"/>
          <w:szCs w:val="22"/>
        </w:rPr>
        <w:t xml:space="preserve">The Stabilization Facility extends its disbursement eligibility, on a case-by-case Steering Committee determination, to cover documented costs a Party incurs in developing the alternative supplier relationships specified in Article 7.3, recognizing that proactive diversification investment reduces the Framework's aggregate future reliance on the Facility's reactive stabilization function.</w:t>
      </w:r>
    </w:p>
    <w:p>
      <w:pPr>
        <w:pStyle w:val="Heading2"/>
        <w:keepNext/>
        <w:spacing w:after="140" w:before="260"/>
      </w:pPr>
      <w:r>
        <w:rPr>
          <w:rFonts w:ascii="Calibri" w:cs="Calibri" w:eastAsia="Calibri" w:hAnsi="Calibri"/>
          <w:b/>
          <w:bCs/>
          <w:color w:val="1F5FA8"/>
          <w:sz w:val="24"/>
          <w:szCs w:val="24"/>
        </w:rPr>
        <w:t xml:space="preserve">W.8 Supplementary Provision to Article 8</w:t>
      </w:r>
    </w:p>
    <w:p>
      <w:pPr>
        <w:spacing w:after="200" w:line="276"/>
        <w:jc w:val="both"/>
      </w:pPr>
      <w:r>
        <w:rPr>
          <w:rFonts w:ascii="Calibri" w:cs="Calibri" w:eastAsia="Calibri" w:hAnsi="Calibri"/>
          <w:color w:val="1A1A1A"/>
          <w:sz w:val="22"/>
          <w:szCs w:val="22"/>
        </w:rPr>
        <w:t xml:space="preserve">The Legal Working Group extends its coordinated filing support to cover any Party facing a direct United States legal challenge to that Party's own domestic implementing measures under this Framework, providing shared legal resources and precedent research to defend the Framework's measures in the Party's own domestic courts or administrative tribunals where such challenges arise.</w:t>
      </w:r>
    </w:p>
    <w:p>
      <w:pPr>
        <w:pStyle w:val="Heading2"/>
        <w:keepNext/>
        <w:spacing w:after="140" w:before="260"/>
      </w:pPr>
      <w:r>
        <w:rPr>
          <w:rFonts w:ascii="Calibri" w:cs="Calibri" w:eastAsia="Calibri" w:hAnsi="Calibri"/>
          <w:b/>
          <w:bCs/>
          <w:color w:val="1F5FA8"/>
          <w:sz w:val="24"/>
          <w:szCs w:val="24"/>
        </w:rPr>
        <w:t xml:space="preserve">W.9 Supplementary Provision to Article 9</w:t>
      </w:r>
    </w:p>
    <w:p>
      <w:pPr>
        <w:spacing w:after="200" w:line="276"/>
        <w:jc w:val="both"/>
      </w:pPr>
      <w:r>
        <w:rPr>
          <w:rFonts w:ascii="Calibri" w:cs="Calibri" w:eastAsia="Calibri" w:hAnsi="Calibri"/>
          <w:color w:val="1A1A1A"/>
          <w:sz w:val="22"/>
          <w:szCs w:val="22"/>
        </w:rPr>
        <w:t xml:space="preserve">The Communications Working Group maintains a rapid-response protocol activating within twenty-four hours of any significant United States public statement mischaracterizing the Framework's purpose or legal basis, ensuring the coalition's unified narrative under Article 9.1 reaches global media promptly enough to shape the initial news cycle rather than only responding after a mischaracterization gains uncontested traction.</w:t>
      </w:r>
    </w:p>
    <w:p>
      <w:pPr>
        <w:pStyle w:val="Heading2"/>
        <w:keepNext/>
        <w:spacing w:after="140" w:before="260"/>
      </w:pPr>
      <w:r>
        <w:rPr>
          <w:rFonts w:ascii="Calibri" w:cs="Calibri" w:eastAsia="Calibri" w:hAnsi="Calibri"/>
          <w:b/>
          <w:bCs/>
          <w:color w:val="1F5FA8"/>
          <w:sz w:val="24"/>
          <w:szCs w:val="24"/>
        </w:rPr>
        <w:t xml:space="preserve">W.10 Supplementary Provision to Article 10</w:t>
      </w:r>
    </w:p>
    <w:p>
      <w:pPr>
        <w:spacing w:after="200" w:line="276"/>
        <w:jc w:val="both"/>
      </w:pPr>
      <w:r>
        <w:rPr>
          <w:rFonts w:ascii="Calibri" w:cs="Calibri" w:eastAsia="Calibri" w:hAnsi="Calibri"/>
          <w:color w:val="1A1A1A"/>
          <w:sz w:val="22"/>
          <w:szCs w:val="22"/>
        </w:rPr>
        <w:t xml:space="preserve">The Steering Committee's monitoring function under Article 10.1 extends to tracking third-country supplier market share shifts within the covered product categories, providing early evidence of the diversification progress that Article 7.3 targets and supporting a more complete picture of the Framework's aggregate economic effect beyond the direct United States export volume metric alone.</w:t>
      </w:r>
    </w:p>
    <w:p>
      <w:pPr>
        <w:pStyle w:val="Heading2"/>
        <w:keepNext/>
        <w:spacing w:after="140" w:before="260"/>
      </w:pPr>
      <w:r>
        <w:rPr>
          <w:rFonts w:ascii="Calibri" w:cs="Calibri" w:eastAsia="Calibri" w:hAnsi="Calibri"/>
          <w:b/>
          <w:bCs/>
          <w:color w:val="1F5FA8"/>
          <w:sz w:val="24"/>
          <w:szCs w:val="24"/>
        </w:rPr>
        <w:t xml:space="preserve">W.11 Supplementary Provision to Article 11</w:t>
      </w:r>
    </w:p>
    <w:p>
      <w:pPr>
        <w:spacing w:after="200" w:line="276"/>
        <w:jc w:val="both"/>
      </w:pPr>
      <w:r>
        <w:rPr>
          <w:rFonts w:ascii="Calibri" w:cs="Calibri" w:eastAsia="Calibri" w:hAnsi="Calibri"/>
          <w:color w:val="1A1A1A"/>
          <w:sz w:val="22"/>
          <w:szCs w:val="22"/>
        </w:rPr>
        <w:t xml:space="preserve">Where the settlement conditions of Article 11.1 activate only partially, covering some but not all Parties' underlying grievances against United States tariff measures, the Coalition Council retains authority to authorize a partial settlement track for the affected subset of Parties while maintaining full Framework measures for the remaining Parties, provided this partial track does not undermine the non-defection architecture Article 6 establishes for the Parties remaining under active measures.</w:t>
      </w:r>
    </w:p>
    <w:p>
      <w:pPr>
        <w:pStyle w:val="Heading2"/>
        <w:keepNext/>
        <w:spacing w:after="140" w:before="260"/>
      </w:pPr>
      <w:r>
        <w:rPr>
          <w:rFonts w:ascii="Calibri" w:cs="Calibri" w:eastAsia="Calibri" w:hAnsi="Calibri"/>
          <w:b/>
          <w:bCs/>
          <w:color w:val="1F5FA8"/>
          <w:sz w:val="24"/>
          <w:szCs w:val="24"/>
        </w:rPr>
        <w:t xml:space="preserve">W.12 Supplementary Provision to Article 12</w:t>
      </w:r>
    </w:p>
    <w:p>
      <w:pPr>
        <w:spacing w:after="200" w:line="276"/>
        <w:jc w:val="both"/>
      </w:pPr>
      <w:r>
        <w:rPr>
          <w:rFonts w:ascii="Calibri" w:cs="Calibri" w:eastAsia="Calibri" w:hAnsi="Calibri"/>
          <w:color w:val="1A1A1A"/>
          <w:sz w:val="22"/>
          <w:szCs w:val="22"/>
        </w:rPr>
        <w:t xml:space="preserve">The Depositary maintains a standing public registry, accessible through the Framework's communications infrastructure, listing every Party's ratification status, membership category, and accession date, supporting the transparency that underlies both the Framework's diplomatic legitimacy and the practical administrative needs of customs administrations and trading firms operating across the coalition's membership.</w:t>
      </w:r>
    </w:p>
    <w:p>
      <w:pPr>
        <w:pStyle w:val="Heading1"/>
        <w:keepNext/>
        <w:spacing w:after="200" w:before="360"/>
      </w:pPr>
      <w:r>
        <w:rPr>
          <w:rFonts w:ascii="Calibri" w:cs="Calibri" w:eastAsia="Calibri" w:hAnsi="Calibri"/>
          <w:b/>
          <w:bCs/>
          <w:color w:val="0B3D91"/>
          <w:sz w:val="30"/>
          <w:szCs w:val="30"/>
        </w:rPr>
        <w:t xml:space="preserve">Annex X: Comparative Precedent, the Ottawa Treaty Coalition Model</w:t>
      </w:r>
    </w:p>
    <w:p>
      <w:pPr>
        <w:spacing w:after="200" w:line="276"/>
        <w:jc w:val="both"/>
      </w:pPr>
      <w:r>
        <w:rPr>
          <w:rFonts w:ascii="Calibri" w:cs="Calibri" w:eastAsia="Calibri" w:hAnsi="Calibri"/>
          <w:color w:val="1A1A1A"/>
          <w:sz w:val="22"/>
          <w:szCs w:val="22"/>
        </w:rPr>
        <w:t xml:space="preserve">The Steering Committee draws instructive comparative lessons from the Ottawa Treaty's landmine-ban coalition-building process, a precedent frequently cited as the benchmark for successful middle-power multilateral leadership on a security or economic issue of global consequence. Canada's leadership of that earlier process, achieved despite the non-participation of several major powers, demonstrates that a middle power with credible convening capacity and a clear, defensible normative argument builds a durable multilateral coalition even without the active participation of the single largest relevant actor. This precedent directly informs the Framework's design confidence that Canada leads a plastics tariff coalition of comparable ambition, applying lessons on convening sequencing, coalition messaging discipline, and sustained diplomatic follow-through that the Ottawa Treaty process demonstrated over its multi-year development.</w:t>
      </w:r>
    </w:p>
    <w:p>
      <w:pPr>
        <w:spacing w:after="200" w:line="276"/>
        <w:jc w:val="both"/>
      </w:pPr>
      <w:r>
        <w:rPr>
          <w:rFonts w:ascii="Calibri" w:cs="Calibri" w:eastAsia="Calibri" w:hAnsi="Calibri"/>
          <w:color w:val="1A1A1A"/>
          <w:sz w:val="22"/>
          <w:szCs w:val="22"/>
        </w:rPr>
        <w:t xml:space="preserve">The Ottawa Treaty process succeeded through a compressed, intensive diplomatic timeline that mirrors the phase structure Annex B establishes, moving from initial exploratory diplomacy through a defining international conference to a rapid signature and ratification period that built irreversible momentum before opposition consolidated. The Framework's own thirteen-week core implementation timeline draws directly on this compressed-timeline lesson, recognizing that extended, open-ended coalition-building processes give opposing interests more time to organize resistance and more opportunity for individual prospective members to drift toward accommodation with the party the coalition organizes against. The Steering Committee nonetheless tempers this lesson with the realistic timeline expectations Annex B.7 documents, recognizing that trade retaliation coalitions carry different practical constraints than the treaty-based prohibition regime the Ottawa Treaty established.</w:t>
      </w:r>
    </w:p>
    <w:p>
      <w:pPr>
        <w:spacing w:after="200" w:line="276"/>
        <w:jc w:val="both"/>
      </w:pPr>
      <w:r>
        <w:rPr>
          <w:rFonts w:ascii="Calibri" w:cs="Calibri" w:eastAsia="Calibri" w:hAnsi="Calibri"/>
          <w:color w:val="1A1A1A"/>
          <w:sz w:val="22"/>
          <w:szCs w:val="22"/>
        </w:rPr>
        <w:t xml:space="preserve">The Ottawa Treaty's normative clarity, a single unambiguous prohibition rather than a graduated or conditional obligation, offers a further lesson the Framework's design partially incorporates through its firm twenty percent tariff floor under Article 4.1 and its clear non-defection architecture under Article 6, even as the Framework necessarily accommodates greater implementation flexibility than an outright prohibition through its Associate Member category under Article 2.3. The Steering Committee treats this balance between normative clarity and practical accommodation as a central design lesson from the comparative precedent, seeking a Framework robust enough to sustain genuine coalition discipline while flexible enough to accommodate the genuine economic diversity across a membership spanning more than fifteen distinct economies at widely varying levels of United States trade integration.</w:t>
      </w:r>
    </w:p>
    <w:p>
      <w:pPr>
        <w:pStyle w:val="Heading1"/>
        <w:keepNext/>
        <w:spacing w:after="200" w:before="360"/>
      </w:pPr>
      <w:r>
        <w:rPr>
          <w:rFonts w:ascii="Calibri" w:cs="Calibri" w:eastAsia="Calibri" w:hAnsi="Calibri"/>
          <w:b/>
          <w:bCs/>
          <w:color w:val="0B3D91"/>
          <w:sz w:val="30"/>
          <w:szCs w:val="30"/>
        </w:rPr>
        <w:t xml:space="preserve">Annex Y: Public Opinion and Media Monitoring Plan</w:t>
      </w:r>
    </w:p>
    <w:p>
      <w:pPr>
        <w:pStyle w:val="Heading2"/>
        <w:keepNext/>
        <w:spacing w:after="140" w:before="260"/>
      </w:pPr>
      <w:r>
        <w:rPr>
          <w:rFonts w:ascii="Calibri" w:cs="Calibri" w:eastAsia="Calibri" w:hAnsi="Calibri"/>
          <w:b/>
          <w:bCs/>
          <w:color w:val="1F5FA8"/>
          <w:sz w:val="24"/>
          <w:szCs w:val="24"/>
        </w:rPr>
        <w:t xml:space="preserve">Y.1 Monitoring Objectives</w:t>
      </w:r>
    </w:p>
    <w:p>
      <w:pPr>
        <w:spacing w:after="200" w:line="276"/>
        <w:jc w:val="both"/>
      </w:pPr>
      <w:r>
        <w:rPr>
          <w:rFonts w:ascii="Calibri" w:cs="Calibri" w:eastAsia="Calibri" w:hAnsi="Calibri"/>
          <w:color w:val="1A1A1A"/>
          <w:sz w:val="22"/>
          <w:szCs w:val="22"/>
        </w:rPr>
        <w:t xml:space="preserve">The Communications Working Group operates a standing public opinion and media monitoring function tracking domestic public sentiment within each Party toward the Framework's measures, global media coverage tone and volume, and United States domestic media and public opinion trends relevant to the underlying tariff dispute. This monitoring function supports the domestic political shielding architecture under Article 9.4, giving each Party's communications team early warning of shifting sentiment that might warrant additional targeted messaging or stakeholder engagement before a minor sentiment shift develops into meaningful domestic political pressure.</w:t>
      </w:r>
    </w:p>
    <w:p>
      <w:pPr>
        <w:pStyle w:val="Heading2"/>
        <w:keepNext/>
        <w:spacing w:after="140" w:before="260"/>
      </w:pPr>
      <w:r>
        <w:rPr>
          <w:rFonts w:ascii="Calibri" w:cs="Calibri" w:eastAsia="Calibri" w:hAnsi="Calibri"/>
          <w:b/>
          <w:bCs/>
          <w:color w:val="1F5FA8"/>
          <w:sz w:val="24"/>
          <w:szCs w:val="24"/>
        </w:rPr>
        <w:t xml:space="preserve">Y.2 Monitoring Methodology</w:t>
      </w:r>
    </w:p>
    <w:p>
      <w:pPr>
        <w:spacing w:after="200" w:line="276"/>
        <w:jc w:val="both"/>
      </w:pPr>
      <w:r>
        <w:rPr>
          <w:rFonts w:ascii="Calibri" w:cs="Calibri" w:eastAsia="Calibri" w:hAnsi="Calibri"/>
          <w:color w:val="1A1A1A"/>
          <w:sz w:val="22"/>
          <w:szCs w:val="22"/>
        </w:rPr>
        <w:t xml:space="preserve">The Communications Working Group aggregates media coverage tracking, social listening data, and, where individual Parties choose to contribute their own domestic polling results, opinion survey data into a consolidated monthly sentiment report circulated to the Steering Committee and, in summary form, to all Parties. The Working Group applies consistent tracking categories across every Party's domestic media environment, enabling meaningful cross-Party comparison and the identification of sentiment patterns that affect the coalition broadly rather than only a single Party's individual domestic environment.</w:t>
      </w:r>
    </w:p>
    <w:p>
      <w:pPr>
        <w:pStyle w:val="Heading2"/>
        <w:keepNext/>
        <w:spacing w:after="140" w:before="260"/>
      </w:pPr>
      <w:r>
        <w:rPr>
          <w:rFonts w:ascii="Calibri" w:cs="Calibri" w:eastAsia="Calibri" w:hAnsi="Calibri"/>
          <w:b/>
          <w:bCs/>
          <w:color w:val="1F5FA8"/>
          <w:sz w:val="24"/>
          <w:szCs w:val="24"/>
        </w:rPr>
        <w:t xml:space="preserve">Y.3 Response Protocols</w:t>
      </w:r>
    </w:p>
    <w:p>
      <w:pPr>
        <w:spacing w:after="200" w:line="276"/>
        <w:jc w:val="both"/>
      </w:pPr>
      <w:r>
        <w:rPr>
          <w:rFonts w:ascii="Calibri" w:cs="Calibri" w:eastAsia="Calibri" w:hAnsi="Calibri"/>
          <w:color w:val="1A1A1A"/>
          <w:sz w:val="22"/>
          <w:szCs w:val="22"/>
        </w:rPr>
        <w:t xml:space="preserve">Where the monitoring function identifies a significant negative sentiment shift within a specific Party's domestic environment, the Communications Working Group activates a targeted response protocol, deploying additional tailored messaging materials and, where the affected Party requests it, direct Working Group support for that Party's domestic media engagement. Where the monitoring function identifies a significant shift in United States domestic sentiment, whether toward greater public support for tariff removal or toward entrenched support for continued tariff measures, the Working Group briefs the Steering Committee promptly, supporting the negotiation-readiness function Article 7.4 and Article 10 both address.</w:t>
      </w:r>
    </w:p>
    <w:p>
      <w:pPr>
        <w:pStyle w:val="Heading2"/>
        <w:keepNext/>
        <w:spacing w:after="140" w:before="260"/>
      </w:pPr>
      <w:r>
        <w:rPr>
          <w:rFonts w:ascii="Calibri" w:cs="Calibri" w:eastAsia="Calibri" w:hAnsi="Calibri"/>
          <w:b/>
          <w:bCs/>
          <w:color w:val="1F5FA8"/>
          <w:sz w:val="24"/>
          <w:szCs w:val="24"/>
        </w:rPr>
        <w:t xml:space="preserve">Y.4 United States Industry Sentiment Tracking</w:t>
      </w:r>
    </w:p>
    <w:p>
      <w:pPr>
        <w:spacing w:after="200" w:line="276"/>
        <w:jc w:val="both"/>
      </w:pPr>
      <w:r>
        <w:rPr>
          <w:rFonts w:ascii="Calibri" w:cs="Calibri" w:eastAsia="Calibri" w:hAnsi="Calibri"/>
          <w:color w:val="1A1A1A"/>
          <w:sz w:val="22"/>
          <w:szCs w:val="22"/>
        </w:rPr>
        <w:t xml:space="preserve">The Communications Working Group maintains particular attention to observable United States plastics industry sentiment and lobbying activity, consistent with the Article 10.2 success metric addressing this indicator directly. The Working Group tracks public statements from major United States plastics industry associations and firms, congressional testimony and correspondence where publicly available, and trade press coverage of industry lobbying activity, compiling this evidence into the quarterly status reporting Article 10.4 specifies and providing the Coalition Council with concrete evidence supporting its periodic review determinations under Article 10.3.</w:t>
      </w:r>
    </w:p>
    <w:p>
      <w:pPr>
        <w:pStyle w:val="Heading1"/>
        <w:keepNext/>
        <w:spacing w:after="200" w:before="360"/>
      </w:pPr>
      <w:r>
        <w:rPr>
          <w:rFonts w:ascii="Calibri" w:cs="Calibri" w:eastAsia="Calibri" w:hAnsi="Calibri"/>
          <w:b/>
          <w:bCs/>
          <w:color w:val="0B3D91"/>
          <w:sz w:val="30"/>
          <w:szCs w:val="30"/>
        </w:rPr>
        <w:t xml:space="preserve">Annex Z: Interpretive Notes and Rules of Construction</w:t>
      </w:r>
    </w:p>
    <w:p>
      <w:pPr>
        <w:pStyle w:val="Heading2"/>
        <w:keepNext/>
        <w:spacing w:after="140" w:before="260"/>
      </w:pPr>
      <w:r>
        <w:rPr>
          <w:rFonts w:ascii="Calibri" w:cs="Calibri" w:eastAsia="Calibri" w:hAnsi="Calibri"/>
          <w:b/>
          <w:bCs/>
          <w:color w:val="1F5FA8"/>
          <w:sz w:val="24"/>
          <w:szCs w:val="24"/>
        </w:rPr>
        <w:t xml:space="preserve">Z.1 General Interpretive Principle</w:t>
      </w:r>
    </w:p>
    <w:p>
      <w:pPr>
        <w:spacing w:after="200" w:line="276"/>
        <w:jc w:val="both"/>
      </w:pPr>
      <w:r>
        <w:rPr>
          <w:rFonts w:ascii="Calibri" w:cs="Calibri" w:eastAsia="Calibri" w:hAnsi="Calibri"/>
          <w:color w:val="1A1A1A"/>
          <w:sz w:val="22"/>
          <w:szCs w:val="22"/>
        </w:rPr>
        <w:t xml:space="preserve">The Legal Working Group applies the ordinary principles of treaty interpretation reflected in customary international law and codified in the Vienna Convention on the Law of Treaties, interpreting this Agreement's terms according to their ordinary meaning in the context of the Agreement's object and purpose, as the Preamble and Article 1 establish that object and purpose. Where an operative provision admits more than one reasonable interpretation, the Legal Working Group favors the interpretation that best preserves Framework unity and the non-defection architecture Article 6 establishes, consistent with the Framework's foundational design priority.</w:t>
      </w:r>
    </w:p>
    <w:p>
      <w:pPr>
        <w:pStyle w:val="Heading2"/>
        <w:keepNext/>
        <w:spacing w:after="140" w:before="260"/>
      </w:pPr>
      <w:r>
        <w:rPr>
          <w:rFonts w:ascii="Calibri" w:cs="Calibri" w:eastAsia="Calibri" w:hAnsi="Calibri"/>
          <w:b/>
          <w:bCs/>
          <w:color w:val="1F5FA8"/>
          <w:sz w:val="24"/>
          <w:szCs w:val="24"/>
        </w:rPr>
        <w:t xml:space="preserve">Z.2 Relationship Between Articles and Annexes</w:t>
      </w:r>
    </w:p>
    <w:p>
      <w:pPr>
        <w:spacing w:after="200" w:line="276"/>
        <w:jc w:val="both"/>
      </w:pPr>
      <w:r>
        <w:rPr>
          <w:rFonts w:ascii="Calibri" w:cs="Calibri" w:eastAsia="Calibri" w:hAnsi="Calibri"/>
          <w:color w:val="1A1A1A"/>
          <w:sz w:val="22"/>
          <w:szCs w:val="22"/>
        </w:rPr>
        <w:t xml:space="preserve">The operative Articles in Part One establish the Framework's binding legal obligations, while the Annexes in Part Two provide the operational detail, planning instruments, and technical reference material that give those obligations practical effect. Where an apparent inconsistency arises between an Article and an Annex, the Article's provision governs, and the Coalition Council directs the Legal Working Group to update the inconsistent Annex provision to restore alignment, consistent with the routine operational update process Article 12.1 specifies for provisions of this implementing character.</w:t>
      </w:r>
    </w:p>
    <w:p>
      <w:pPr>
        <w:pStyle w:val="Heading2"/>
        <w:keepNext/>
        <w:spacing w:after="140" w:before="260"/>
      </w:pPr>
      <w:r>
        <w:rPr>
          <w:rFonts w:ascii="Calibri" w:cs="Calibri" w:eastAsia="Calibri" w:hAnsi="Calibri"/>
          <w:b/>
          <w:bCs/>
          <w:color w:val="1F5FA8"/>
          <w:sz w:val="24"/>
          <w:szCs w:val="24"/>
        </w:rPr>
        <w:t xml:space="preserve">Z.3 Defined Terms</w:t>
      </w:r>
    </w:p>
    <w:p>
      <w:pPr>
        <w:spacing w:after="200" w:line="276"/>
        <w:jc w:val="both"/>
      </w:pPr>
      <w:r>
        <w:rPr>
          <w:rFonts w:ascii="Calibri" w:cs="Calibri" w:eastAsia="Calibri" w:hAnsi="Calibri"/>
          <w:color w:val="1A1A1A"/>
          <w:sz w:val="22"/>
          <w:szCs w:val="22"/>
        </w:rPr>
        <w:t xml:space="preserve">Capitalized terms used throughout this Agreement carry the meaning the Glossary in Annex O establishes, and the Legal Working Group maintains the Glossary as the authoritative reference for defined-term interpretation across every Article and Annex. Where this Agreement uses a capitalized term without an explicit Glossary entry, the term carries its ordinary meaning within international trade law usage, consistent with the interpretive principle Annex Z.1 establishes.</w:t>
      </w:r>
    </w:p>
    <w:p>
      <w:pPr>
        <w:pStyle w:val="Heading2"/>
        <w:keepNext/>
        <w:spacing w:after="140" w:before="260"/>
      </w:pPr>
      <w:r>
        <w:rPr>
          <w:rFonts w:ascii="Calibri" w:cs="Calibri" w:eastAsia="Calibri" w:hAnsi="Calibri"/>
          <w:b/>
          <w:bCs/>
          <w:color w:val="1F5FA8"/>
          <w:sz w:val="24"/>
          <w:szCs w:val="24"/>
        </w:rPr>
        <w:t xml:space="preserve">Z.4 Severability</w:t>
      </w:r>
    </w:p>
    <w:p>
      <w:pPr>
        <w:spacing w:after="200" w:line="276"/>
        <w:jc w:val="both"/>
      </w:pPr>
      <w:r>
        <w:rPr>
          <w:rFonts w:ascii="Calibri" w:cs="Calibri" w:eastAsia="Calibri" w:hAnsi="Calibri"/>
          <w:color w:val="1A1A1A"/>
          <w:sz w:val="22"/>
          <w:szCs w:val="22"/>
        </w:rPr>
        <w:t xml:space="preserve">Where a competent tribunal or dispute settlement body determines that a specific provision of this Agreement conflicts with a Party's binding international obligation, that determination affects only the specific provision at issue, and every other provision of this Agreement continues in full operative effect among the Parties. The Coalition Council convenes promptly following any such determination to consider whether an amendment under Article 12.1 addresses the affected provision, preserving the Framework's overall architecture even where a specific provision requires adjustment.</w:t>
      </w:r>
    </w:p>
    <w:p>
      <w:pPr>
        <w:pStyle w:val="Heading1"/>
        <w:keepNext/>
        <w:spacing w:after="200" w:before="360"/>
      </w:pPr>
      <w:r>
        <w:rPr>
          <w:rFonts w:ascii="Calibri" w:cs="Calibri" w:eastAsia="Calibri" w:hAnsi="Calibri"/>
          <w:b/>
          <w:bCs/>
          <w:color w:val="0B3D91"/>
          <w:sz w:val="30"/>
          <w:szCs w:val="30"/>
        </w:rPr>
        <w:t xml:space="preserve">Annex AA: Detailed Product Coverage Rationale by HS Heading</w:t>
      </w:r>
    </w:p>
    <w:p>
      <w:pPr>
        <w:spacing w:after="200" w:line="276"/>
        <w:jc w:val="both"/>
      </w:pPr>
      <w:r>
        <w:rPr>
          <w:rFonts w:ascii="Calibri" w:cs="Calibri" w:eastAsia="Calibri" w:hAnsi="Calibri"/>
          <w:color w:val="1A1A1A"/>
          <w:sz w:val="22"/>
          <w:szCs w:val="22"/>
        </w:rPr>
        <w:t xml:space="preserve">This Annex documents the Tariff and Customs Working Group's rationale for including each individual Harmonized System heading within the Article 4.2 coverage table, supporting the Working Group's ongoing coverage reconciliation function and providing customs administrations with the underlying policy justification for each covered heading.</w:t>
      </w:r>
    </w:p>
    <w:p>
      <w:pPr>
        <w:pStyle w:val="Heading2"/>
        <w:keepNext/>
        <w:spacing w:after="140" w:before="260"/>
      </w:pPr>
      <w:r>
        <w:rPr>
          <w:rFonts w:ascii="Calibri" w:cs="Calibri" w:eastAsia="Calibri" w:hAnsi="Calibri"/>
          <w:b/>
          <w:bCs/>
          <w:color w:val="1F5FA8"/>
          <w:sz w:val="24"/>
          <w:szCs w:val="24"/>
        </w:rPr>
        <w:t xml:space="preserve">AA.1 HS 3901, Polymers of Ethylene</w:t>
      </w:r>
    </w:p>
    <w:p>
      <w:pPr>
        <w:spacing w:after="200" w:line="276"/>
        <w:jc w:val="both"/>
      </w:pPr>
      <w:r>
        <w:rPr>
          <w:rFonts w:ascii="Calibri" w:cs="Calibri" w:eastAsia="Calibri" w:hAnsi="Calibri"/>
          <w:color w:val="1A1A1A"/>
          <w:sz w:val="22"/>
          <w:szCs w:val="22"/>
        </w:rPr>
        <w:t xml:space="preserve">Polyethylene represents the single largest volume category among United States plastics resin exports, and the Working Group's analysis identifies this heading as carrying the highest export dependency ratio of any category within Chapter 39, consistent with the sector rationale Annex A.1 documents. Coalition members sourcing polyethylene readily substitute Middle Eastern and Asian supply, and the Working Group prioritizes this heading as the coverage table's anchor category given its combination of high United States export value and high substitutability.</w:t>
      </w:r>
    </w:p>
    <w:p>
      <w:pPr>
        <w:pStyle w:val="Heading2"/>
        <w:keepNext/>
        <w:spacing w:after="140" w:before="260"/>
      </w:pPr>
      <w:r>
        <w:rPr>
          <w:rFonts w:ascii="Calibri" w:cs="Calibri" w:eastAsia="Calibri" w:hAnsi="Calibri"/>
          <w:b/>
          <w:bCs/>
          <w:color w:val="1F5FA8"/>
          <w:sz w:val="24"/>
          <w:szCs w:val="24"/>
        </w:rPr>
        <w:t xml:space="preserve">AA.2 HS 3902, Polymers of Propylene or Other Olefins</w:t>
      </w:r>
    </w:p>
    <w:p>
      <w:pPr>
        <w:spacing w:after="200" w:line="276"/>
        <w:jc w:val="both"/>
      </w:pPr>
      <w:r>
        <w:rPr>
          <w:rFonts w:ascii="Calibri" w:cs="Calibri" w:eastAsia="Calibri" w:hAnsi="Calibri"/>
          <w:color w:val="1A1A1A"/>
          <w:sz w:val="22"/>
          <w:szCs w:val="22"/>
        </w:rPr>
        <w:t xml:space="preserve">Polypropylene follows polyethylene closely in both United States export volume and substitutability, and the Working Group includes this heading in Tier 1 coverage on the same rationale that governs HS 3901. United States polypropylene producers supply substantial volumes to automotive and packaging manufacturers across the coalition membership, and the Working Group's alternative supplier mapping under Article 7.3 identifies robust substitute capacity across Asian and Middle Eastern producers for this heading specifically.</w:t>
      </w:r>
    </w:p>
    <w:p>
      <w:pPr>
        <w:pStyle w:val="Heading2"/>
        <w:keepNext/>
        <w:spacing w:after="140" w:before="260"/>
      </w:pPr>
      <w:r>
        <w:rPr>
          <w:rFonts w:ascii="Calibri" w:cs="Calibri" w:eastAsia="Calibri" w:hAnsi="Calibri"/>
          <w:b/>
          <w:bCs/>
          <w:color w:val="1F5FA8"/>
          <w:sz w:val="24"/>
          <w:szCs w:val="24"/>
        </w:rPr>
        <w:t xml:space="preserve">AA.3 HS 3903, Polymers of Styrene</w:t>
      </w:r>
    </w:p>
    <w:p>
      <w:pPr>
        <w:spacing w:after="200" w:line="276"/>
        <w:jc w:val="both"/>
      </w:pPr>
      <w:r>
        <w:rPr>
          <w:rFonts w:ascii="Calibri" w:cs="Calibri" w:eastAsia="Calibri" w:hAnsi="Calibri"/>
          <w:color w:val="1A1A1A"/>
          <w:sz w:val="22"/>
          <w:szCs w:val="22"/>
        </w:rPr>
        <w:t xml:space="preserve">Polystyrene carries somewhat more specialized end-use application than the two preceding headings, concentrated in packaging, insulation, and consumer-goods manufacturing, and the Working Group's inclusion of this heading in Tier 1 coverage reflects the meaningful United States export volume in this category despite its narrower application range. The Working Group monitors this heading closely for exemption requests under Article 5.1 given its comparatively more concentrated end-use profile relative to the broader olefin resins.</w:t>
      </w:r>
    </w:p>
    <w:p>
      <w:pPr>
        <w:pStyle w:val="Heading2"/>
        <w:keepNext/>
        <w:spacing w:after="140" w:before="260"/>
      </w:pPr>
      <w:r>
        <w:rPr>
          <w:rFonts w:ascii="Calibri" w:cs="Calibri" w:eastAsia="Calibri" w:hAnsi="Calibri"/>
          <w:b/>
          <w:bCs/>
          <w:color w:val="1F5FA8"/>
          <w:sz w:val="24"/>
          <w:szCs w:val="24"/>
        </w:rPr>
        <w:t xml:space="preserve">AA.4 HS 3904, Polymers of Vinyl Chloride</w:t>
      </w:r>
    </w:p>
    <w:p>
      <w:pPr>
        <w:spacing w:after="200" w:line="276"/>
        <w:jc w:val="both"/>
      </w:pPr>
      <w:r>
        <w:rPr>
          <w:rFonts w:ascii="Calibri" w:cs="Calibri" w:eastAsia="Calibri" w:hAnsi="Calibri"/>
          <w:color w:val="1A1A1A"/>
          <w:sz w:val="22"/>
          <w:szCs w:val="22"/>
        </w:rPr>
        <w:t xml:space="preserve">Polyvinyl chloride's concentration in construction and infrastructure applications distinguishes this heading's substitution dynamics from the other core resin categories, and the Working Group applies particular attention to construction-sector supply continuity for coalition members with significant infrastructure development programs. The Working Group nonetheless retains this heading within Tier 1 coverage given the substantial United States export volume this category represents and the availability of substitute supply from major Asian producers.</w:t>
      </w:r>
    </w:p>
    <w:p>
      <w:pPr>
        <w:pStyle w:val="Heading2"/>
        <w:keepNext/>
        <w:spacing w:after="140" w:before="260"/>
      </w:pPr>
      <w:r>
        <w:rPr>
          <w:rFonts w:ascii="Calibri" w:cs="Calibri" w:eastAsia="Calibri" w:hAnsi="Calibri"/>
          <w:b/>
          <w:bCs/>
          <w:color w:val="1F5FA8"/>
          <w:sz w:val="24"/>
          <w:szCs w:val="24"/>
        </w:rPr>
        <w:t xml:space="preserve">AA.5 HS 3906 and 3908, Acrylic Polymers and Polyamides</w:t>
      </w:r>
    </w:p>
    <w:p>
      <w:pPr>
        <w:spacing w:after="200" w:line="276"/>
        <w:jc w:val="both"/>
      </w:pPr>
      <w:r>
        <w:rPr>
          <w:rFonts w:ascii="Calibri" w:cs="Calibri" w:eastAsia="Calibri" w:hAnsi="Calibri"/>
          <w:color w:val="1A1A1A"/>
          <w:sz w:val="22"/>
          <w:szCs w:val="22"/>
        </w:rPr>
        <w:t xml:space="preserve">These specialty resin categories carry smaller aggregate export volume than the four core commodity resins but represent meaningfully higher per-unit value, and the Working Group includes both headings in Tier 1 coverage to ensure the Framework's economic pressure reaches the full breadth of the United States plastics resin sector rather than concentrating exclusively on high-volume commodity categories. The Working Group coordinates closely with Parties whose specialty manufacturing sectors depend on these categories to identify appropriate exemption candidates under Article 5.1 where genuine supply gaps exist.</w:t>
      </w:r>
    </w:p>
    <w:p>
      <w:pPr>
        <w:pStyle w:val="Heading2"/>
        <w:keepNext/>
        <w:spacing w:after="140" w:before="260"/>
      </w:pPr>
      <w:r>
        <w:rPr>
          <w:rFonts w:ascii="Calibri" w:cs="Calibri" w:eastAsia="Calibri" w:hAnsi="Calibri"/>
          <w:b/>
          <w:bCs/>
          <w:color w:val="1F5FA8"/>
          <w:sz w:val="24"/>
          <w:szCs w:val="24"/>
        </w:rPr>
        <w:t xml:space="preserve">AA.6 HS 3916 and 3917, Monofilament, Tubes, Pipes, and Hoses</w:t>
      </w:r>
    </w:p>
    <w:p>
      <w:pPr>
        <w:spacing w:after="200" w:line="276"/>
        <w:jc w:val="both"/>
      </w:pPr>
      <w:r>
        <w:rPr>
          <w:rFonts w:ascii="Calibri" w:cs="Calibri" w:eastAsia="Calibri" w:hAnsi="Calibri"/>
          <w:color w:val="1A1A1A"/>
          <w:sz w:val="22"/>
          <w:szCs w:val="22"/>
        </w:rPr>
        <w:t xml:space="preserve">These semi-finished product categories sit between primary resin forms and fully finished articles, and the Working Group's inclusion of both headings closes a potential coverage gap that would otherwise allow United States exporters to shift primary resin exports into minimally processed intermediate forms to avoid Tier 1 coverage. This anti-circumvention rationale applies consistently across the Working Group's approach to intermediate product categories throughout the coverage table.</w:t>
      </w:r>
    </w:p>
    <w:p>
      <w:pPr>
        <w:pStyle w:val="Heading2"/>
        <w:keepNext/>
        <w:spacing w:after="140" w:before="260"/>
      </w:pPr>
      <w:r>
        <w:rPr>
          <w:rFonts w:ascii="Calibri" w:cs="Calibri" w:eastAsia="Calibri" w:hAnsi="Calibri"/>
          <w:b/>
          <w:bCs/>
          <w:color w:val="1F5FA8"/>
          <w:sz w:val="24"/>
          <w:szCs w:val="24"/>
        </w:rPr>
        <w:t xml:space="preserve">AA.7 HS 3920, Plates, Sheets, Film, Foil, and Strip</w:t>
      </w:r>
    </w:p>
    <w:p>
      <w:pPr>
        <w:spacing w:after="200" w:line="276"/>
        <w:jc w:val="both"/>
      </w:pPr>
      <w:r>
        <w:rPr>
          <w:rFonts w:ascii="Calibri" w:cs="Calibri" w:eastAsia="Calibri" w:hAnsi="Calibri"/>
          <w:color w:val="1A1A1A"/>
          <w:sz w:val="22"/>
          <w:szCs w:val="22"/>
        </w:rPr>
        <w:t xml:space="preserve">This heading captures a substantial share of United States plastics export value in flat-form products used extensively in packaging and industrial applications, and the Working Group's inclusion of this heading reflects both its significant trade volume and its status as a natural companion category to the primary resin headings, since flat-form plastics products derive predominantly from the same core resin categories already covered under HS 3901 through 3904.</w:t>
      </w:r>
    </w:p>
    <w:p>
      <w:pPr>
        <w:pStyle w:val="Heading2"/>
        <w:keepNext/>
        <w:spacing w:after="140" w:before="260"/>
      </w:pPr>
      <w:r>
        <w:rPr>
          <w:rFonts w:ascii="Calibri" w:cs="Calibri" w:eastAsia="Calibri" w:hAnsi="Calibri"/>
          <w:b/>
          <w:bCs/>
          <w:color w:val="1F5FA8"/>
          <w:sz w:val="24"/>
          <w:szCs w:val="24"/>
        </w:rPr>
        <w:t xml:space="preserve">AA.8 HS 3923 and 3926, Packaging Articles and Other Plastic Articles</w:t>
      </w:r>
    </w:p>
    <w:p>
      <w:pPr>
        <w:spacing w:after="200" w:line="276"/>
        <w:jc w:val="both"/>
      </w:pPr>
      <w:r>
        <w:rPr>
          <w:rFonts w:ascii="Calibri" w:cs="Calibri" w:eastAsia="Calibri" w:hAnsi="Calibri"/>
          <w:color w:val="1A1A1A"/>
          <w:sz w:val="22"/>
          <w:szCs w:val="22"/>
        </w:rPr>
        <w:t xml:space="preserve">These two headings together capture the broadest range of finished and semi-finished plastic articles not separately classified elsewhere in Chapter 39, and the Working Group's inclusion of both headings ensures the coverage table reaches downstream manufactured goods rather than stopping at primary and intermediate resin forms alone. The Working Group applies its anti-circumvention analysis under Article 5.1 with particular attention to these two headings, given their breadth and the corresponding risk that exporters reclassify covered products into adjacent, less closely monitored subcategories.</w:t>
      </w:r>
    </w:p>
    <w:p>
      <w:pPr>
        <w:pStyle w:val="Heading1"/>
        <w:keepNext/>
        <w:spacing w:after="200" w:before="360"/>
      </w:pPr>
      <w:r>
        <w:rPr>
          <w:rFonts w:ascii="Calibri" w:cs="Calibri" w:eastAsia="Calibri" w:hAnsi="Calibri"/>
          <w:b/>
          <w:bCs/>
          <w:color w:val="0B3D91"/>
          <w:sz w:val="30"/>
          <w:szCs w:val="30"/>
        </w:rPr>
        <w:t xml:space="preserve">Annex AB: Sample Steering Committee Meeting Record</w:t>
      </w:r>
    </w:p>
    <w:p>
      <w:pPr>
        <w:spacing w:after="200" w:line="276"/>
        <w:jc w:val="both"/>
      </w:pPr>
      <w:r>
        <w:rPr>
          <w:rFonts w:ascii="Calibri" w:cs="Calibri" w:eastAsia="Calibri" w:hAnsi="Calibri"/>
          <w:color w:val="1A1A1A"/>
          <w:sz w:val="22"/>
          <w:szCs w:val="22"/>
        </w:rPr>
        <w:t xml:space="preserve">This Annex provides a specimen meeting record format that the Secretariat applies in documenting Steering Committee sessions, supporting the written minutes requirement Annex P.2 establishes and giving new Steering Committee members, rotating in under the Annex P.3 mechanics, a clear template for the documentation standard the Framework maintains.</w:t>
      </w:r>
    </w:p>
    <w:p>
      <w:pPr>
        <w:pStyle w:val="Heading2"/>
        <w:keepNext/>
        <w:spacing w:after="140" w:before="260"/>
      </w:pPr>
      <w:r>
        <w:rPr>
          <w:rFonts w:ascii="Calibri" w:cs="Calibri" w:eastAsia="Calibri" w:hAnsi="Calibri"/>
          <w:b/>
          <w:bCs/>
          <w:color w:val="1F5FA8"/>
          <w:sz w:val="24"/>
          <w:szCs w:val="24"/>
        </w:rPr>
        <w:t xml:space="preserve">AB.1 Specimen Record Structure</w:t>
      </w:r>
    </w:p>
    <w:p>
      <w:pPr>
        <w:spacing w:after="200" w:line="276"/>
        <w:jc w:val="both"/>
      </w:pPr>
      <w:r>
        <w:rPr>
          <w:rFonts w:ascii="Calibri" w:cs="Calibri" w:eastAsia="Calibri" w:hAnsi="Calibri"/>
          <w:color w:val="1A1A1A"/>
          <w:sz w:val="22"/>
          <w:szCs w:val="22"/>
        </w:rPr>
        <w:t xml:space="preserve">Each meeting record opens with the session date, the attending Steering Committee members, and a summary of agenda items carried forward from the prior session, followed by a substantive record of each agenda item's discussion, any formal vote taken, and the resulting decision or recommendation. The record closes with an action item list assigning specific follow-up responsibilities to named Working Groups or individual Parties, together with the expected completion date for each action item, and a confirmed date for the next scheduled session.</w:t>
      </w:r>
    </w:p>
    <w:p>
      <w:pPr>
        <w:pStyle w:val="Heading2"/>
        <w:keepNext/>
        <w:spacing w:after="140" w:before="260"/>
      </w:pPr>
      <w:r>
        <w:rPr>
          <w:rFonts w:ascii="Calibri" w:cs="Calibri" w:eastAsia="Calibri" w:hAnsi="Calibri"/>
          <w:b/>
          <w:bCs/>
          <w:color w:val="1F5FA8"/>
          <w:sz w:val="24"/>
          <w:szCs w:val="24"/>
        </w:rPr>
        <w:t xml:space="preserve">AB.2 Illustrative Content</w:t>
      </w:r>
    </w:p>
    <w:p>
      <w:pPr>
        <w:spacing w:after="200" w:line="276"/>
        <w:jc w:val="both"/>
      </w:pPr>
      <w:r>
        <w:rPr>
          <w:rFonts w:ascii="Calibri" w:cs="Calibri" w:eastAsia="Calibri" w:hAnsi="Calibri"/>
          <w:color w:val="1A1A1A"/>
          <w:sz w:val="22"/>
          <w:szCs w:val="22"/>
        </w:rPr>
        <w:t xml:space="preserve">A representative meeting record documents, for example, a Legal Working Group update on the status of coordinated WTO filings under Article 8.1, a Tariff and Customs Working Group report on coverage reconciliation progress under Article 4.2, a Communications Working Group briefing on the current public opinion and media monitoring findings under Annex Y, and a Supply Chain and Exemptions Working Group summary of pending exemption applications under Article 5.1. The Secretariat circulates each finalized record to the full Coalition Council within the seven-day window Annex P.2 specifies, maintaining the transparency and accountability that underpin confidence in the Framework's ongoing operation across the full membership.</w:t>
      </w:r>
    </w:p>
    <w:p>
      <w:pPr>
        <w:pStyle w:val="Heading1"/>
        <w:keepNext/>
        <w:spacing w:after="200" w:before="360"/>
      </w:pPr>
      <w:r>
        <w:rPr>
          <w:rFonts w:ascii="Calibri" w:cs="Calibri" w:eastAsia="Calibri" w:hAnsi="Calibri"/>
          <w:b/>
          <w:bCs/>
          <w:color w:val="0B3D91"/>
          <w:sz w:val="30"/>
          <w:szCs w:val="30"/>
        </w:rPr>
        <w:t xml:space="preserve">Annex AC: Coalition Communications Channel Specifications</w:t>
      </w:r>
    </w:p>
    <w:p>
      <w:pPr>
        <w:pStyle w:val="Heading2"/>
        <w:keepNext/>
        <w:spacing w:after="140" w:before="260"/>
      </w:pPr>
      <w:r>
        <w:rPr>
          <w:rFonts w:ascii="Calibri" w:cs="Calibri" w:eastAsia="Calibri" w:hAnsi="Calibri"/>
          <w:b/>
          <w:bCs/>
          <w:color w:val="1F5FA8"/>
          <w:sz w:val="24"/>
          <w:szCs w:val="24"/>
        </w:rPr>
        <w:t xml:space="preserve">AC.1 Technical Architecture</w:t>
      </w:r>
    </w:p>
    <w:p>
      <w:pPr>
        <w:spacing w:after="200" w:line="276"/>
        <w:jc w:val="both"/>
      </w:pPr>
      <w:r>
        <w:rPr>
          <w:rFonts w:ascii="Calibri" w:cs="Calibri" w:eastAsia="Calibri" w:hAnsi="Calibri"/>
          <w:color w:val="1A1A1A"/>
          <w:sz w:val="22"/>
          <w:szCs w:val="22"/>
        </w:rPr>
        <w:t xml:space="preserve">The Secretariat operates the encrypted diplomatic communications channel specified in Article 9.3 through infrastructure meeting the security standards each Party's own diplomatic communications systems apply, coordinated to ensure interoperability across the varying technical standards different Parties' foreign ministries maintain. The Secretariat conducts a security review of this infrastructure on an annual basis, coordinating with each Party's own cybersecurity authorities where a Party requests direct technical consultation on the channel's security posture.</w:t>
      </w:r>
    </w:p>
    <w:p>
      <w:pPr>
        <w:pStyle w:val="Heading2"/>
        <w:keepNext/>
        <w:spacing w:after="140" w:before="260"/>
      </w:pPr>
      <w:r>
        <w:rPr>
          <w:rFonts w:ascii="Calibri" w:cs="Calibri" w:eastAsia="Calibri" w:hAnsi="Calibri"/>
          <w:b/>
          <w:bCs/>
          <w:color w:val="1F5FA8"/>
          <w:sz w:val="24"/>
          <w:szCs w:val="24"/>
        </w:rPr>
        <w:t xml:space="preserve">AC.2 Access and Authentication</w:t>
      </w:r>
    </w:p>
    <w:p>
      <w:pPr>
        <w:spacing w:after="200" w:line="276"/>
        <w:jc w:val="both"/>
      </w:pPr>
      <w:r>
        <w:rPr>
          <w:rFonts w:ascii="Calibri" w:cs="Calibri" w:eastAsia="Calibri" w:hAnsi="Calibri"/>
          <w:color w:val="1A1A1A"/>
          <w:sz w:val="22"/>
          <w:szCs w:val="22"/>
        </w:rPr>
        <w:t xml:space="preserve">Each Party designates a limited number of authorized users for the secure channel, ordinarily the Party's Coalition Council representative together with a small technical support team, and the Secretariat maintains an access control registry tracking every authorized user across the full membership. The Secretariat revokes access promptly upon a Party's notification of personnel change, maintaining the channel's integrity as membership and staffing evolve across the Framework's operational life.</w:t>
      </w:r>
    </w:p>
    <w:p>
      <w:pPr>
        <w:pStyle w:val="Heading2"/>
        <w:keepNext/>
        <w:spacing w:after="140" w:before="260"/>
      </w:pPr>
      <w:r>
        <w:rPr>
          <w:rFonts w:ascii="Calibri" w:cs="Calibri" w:eastAsia="Calibri" w:hAnsi="Calibri"/>
          <w:b/>
          <w:bCs/>
          <w:color w:val="1F5FA8"/>
          <w:sz w:val="24"/>
          <w:szCs w:val="24"/>
        </w:rPr>
        <w:t xml:space="preserve">AC.3 Usage Protocols</w:t>
      </w:r>
    </w:p>
    <w:p>
      <w:pPr>
        <w:spacing w:after="200" w:line="276"/>
        <w:jc w:val="both"/>
      </w:pPr>
      <w:r>
        <w:rPr>
          <w:rFonts w:ascii="Calibri" w:cs="Calibri" w:eastAsia="Calibri" w:hAnsi="Calibri"/>
          <w:color w:val="1A1A1A"/>
          <w:sz w:val="22"/>
          <w:szCs w:val="22"/>
        </w:rPr>
        <w:t xml:space="preserve">Parties reserve the secure channel for Framework-specific coordination consistent with Article 9.3's purpose, including rapid updates on United States pressure events, exchange of the intelligence specified in Article 7.4, and coordination of the weekly or biweekly calls the Communications Working Group schedules under Article 9.3. The Secretariat maintains a channel usage log accessible to the Steering Committee, supporting accountability for the channel's appropriate use without compromising the confidentiality of the substantive communications the channel carries.</w:t>
      </w:r>
    </w:p>
    <w:p>
      <w:pPr>
        <w:pStyle w:val="Heading1"/>
        <w:keepNext/>
        <w:spacing w:after="200" w:before="360"/>
      </w:pPr>
      <w:r>
        <w:rPr>
          <w:rFonts w:ascii="Calibri" w:cs="Calibri" w:eastAsia="Calibri" w:hAnsi="Calibri"/>
          <w:b/>
          <w:bCs/>
          <w:color w:val="0B3D91"/>
          <w:sz w:val="30"/>
          <w:szCs w:val="30"/>
        </w:rPr>
        <w:t xml:space="preserve">Annex AD: Working Group Terms of Reference</w:t>
      </w:r>
    </w:p>
    <w:p>
      <w:pPr>
        <w:pStyle w:val="Heading2"/>
        <w:keepNext/>
        <w:spacing w:after="140" w:before="260"/>
      </w:pPr>
      <w:r>
        <w:rPr>
          <w:rFonts w:ascii="Calibri" w:cs="Calibri" w:eastAsia="Calibri" w:hAnsi="Calibri"/>
          <w:b/>
          <w:bCs/>
          <w:color w:val="1F5FA8"/>
          <w:sz w:val="24"/>
          <w:szCs w:val="24"/>
        </w:rPr>
        <w:t xml:space="preserve">AD.1 Legal Working Group</w:t>
      </w:r>
    </w:p>
    <w:p>
      <w:pPr>
        <w:spacing w:after="200" w:line="276"/>
        <w:jc w:val="both"/>
      </w:pPr>
      <w:r>
        <w:rPr>
          <w:rFonts w:ascii="Calibri" w:cs="Calibri" w:eastAsia="Calibri" w:hAnsi="Calibri"/>
          <w:color w:val="1A1A1A"/>
          <w:sz w:val="22"/>
          <w:szCs w:val="22"/>
        </w:rPr>
        <w:t xml:space="preserve">The Legal Working Group's terms of reference charge it with developing and coordinating the WTO filing strategy under Article 8.1, maintaining the alternative legal pathway analysis under Article 8.2, developing model domestic legislative language under Article 8.3 and Annex N, and maintaining the public filing docket specified in Article 8.4. The Legal Working Group draws its membership from each Party's international trade law officials, meeting at minimum monthly and more frequently during active filing periods.</w:t>
      </w:r>
    </w:p>
    <w:p>
      <w:pPr>
        <w:pStyle w:val="Heading2"/>
        <w:keepNext/>
        <w:spacing w:after="140" w:before="260"/>
      </w:pPr>
      <w:r>
        <w:rPr>
          <w:rFonts w:ascii="Calibri" w:cs="Calibri" w:eastAsia="Calibri" w:hAnsi="Calibri"/>
          <w:b/>
          <w:bCs/>
          <w:color w:val="1F5FA8"/>
          <w:sz w:val="24"/>
          <w:szCs w:val="24"/>
        </w:rPr>
        <w:t xml:space="preserve">AD.2 Tariff and Customs Working Group</w:t>
      </w:r>
    </w:p>
    <w:p>
      <w:pPr>
        <w:spacing w:after="200" w:line="276"/>
        <w:jc w:val="both"/>
      </w:pPr>
      <w:r>
        <w:rPr>
          <w:rFonts w:ascii="Calibri" w:cs="Calibri" w:eastAsia="Calibri" w:hAnsi="Calibri"/>
          <w:color w:val="1A1A1A"/>
          <w:sz w:val="22"/>
          <w:szCs w:val="22"/>
        </w:rPr>
        <w:t xml:space="preserve">The Tariff and Customs Working Group's terms of reference charge it with maintaining the Harmonized System coverage reconciliation function under Article 4.2, processing exemption and product-specific adjustment requests under Article 5, and supporting the Article 10.1 monitoring function through monthly customs statistics compilation. The Working Group draws its membership from each Party's customs and trade administration officials, and coordinates particularly closely with the Supply Chain and Exemptions Working Group on exemption determinations.</w:t>
      </w:r>
    </w:p>
    <w:p>
      <w:pPr>
        <w:pStyle w:val="Heading2"/>
        <w:keepNext/>
        <w:spacing w:after="140" w:before="260"/>
      </w:pPr>
      <w:r>
        <w:rPr>
          <w:rFonts w:ascii="Calibri" w:cs="Calibri" w:eastAsia="Calibri" w:hAnsi="Calibri"/>
          <w:b/>
          <w:bCs/>
          <w:color w:val="1F5FA8"/>
          <w:sz w:val="24"/>
          <w:szCs w:val="24"/>
        </w:rPr>
        <w:t xml:space="preserve">AD.3 Supply Chain and Exemptions Working Group</w:t>
      </w:r>
    </w:p>
    <w:p>
      <w:pPr>
        <w:spacing w:after="200" w:line="276"/>
        <w:jc w:val="both"/>
      </w:pPr>
      <w:r>
        <w:rPr>
          <w:rFonts w:ascii="Calibri" w:cs="Calibri" w:eastAsia="Calibri" w:hAnsi="Calibri"/>
          <w:color w:val="1A1A1A"/>
          <w:sz w:val="22"/>
          <w:szCs w:val="22"/>
        </w:rPr>
        <w:t xml:space="preserve">The Supply Chain and Exemptions Working Group's terms of reference charge it with the alternative supplier mapping function under Article 7.3, the exemption review function under Article 5.1, and support for the Stabilization Facility's diversification-related disbursements under Annex W.7. The Working Group draws its membership from each Party's trade and industry ministries, incorporating direct industry consultation where a Party's domestic process permits that engagement.</w:t>
      </w:r>
    </w:p>
    <w:p>
      <w:pPr>
        <w:pStyle w:val="Heading2"/>
        <w:keepNext/>
        <w:spacing w:after="140" w:before="260"/>
      </w:pPr>
      <w:r>
        <w:rPr>
          <w:rFonts w:ascii="Calibri" w:cs="Calibri" w:eastAsia="Calibri" w:hAnsi="Calibri"/>
          <w:b/>
          <w:bCs/>
          <w:color w:val="1F5FA8"/>
          <w:sz w:val="24"/>
          <w:szCs w:val="24"/>
        </w:rPr>
        <w:t xml:space="preserve">AD.4 Communications Working Group</w:t>
      </w:r>
    </w:p>
    <w:p>
      <w:pPr>
        <w:spacing w:after="200" w:line="276"/>
        <w:jc w:val="both"/>
      </w:pPr>
      <w:r>
        <w:rPr>
          <w:rFonts w:ascii="Calibri" w:cs="Calibri" w:eastAsia="Calibri" w:hAnsi="Calibri"/>
          <w:color w:val="1A1A1A"/>
          <w:sz w:val="22"/>
          <w:szCs w:val="22"/>
        </w:rPr>
        <w:t xml:space="preserve">The Communications Working Group's terms of reference charge it with maintaining the unified external narrative under Article 9.1, operating the secure internal channel under Article 9.3 and Annex AC, maintaining the domestic shielding toolkit under Article 9.4 and Annex G.3, and operating the public opinion and media monitoring function under Annex Y. The Working Group draws its membership from each Party's foreign ministry communications and public diplomacy officials.</w:t>
      </w:r>
    </w:p>
    <w:p>
      <w:pPr>
        <w:pStyle w:val="Heading1"/>
        <w:keepNext/>
        <w:spacing w:after="200" w:before="360"/>
      </w:pPr>
      <w:r>
        <w:rPr>
          <w:rFonts w:ascii="Calibri" w:cs="Calibri" w:eastAsia="Calibri" w:hAnsi="Calibri"/>
          <w:b/>
          <w:bCs/>
          <w:color w:val="0B3D91"/>
          <w:sz w:val="30"/>
          <w:szCs w:val="30"/>
        </w:rPr>
        <w:t xml:space="preserve">Annex AE: The Prisoner's Dilemma, Extended Analysis</w:t>
      </w:r>
    </w:p>
    <w:p>
      <w:pPr>
        <w:pStyle w:val="Heading2"/>
        <w:keepNext/>
        <w:spacing w:after="140" w:before="260"/>
      </w:pPr>
      <w:r>
        <w:rPr>
          <w:rFonts w:ascii="Calibri" w:cs="Calibri" w:eastAsia="Calibri" w:hAnsi="Calibri"/>
          <w:b/>
          <w:bCs/>
          <w:color w:val="1F5FA8"/>
          <w:sz w:val="24"/>
          <w:szCs w:val="24"/>
        </w:rPr>
        <w:t xml:space="preserve">AE.1 The Structural Problem</w:t>
      </w:r>
    </w:p>
    <w:p>
      <w:pPr>
        <w:spacing w:after="200" w:line="276"/>
        <w:jc w:val="both"/>
      </w:pPr>
      <w:r>
        <w:rPr>
          <w:rFonts w:ascii="Calibri" w:cs="Calibri" w:eastAsia="Calibri" w:hAnsi="Calibri"/>
          <w:color w:val="1A1A1A"/>
          <w:sz w:val="22"/>
          <w:szCs w:val="22"/>
        </w:rPr>
        <w:t xml:space="preserve">Coalition-building of the kind this Framework attempts confronts a structural incentive problem familiar from game theory: each individual prospective Party faces a private incentive to accept a favorable bilateral arrangement with the United States even where every Party's collective interest favors maintaining coalition unity. This dynamic intensifies precisely because the United States retains the ability to offer sequential, individually tailored concessions to peel off prospective or existing coalition members one at a time, extracting a lower aggregate cost than the concession a fully unified coalition would otherwise command. The Framework's entire discipline architecture under Article 6 and Annex C exists specifically to change the payoff structure each individual Party faces, converting what would otherwise be a rational individual defection into a costly, self-defeating choice.</w:t>
      </w:r>
    </w:p>
    <w:p>
      <w:pPr>
        <w:pStyle w:val="Heading2"/>
        <w:keepNext/>
        <w:spacing w:after="140" w:before="260"/>
      </w:pPr>
      <w:r>
        <w:rPr>
          <w:rFonts w:ascii="Calibri" w:cs="Calibri" w:eastAsia="Calibri" w:hAnsi="Calibri"/>
          <w:b/>
          <w:bCs/>
          <w:color w:val="1F5FA8"/>
          <w:sz w:val="24"/>
          <w:szCs w:val="24"/>
        </w:rPr>
        <w:t xml:space="preserve">AE.2 How the Framework Alters the Payoff Structure</w:t>
      </w:r>
    </w:p>
    <w:p>
      <w:pPr>
        <w:spacing w:after="200" w:line="276"/>
        <w:jc w:val="both"/>
      </w:pPr>
      <w:r>
        <w:rPr>
          <w:rFonts w:ascii="Calibri" w:cs="Calibri" w:eastAsia="Calibri" w:hAnsi="Calibri"/>
          <w:color w:val="1A1A1A"/>
          <w:sz w:val="22"/>
          <w:szCs w:val="22"/>
        </w:rPr>
        <w:t xml:space="preserve">The Framework's mutual market access guarantees under Article 7.1, its Stabilization Facility under Article 7.2, and its intelligence-sharing architecture under Article 7.4 collectively raise the value of continued coalition membership well above the value of the status quo ante, ensuring that a Party comparing coalition membership against a hypothetical separate bilateral deal weighs not only the deal's direct terms but also the coalition benefits that deal's acceptance forfeits. The Framework's consequences of defection under Article 6.3 simultaneously raise the cost side of the comparison, ensuring that a defecting Party loses concrete, valuable coalition benefits rather than facing only a diffuse reputational cost that historical uncoordinated coalitions have generally proven too weak to sustain discipline.</w:t>
      </w:r>
    </w:p>
    <w:p>
      <w:pPr>
        <w:pStyle w:val="Heading2"/>
        <w:keepNext/>
        <w:spacing w:after="140" w:before="260"/>
      </w:pPr>
      <w:r>
        <w:rPr>
          <w:rFonts w:ascii="Calibri" w:cs="Calibri" w:eastAsia="Calibri" w:hAnsi="Calibri"/>
          <w:b/>
          <w:bCs/>
          <w:color w:val="1F5FA8"/>
          <w:sz w:val="24"/>
          <w:szCs w:val="24"/>
        </w:rPr>
        <w:t xml:space="preserve">AE.3 The Role of Sequencing and Momentum</w:t>
      </w:r>
    </w:p>
    <w:p>
      <w:pPr>
        <w:spacing w:after="200" w:line="276"/>
        <w:jc w:val="both"/>
      </w:pPr>
      <w:r>
        <w:rPr>
          <w:rFonts w:ascii="Calibri" w:cs="Calibri" w:eastAsia="Calibri" w:hAnsi="Calibri"/>
          <w:color w:val="1A1A1A"/>
          <w:sz w:val="22"/>
          <w:szCs w:val="22"/>
        </w:rPr>
        <w:t xml:space="preserve">The Framework's compressed implementation timeline under Annex I and its lock-in mechanism under Annex C.1 address a further dimension of the prisoner's dilemma problem: the earlier a prospective Party commits publicly, the higher the political cost of later reversal, and the Framework's design deliberately front-loads public commitment relative to the point at which the underlying tariff measures actually take economic effect. This sequencing choice reflects the lesson, documented in Annex X's Ottawa Treaty comparison, that early, visible commitment before opposition fully organizes produces more durable coalition membership than a design that leaves public commitment until immediately before implementation, when United States counter-pressure has had maximum time to organize against individual prospective members.</w:t>
      </w:r>
    </w:p>
    <w:p>
      <w:pPr>
        <w:pStyle w:val="Heading2"/>
        <w:keepNext/>
        <w:spacing w:after="140" w:before="260"/>
      </w:pPr>
      <w:r>
        <w:rPr>
          <w:rFonts w:ascii="Calibri" w:cs="Calibri" w:eastAsia="Calibri" w:hAnsi="Calibri"/>
          <w:b/>
          <w:bCs/>
          <w:color w:val="1F5FA8"/>
          <w:sz w:val="24"/>
          <w:szCs w:val="24"/>
        </w:rPr>
        <w:t xml:space="preserve">AE.4 Residual Risk and Realistic Expectations</w:t>
      </w:r>
    </w:p>
    <w:p>
      <w:pPr>
        <w:spacing w:after="200" w:line="276"/>
        <w:jc w:val="both"/>
      </w:pPr>
      <w:r>
        <w:rPr>
          <w:rFonts w:ascii="Calibri" w:cs="Calibri" w:eastAsia="Calibri" w:hAnsi="Calibri"/>
          <w:color w:val="1A1A1A"/>
          <w:sz w:val="22"/>
          <w:szCs w:val="22"/>
        </w:rPr>
        <w:t xml:space="preserve">The Steering Committee acknowledges candidly that no discipline architecture eliminates defection risk entirely, particularly for Parties carrying the kind of deep United States supply-chain integration Annex J.5 documents for Mexico, and the Framework's design accordingly builds in the flexibility of the Associate Member category under Article 2.3 rather than presenting Full Membership as the only available participation option. This calibrated flexibility reflects the Steering Committee's judgment that a coalition accommodating varying degrees of commitment achieves greater aggregate coverage and durability than a rigid, all-or-nothing membership structure that risks excluding economically significant Parties whose full immediate commitment proves impractical given their particular United States trade exposure.</w:t>
      </w:r>
    </w:p>
    <w:p>
      <w:pPr>
        <w:pStyle w:val="Heading1"/>
        <w:keepNext/>
        <w:spacing w:after="200" w:before="360"/>
      </w:pPr>
      <w:r>
        <w:rPr>
          <w:rFonts w:ascii="Calibri" w:cs="Calibri" w:eastAsia="Calibri" w:hAnsi="Calibri"/>
          <w:b/>
          <w:bCs/>
          <w:color w:val="0B3D91"/>
          <w:sz w:val="30"/>
          <w:szCs w:val="30"/>
        </w:rPr>
        <w:t xml:space="preserve">Annex AF: Contingency Planning for Early Defection Scenarios</w:t>
      </w:r>
    </w:p>
    <w:p>
      <w:pPr>
        <w:pStyle w:val="Heading2"/>
        <w:keepNext/>
        <w:spacing w:after="140" w:before="260"/>
      </w:pPr>
      <w:r>
        <w:rPr>
          <w:rFonts w:ascii="Calibri" w:cs="Calibri" w:eastAsia="Calibri" w:hAnsi="Calibri"/>
          <w:b/>
          <w:bCs/>
          <w:color w:val="1F5FA8"/>
          <w:sz w:val="24"/>
          <w:szCs w:val="24"/>
        </w:rPr>
        <w:t xml:space="preserve">AF.1 Single-Party Early Defection</w:t>
      </w:r>
    </w:p>
    <w:p>
      <w:pPr>
        <w:spacing w:after="200" w:line="276"/>
        <w:jc w:val="both"/>
      </w:pPr>
      <w:r>
        <w:rPr>
          <w:rFonts w:ascii="Calibri" w:cs="Calibri" w:eastAsia="Calibri" w:hAnsi="Calibri"/>
          <w:color w:val="1A1A1A"/>
          <w:sz w:val="22"/>
          <w:szCs w:val="22"/>
        </w:rPr>
        <w:t xml:space="preserve">Where a single Party signals intent to defect from the Framework's tariff floor within the initial twelve-month commitment window Article 6.4 specifies, the Steering Committee activates an accelerated consultation protocol, convening an emergency Coalition Council session within five days rather than the ordinary ten-day window Article 6.2 specifies for United States offer notifications, reflecting the heightened urgency an early defection signal carries for overall coalition credibility. The Steering Committee deploys the collective counter-retaliation and diplomatic shielding mechanisms under Annex C.3 preferentially in this scenario, seeking to resolve the wavering Party's concerns before a formal defection determination under Article 6.3 becomes necessary.</w:t>
      </w:r>
    </w:p>
    <w:p>
      <w:pPr>
        <w:pStyle w:val="Heading2"/>
        <w:keepNext/>
        <w:spacing w:after="140" w:before="260"/>
      </w:pPr>
      <w:r>
        <w:rPr>
          <w:rFonts w:ascii="Calibri" w:cs="Calibri" w:eastAsia="Calibri" w:hAnsi="Calibri"/>
          <w:b/>
          <w:bCs/>
          <w:color w:val="1F5FA8"/>
          <w:sz w:val="24"/>
          <w:szCs w:val="24"/>
        </w:rPr>
        <w:t xml:space="preserve">AF.2 Coordinated Multi-Party Pressure Events</w:t>
      </w:r>
    </w:p>
    <w:p>
      <w:pPr>
        <w:spacing w:after="200" w:line="276"/>
        <w:jc w:val="both"/>
      </w:pPr>
      <w:r>
        <w:rPr>
          <w:rFonts w:ascii="Calibri" w:cs="Calibri" w:eastAsia="Calibri" w:hAnsi="Calibri"/>
          <w:color w:val="1A1A1A"/>
          <w:sz w:val="22"/>
          <w:szCs w:val="22"/>
        </w:rPr>
        <w:t xml:space="preserve">Where the United States applies simultaneous pressure against multiple Parties in a coordinated attempt to fracture the coalition broadly rather than through sequential single-Party pressure, the Steering Committee treats this scenario as triggering the highest level of collective response under the retaliation ladder framework in Annex D, recognizing that a broad simultaneous pressure event represents a direct attack on the Framework's core discipline architecture rather than an ordinary bilateral pressure episode. The Steering Committee convenes the full Coalition Council within seventy-two hours of identifying a coordinated multi-Party pressure pattern, prioritizing rapid collective deliberation over the ordinary quarterly session cadence.</w:t>
      </w:r>
    </w:p>
    <w:p>
      <w:pPr>
        <w:pStyle w:val="Heading2"/>
        <w:keepNext/>
        <w:spacing w:after="140" w:before="260"/>
      </w:pPr>
      <w:r>
        <w:rPr>
          <w:rFonts w:ascii="Calibri" w:cs="Calibri" w:eastAsia="Calibri" w:hAnsi="Calibri"/>
          <w:b/>
          <w:bCs/>
          <w:color w:val="1F5FA8"/>
          <w:sz w:val="24"/>
          <w:szCs w:val="24"/>
        </w:rPr>
        <w:t xml:space="preserve">AF.3 Post-Defection Coalition Continuity</w:t>
      </w:r>
    </w:p>
    <w:p>
      <w:pPr>
        <w:spacing w:after="200" w:line="276"/>
        <w:jc w:val="both"/>
      </w:pPr>
      <w:r>
        <w:rPr>
          <w:rFonts w:ascii="Calibri" w:cs="Calibri" w:eastAsia="Calibri" w:hAnsi="Calibri"/>
          <w:color w:val="1A1A1A"/>
          <w:sz w:val="22"/>
          <w:szCs w:val="22"/>
        </w:rPr>
        <w:t xml:space="preserve">Where a Party's defection determination under Article 6.3 becomes final, the Steering Committee assesses the coalition's remaining aggregate coverage against the Annex A.3 sixty-percent leverage threshold, and where remaining coverage falls meaningfully below that threshold, the Steering Committee activates an accelerated recruitment effort targeting the Tier 3 economies not yet acceded, drawing on the surplus coalition capacity Annex A.4 documents in the eighteen-to-twenty-two economy total potential membership pool. This contingency ensures the Framework maintains adequate collective leverage even where an individual defection reduces the coalition's immediate aggregate coverage below its optimal operating level.</w:t>
      </w:r>
    </w:p>
    <w:p>
      <w:pPr>
        <w:pStyle w:val="Heading1"/>
        <w:keepNext/>
        <w:spacing w:after="200" w:before="360"/>
      </w:pPr>
      <w:r>
        <w:rPr>
          <w:rFonts w:ascii="Calibri" w:cs="Calibri" w:eastAsia="Calibri" w:hAnsi="Calibri"/>
          <w:b/>
          <w:bCs/>
          <w:color w:val="0B3D91"/>
          <w:sz w:val="30"/>
          <w:szCs w:val="30"/>
        </w:rPr>
        <w:t xml:space="preserve">Annex AG: Model Domestic Implementing Order</w:t>
      </w:r>
    </w:p>
    <w:p>
      <w:pPr>
        <w:spacing w:after="200" w:line="276"/>
        <w:jc w:val="both"/>
      </w:pPr>
      <w:r>
        <w:rPr>
          <w:rFonts w:ascii="Calibri" w:cs="Calibri" w:eastAsia="Calibri" w:hAnsi="Calibri"/>
          <w:color w:val="1A1A1A"/>
          <w:sz w:val="22"/>
          <w:szCs w:val="22"/>
        </w:rPr>
        <w:t xml:space="preserve">This Annex provides model administrative text that a Party's competent trade or customs authority adapts to give this Agreement domestic operative effect where the Party's legal system relies primarily on administrative implementation rather than the legislative codification path Article 8.3 and Annex N address.</w:t>
      </w:r>
    </w:p>
    <w:p>
      <w:pPr>
        <w:pStyle w:val="Heading2"/>
        <w:keepNext/>
        <w:spacing w:after="140" w:before="260"/>
      </w:pPr>
      <w:r>
        <w:rPr>
          <w:rFonts w:ascii="Calibri" w:cs="Calibri" w:eastAsia="Calibri" w:hAnsi="Calibri"/>
          <w:b/>
          <w:bCs/>
          <w:color w:val="1F5FA8"/>
          <w:sz w:val="24"/>
          <w:szCs w:val="24"/>
        </w:rPr>
        <w:t xml:space="preserve">AG.1 Recitals</w:t>
      </w:r>
    </w:p>
    <w:p>
      <w:pPr>
        <w:spacing w:after="200" w:line="276"/>
        <w:jc w:val="both"/>
      </w:pPr>
      <w:r>
        <w:rPr>
          <w:rFonts w:ascii="Calibri" w:cs="Calibri" w:eastAsia="Calibri" w:hAnsi="Calibri"/>
          <w:color w:val="1A1A1A"/>
          <w:sz w:val="22"/>
          <w:szCs w:val="22"/>
        </w:rPr>
        <w:t xml:space="preserve">The model implementing order opens with recitals establishing the enacting Party's accession to this Agreement under Article 2.2, the Party's selected membership category under Article 2.3, and the Party's competent authority's delegated power to implement the tariff measures this Agreement specifies through ordinary administrative or ministerial order consistent with the enacting Party's domestic legal framework.</w:t>
      </w:r>
    </w:p>
    <w:p>
      <w:pPr>
        <w:pStyle w:val="Heading2"/>
        <w:keepNext/>
        <w:spacing w:after="140" w:before="260"/>
      </w:pPr>
      <w:r>
        <w:rPr>
          <w:rFonts w:ascii="Calibri" w:cs="Calibri" w:eastAsia="Calibri" w:hAnsi="Calibri"/>
          <w:b/>
          <w:bCs/>
          <w:color w:val="1F5FA8"/>
          <w:sz w:val="24"/>
          <w:szCs w:val="24"/>
        </w:rPr>
        <w:t xml:space="preserve">AG.2 Operative Sections</w:t>
      </w:r>
    </w:p>
    <w:p>
      <w:pPr>
        <w:spacing w:after="200" w:line="276"/>
        <w:jc w:val="both"/>
      </w:pPr>
      <w:r>
        <w:rPr>
          <w:rFonts w:ascii="Calibri" w:cs="Calibri" w:eastAsia="Calibri" w:hAnsi="Calibri"/>
          <w:color w:val="1A1A1A"/>
          <w:sz w:val="22"/>
          <w:szCs w:val="22"/>
        </w:rPr>
        <w:t xml:space="preserve">The model implementing order's operative sections specify the twenty percent ad valorem rate applicable to the covered Harmonized System headings listed in the enacting Party's own tariff nomenclature, cross-referenced against the Article 4.2 coverage table through the Working Group's reconciliation guide, the coordinated effective date confirmed under Article 4.3, and the enacting Party's designated procedure for critical input exemption applications consistent with Article 5.1. The model order includes a standing delegation empowering the enacting Party's customs authority to update the tariff nomenclature cross-reference administratively as the Working Group's quarterly reconciliation updates require, avoiding the need for a fresh implementing order at each routine technical update.</w:t>
      </w:r>
    </w:p>
    <w:p>
      <w:pPr>
        <w:pStyle w:val="Heading2"/>
        <w:keepNext/>
        <w:spacing w:after="140" w:before="260"/>
      </w:pPr>
      <w:r>
        <w:rPr>
          <w:rFonts w:ascii="Calibri" w:cs="Calibri" w:eastAsia="Calibri" w:hAnsi="Calibri"/>
          <w:b/>
          <w:bCs/>
          <w:color w:val="1F5FA8"/>
          <w:sz w:val="24"/>
          <w:szCs w:val="24"/>
        </w:rPr>
        <w:t xml:space="preserve">AG.3 Review and Sunset Alignment</w:t>
      </w:r>
    </w:p>
    <w:p>
      <w:pPr>
        <w:spacing w:after="200" w:line="276"/>
        <w:jc w:val="both"/>
      </w:pPr>
      <w:r>
        <w:rPr>
          <w:rFonts w:ascii="Calibri" w:cs="Calibri" w:eastAsia="Calibri" w:hAnsi="Calibri"/>
          <w:color w:val="1A1A1A"/>
          <w:sz w:val="22"/>
          <w:szCs w:val="22"/>
        </w:rPr>
        <w:t xml:space="preserve">The model implementing order's review provisions align explicitly with the Framework's own periodic review cadence under Article 5.2 and Article 10.3, directing the enacting Party's competent authority to reassess the order's continued operation at each Framework review milestone rather than establishing an independent domestic review timeline that risks falling out of alignment with the Framework's own institutional review calendar.</w:t>
      </w:r>
    </w:p>
    <w:p>
      <w:pPr>
        <w:pStyle w:val="Heading1"/>
        <w:keepNext/>
        <w:spacing w:after="200" w:before="360"/>
      </w:pPr>
      <w:r>
        <w:rPr>
          <w:rFonts w:ascii="Calibri" w:cs="Calibri" w:eastAsia="Calibri" w:hAnsi="Calibri"/>
          <w:b/>
          <w:bCs/>
          <w:color w:val="0B3D91"/>
          <w:sz w:val="30"/>
          <w:szCs w:val="30"/>
        </w:rPr>
        <w:t xml:space="preserve">Annex AH: Intra-Coalition Dispute Resolution</w:t>
      </w:r>
    </w:p>
    <w:p>
      <w:pPr>
        <w:pStyle w:val="Heading2"/>
        <w:keepNext/>
        <w:spacing w:after="140" w:before="260"/>
      </w:pPr>
      <w:r>
        <w:rPr>
          <w:rFonts w:ascii="Calibri" w:cs="Calibri" w:eastAsia="Calibri" w:hAnsi="Calibri"/>
          <w:b/>
          <w:bCs/>
          <w:color w:val="1F5FA8"/>
          <w:sz w:val="24"/>
          <w:szCs w:val="24"/>
        </w:rPr>
        <w:t xml:space="preserve">AH.1 Scope</w:t>
      </w:r>
    </w:p>
    <w:p>
      <w:pPr>
        <w:spacing w:after="200" w:line="276"/>
        <w:jc w:val="both"/>
      </w:pPr>
      <w:r>
        <w:rPr>
          <w:rFonts w:ascii="Calibri" w:cs="Calibri" w:eastAsia="Calibri" w:hAnsi="Calibri"/>
          <w:color w:val="1A1A1A"/>
          <w:sz w:val="22"/>
          <w:szCs w:val="22"/>
        </w:rPr>
        <w:t xml:space="preserve">This Annex establishes the procedure Parties apply where a dispute arises between two or more Parties regarding the interpretation or application of this Agreement, distinct from the external WTO and legal strategy Article 8 addresses toward United States tariff measures. Intra-coalition disputes typically concern exemption determinations under Article 5.1, coverage classification questions under Article 4.2, or disagreement over whether a specific Party's conduct constitutes defection under Article 6.3.</w:t>
      </w:r>
    </w:p>
    <w:p>
      <w:pPr>
        <w:pStyle w:val="Heading2"/>
        <w:keepNext/>
        <w:spacing w:after="140" w:before="260"/>
      </w:pPr>
      <w:r>
        <w:rPr>
          <w:rFonts w:ascii="Calibri" w:cs="Calibri" w:eastAsia="Calibri" w:hAnsi="Calibri"/>
          <w:b/>
          <w:bCs/>
          <w:color w:val="1F5FA8"/>
          <w:sz w:val="24"/>
          <w:szCs w:val="24"/>
        </w:rPr>
        <w:t xml:space="preserve">AH.2 Consultation Requirement</w:t>
      </w:r>
    </w:p>
    <w:p>
      <w:pPr>
        <w:spacing w:after="200" w:line="276"/>
        <w:jc w:val="both"/>
      </w:pPr>
      <w:r>
        <w:rPr>
          <w:rFonts w:ascii="Calibri" w:cs="Calibri" w:eastAsia="Calibri" w:hAnsi="Calibri"/>
          <w:color w:val="1A1A1A"/>
          <w:sz w:val="22"/>
          <w:szCs w:val="22"/>
        </w:rPr>
        <w:t xml:space="preserve">Parties to an intra-coalition dispute engage in direct consultation for a period of thirty days before escalating the matter to the Legal Working Group for formal review, reflecting the Framework's general preference for resolving disagreements through direct dialogue before invoking more formal institutional mechanisms. The Legal Working Group facilitates this consultation where requested by either Party, without itself rendering a binding determination during the consultation period.</w:t>
      </w:r>
    </w:p>
    <w:p>
      <w:pPr>
        <w:pStyle w:val="Heading2"/>
        <w:keepNext/>
        <w:spacing w:after="140" w:before="260"/>
      </w:pPr>
      <w:r>
        <w:rPr>
          <w:rFonts w:ascii="Calibri" w:cs="Calibri" w:eastAsia="Calibri" w:hAnsi="Calibri"/>
          <w:b/>
          <w:bCs/>
          <w:color w:val="1F5FA8"/>
          <w:sz w:val="24"/>
          <w:szCs w:val="24"/>
        </w:rPr>
        <w:t xml:space="preserve">AH.3 Legal Working Group Determination</w:t>
      </w:r>
    </w:p>
    <w:p>
      <w:pPr>
        <w:spacing w:after="200" w:line="276"/>
        <w:jc w:val="both"/>
      </w:pPr>
      <w:r>
        <w:rPr>
          <w:rFonts w:ascii="Calibri" w:cs="Calibri" w:eastAsia="Calibri" w:hAnsi="Calibri"/>
          <w:color w:val="1A1A1A"/>
          <w:sz w:val="22"/>
          <w:szCs w:val="22"/>
        </w:rPr>
        <w:t xml:space="preserve">Where direct consultation fails to resolve the dispute, either Party refers the matter to the Legal Working Group for a formal non-binding determination, which the Legal Working Group issues within forty-five days of referral based on written submissions from both Parties. The Legal Working Group's determination becomes binding only where both disputing Parties accept it, or where the Coalition Council ratifies the determination through the simple majority procedure that governs ordinary operational matters under Annex V.1.</w:t>
      </w:r>
    </w:p>
    <w:p>
      <w:pPr>
        <w:pStyle w:val="Heading2"/>
        <w:keepNext/>
        <w:spacing w:after="140" w:before="260"/>
      </w:pPr>
      <w:r>
        <w:rPr>
          <w:rFonts w:ascii="Calibri" w:cs="Calibri" w:eastAsia="Calibri" w:hAnsi="Calibri"/>
          <w:b/>
          <w:bCs/>
          <w:color w:val="1F5FA8"/>
          <w:sz w:val="24"/>
          <w:szCs w:val="24"/>
        </w:rPr>
        <w:t xml:space="preserve">AH.4 Coalition Council Final Resolution</w:t>
      </w:r>
    </w:p>
    <w:p>
      <w:pPr>
        <w:spacing w:after="200" w:line="276"/>
        <w:jc w:val="both"/>
      </w:pPr>
      <w:r>
        <w:rPr>
          <w:rFonts w:ascii="Calibri" w:cs="Calibri" w:eastAsia="Calibri" w:hAnsi="Calibri"/>
          <w:color w:val="1A1A1A"/>
          <w:sz w:val="22"/>
          <w:szCs w:val="22"/>
        </w:rPr>
        <w:t xml:space="preserve">Where Legal Working Group facilitation fails to resolve the dispute, either Party refers the matter to the Coalition Council for final resolution at its next scheduled session, and the Coalition Council's resolution, adopted through simple majority vote, binds both disputing Parties as a final determination within the Framework's own governance structure. This internal dispute resolution architecture operates independently of, and does not affect, either Party's separate rights and obligations under general international law or other applicable international agreements.</w:t>
      </w:r>
    </w:p>
    <w:p>
      <w:pPr>
        <w:pStyle w:val="Heading1"/>
        <w:keepNext/>
        <w:spacing w:after="200" w:before="360"/>
      </w:pPr>
      <w:r>
        <w:rPr>
          <w:rFonts w:ascii="Calibri" w:cs="Calibri" w:eastAsia="Calibri" w:hAnsi="Calibri"/>
          <w:b/>
          <w:bCs/>
          <w:color w:val="0B3D91"/>
          <w:sz w:val="30"/>
          <w:szCs w:val="30"/>
        </w:rPr>
        <w:t xml:space="preserve">Annex AI: Currency and Valuation for Ad Valorem Calculation</w:t>
      </w:r>
    </w:p>
    <w:p>
      <w:pPr>
        <w:pStyle w:val="Heading2"/>
        <w:keepNext/>
        <w:spacing w:after="140" w:before="260"/>
      </w:pPr>
      <w:r>
        <w:rPr>
          <w:rFonts w:ascii="Calibri" w:cs="Calibri" w:eastAsia="Calibri" w:hAnsi="Calibri"/>
          <w:b/>
          <w:bCs/>
          <w:color w:val="1F5FA8"/>
          <w:sz w:val="24"/>
          <w:szCs w:val="24"/>
        </w:rPr>
        <w:t xml:space="preserve">AI.1 Valuation Basis</w:t>
      </w:r>
    </w:p>
    <w:p>
      <w:pPr>
        <w:spacing w:after="200" w:line="276"/>
        <w:jc w:val="both"/>
      </w:pPr>
      <w:r>
        <w:rPr>
          <w:rFonts w:ascii="Calibri" w:cs="Calibri" w:eastAsia="Calibri" w:hAnsi="Calibri"/>
          <w:color w:val="1A1A1A"/>
          <w:sz w:val="22"/>
          <w:szCs w:val="22"/>
        </w:rPr>
        <w:t xml:space="preserve">Parties calculate the twenty percent ad valorem tariff under Article 4.1 against the customs value each Party's own domestic law establishes for imported goods, consistent with the World Trade Organization Customs Valuation Agreement's transaction-value methodology that the overwhelming majority of Parties already apply in their ordinary customs administration. The Tariff and Customs Working Group does not impose a separate, Framework-specific valuation methodology, recognizing that harmonizing valuation practice across a membership of fifteen or more distinct customs jurisdictions would introduce unnecessary administrative complexity without meaningful benefit to the Framework's core tariff objective.</w:t>
      </w:r>
    </w:p>
    <w:p>
      <w:pPr>
        <w:pStyle w:val="Heading2"/>
        <w:keepNext/>
        <w:spacing w:after="140" w:before="260"/>
      </w:pPr>
      <w:r>
        <w:rPr>
          <w:rFonts w:ascii="Calibri" w:cs="Calibri" w:eastAsia="Calibri" w:hAnsi="Calibri"/>
          <w:b/>
          <w:bCs/>
          <w:color w:val="1F5FA8"/>
          <w:sz w:val="24"/>
          <w:szCs w:val="24"/>
        </w:rPr>
        <w:t xml:space="preserve">AI.2 Currency Conversion</w:t>
      </w:r>
    </w:p>
    <w:p>
      <w:pPr>
        <w:spacing w:after="200" w:line="276"/>
        <w:jc w:val="both"/>
      </w:pPr>
      <w:r>
        <w:rPr>
          <w:rFonts w:ascii="Calibri" w:cs="Calibri" w:eastAsia="Calibri" w:hAnsi="Calibri"/>
          <w:color w:val="1A1A1A"/>
          <w:sz w:val="22"/>
          <w:szCs w:val="22"/>
        </w:rPr>
        <w:t xml:space="preserve">Parties apply their own domestic customs currency conversion practice, ordinarily based on an official exchange rate published at the time of importation, without requiring a Framework-standardized conversion mechanism. The Tariff and Customs Working Group monitors aggregate currency effects on the Framework's reported export-value metrics under Article 10.1, adjusting the Annex F dashboard's underlying baseline data periodically to account for material currency fluctuation that would otherwise distort period-over-period comparison of United States export volume trends.</w:t>
      </w:r>
    </w:p>
    <w:p>
      <w:pPr>
        <w:pStyle w:val="Heading2"/>
        <w:keepNext/>
        <w:spacing w:after="140" w:before="260"/>
      </w:pPr>
      <w:r>
        <w:rPr>
          <w:rFonts w:ascii="Calibri" w:cs="Calibri" w:eastAsia="Calibri" w:hAnsi="Calibri"/>
          <w:b/>
          <w:bCs/>
          <w:color w:val="1F5FA8"/>
          <w:sz w:val="24"/>
          <w:szCs w:val="24"/>
        </w:rPr>
        <w:t xml:space="preserve">AI.3 Treatment of Related-Party Transactions</w:t>
      </w:r>
    </w:p>
    <w:p>
      <w:pPr>
        <w:spacing w:after="200" w:line="276"/>
        <w:jc w:val="both"/>
      </w:pPr>
      <w:r>
        <w:rPr>
          <w:rFonts w:ascii="Calibri" w:cs="Calibri" w:eastAsia="Calibri" w:hAnsi="Calibri"/>
          <w:color w:val="1A1A1A"/>
          <w:sz w:val="22"/>
          <w:szCs w:val="22"/>
        </w:rPr>
        <w:t xml:space="preserve">Where a covered import involves a transaction between related parties, including intra-firm transfers within a multinational enterprise operating both United States and coalition-member facilities, Parties apply their existing domestic transfer-pricing and customs-valuation anti-avoidance rules to ensure the declared transaction value reflects an arm's-length equivalent rather than an artificially suppressed value designed to minimize the Framework's tariff effect. The Tariff and Customs Working Group circulates guidance identifying related-party transaction patterns of particular concern, drawing on the collective customs administration experience across the full membership.</w:t>
      </w:r>
    </w:p>
    <w:p>
      <w:pPr>
        <w:pStyle w:val="Heading1"/>
        <w:keepNext/>
        <w:spacing w:after="200" w:before="360"/>
      </w:pPr>
      <w:r>
        <w:rPr>
          <w:rFonts w:ascii="Calibri" w:cs="Calibri" w:eastAsia="Calibri" w:hAnsi="Calibri"/>
          <w:b/>
          <w:bCs/>
          <w:color w:val="0B3D91"/>
          <w:sz w:val="30"/>
          <w:szCs w:val="30"/>
        </w:rPr>
        <w:t xml:space="preserve">Annex AJ: Rules of Origin Verification</w:t>
      </w:r>
    </w:p>
    <w:p>
      <w:pPr>
        <w:pStyle w:val="Heading2"/>
        <w:keepNext/>
        <w:spacing w:after="140" w:before="260"/>
      </w:pPr>
      <w:r>
        <w:rPr>
          <w:rFonts w:ascii="Calibri" w:cs="Calibri" w:eastAsia="Calibri" w:hAnsi="Calibri"/>
          <w:b/>
          <w:bCs/>
          <w:color w:val="1F5FA8"/>
          <w:sz w:val="24"/>
          <w:szCs w:val="24"/>
        </w:rPr>
        <w:t xml:space="preserve">AJ.1 General Approach</w:t>
      </w:r>
    </w:p>
    <w:p>
      <w:pPr>
        <w:spacing w:after="200" w:line="276"/>
        <w:jc w:val="both"/>
      </w:pPr>
      <w:r>
        <w:rPr>
          <w:rFonts w:ascii="Calibri" w:cs="Calibri" w:eastAsia="Calibri" w:hAnsi="Calibri"/>
          <w:color w:val="1A1A1A"/>
          <w:sz w:val="22"/>
          <w:szCs w:val="22"/>
        </w:rPr>
        <w:t xml:space="preserve">Parties apply their existing domestic rules of origin, consistent with the World Trade Organization Agreement on Rules of Origin, to determine whether an imported product qualifies as United States-origin for purposes of Framework tariff application, without requiring a separate, Framework-specific origin methodology. This approach minimizes the administrative burden the Framework imposes on customs administrations already applying established origin-determination procedures across their broader trade relationships.</w:t>
      </w:r>
    </w:p>
    <w:p>
      <w:pPr>
        <w:pStyle w:val="Heading2"/>
        <w:keepNext/>
        <w:spacing w:after="140" w:before="260"/>
      </w:pPr>
      <w:r>
        <w:rPr>
          <w:rFonts w:ascii="Calibri" w:cs="Calibri" w:eastAsia="Calibri" w:hAnsi="Calibri"/>
          <w:b/>
          <w:bCs/>
          <w:color w:val="1F5FA8"/>
          <w:sz w:val="24"/>
          <w:szCs w:val="24"/>
        </w:rPr>
        <w:t xml:space="preserve">AJ.2 Substantial Transformation and Circumvention</w:t>
      </w:r>
    </w:p>
    <w:p>
      <w:pPr>
        <w:spacing w:after="200" w:line="276"/>
        <w:jc w:val="both"/>
      </w:pPr>
      <w:r>
        <w:rPr>
          <w:rFonts w:ascii="Calibri" w:cs="Calibri" w:eastAsia="Calibri" w:hAnsi="Calibri"/>
          <w:color w:val="1A1A1A"/>
          <w:sz w:val="22"/>
          <w:szCs w:val="22"/>
        </w:rPr>
        <w:t xml:space="preserve">The Tariff and Customs Working Group applies particular scrutiny to substantial-transformation determinations for products that undergo minor processing in a third country after their initial manufacture in the United States, consistent with the anti-circumvention rationale Annex AA documents for the Framework's intermediate-product coverage headings. The Working Group circulates a shared reference list of processing operations that Parties' collective customs experience identifies as insufficient to confer non-United States origin, supporting consistent origin determinations across the full membership and reducing the risk that circumvention succeeds in one Party's jurisdiction merely because that Party's customs administration lacks the shared reference information other Parties have already developed.</w:t>
      </w:r>
    </w:p>
    <w:p>
      <w:pPr>
        <w:pStyle w:val="Heading2"/>
        <w:keepNext/>
        <w:spacing w:after="140" w:before="260"/>
      </w:pPr>
      <w:r>
        <w:rPr>
          <w:rFonts w:ascii="Calibri" w:cs="Calibri" w:eastAsia="Calibri" w:hAnsi="Calibri"/>
          <w:b/>
          <w:bCs/>
          <w:color w:val="1F5FA8"/>
          <w:sz w:val="24"/>
          <w:szCs w:val="24"/>
        </w:rPr>
        <w:t xml:space="preserve">AJ.3 Certification and Documentation</w:t>
      </w:r>
    </w:p>
    <w:p>
      <w:pPr>
        <w:spacing w:after="200" w:line="276"/>
        <w:jc w:val="both"/>
      </w:pPr>
      <w:r>
        <w:rPr>
          <w:rFonts w:ascii="Calibri" w:cs="Calibri" w:eastAsia="Calibri" w:hAnsi="Calibri"/>
          <w:color w:val="1A1A1A"/>
          <w:sz w:val="22"/>
          <w:szCs w:val="22"/>
        </w:rPr>
        <w:t xml:space="preserve">Parties require standard commercial documentation, including commercial invoices and, where a Party's domestic procedure calls for it, certificates of origin, to support origin determinations for covered products, consistent with each Party's existing customs documentation practice. The Working Group does not introduce a new, Framework-specific certification instrument, preferring to build the Framework's origin-verification function on the documentation infrastructure Parties already maintain rather than imposing a parallel administrative requirement on importers and customs administrations alike.</w:t>
      </w:r>
    </w:p>
    <w:p>
      <w:pPr>
        <w:pStyle w:val="Heading1"/>
        <w:keepNext/>
        <w:spacing w:after="200" w:before="360"/>
      </w:pPr>
      <w:r>
        <w:rPr>
          <w:rFonts w:ascii="Calibri" w:cs="Calibri" w:eastAsia="Calibri" w:hAnsi="Calibri"/>
          <w:b/>
          <w:bCs/>
          <w:color w:val="0B3D91"/>
          <w:sz w:val="30"/>
          <w:szCs w:val="30"/>
        </w:rPr>
        <w:t xml:space="preserve">Annex AK: Domestic Industry Stakeholder Engagement Plan</w:t>
      </w:r>
    </w:p>
    <w:p>
      <w:pPr>
        <w:pStyle w:val="Heading2"/>
        <w:keepNext/>
        <w:spacing w:after="140" w:before="260"/>
      </w:pPr>
      <w:r>
        <w:rPr>
          <w:rFonts w:ascii="Calibri" w:cs="Calibri" w:eastAsia="Calibri" w:hAnsi="Calibri"/>
          <w:b/>
          <w:bCs/>
          <w:color w:val="1F5FA8"/>
          <w:sz w:val="24"/>
          <w:szCs w:val="24"/>
        </w:rPr>
        <w:t xml:space="preserve">AK.1 Engagement Objectives</w:t>
      </w:r>
    </w:p>
    <w:p>
      <w:pPr>
        <w:spacing w:after="200" w:line="276"/>
        <w:jc w:val="both"/>
      </w:pPr>
      <w:r>
        <w:rPr>
          <w:rFonts w:ascii="Calibri" w:cs="Calibri" w:eastAsia="Calibri" w:hAnsi="Calibri"/>
          <w:color w:val="1A1A1A"/>
          <w:sz w:val="22"/>
          <w:szCs w:val="22"/>
        </w:rPr>
        <w:t xml:space="preserve">Each Party's domestic implementation team engages directly with affected domestic industry stakeholders, including plastics-consuming manufacturers, importers, and industry associations, in advance of the coordinated implementation date under Article 4.3, ensuring that domestic industry understands the Framework's rationale, its exemption process under Article 5.1, and its expected duration before the tariff measures take practical effect. This proactive engagement reduces the risk that domestic industry surprise translates into the kind of acute political pressure the Article 9.4 domestic shielding architecture aims to prevent.</w:t>
      </w:r>
    </w:p>
    <w:p>
      <w:pPr>
        <w:pStyle w:val="Heading2"/>
        <w:keepNext/>
        <w:spacing w:after="140" w:before="260"/>
      </w:pPr>
      <w:r>
        <w:rPr>
          <w:rFonts w:ascii="Calibri" w:cs="Calibri" w:eastAsia="Calibri" w:hAnsi="Calibri"/>
          <w:b/>
          <w:bCs/>
          <w:color w:val="1F5FA8"/>
          <w:sz w:val="24"/>
          <w:szCs w:val="24"/>
        </w:rPr>
        <w:t xml:space="preserve">AK.2 Engagement Sequencing</w:t>
      </w:r>
    </w:p>
    <w:p>
      <w:pPr>
        <w:spacing w:after="200" w:line="276"/>
        <w:jc w:val="both"/>
      </w:pPr>
      <w:r>
        <w:rPr>
          <w:rFonts w:ascii="Calibri" w:cs="Calibri" w:eastAsia="Calibri" w:hAnsi="Calibri"/>
          <w:color w:val="1A1A1A"/>
          <w:sz w:val="22"/>
          <w:szCs w:val="22"/>
        </w:rPr>
        <w:t xml:space="preserve">Parties conduct an initial industry briefing session during Phase Three of the outreach timeline specified in Annex B.3, coinciding with the Party's own domestic ratification or approval process, followed by a targeted follow-up engagement for industries identified as carrying meaningful exposure to the Article 4.2 coverage table. Parties maintain an ongoing industry consultation channel throughout the Framework's implementation, coordinated through the same domestic point of contact structure the Annex T checklist establishes for Working Group coordination.</w:t>
      </w:r>
    </w:p>
    <w:p>
      <w:pPr>
        <w:pStyle w:val="Heading2"/>
        <w:keepNext/>
        <w:spacing w:after="140" w:before="260"/>
      </w:pPr>
      <w:r>
        <w:rPr>
          <w:rFonts w:ascii="Calibri" w:cs="Calibri" w:eastAsia="Calibri" w:hAnsi="Calibri"/>
          <w:b/>
          <w:bCs/>
          <w:color w:val="1F5FA8"/>
          <w:sz w:val="24"/>
          <w:szCs w:val="24"/>
        </w:rPr>
        <w:t xml:space="preserve">AK.3 Exemption Application Support</w:t>
      </w:r>
    </w:p>
    <w:p>
      <w:pPr>
        <w:spacing w:after="200" w:line="276"/>
        <w:jc w:val="both"/>
      </w:pPr>
      <w:r>
        <w:rPr>
          <w:rFonts w:ascii="Calibri" w:cs="Calibri" w:eastAsia="Calibri" w:hAnsi="Calibri"/>
          <w:color w:val="1A1A1A"/>
          <w:sz w:val="22"/>
          <w:szCs w:val="22"/>
        </w:rPr>
        <w:t xml:space="preserve">Parties' domestic implementation teams provide direct support to industry stakeholders preparing critical input exemption applications under Article 5.1, helping ensure that legitimate supply-gap claims receive the complete supporting documentation the Supply Chain and Exemptions Working Group's thirty-day review process requires. This support function reduces the risk that a legitimate exemption claim fails or delays due to incomplete initial documentation rather than any substantive deficiency in the underlying claim.</w:t>
      </w:r>
    </w:p>
    <w:p>
      <w:pPr>
        <w:pStyle w:val="Heading1"/>
        <w:keepNext/>
        <w:spacing w:after="200" w:before="360"/>
      </w:pPr>
      <w:r>
        <w:rPr>
          <w:rFonts w:ascii="Calibri" w:cs="Calibri" w:eastAsia="Calibri" w:hAnsi="Calibri"/>
          <w:b/>
          <w:bCs/>
          <w:color w:val="0B3D91"/>
          <w:sz w:val="30"/>
          <w:szCs w:val="30"/>
        </w:rPr>
        <w:t xml:space="preserve">Annex AL: Alternative Retaliation Instruments Considered and Rejected</w:t>
      </w:r>
    </w:p>
    <w:p>
      <w:pPr>
        <w:pStyle w:val="Heading2"/>
        <w:keepNext/>
        <w:spacing w:after="140" w:before="260"/>
      </w:pPr>
      <w:r>
        <w:rPr>
          <w:rFonts w:ascii="Calibri" w:cs="Calibri" w:eastAsia="Calibri" w:hAnsi="Calibri"/>
          <w:b/>
          <w:bCs/>
          <w:color w:val="1F5FA8"/>
          <w:sz w:val="24"/>
          <w:szCs w:val="24"/>
        </w:rPr>
        <w:t xml:space="preserve">AL.1 Import Quotas</w:t>
      </w:r>
    </w:p>
    <w:p>
      <w:pPr>
        <w:spacing w:after="200" w:line="276"/>
        <w:jc w:val="both"/>
      </w:pPr>
      <w:r>
        <w:rPr>
          <w:rFonts w:ascii="Calibri" w:cs="Calibri" w:eastAsia="Calibri" w:hAnsi="Calibri"/>
          <w:color w:val="1A1A1A"/>
          <w:sz w:val="22"/>
          <w:szCs w:val="22"/>
        </w:rPr>
        <w:t xml:space="preserve">The Steering Committee's founding policy analysis considered import quotas as an alternative to the ad valorem tariff mechanism this Framework adopts, and rejected this alternative on the grounds that quota administration requires a licensing and allocation infrastructure considerably more complex than the tariff mechanism's straightforward application against declared customs value. Quotas additionally create rent-seeking opportunities around license allocation that a straightforward ad valorem tariff avoids, and quotas provide less transparent, less easily verified pressure than a published tariff rate that any observer, including United States policymakers and industry, readily quantifies.</w:t>
      </w:r>
    </w:p>
    <w:p>
      <w:pPr>
        <w:pStyle w:val="Heading2"/>
        <w:keepNext/>
        <w:spacing w:after="140" w:before="260"/>
      </w:pPr>
      <w:r>
        <w:rPr>
          <w:rFonts w:ascii="Calibri" w:cs="Calibri" w:eastAsia="Calibri" w:hAnsi="Calibri"/>
          <w:b/>
          <w:bCs/>
          <w:color w:val="1F5FA8"/>
          <w:sz w:val="24"/>
          <w:szCs w:val="24"/>
        </w:rPr>
        <w:t xml:space="preserve">AL.2 Export Licensing Restrictions on Coalition Exports to the United States</w:t>
      </w:r>
    </w:p>
    <w:p>
      <w:pPr>
        <w:spacing w:after="200" w:line="276"/>
        <w:jc w:val="both"/>
      </w:pPr>
      <w:r>
        <w:rPr>
          <w:rFonts w:ascii="Calibri" w:cs="Calibri" w:eastAsia="Calibri" w:hAnsi="Calibri"/>
          <w:color w:val="1A1A1A"/>
          <w:sz w:val="22"/>
          <w:szCs w:val="22"/>
        </w:rPr>
        <w:t xml:space="preserve">The Steering Committee considered restricting coalition members' own exports of critical inputs to the United States as a complementary pressure instrument, and set this option aside as a Level Three escalation candidate under Annex D.3 rather than incorporating it into the Framework's initial Level One design, reflecting the Steering Committee's judgment that export restrictions carry greater self-inflicted cost to coalition exporters than the import-tariff mechanism the Framework adopts as its primary instrument.</w:t>
      </w:r>
    </w:p>
    <w:p>
      <w:pPr>
        <w:pStyle w:val="Heading2"/>
        <w:keepNext/>
        <w:spacing w:after="140" w:before="260"/>
      </w:pPr>
      <w:r>
        <w:rPr>
          <w:rFonts w:ascii="Calibri" w:cs="Calibri" w:eastAsia="Calibri" w:hAnsi="Calibri"/>
          <w:b/>
          <w:bCs/>
          <w:color w:val="1F5FA8"/>
          <w:sz w:val="24"/>
          <w:szCs w:val="24"/>
        </w:rPr>
        <w:t xml:space="preserve">AL.3 Outright Import Prohibition</w:t>
      </w:r>
    </w:p>
    <w:p>
      <w:pPr>
        <w:spacing w:after="200" w:line="276"/>
        <w:jc w:val="both"/>
      </w:pPr>
      <w:r>
        <w:rPr>
          <w:rFonts w:ascii="Calibri" w:cs="Calibri" w:eastAsia="Calibri" w:hAnsi="Calibri"/>
          <w:color w:val="1A1A1A"/>
          <w:sz w:val="22"/>
          <w:szCs w:val="22"/>
        </w:rPr>
        <w:t xml:space="preserve">The Steering Committee rejected an outright prohibition on United States plastics imports as disproportionate to the underlying dispute and inconsistent with the proportionality argument central to the Framework's WTO legal strategy under Article 8.1, concluding that a calibrated twenty percent tariff achieves meaningful economic pressure while preserving the Framework's legal and diplomatic defensibility far more effectively than a blunt prohibition instrument would achieve.</w:t>
      </w:r>
    </w:p>
    <w:p>
      <w:pPr>
        <w:pStyle w:val="Heading2"/>
        <w:keepNext/>
        <w:spacing w:after="140" w:before="260"/>
      </w:pPr>
      <w:r>
        <w:rPr>
          <w:rFonts w:ascii="Calibri" w:cs="Calibri" w:eastAsia="Calibri" w:hAnsi="Calibri"/>
          <w:b/>
          <w:bCs/>
          <w:color w:val="1F5FA8"/>
          <w:sz w:val="24"/>
          <w:szCs w:val="24"/>
        </w:rPr>
        <w:t xml:space="preserve">AL.4 Non-Tariff Regulatory Measures</w:t>
      </w:r>
    </w:p>
    <w:p>
      <w:pPr>
        <w:spacing w:after="200" w:line="276"/>
        <w:jc w:val="both"/>
      </w:pPr>
      <w:r>
        <w:rPr>
          <w:rFonts w:ascii="Calibri" w:cs="Calibri" w:eastAsia="Calibri" w:hAnsi="Calibri"/>
          <w:color w:val="1A1A1A"/>
          <w:sz w:val="22"/>
          <w:szCs w:val="22"/>
        </w:rPr>
        <w:t xml:space="preserve">The Steering Committee considered targeted regulatory measures, such as enhanced customs inspection requirements or product-standard reviews applied specifically to United States plastics imports, and set this option aside due to the WTO legal exposure such measures carry when applied in a manner that a WTO panel might characterize as a disguised restriction on trade rather than a genuine regulatory measure, a risk the Framework's transparent, openly declared tariff mechanism avoids entirely.</w:t>
      </w:r>
    </w:p>
    <w:p>
      <w:pPr>
        <w:pStyle w:val="Heading1"/>
        <w:keepNext/>
        <w:spacing w:after="200" w:before="360"/>
      </w:pPr>
      <w:r>
        <w:rPr>
          <w:rFonts w:ascii="Calibri" w:cs="Calibri" w:eastAsia="Calibri" w:hAnsi="Calibri"/>
          <w:b/>
          <w:bCs/>
          <w:color w:val="0B3D91"/>
          <w:sz w:val="30"/>
          <w:szCs w:val="30"/>
        </w:rPr>
        <w:t xml:space="preserve">Annex AM: Communications Working Group Crisis Response Scenarios</w:t>
      </w:r>
    </w:p>
    <w:p>
      <w:pPr>
        <w:pStyle w:val="Heading2"/>
        <w:keepNext/>
        <w:spacing w:after="140" w:before="260"/>
      </w:pPr>
      <w:r>
        <w:rPr>
          <w:rFonts w:ascii="Calibri" w:cs="Calibri" w:eastAsia="Calibri" w:hAnsi="Calibri"/>
          <w:b/>
          <w:bCs/>
          <w:color w:val="1F5FA8"/>
          <w:sz w:val="24"/>
          <w:szCs w:val="24"/>
        </w:rPr>
        <w:t xml:space="preserve">AM.1 United States Announces Retaliatory Escalation</w:t>
      </w:r>
    </w:p>
    <w:p>
      <w:pPr>
        <w:spacing w:after="200" w:line="276"/>
        <w:jc w:val="both"/>
      </w:pPr>
      <w:r>
        <w:rPr>
          <w:rFonts w:ascii="Calibri" w:cs="Calibri" w:eastAsia="Calibri" w:hAnsi="Calibri"/>
          <w:color w:val="1A1A1A"/>
          <w:sz w:val="22"/>
          <w:szCs w:val="22"/>
        </w:rPr>
        <w:t xml:space="preserve">Where the United States announces new tariff measures directly targeting coalition members in response to Framework implementation, the Communications Working Group activates the rapid-response protocol specified in Annex W.9 within twenty-four hours, deploying the escalation deterrence messaging Annex C.3 documents and coordinating a joint coalition statement affirming the collective counter-retaliation posture Article 6.3 and Annex D establish, ensuring the coalition's public response projects unity rather than allowing individual Parties' uncoordinated reactions to suggest coalition fragmentation.</w:t>
      </w:r>
    </w:p>
    <w:p>
      <w:pPr>
        <w:pStyle w:val="Heading2"/>
        <w:keepNext/>
        <w:spacing w:after="140" w:before="260"/>
      </w:pPr>
      <w:r>
        <w:rPr>
          <w:rFonts w:ascii="Calibri" w:cs="Calibri" w:eastAsia="Calibri" w:hAnsi="Calibri"/>
          <w:b/>
          <w:bCs/>
          <w:color w:val="1F5FA8"/>
          <w:sz w:val="24"/>
          <w:szCs w:val="24"/>
        </w:rPr>
        <w:t xml:space="preserve">AM.2 A Party Publicly Signals Wavering Commitment</w:t>
      </w:r>
    </w:p>
    <w:p>
      <w:pPr>
        <w:spacing w:after="200" w:line="276"/>
        <w:jc w:val="both"/>
      </w:pPr>
      <w:r>
        <w:rPr>
          <w:rFonts w:ascii="Calibri" w:cs="Calibri" w:eastAsia="Calibri" w:hAnsi="Calibri"/>
          <w:color w:val="1A1A1A"/>
          <w:sz w:val="22"/>
          <w:szCs w:val="22"/>
        </w:rPr>
        <w:t xml:space="preserve">Where a Party's domestic officials make public statements that appear to signal wavering commitment to the Framework's measures, the Communications Working Group coordinates directly with that Party's own communications team before any public coalition response, recognizing that a visible external coalition reaction to an individual Party's domestic political statement risks exacerbating rather than easing that Party's domestic political pressure. The Working Group's default posture in this scenario favors quiet, direct Steering Committee engagement with the wavering Party over public coalition commentary, consistent with the private consultation emphasis Article 6.2 and Annex AF.1 both reflect.</w:t>
      </w:r>
    </w:p>
    <w:p>
      <w:pPr>
        <w:pStyle w:val="Heading2"/>
        <w:keepNext/>
        <w:spacing w:after="140" w:before="260"/>
      </w:pPr>
      <w:r>
        <w:rPr>
          <w:rFonts w:ascii="Calibri" w:cs="Calibri" w:eastAsia="Calibri" w:hAnsi="Calibri"/>
          <w:b/>
          <w:bCs/>
          <w:color w:val="1F5FA8"/>
          <w:sz w:val="24"/>
          <w:szCs w:val="24"/>
        </w:rPr>
        <w:t xml:space="preserve">AM.3 Media Narrative Shifts Toward Characterizing the Framework as Aggressive</w:t>
      </w:r>
    </w:p>
    <w:p>
      <w:pPr>
        <w:spacing w:after="200" w:line="276"/>
        <w:jc w:val="both"/>
      </w:pPr>
      <w:r>
        <w:rPr>
          <w:rFonts w:ascii="Calibri" w:cs="Calibri" w:eastAsia="Calibri" w:hAnsi="Calibri"/>
          <w:color w:val="1A1A1A"/>
          <w:sz w:val="22"/>
          <w:szCs w:val="22"/>
        </w:rPr>
        <w:t xml:space="preserve">Where media coverage or United States official statements characterize the Framework's measures as an aggressive escalation rather than a defensive response, the Communications Working Group deploys a coordinated rebuttal drawing directly on the proportionality documentation Annex A.2 and Annex U.3 provide, emphasizing the twenty percent rate's direct correspondence to United States tariff levels already applied against coalition members. The Working Group prioritizes rapid factual rebuttal over defensive tone, consistent with the Framework's broader communications principle that clear, fact-based proportionality argument serves the coalition's messaging objectives more effectively than an emotionally reactive public posture.</w:t>
      </w:r>
    </w:p>
    <w:p>
      <w:pPr>
        <w:pStyle w:val="Heading1"/>
        <w:keepNext/>
        <w:spacing w:after="200" w:before="360"/>
      </w:pPr>
      <w:r>
        <w:rPr>
          <w:rFonts w:ascii="Calibri" w:cs="Calibri" w:eastAsia="Calibri" w:hAnsi="Calibri"/>
          <w:b/>
          <w:bCs/>
          <w:color w:val="0B3D91"/>
          <w:sz w:val="30"/>
          <w:szCs w:val="30"/>
        </w:rPr>
        <w:t xml:space="preserve">Annex AN: Model Diplomatic Notification</w:t>
      </w:r>
    </w:p>
    <w:p>
      <w:pPr>
        <w:spacing w:after="200" w:line="276"/>
        <w:jc w:val="both"/>
      </w:pPr>
      <w:r>
        <w:rPr>
          <w:rFonts w:ascii="Calibri" w:cs="Calibri" w:eastAsia="Calibri" w:hAnsi="Calibri"/>
          <w:color w:val="1A1A1A"/>
          <w:sz w:val="22"/>
          <w:szCs w:val="22"/>
        </w:rPr>
        <w:t xml:space="preserve">This Annex provides model note verbale language that Canada's diplomatic missions adapt for formal government-to-government notification throughout the outreach process detailed in Annex B, ensuring that Canada's bilateral engagement proceeds through appropriately formal diplomatic channels alongside the working-level ministerial engagement Annex B.1 describes.</w:t>
      </w:r>
    </w:p>
    <w:p>
      <w:pPr>
        <w:spacing w:after="200" w:line="276"/>
        <w:jc w:val="both"/>
      </w:pPr>
      <w:r>
        <w:rPr>
          <w:rFonts w:ascii="Calibri" w:cs="Calibri" w:eastAsia="Calibri" w:hAnsi="Calibri"/>
          <w:color w:val="1A1A1A"/>
          <w:sz w:val="22"/>
          <w:szCs w:val="22"/>
        </w:rPr>
        <w:t xml:space="preserve">The model notification opens with the standard diplomatic courtesies appropriate to formal government-to-government correspondence, proceeds to a concise statement of the Framework's purpose consistent with Article 1.2, and specifies the accession pathway and membership category options available to the receiving government under Article 2.3. The model notification closes with a request for the receiving government's designation of a technical point of contact for continued engagement, and Canada's diplomatic missions adapt the notification's closing courtesies to the receiving government's own diplomatic protocol conventions.</w:t>
      </w:r>
    </w:p>
    <w:p>
      <w:pPr>
        <w:spacing w:after="200" w:line="276"/>
        <w:jc w:val="both"/>
      </w:pPr>
      <w:r>
        <w:rPr>
          <w:rFonts w:ascii="Calibri" w:cs="Calibri" w:eastAsia="Calibri" w:hAnsi="Calibri"/>
          <w:color w:val="1A1A1A"/>
          <w:sz w:val="22"/>
          <w:szCs w:val="22"/>
        </w:rPr>
        <w:t xml:space="preserve">The Legal Working Group reviews the model notification's substantive content periodically to ensure consistency with the Framework's evolving operative provisions, particularly following any amendment under Article 12.1 or supplementary provision adopted under Annex W, and the Secretariat maintains the current authoritative version of this model notification for circulation to Canada's diplomatic missions and, upon request, to other Parties conducting their own accession outreach to prospective Tier 3 economies under Annex A.4.</w:t>
      </w:r>
    </w:p>
    <w:p>
      <w:pPr>
        <w:pStyle w:val="Heading1"/>
        <w:keepNext/>
        <w:spacing w:after="200" w:before="360"/>
      </w:pPr>
      <w:r>
        <w:rPr>
          <w:rFonts w:ascii="Calibri" w:cs="Calibri" w:eastAsia="Calibri" w:hAnsi="Calibri"/>
          <w:b/>
          <w:bCs/>
          <w:color w:val="0B3D91"/>
          <w:sz w:val="30"/>
          <w:szCs w:val="30"/>
        </w:rPr>
        <w:t xml:space="preserve">Annex AO: Long-Term Institutional Evolution and Potential Successor Arrangements</w:t>
      </w:r>
    </w:p>
    <w:p>
      <w:pPr>
        <w:spacing w:after="200" w:line="276"/>
        <w:jc w:val="both"/>
      </w:pPr>
      <w:r>
        <w:rPr>
          <w:rFonts w:ascii="Calibri" w:cs="Calibri" w:eastAsia="Calibri" w:hAnsi="Calibri"/>
          <w:color w:val="1A1A1A"/>
          <w:sz w:val="22"/>
          <w:szCs w:val="22"/>
        </w:rPr>
        <w:t xml:space="preserve">The Steering Committee acknowledges that this Framework's institutional architecture, designed initially to address a specific discriminatory tariff dispute, carries potential long-term value as a standing coordination mechanism among trading economies facing future trade policy challenges beyond the immediate plastics tariff dispute. The Coalition Council retains authority, exercised through the amendment procedure under Article 12.1, to expand the Framework's institutional mandate beyond plastics tariff coordination where the membership collectively judges that value warranted following the successful resolution of the current dispute under Article 11.</w:t>
      </w:r>
    </w:p>
    <w:p>
      <w:pPr>
        <w:spacing w:after="200" w:line="276"/>
        <w:jc w:val="both"/>
      </w:pPr>
      <w:r>
        <w:rPr>
          <w:rFonts w:ascii="Calibri" w:cs="Calibri" w:eastAsia="Calibri" w:hAnsi="Calibri"/>
          <w:color w:val="1A1A1A"/>
          <w:sz w:val="22"/>
          <w:szCs w:val="22"/>
        </w:rPr>
        <w:t xml:space="preserve">Any such expansion of institutional mandate proceeds only through the full amendment procedure and explicit Coalition Council consensus, and nothing in this Agreement's current operative text obligates any Party to support an expanded mandate beyond the plastics-specific purpose Article 1.2 establishes. The Steering Committee nonetheless documents this potential institutional evolution pathway in this Annex to give the membership a clear, pre-considered option where the coordination infrastructure this Framework establishes proves valuable for addressing future trade policy challenges of a similar coordinated-response character, without committing the Framework to that broader role prematurely or without the membership's full deliberate consent.</w:t>
      </w:r>
    </w:p>
    <w:p>
      <w:pPr>
        <w:pStyle w:val="Heading1"/>
        <w:keepNext/>
        <w:spacing w:after="200" w:before="360"/>
      </w:pPr>
      <w:r>
        <w:rPr>
          <w:rFonts w:ascii="Calibri" w:cs="Calibri" w:eastAsia="Calibri" w:hAnsi="Calibri"/>
          <w:b/>
          <w:bCs/>
          <w:color w:val="0B3D91"/>
          <w:sz w:val="30"/>
          <w:szCs w:val="30"/>
        </w:rPr>
        <w:t xml:space="preserve">Annex AP: Budget and Administrative Cost Structure</w:t>
      </w:r>
    </w:p>
    <w:p>
      <w:pPr>
        <w:pStyle w:val="Heading2"/>
        <w:keepNext/>
        <w:spacing w:after="140" w:before="260"/>
      </w:pPr>
      <w:r>
        <w:rPr>
          <w:rFonts w:ascii="Calibri" w:cs="Calibri" w:eastAsia="Calibri" w:hAnsi="Calibri"/>
          <w:b/>
          <w:bCs/>
          <w:color w:val="1F5FA8"/>
          <w:sz w:val="24"/>
          <w:szCs w:val="24"/>
        </w:rPr>
        <w:t xml:space="preserve">AP.1 Secretariat Operating Budget</w:t>
      </w:r>
    </w:p>
    <w:p>
      <w:pPr>
        <w:spacing w:after="200" w:line="276"/>
        <w:jc w:val="both"/>
      </w:pPr>
      <w:r>
        <w:rPr>
          <w:rFonts w:ascii="Calibri" w:cs="Calibri" w:eastAsia="Calibri" w:hAnsi="Calibri"/>
          <w:color w:val="1A1A1A"/>
          <w:sz w:val="22"/>
          <w:szCs w:val="22"/>
        </w:rPr>
        <w:t xml:space="preserve">Canada's Global Affairs department funds the Secretariat's core operating costs under Article 3.4 for the Framework's first eighteen months, covering meeting coordination, translation services, document archiving, and the outreach unit staffing Annex B.9 specifies, after which the Coalition Council transitions the Secretariat to a shared funding model proportional to the same trade-volume-weighted formula the Stabilization Facility applies under Annex L.1. This transition timeline gives the Framework's early operating period the funding stability a founding coordinator naturally provides while establishing a durable, broadly shared funding base for the Framework's ongoing operation.</w:t>
      </w:r>
    </w:p>
    <w:p>
      <w:pPr>
        <w:pStyle w:val="Heading2"/>
        <w:keepNext/>
        <w:spacing w:after="140" w:before="260"/>
      </w:pPr>
      <w:r>
        <w:rPr>
          <w:rFonts w:ascii="Calibri" w:cs="Calibri" w:eastAsia="Calibri" w:hAnsi="Calibri"/>
          <w:b/>
          <w:bCs/>
          <w:color w:val="1F5FA8"/>
          <w:sz w:val="24"/>
          <w:szCs w:val="24"/>
        </w:rPr>
        <w:t xml:space="preserve">AP.2 Working Group Operating Costs</w:t>
      </w:r>
    </w:p>
    <w:p>
      <w:pPr>
        <w:spacing w:after="200" w:line="276"/>
        <w:jc w:val="both"/>
      </w:pPr>
      <w:r>
        <w:rPr>
          <w:rFonts w:ascii="Calibri" w:cs="Calibri" w:eastAsia="Calibri" w:hAnsi="Calibri"/>
          <w:color w:val="1A1A1A"/>
          <w:sz w:val="22"/>
          <w:szCs w:val="22"/>
        </w:rPr>
        <w:t xml:space="preserve">Each Party bears the ordinary cost of its own officials' participation in the four standing Working Groups under Article 3.3, consistent with standard multilateral coordination practice, while the Secretariat covers the modest incremental cost of Working Group meeting logistics, shared research resources, and the technical translation and documentation support the Working Groups' cross-jurisdictional work requires. The Coalition Council reviews aggregate Working Group operating costs annually alongside the Secretariat's own budget review under Annex AP.1.</w:t>
      </w:r>
    </w:p>
    <w:p>
      <w:pPr>
        <w:pStyle w:val="Heading2"/>
        <w:keepNext/>
        <w:spacing w:after="140" w:before="260"/>
      </w:pPr>
      <w:r>
        <w:rPr>
          <w:rFonts w:ascii="Calibri" w:cs="Calibri" w:eastAsia="Calibri" w:hAnsi="Calibri"/>
          <w:b/>
          <w:bCs/>
          <w:color w:val="1F5FA8"/>
          <w:sz w:val="24"/>
          <w:szCs w:val="24"/>
        </w:rPr>
        <w:t xml:space="preserve">AP.3 Stabilization Facility Administrative Costs</w:t>
      </w:r>
    </w:p>
    <w:p>
      <w:pPr>
        <w:spacing w:after="200" w:line="276"/>
        <w:jc w:val="both"/>
      </w:pPr>
      <w:r>
        <w:rPr>
          <w:rFonts w:ascii="Calibri" w:cs="Calibri" w:eastAsia="Calibri" w:hAnsi="Calibri"/>
          <w:color w:val="1A1A1A"/>
          <w:sz w:val="22"/>
          <w:szCs w:val="22"/>
        </w:rPr>
        <w:t xml:space="preserve">The Stabilization Facility under Article 7.2 and Annex L bears its own modest administrative costs directly from its pooled capital base, with the Coalition Council capping administrative overhead at a proportion the Council sets at the Facility's founding to ensure the substantial majority of pooled contributions remains available for the Facility's core stabilization and bridge-financing purpose rather than being absorbed by administrative expense.</w:t>
      </w:r>
    </w:p>
    <w:p>
      <w:pPr>
        <w:pStyle w:val="Heading1"/>
        <w:keepNext/>
        <w:spacing w:after="200" w:before="360"/>
      </w:pPr>
      <w:r>
        <w:rPr>
          <w:rFonts w:ascii="Calibri" w:cs="Calibri" w:eastAsia="Calibri" w:hAnsi="Calibri"/>
          <w:b/>
          <w:bCs/>
          <w:color w:val="0B3D91"/>
          <w:sz w:val="30"/>
          <w:szCs w:val="30"/>
        </w:rPr>
        <w:t xml:space="preserve">Annex AQ: Model Parliamentary and Legislative Statements of Support</w:t>
      </w:r>
    </w:p>
    <w:p>
      <w:pPr>
        <w:spacing w:after="200" w:line="276"/>
        <w:jc w:val="both"/>
      </w:pPr>
      <w:r>
        <w:rPr>
          <w:rFonts w:ascii="Calibri" w:cs="Calibri" w:eastAsia="Calibri" w:hAnsi="Calibri"/>
          <w:color w:val="1A1A1A"/>
          <w:sz w:val="22"/>
          <w:szCs w:val="22"/>
        </w:rPr>
        <w:t xml:space="preserve">This Annex provides model statement language that legislators across the coalition membership adapt for use in domestic parliamentary or congressional debate supporting Framework ratification, giving elected representatives who support Framework accession a consistent, well-grounded reference for their own domestic advocacy.</w:t>
      </w:r>
    </w:p>
    <w:p>
      <w:pPr>
        <w:spacing w:after="200" w:line="276"/>
        <w:jc w:val="both"/>
      </w:pPr>
      <w:r>
        <w:rPr>
          <w:rFonts w:ascii="Calibri" w:cs="Calibri" w:eastAsia="Calibri" w:hAnsi="Calibri"/>
          <w:color w:val="1A1A1A"/>
          <w:sz w:val="22"/>
          <w:szCs w:val="22"/>
        </w:rPr>
        <w:t xml:space="preserve">The model statement opens by establishing the discriminatory character of the underlying United States tariff measures and their direct harm to the enacting jurisdiction's own workers, exporters, and manufacturers, drawing on the sector-specific economic impact data the Communications Working Group's toolkit under Annex G.3 provides. The model statement proceeds to explain the Framework's coordinated, proportionate design, referencing the twenty percent rate's direct correspondence to United States tariff levels documented in Annex A.2, before closing with an affirmation of the Framework's negotiated off-ramp under Article 11, addressing the natural legislative concern that ratification might commit the enacting jurisdiction to an open-ended trade conflict rather than a calibrated, reversible response.</w:t>
      </w:r>
    </w:p>
    <w:p>
      <w:pPr>
        <w:spacing w:after="200" w:line="276"/>
        <w:jc w:val="both"/>
      </w:pPr>
      <w:r>
        <w:rPr>
          <w:rFonts w:ascii="Calibri" w:cs="Calibri" w:eastAsia="Calibri" w:hAnsi="Calibri"/>
          <w:color w:val="1A1A1A"/>
          <w:sz w:val="22"/>
          <w:szCs w:val="22"/>
        </w:rPr>
        <w:t xml:space="preserve">The Legal Working Group circulates jurisdiction-specific adaptations of this model statement addressing the particular legislative procedure and political context each Party's domestic ratification process involves, recognizing that a statement calibrated to a parliamentary system of government requires meaningfully different framing than one calibrated to a presidential or congressional system, even where the underlying substantive argument remains constant across every jurisdiction.</w:t>
      </w:r>
    </w:p>
    <w:p>
      <w:pPr>
        <w:pStyle w:val="Heading1"/>
        <w:keepNext/>
        <w:spacing w:after="200" w:before="360"/>
      </w:pPr>
      <w:r>
        <w:rPr>
          <w:rFonts w:ascii="Calibri" w:cs="Calibri" w:eastAsia="Calibri" w:hAnsi="Calibri"/>
          <w:b/>
          <w:bCs/>
          <w:color w:val="0B3D91"/>
          <w:sz w:val="30"/>
          <w:szCs w:val="30"/>
        </w:rPr>
        <w:t xml:space="preserve">Annex AR: Environmental and Supply-Chain Co-Benefits</w:t>
      </w:r>
    </w:p>
    <w:p>
      <w:pPr>
        <w:pStyle w:val="Heading2"/>
        <w:keepNext/>
        <w:spacing w:after="140" w:before="260"/>
      </w:pPr>
      <w:r>
        <w:rPr>
          <w:rFonts w:ascii="Calibri" w:cs="Calibri" w:eastAsia="Calibri" w:hAnsi="Calibri"/>
          <w:b/>
          <w:bCs/>
          <w:color w:val="1F5FA8"/>
          <w:sz w:val="24"/>
          <w:szCs w:val="24"/>
        </w:rPr>
        <w:t xml:space="preserve">AR.1 Supply Chain Diversification Co-Benefits</w:t>
      </w:r>
    </w:p>
    <w:p>
      <w:pPr>
        <w:spacing w:after="200" w:line="276"/>
        <w:jc w:val="both"/>
      </w:pPr>
      <w:r>
        <w:rPr>
          <w:rFonts w:ascii="Calibri" w:cs="Calibri" w:eastAsia="Calibri" w:hAnsi="Calibri"/>
          <w:color w:val="1A1A1A"/>
          <w:sz w:val="22"/>
          <w:szCs w:val="22"/>
        </w:rPr>
        <w:t xml:space="preserve">The diversification architecture Article 7.3 establishes, while designed primarily to reduce the Framework's vulnerability to United States supply interruption, produces a secondary benefit in reduced aggregate shipping distance for several coalition members whose alternative regional suppliers sit geographically closer than United States sourcing previously provided, a co-benefit the Supply Chain and Exemptions Working Group documents alongside its core diversification reporting under Article 7.3 without treating this co-benefit as a primary Framework objective.</w:t>
      </w:r>
    </w:p>
    <w:p>
      <w:pPr>
        <w:pStyle w:val="Heading2"/>
        <w:keepNext/>
        <w:spacing w:after="140" w:before="260"/>
      </w:pPr>
      <w:r>
        <w:rPr>
          <w:rFonts w:ascii="Calibri" w:cs="Calibri" w:eastAsia="Calibri" w:hAnsi="Calibri"/>
          <w:b/>
          <w:bCs/>
          <w:color w:val="1F5FA8"/>
          <w:sz w:val="24"/>
          <w:szCs w:val="24"/>
        </w:rPr>
        <w:t xml:space="preserve">AR.2 Domestic Recycling and Circular Economy Considerations</w:t>
      </w:r>
    </w:p>
    <w:p>
      <w:pPr>
        <w:spacing w:after="200" w:line="276"/>
        <w:jc w:val="both"/>
      </w:pPr>
      <w:r>
        <w:rPr>
          <w:rFonts w:ascii="Calibri" w:cs="Calibri" w:eastAsia="Calibri" w:hAnsi="Calibri"/>
          <w:color w:val="1A1A1A"/>
          <w:sz w:val="22"/>
          <w:szCs w:val="22"/>
        </w:rPr>
        <w:t xml:space="preserve">Several Parties' domestic industry consultations under Annex AK identify an incidental opportunity: elevated import costs for virgin United States plastics resin under the Framework's tariff measures improve the relative economic competitiveness of domestic recycled-content plastics production within several coalition members' own economies. The Supply Chain and Exemptions Working Group notes this dynamic in its periodic reporting without incorporating circular-economy policy objectives into the Framework's core exemption or coverage criteria, preserving the Framework's focused trade-policy purpose under Article 1.2 while documenting this incidental domestic industrial policy co-benefit for interested Parties' own separate consideration.</w:t>
      </w:r>
    </w:p>
    <w:p>
      <w:pPr>
        <w:pStyle w:val="Heading2"/>
        <w:keepNext/>
        <w:spacing w:after="140" w:before="260"/>
      </w:pPr>
      <w:r>
        <w:rPr>
          <w:rFonts w:ascii="Calibri" w:cs="Calibri" w:eastAsia="Calibri" w:hAnsi="Calibri"/>
          <w:b/>
          <w:bCs/>
          <w:color w:val="1F5FA8"/>
          <w:sz w:val="24"/>
          <w:szCs w:val="24"/>
        </w:rPr>
        <w:t xml:space="preserve">AR.3 Coordination with Existing Environmental Instruments</w:t>
      </w:r>
    </w:p>
    <w:p>
      <w:pPr>
        <w:spacing w:after="200" w:line="276"/>
        <w:jc w:val="both"/>
      </w:pPr>
      <w:r>
        <w:rPr>
          <w:rFonts w:ascii="Calibri" w:cs="Calibri" w:eastAsia="Calibri" w:hAnsi="Calibri"/>
          <w:color w:val="1A1A1A"/>
          <w:sz w:val="22"/>
          <w:szCs w:val="22"/>
        </w:rPr>
        <w:t xml:space="preserve">The Framework's tariff architecture operates independently of, and does not modify, any Party's existing obligations or commitments under separate environmental or plastics-pollution instruments, including any Party's participation in ongoing international negotiations toward a global plastics pollution treaty. The Legal Working Group monitors these parallel environmental instruments for any provision that might interact with the Framework's trade measures, without treating environmental policy coordination as part of the Framework's core operative mandate under Article 1.2.</w:t>
      </w:r>
    </w:p>
    <w:p>
      <w:pPr>
        <w:pStyle w:val="Heading1"/>
        <w:keepNext/>
        <w:spacing w:after="200" w:before="360"/>
      </w:pPr>
      <w:r>
        <w:rPr>
          <w:rFonts w:ascii="Calibri" w:cs="Calibri" w:eastAsia="Calibri" w:hAnsi="Calibri"/>
          <w:b/>
          <w:bCs/>
          <w:color w:val="0B3D91"/>
          <w:sz w:val="30"/>
          <w:szCs w:val="30"/>
        </w:rPr>
        <w:t xml:space="preserve">Annex AS: Detailed Weekly Implementation Schedule</w:t>
      </w:r>
    </w:p>
    <w:p>
      <w:pPr>
        <w:spacing w:after="200" w:line="276"/>
        <w:jc w:val="both"/>
      </w:pPr>
      <w:r>
        <w:rPr>
          <w:rFonts w:ascii="Calibri" w:cs="Calibri" w:eastAsia="Calibri" w:hAnsi="Calibri"/>
          <w:color w:val="1A1A1A"/>
          <w:sz w:val="22"/>
          <w:szCs w:val="22"/>
        </w:rPr>
        <w:t xml:space="preserve">This Annex disaggregates the Annex I master timeline's four active phases into a week-by-week schedule, supporting the Steering Committee's granular tracking of outreach and implementation progress against the Annex B operational plan.</w:t>
      </w:r>
    </w:p>
    <w:tbl>
      <w:tblPr>
        <w:tblW w:type="dxa" w:w="9350"/>
        <w:tblBorders>
          <w:top w:val="single" w:color="AAB9D6" w:sz="4"/>
          <w:left w:val="single" w:color="AAB9D6" w:sz="4"/>
          <w:bottom w:val="single" w:color="AAB9D6" w:sz="4"/>
          <w:right w:val="single" w:color="AAB9D6" w:sz="4"/>
          <w:insideH w:val="single" w:color="D3DCEE" w:sz="2"/>
          <w:insideV w:val="single" w:color="D3DCEE" w:sz="2"/>
        </w:tblBorders>
      </w:tblPr>
      <w:tblGrid>
        <w:gridCol w:w="3116"/>
        <w:gridCol w:w="3116"/>
        <w:gridCol w:w="3116"/>
      </w:tblGrid>
      <w:tr>
        <w:trPr>
          <w:tblHeader/>
        </w:trPr>
        <w:tc>
          <w:tcPr>
            <w:tcW w:type="dxa" w:w="3116"/>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Week</w:t>
            </w:r>
          </w:p>
        </w:tc>
        <w:tc>
          <w:tcPr>
            <w:tcW w:type="dxa" w:w="3116"/>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Phase</w:t>
            </w:r>
          </w:p>
        </w:tc>
        <w:tc>
          <w:tcPr>
            <w:tcW w:type="dxa" w:w="3116"/>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Primary Activity</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1</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1</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Senior diplomat assignment; briefing material preparation for Tier 1 economies</w:t>
            </w:r>
          </w:p>
        </w:tc>
      </w:tr>
      <w:tr>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2</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1</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Initial bilateral meetings: China, European Union</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3</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1</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Initial bilateral meetings: United Kingdom, Brazil</w:t>
            </w:r>
          </w:p>
        </w:tc>
      </w:tr>
      <w:tr>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4</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1</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Bilateral outreach to Tier 2 economies: Mexico, India, Japan, South Korea</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5</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2</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Summit logistics finalization; venue and format confirmation</w:t>
            </w:r>
          </w:p>
        </w:tc>
      </w:tr>
      <w:tr>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6</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2</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Summit agenda circulation; pre-summit technical working sessions</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7</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2</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Multilateral summit convening</w:t>
            </w:r>
          </w:p>
        </w:tc>
      </w:tr>
      <w:tr>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8</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2</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Post-summit communique finalization and release</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9</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3</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Legal Working Group formal establishment; WTO filing coordination begins</w:t>
            </w:r>
          </w:p>
        </w:tc>
      </w:tr>
      <w:tr>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10</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3</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Domestic ratification procedures proceed across Founding Parties</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11</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3</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Model legislative language circulation; Tariff and Customs Working Group reconciliation begins</w:t>
            </w:r>
          </w:p>
        </w:tc>
      </w:tr>
      <w:tr>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12</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3</w:t>
            </w:r>
          </w:p>
        </w:tc>
        <w:tc>
          <w:tcPr>
            <w:tcW w:type="dxa" w:w="3116"/>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Ratification status review; accelerated support to lagging jurisdictions</w:t>
            </w:r>
          </w:p>
        </w:tc>
      </w:tr>
      <w:tr>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13</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Phase 4</w:t>
            </w:r>
          </w:p>
        </w:tc>
        <w:tc>
          <w:tcPr>
            <w:tcW w:type="dxa" w:w="3116"/>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Coordinated tariff implementation across ratified Parties</w:t>
            </w:r>
          </w:p>
        </w:tc>
      </w:tr>
    </w:tbl>
    <w:p>
      <w:pPr>
        <w:spacing w:after="200"/>
      </w:pPr>
    </w:p>
    <w:p>
      <w:pPr>
        <w:spacing w:after="200" w:line="276"/>
        <w:jc w:val="both"/>
      </w:pPr>
      <w:r>
        <w:rPr>
          <w:rFonts w:ascii="Calibri" w:cs="Calibri" w:eastAsia="Calibri" w:hAnsi="Calibri"/>
          <w:color w:val="1A1A1A"/>
          <w:sz w:val="22"/>
          <w:szCs w:val="22"/>
        </w:rPr>
        <w:t xml:space="preserve">The Steering Committee reviews actual progress against this weekly schedule at each of its biweekly sessions during Phases One through Three, and the Secretariat flags any week in which actual progress falls materially behind the scheduled activity, triggering the resourcing review Annex B.9 specifies. This granular schedule operates as a planning and accountability instrument rather than a rigid legal obligation, consistent with the flexible, realistic timeline posture Annex B.7 and Annex I both establish for the Framework's broader implementation planning.</w:t>
      </w:r>
    </w:p>
    <w:p>
      <w:pPr>
        <w:pStyle w:val="Heading1"/>
        <w:keepNext/>
        <w:spacing w:after="200" w:before="360"/>
      </w:pPr>
      <w:r>
        <w:rPr>
          <w:rFonts w:ascii="Calibri" w:cs="Calibri" w:eastAsia="Calibri" w:hAnsi="Calibri"/>
          <w:b/>
          <w:bCs/>
          <w:color w:val="0B3D91"/>
          <w:sz w:val="30"/>
          <w:szCs w:val="30"/>
        </w:rPr>
        <w:t xml:space="preserve">Annex AT: Investor and Commercial Contract Considerations</w:t>
      </w:r>
    </w:p>
    <w:p>
      <w:pPr>
        <w:pStyle w:val="Heading2"/>
        <w:keepNext/>
        <w:spacing w:after="140" w:before="260"/>
      </w:pPr>
      <w:r>
        <w:rPr>
          <w:rFonts w:ascii="Calibri" w:cs="Calibri" w:eastAsia="Calibri" w:hAnsi="Calibri"/>
          <w:b/>
          <w:bCs/>
          <w:color w:val="1F5FA8"/>
          <w:sz w:val="24"/>
          <w:szCs w:val="24"/>
        </w:rPr>
        <w:t xml:space="preserve">AT.1 Existing Commercial Contracts</w:t>
      </w:r>
    </w:p>
    <w:p>
      <w:pPr>
        <w:spacing w:after="200" w:line="276"/>
        <w:jc w:val="both"/>
      </w:pPr>
      <w:r>
        <w:rPr>
          <w:rFonts w:ascii="Calibri" w:cs="Calibri" w:eastAsia="Calibri" w:hAnsi="Calibri"/>
          <w:color w:val="1A1A1A"/>
          <w:sz w:val="22"/>
          <w:szCs w:val="22"/>
        </w:rPr>
        <w:t xml:space="preserve">Parties recognize that the Framework's tariff measures affect the cost structure of existing commercial supply contracts between domestic importers and United States plastics suppliers, and the Framework's design does not interfere with the private contractual remedies, including force majeure or hardship clauses, that individual commercial parties negotiate under their own applicable contract law. The Tariff and Customs Working Group publishes general guidance describing the Framework's tariff measures in terms commercial parties reasonably rely on for their own contract interpretation purposes, without rendering binding determinations on any individual private commercial dispute.</w:t>
      </w:r>
    </w:p>
    <w:p>
      <w:pPr>
        <w:pStyle w:val="Heading2"/>
        <w:keepNext/>
        <w:spacing w:after="140" w:before="260"/>
      </w:pPr>
      <w:r>
        <w:rPr>
          <w:rFonts w:ascii="Calibri" w:cs="Calibri" w:eastAsia="Calibri" w:hAnsi="Calibri"/>
          <w:b/>
          <w:bCs/>
          <w:color w:val="1F5FA8"/>
          <w:sz w:val="24"/>
          <w:szCs w:val="24"/>
        </w:rPr>
        <w:t xml:space="preserve">AT.2 Investor-State Considerations</w:t>
      </w:r>
    </w:p>
    <w:p>
      <w:pPr>
        <w:spacing w:after="200" w:line="276"/>
        <w:jc w:val="both"/>
      </w:pPr>
      <w:r>
        <w:rPr>
          <w:rFonts w:ascii="Calibri" w:cs="Calibri" w:eastAsia="Calibri" w:hAnsi="Calibri"/>
          <w:color w:val="1A1A1A"/>
          <w:sz w:val="22"/>
          <w:szCs w:val="22"/>
        </w:rPr>
        <w:t xml:space="preserve">The Legal Working Group monitors whether any Party's implementation of Framework tariff measures triggers investor-state dispute considerations under that Party's existing bilateral investment treaties or investment chapters within broader trade agreements, recognizing that a United States investor operating manufacturing or distribution facilities within a coalition member's territory retains whatever investment protection that Party's own treaty commitments separately establish. The Legal Working Group prepares model defensive argumentation addressing the legitimate-regulatory-measure character of the Framework's tariffs, available to any Party facing an investor-state claim connected to Framework implementation.</w:t>
      </w:r>
    </w:p>
    <w:p>
      <w:pPr>
        <w:pStyle w:val="Heading2"/>
        <w:keepNext/>
        <w:spacing w:after="140" w:before="260"/>
      </w:pPr>
      <w:r>
        <w:rPr>
          <w:rFonts w:ascii="Calibri" w:cs="Calibri" w:eastAsia="Calibri" w:hAnsi="Calibri"/>
          <w:b/>
          <w:bCs/>
          <w:color w:val="1F5FA8"/>
          <w:sz w:val="24"/>
          <w:szCs w:val="24"/>
        </w:rPr>
        <w:t xml:space="preserve">AT.3 Insurance and Trade Finance Considerations</w:t>
      </w:r>
    </w:p>
    <w:p>
      <w:pPr>
        <w:spacing w:after="200" w:line="276"/>
        <w:jc w:val="both"/>
      </w:pPr>
      <w:r>
        <w:rPr>
          <w:rFonts w:ascii="Calibri" w:cs="Calibri" w:eastAsia="Calibri" w:hAnsi="Calibri"/>
          <w:color w:val="1A1A1A"/>
          <w:sz w:val="22"/>
          <w:szCs w:val="22"/>
        </w:rPr>
        <w:t xml:space="preserve">Parties coordinate with their domestic export credit and trade insurance institutions to ensure that standard trade finance and cargo insurance arrangements accommodate the Framework's tariff measures without unexpected coverage gaps, building on the export credit agency coordination the Stabilization Facility already establishes under Annex L.3. The Tariff and Customs Working Group circulates guidance to domestic trade finance institutions clarifying the Framework's tariff schedule and coordinated implementation timeline, supporting orderly commercial adjustment across the trade finance sector alongside the customs administration adjustment Article 4.3 addresses directly.</w:t>
      </w:r>
    </w:p>
    <w:p>
      <w:pPr>
        <w:pStyle w:val="Heading1"/>
        <w:keepNext/>
        <w:spacing w:after="200" w:before="360"/>
      </w:pPr>
      <w:r>
        <w:rPr>
          <w:rFonts w:ascii="Calibri" w:cs="Calibri" w:eastAsia="Calibri" w:hAnsi="Calibri"/>
          <w:b/>
          <w:bCs/>
          <w:color w:val="0B3D91"/>
          <w:sz w:val="30"/>
          <w:szCs w:val="30"/>
        </w:rPr>
        <w:t xml:space="preserve">Annex AU: Coalition Council Session Logistics</w:t>
      </w:r>
    </w:p>
    <w:p>
      <w:pPr>
        <w:pStyle w:val="Heading2"/>
        <w:keepNext/>
        <w:spacing w:after="140" w:before="260"/>
      </w:pPr>
      <w:r>
        <w:rPr>
          <w:rFonts w:ascii="Calibri" w:cs="Calibri" w:eastAsia="Calibri" w:hAnsi="Calibri"/>
          <w:b/>
          <w:bCs/>
          <w:color w:val="1F5FA8"/>
          <w:sz w:val="24"/>
          <w:szCs w:val="24"/>
        </w:rPr>
        <w:t xml:space="preserve">AU.1 Rotating Hosting Arrangement</w:t>
      </w:r>
    </w:p>
    <w:p>
      <w:pPr>
        <w:spacing w:after="200" w:line="276"/>
        <w:jc w:val="both"/>
      </w:pPr>
      <w:r>
        <w:rPr>
          <w:rFonts w:ascii="Calibri" w:cs="Calibri" w:eastAsia="Calibri" w:hAnsi="Calibri"/>
          <w:color w:val="1A1A1A"/>
          <w:sz w:val="22"/>
          <w:szCs w:val="22"/>
        </w:rPr>
        <w:t xml:space="preserve">The Coalition Council rotates its quarterly in-person session hosting duty among Full Members on a schedule the Steering Committee establishes at each calendar year's outset, with Canada hosting the founding session and subsequent sessions rotating through the membership according to a sequence that balances travel burden across the coalition's geographic distribution. The hosting Party covers venue costs for its hosted session, while the Secretariat covers the interpretation, documentation, and technical support costs common to every session regardless of host.</w:t>
      </w:r>
    </w:p>
    <w:p>
      <w:pPr>
        <w:pStyle w:val="Heading2"/>
        <w:keepNext/>
        <w:spacing w:after="140" w:before="260"/>
      </w:pPr>
      <w:r>
        <w:rPr>
          <w:rFonts w:ascii="Calibri" w:cs="Calibri" w:eastAsia="Calibri" w:hAnsi="Calibri"/>
          <w:b/>
          <w:bCs/>
          <w:color w:val="1F5FA8"/>
          <w:sz w:val="24"/>
          <w:szCs w:val="24"/>
        </w:rPr>
        <w:t xml:space="preserve">AU.2 Virtual Participation Standards</w:t>
      </w:r>
    </w:p>
    <w:p>
      <w:pPr>
        <w:spacing w:after="200" w:line="276"/>
        <w:jc w:val="both"/>
      </w:pPr>
      <w:r>
        <w:rPr>
          <w:rFonts w:ascii="Calibri" w:cs="Calibri" w:eastAsia="Calibri" w:hAnsi="Calibri"/>
          <w:color w:val="1A1A1A"/>
          <w:sz w:val="22"/>
          <w:szCs w:val="22"/>
        </w:rPr>
        <w:t xml:space="preserve">Every Coalition Council session accommodates virtual participation for any Party unable to send a representative in person, and the Secretariat maintains the technical infrastructure necessary for full virtual participants to exercise their voting rights with the same standing as in-person participants. This virtual participation standard ensures that a Party's practical travel constraints never compromise that Party's full participation in the Coalition Council's decision-making function.</w:t>
      </w:r>
    </w:p>
    <w:p>
      <w:pPr>
        <w:pStyle w:val="Heading2"/>
        <w:keepNext/>
        <w:spacing w:after="140" w:before="260"/>
      </w:pPr>
      <w:r>
        <w:rPr>
          <w:rFonts w:ascii="Calibri" w:cs="Calibri" w:eastAsia="Calibri" w:hAnsi="Calibri"/>
          <w:b/>
          <w:bCs/>
          <w:color w:val="1F5FA8"/>
          <w:sz w:val="24"/>
          <w:szCs w:val="24"/>
        </w:rPr>
        <w:t xml:space="preserve">AU.3 Emergency Session Protocols</w:t>
      </w:r>
    </w:p>
    <w:p>
      <w:pPr>
        <w:spacing w:after="200" w:line="276"/>
        <w:jc w:val="both"/>
      </w:pPr>
      <w:r>
        <w:rPr>
          <w:rFonts w:ascii="Calibri" w:cs="Calibri" w:eastAsia="Calibri" w:hAnsi="Calibri"/>
          <w:color w:val="1A1A1A"/>
          <w:sz w:val="22"/>
          <w:szCs w:val="22"/>
        </w:rPr>
        <w:t xml:space="preserve">Emergency Coalition Council sessions, convened under the accelerated timelines Article 6.2 and Annex AF specify for defection and pressure-event scenarios, proceed by default through virtual convening given the compressed notice period such sessions require, and the Secretariat activates its emergency-session technical protocol, tested periodically to ensure readiness, immediately upon receiving a qualifying emergency session request from any three Parties or from the Steering Committee itself.</w:t>
      </w:r>
    </w:p>
    <w:p>
      <w:pPr>
        <w:pStyle w:val="Heading1"/>
        <w:keepNext/>
        <w:spacing w:after="200" w:before="360"/>
      </w:pPr>
      <w:r>
        <w:rPr>
          <w:rFonts w:ascii="Calibri" w:cs="Calibri" w:eastAsia="Calibri" w:hAnsi="Calibri"/>
          <w:b/>
          <w:bCs/>
          <w:color w:val="0B3D91"/>
          <w:sz w:val="30"/>
          <w:szCs w:val="30"/>
        </w:rPr>
        <w:t xml:space="preserve">Annex AV: Relationship to Broader Multilateral Institutions</w:t>
      </w:r>
    </w:p>
    <w:p>
      <w:pPr>
        <w:pStyle w:val="Heading2"/>
        <w:keepNext/>
        <w:spacing w:after="140" w:before="260"/>
      </w:pPr>
      <w:r>
        <w:rPr>
          <w:rFonts w:ascii="Calibri" w:cs="Calibri" w:eastAsia="Calibri" w:hAnsi="Calibri"/>
          <w:b/>
          <w:bCs/>
          <w:color w:val="1F5FA8"/>
          <w:sz w:val="24"/>
          <w:szCs w:val="24"/>
        </w:rPr>
        <w:t xml:space="preserve">AV.1 Group of Seven and Group of Twenty</w:t>
      </w:r>
    </w:p>
    <w:p>
      <w:pPr>
        <w:spacing w:after="200" w:line="276"/>
        <w:jc w:val="both"/>
      </w:pPr>
      <w:r>
        <w:rPr>
          <w:rFonts w:ascii="Calibri" w:cs="Calibri" w:eastAsia="Calibri" w:hAnsi="Calibri"/>
          <w:color w:val="1A1A1A"/>
          <w:sz w:val="22"/>
          <w:szCs w:val="22"/>
        </w:rPr>
        <w:t xml:space="preserve">Canada leverages its Group of Seven convening relationships, including its own 2025 hosting experience referenced in Annex B.2, to raise the Framework's coalition-building effort within Group of Seven and, where relevant coalition membership overlaps, Group of Twenty ministerial discussions, without treating either body as a formal Framework governance institution. These broader multilateral forums provide useful venues for informal coalition-building conversation among senior officials, complementing rather than substituting for the Framework's own dedicated governance architecture under Article 3.</w:t>
      </w:r>
    </w:p>
    <w:p>
      <w:pPr>
        <w:pStyle w:val="Heading2"/>
        <w:keepNext/>
        <w:spacing w:after="140" w:before="260"/>
      </w:pPr>
      <w:r>
        <w:rPr>
          <w:rFonts w:ascii="Calibri" w:cs="Calibri" w:eastAsia="Calibri" w:hAnsi="Calibri"/>
          <w:b/>
          <w:bCs/>
          <w:color w:val="1F5FA8"/>
          <w:sz w:val="24"/>
          <w:szCs w:val="24"/>
        </w:rPr>
        <w:t xml:space="preserve">AV.2 Organisation for Economic Co-operation and Development</w:t>
      </w:r>
    </w:p>
    <w:p>
      <w:pPr>
        <w:spacing w:after="200" w:line="276"/>
        <w:jc w:val="both"/>
      </w:pPr>
      <w:r>
        <w:rPr>
          <w:rFonts w:ascii="Calibri" w:cs="Calibri" w:eastAsia="Calibri" w:hAnsi="Calibri"/>
          <w:color w:val="1A1A1A"/>
          <w:sz w:val="22"/>
          <w:szCs w:val="22"/>
        </w:rPr>
        <w:t xml:space="preserve">The Legal Working Group monitors relevant Organisation for Economic Co-operation and Development trade policy analysis and statistical output for information supporting the Framework's monitoring function under Article 10.1, recognizing the Organisation's established data infrastructure as a useful supplementary source alongside the Framework's own Party-submitted customs statistics. The Framework does not seek formal institutional affiliation with the Organisation, preserving its independent governance structure under Article 3.</w:t>
      </w:r>
    </w:p>
    <w:p>
      <w:pPr>
        <w:pStyle w:val="Heading2"/>
        <w:keepNext/>
        <w:spacing w:after="140" w:before="260"/>
      </w:pPr>
      <w:r>
        <w:rPr>
          <w:rFonts w:ascii="Calibri" w:cs="Calibri" w:eastAsia="Calibri" w:hAnsi="Calibri"/>
          <w:b/>
          <w:bCs/>
          <w:color w:val="1F5FA8"/>
          <w:sz w:val="24"/>
          <w:szCs w:val="24"/>
        </w:rPr>
        <w:t xml:space="preserve">AV.3 Regional Economic Communities</w:t>
      </w:r>
    </w:p>
    <w:p>
      <w:pPr>
        <w:spacing w:after="200" w:line="276"/>
        <w:jc w:val="both"/>
      </w:pPr>
      <w:r>
        <w:rPr>
          <w:rFonts w:ascii="Calibri" w:cs="Calibri" w:eastAsia="Calibri" w:hAnsi="Calibri"/>
          <w:color w:val="1A1A1A"/>
          <w:sz w:val="22"/>
          <w:szCs w:val="22"/>
        </w:rPr>
        <w:t xml:space="preserve">The Framework coordinates informally with regional economic communities whose membership overlaps significantly with Framework Parties, including the European Union's own institutional trade policy apparatus and the Association of Southeast Asian Nations secretariat referenced in Annex J.9, without subordinating Framework decision-making to any regional body's own separate institutional processes. This coordination supports outreach efficiency, particularly for the Tier 3 Southeast Asian economies where regional coordination channels sometimes accelerate individual national accession decisions.</w:t>
      </w:r>
    </w:p>
    <w:p>
      <w:pPr>
        <w:pStyle w:val="Heading1"/>
        <w:keepNext/>
        <w:spacing w:after="200" w:before="360"/>
      </w:pPr>
      <w:r>
        <w:rPr>
          <w:rFonts w:ascii="Calibri" w:cs="Calibri" w:eastAsia="Calibri" w:hAnsi="Calibri"/>
          <w:b/>
          <w:bCs/>
          <w:color w:val="0B3D91"/>
          <w:sz w:val="30"/>
          <w:szCs w:val="30"/>
        </w:rPr>
        <w:t xml:space="preserve">Annex AW: Data Sharing and Statistical Standards</w:t>
      </w:r>
    </w:p>
    <w:p>
      <w:pPr>
        <w:pStyle w:val="Heading2"/>
        <w:keepNext/>
        <w:spacing w:after="140" w:before="260"/>
      </w:pPr>
      <w:r>
        <w:rPr>
          <w:rFonts w:ascii="Calibri" w:cs="Calibri" w:eastAsia="Calibri" w:hAnsi="Calibri"/>
          <w:b/>
          <w:bCs/>
          <w:color w:val="1F5FA8"/>
          <w:sz w:val="24"/>
          <w:szCs w:val="24"/>
        </w:rPr>
        <w:t xml:space="preserve">AW.1 Common Reporting Template</w:t>
      </w:r>
    </w:p>
    <w:p>
      <w:pPr>
        <w:spacing w:after="200" w:line="276"/>
        <w:jc w:val="both"/>
      </w:pPr>
      <w:r>
        <w:rPr>
          <w:rFonts w:ascii="Calibri" w:cs="Calibri" w:eastAsia="Calibri" w:hAnsi="Calibri"/>
          <w:color w:val="1A1A1A"/>
          <w:sz w:val="22"/>
          <w:szCs w:val="22"/>
        </w:rPr>
        <w:t xml:space="preserve">The Tariff and Customs Working Group maintains a common statistical reporting template that every Party applies in submitting the monthly customs data Article 10.1 requires, ensuring the Secretariat's consolidated reporting under Article 10.4 aggregates genuinely comparable data across a membership whose individual national statistical systems otherwise vary considerably in structure and classification convention. The Working Group updates this template as needed to accommodate new accessions or coverage changes under Article 4.4, circulating each updated version to all Parties with adequate transition time before the update takes effect.</w:t>
      </w:r>
    </w:p>
    <w:p>
      <w:pPr>
        <w:pStyle w:val="Heading2"/>
        <w:keepNext/>
        <w:spacing w:after="140" w:before="260"/>
      </w:pPr>
      <w:r>
        <w:rPr>
          <w:rFonts w:ascii="Calibri" w:cs="Calibri" w:eastAsia="Calibri" w:hAnsi="Calibri"/>
          <w:b/>
          <w:bCs/>
          <w:color w:val="1F5FA8"/>
          <w:sz w:val="24"/>
          <w:szCs w:val="24"/>
        </w:rPr>
        <w:t xml:space="preserve">AW.2 Data Confidentiality</w:t>
      </w:r>
    </w:p>
    <w:p>
      <w:pPr>
        <w:spacing w:after="200" w:line="276"/>
        <w:jc w:val="both"/>
      </w:pPr>
      <w:r>
        <w:rPr>
          <w:rFonts w:ascii="Calibri" w:cs="Calibri" w:eastAsia="Calibri" w:hAnsi="Calibri"/>
          <w:color w:val="1A1A1A"/>
          <w:sz w:val="22"/>
          <w:szCs w:val="22"/>
        </w:rPr>
        <w:t xml:space="preserve">The Secretariat treats Party-submitted trade statistics as confidential except where a Party consents to public disclosure or where the data appears only in the aggregated, non-attributable form the Article 10.4 quarterly public report presents. This confidentiality standard protects individual Parties' sensitive trade data while preserving the aggregate transparency that supports the Framework's broader public communications objectives under Article 9.</w:t>
      </w:r>
    </w:p>
    <w:p>
      <w:pPr>
        <w:pStyle w:val="Heading2"/>
        <w:keepNext/>
        <w:spacing w:after="140" w:before="260"/>
      </w:pPr>
      <w:r>
        <w:rPr>
          <w:rFonts w:ascii="Calibri" w:cs="Calibri" w:eastAsia="Calibri" w:hAnsi="Calibri"/>
          <w:b/>
          <w:bCs/>
          <w:color w:val="1F5FA8"/>
          <w:sz w:val="24"/>
          <w:szCs w:val="24"/>
        </w:rPr>
        <w:t xml:space="preserve">AW.3 Data Quality Assurance</w:t>
      </w:r>
    </w:p>
    <w:p>
      <w:pPr>
        <w:spacing w:after="200" w:line="276"/>
        <w:jc w:val="both"/>
      </w:pPr>
      <w:r>
        <w:rPr>
          <w:rFonts w:ascii="Calibri" w:cs="Calibri" w:eastAsia="Calibri" w:hAnsi="Calibri"/>
          <w:color w:val="1A1A1A"/>
          <w:sz w:val="22"/>
          <w:szCs w:val="22"/>
        </w:rPr>
        <w:t xml:space="preserve">The Tariff and Customs Working Group conducts periodic data quality review across Party submissions, flagging apparent anomalies for Party clarification before incorporating potentially erroneous data into the Annex F dashboard's trend analysis. This quality assurance function protects the integrity of the Coalition Council's evidence-based review process under Article 10.3, ensuring that escalation, de-escalation, and settlement determinations rest on reliable underlying data.</w:t>
      </w:r>
    </w:p>
    <w:p>
      <w:pPr>
        <w:pStyle w:val="Heading1"/>
        <w:keepNext/>
        <w:spacing w:after="200" w:before="360"/>
      </w:pPr>
      <w:r>
        <w:rPr>
          <w:rFonts w:ascii="Calibri" w:cs="Calibri" w:eastAsia="Calibri" w:hAnsi="Calibri"/>
          <w:b/>
          <w:bCs/>
          <w:color w:val="0B3D91"/>
          <w:sz w:val="30"/>
          <w:szCs w:val="30"/>
        </w:rPr>
        <w:t xml:space="preserve">Annex AX: Public-Private Sector Coordination Mechanisms</w:t>
      </w:r>
    </w:p>
    <w:p>
      <w:pPr>
        <w:pStyle w:val="Heading2"/>
        <w:keepNext/>
        <w:spacing w:after="140" w:before="260"/>
      </w:pPr>
      <w:r>
        <w:rPr>
          <w:rFonts w:ascii="Calibri" w:cs="Calibri" w:eastAsia="Calibri" w:hAnsi="Calibri"/>
          <w:b/>
          <w:bCs/>
          <w:color w:val="1F5FA8"/>
          <w:sz w:val="24"/>
          <w:szCs w:val="24"/>
        </w:rPr>
        <w:t xml:space="preserve">AX.1 Industry Advisory Consultation</w:t>
      </w:r>
    </w:p>
    <w:p>
      <w:pPr>
        <w:spacing w:after="200" w:line="276"/>
        <w:jc w:val="both"/>
      </w:pPr>
      <w:r>
        <w:rPr>
          <w:rFonts w:ascii="Calibri" w:cs="Calibri" w:eastAsia="Calibri" w:hAnsi="Calibri"/>
          <w:color w:val="1A1A1A"/>
          <w:sz w:val="22"/>
          <w:szCs w:val="22"/>
        </w:rPr>
        <w:t xml:space="preserve">The Supply Chain and Exemptions Working Group maintains a standing industry advisory consultation mechanism, drawing on voluntary participation from major plastics-consuming and plastics-producing firms across the coalition membership, to inform the Working Group's exemption review and alternative-supplier mapping functions with current, practical industry knowledge that pure government-to-government coordination sometimes lacks. This consultation mechanism operates on an advisory basis only, with all substantive determinations remaining the Working Group's own responsibility consistent with Article 5.1's formal review process.</w:t>
      </w:r>
    </w:p>
    <w:p>
      <w:pPr>
        <w:pStyle w:val="Heading2"/>
        <w:keepNext/>
        <w:spacing w:after="140" w:before="260"/>
      </w:pPr>
      <w:r>
        <w:rPr>
          <w:rFonts w:ascii="Calibri" w:cs="Calibri" w:eastAsia="Calibri" w:hAnsi="Calibri"/>
          <w:b/>
          <w:bCs/>
          <w:color w:val="1F5FA8"/>
          <w:sz w:val="24"/>
          <w:szCs w:val="24"/>
        </w:rPr>
        <w:t xml:space="preserve">AX.2 Logistics and Shipping Sector Engagement</w:t>
      </w:r>
    </w:p>
    <w:p>
      <w:pPr>
        <w:spacing w:after="200" w:line="276"/>
        <w:jc w:val="both"/>
      </w:pPr>
      <w:r>
        <w:rPr>
          <w:rFonts w:ascii="Calibri" w:cs="Calibri" w:eastAsia="Calibri" w:hAnsi="Calibri"/>
          <w:color w:val="1A1A1A"/>
          <w:sz w:val="22"/>
          <w:szCs w:val="22"/>
        </w:rPr>
        <w:t xml:space="preserve">The Supply Chain and Exemptions Working Group engages directly with major shipping and logistics providers operating across the coalition membership's ports and trade corridors, supporting the practical route diversification the diversification guarantees under Article 7.3 require. This engagement helps the Working Group identify genuine logistics constraints early, before they translate into the kind of unanticipated shortage that would otherwise require a reactive product-specific adjustment under Article 5.3.</w:t>
      </w:r>
    </w:p>
    <w:p>
      <w:pPr>
        <w:pStyle w:val="Heading2"/>
        <w:keepNext/>
        <w:spacing w:after="140" w:before="260"/>
      </w:pPr>
      <w:r>
        <w:rPr>
          <w:rFonts w:ascii="Calibri" w:cs="Calibri" w:eastAsia="Calibri" w:hAnsi="Calibri"/>
          <w:b/>
          <w:bCs/>
          <w:color w:val="1F5FA8"/>
          <w:sz w:val="24"/>
          <w:szCs w:val="24"/>
        </w:rPr>
        <w:t xml:space="preserve">AX.3 Financial Sector Coordination</w:t>
      </w:r>
    </w:p>
    <w:p>
      <w:pPr>
        <w:spacing w:after="200" w:line="276"/>
        <w:jc w:val="both"/>
      </w:pPr>
      <w:r>
        <w:rPr>
          <w:rFonts w:ascii="Calibri" w:cs="Calibri" w:eastAsia="Calibri" w:hAnsi="Calibri"/>
          <w:color w:val="1A1A1A"/>
          <w:sz w:val="22"/>
          <w:szCs w:val="22"/>
        </w:rPr>
        <w:t xml:space="preserve">The Stabilization Facility's administrator, referenced in Annex L.2, maintains coordination channels with major coalition-member financial institutions active in trade finance, supporting the Facility's bridge-financing function under Article 7.2 and ensuring that firms reorienting supply chains away from United States sourcing access commercial financing alongside, rather than solely dependent on, the Facility's own modest pooled resources.</w:t>
      </w:r>
    </w:p>
    <w:p>
      <w:pPr>
        <w:pStyle w:val="Heading1"/>
        <w:keepNext/>
        <w:spacing w:after="200" w:before="360"/>
      </w:pPr>
      <w:r>
        <w:rPr>
          <w:rFonts w:ascii="Calibri" w:cs="Calibri" w:eastAsia="Calibri" w:hAnsi="Calibri"/>
          <w:b/>
          <w:bCs/>
          <w:color w:val="0B3D91"/>
          <w:sz w:val="30"/>
          <w:szCs w:val="30"/>
        </w:rPr>
        <w:t xml:space="preserve">Annex AY: Digital Customs Systems Interoperability</w:t>
      </w:r>
    </w:p>
    <w:p>
      <w:pPr>
        <w:pStyle w:val="Heading2"/>
        <w:keepNext/>
        <w:spacing w:after="140" w:before="260"/>
      </w:pPr>
      <w:r>
        <w:rPr>
          <w:rFonts w:ascii="Calibri" w:cs="Calibri" w:eastAsia="Calibri" w:hAnsi="Calibri"/>
          <w:b/>
          <w:bCs/>
          <w:color w:val="1F5FA8"/>
          <w:sz w:val="24"/>
          <w:szCs w:val="24"/>
        </w:rPr>
        <w:t xml:space="preserve">AY.1 Interoperability Objectives</w:t>
      </w:r>
    </w:p>
    <w:p>
      <w:pPr>
        <w:spacing w:after="200" w:line="276"/>
        <w:jc w:val="both"/>
      </w:pPr>
      <w:r>
        <w:rPr>
          <w:rFonts w:ascii="Calibri" w:cs="Calibri" w:eastAsia="Calibri" w:hAnsi="Calibri"/>
          <w:color w:val="1A1A1A"/>
          <w:sz w:val="22"/>
          <w:szCs w:val="22"/>
        </w:rPr>
        <w:t xml:space="preserve">The Tariff and Customs Working Group pursues digital interoperability among Parties' customs administration systems sufficient to support the monthly statistical reporting Article 10.1 requires and the coverage reconciliation function Article 4.2 establishes, without requiring Parties to adopt a uniform customs technology platform that would impose an unreasonable technical migration burden on any individual Party's existing infrastructure. The Working Group instead develops a common data exchange standard that each Party's existing customs system exports into, preserving each Party's underlying technology choice while ensuring consistent, comparable data flows into the Framework's shared reporting architecture.</w:t>
      </w:r>
    </w:p>
    <w:p>
      <w:pPr>
        <w:pStyle w:val="Heading2"/>
        <w:keepNext/>
        <w:spacing w:after="140" w:before="260"/>
      </w:pPr>
      <w:r>
        <w:rPr>
          <w:rFonts w:ascii="Calibri" w:cs="Calibri" w:eastAsia="Calibri" w:hAnsi="Calibri"/>
          <w:b/>
          <w:bCs/>
          <w:color w:val="1F5FA8"/>
          <w:sz w:val="24"/>
          <w:szCs w:val="24"/>
        </w:rPr>
        <w:t xml:space="preserve">AY.2 Technical Standards Development</w:t>
      </w:r>
    </w:p>
    <w:p>
      <w:pPr>
        <w:spacing w:after="200" w:line="276"/>
        <w:jc w:val="both"/>
      </w:pPr>
      <w:r>
        <w:rPr>
          <w:rFonts w:ascii="Calibri" w:cs="Calibri" w:eastAsia="Calibri" w:hAnsi="Calibri"/>
          <w:color w:val="1A1A1A"/>
          <w:sz w:val="22"/>
          <w:szCs w:val="22"/>
        </w:rPr>
        <w:t xml:space="preserve">The Working Group develops the common data exchange standard through direct consultation with each Party's customs technology officials, drawing where practicable on existing international customs data standards the World Customs Organization maintains, rather than developing an entirely novel Framework-specific standard from first principles. This approach minimizes the technical development burden the Framework's data infrastructure requires and maximizes compatibility with systems Parties' customs administrations already operate for their broader trade administration functions beyond this Framework alone.</w:t>
      </w:r>
    </w:p>
    <w:p>
      <w:pPr>
        <w:pStyle w:val="Heading2"/>
        <w:keepNext/>
        <w:spacing w:after="140" w:before="260"/>
      </w:pPr>
      <w:r>
        <w:rPr>
          <w:rFonts w:ascii="Calibri" w:cs="Calibri" w:eastAsia="Calibri" w:hAnsi="Calibri"/>
          <w:b/>
          <w:bCs/>
          <w:color w:val="1F5FA8"/>
          <w:sz w:val="24"/>
          <w:szCs w:val="24"/>
        </w:rPr>
        <w:t xml:space="preserve">AY.3 Phased Implementation</w:t>
      </w:r>
    </w:p>
    <w:p>
      <w:pPr>
        <w:spacing w:after="200" w:line="276"/>
        <w:jc w:val="both"/>
      </w:pPr>
      <w:r>
        <w:rPr>
          <w:rFonts w:ascii="Calibri" w:cs="Calibri" w:eastAsia="Calibri" w:hAnsi="Calibri"/>
          <w:color w:val="1A1A1A"/>
          <w:sz w:val="22"/>
          <w:szCs w:val="22"/>
        </w:rPr>
        <w:t xml:space="preserve">Parties implement the common data exchange standard on a phased basis consistent with their own technical readiness, with the Working Group prioritizing full interoperability among Founding Parties during the initial implementation window under Article 4.3 and extending phased interoperability support to later-acceding Parties as their own accession timeline under Article 2.2 proceeds. The Working Group provides direct technical assistance to Parties whose domestic customs technology infrastructure requires additional support achieving the common standard, drawing on the collective technical expertise more digitally advanced Parties within the membership volunteer to share.</w:t>
      </w:r>
    </w:p>
    <w:p>
      <w:pPr>
        <w:pStyle w:val="Heading1"/>
        <w:keepNext/>
        <w:spacing w:after="200" w:before="360"/>
      </w:pPr>
      <w:r>
        <w:rPr>
          <w:rFonts w:ascii="Calibri" w:cs="Calibri" w:eastAsia="Calibri" w:hAnsi="Calibri"/>
          <w:b/>
          <w:bCs/>
          <w:color w:val="0B3D91"/>
          <w:sz w:val="30"/>
          <w:szCs w:val="30"/>
        </w:rPr>
        <w:t xml:space="preserve">Annex AZ: Translation and Multilingual Documentation Standards</w:t>
      </w:r>
    </w:p>
    <w:p>
      <w:pPr>
        <w:pStyle w:val="Heading2"/>
        <w:keepNext/>
        <w:spacing w:after="140" w:before="260"/>
      </w:pPr>
      <w:r>
        <w:rPr>
          <w:rFonts w:ascii="Calibri" w:cs="Calibri" w:eastAsia="Calibri" w:hAnsi="Calibri"/>
          <w:b/>
          <w:bCs/>
          <w:color w:val="1F5FA8"/>
          <w:sz w:val="24"/>
          <w:szCs w:val="24"/>
        </w:rPr>
        <w:t xml:space="preserve">AZ.1 Core Document Translation</w:t>
      </w:r>
    </w:p>
    <w:p>
      <w:pPr>
        <w:spacing w:after="200" w:line="276"/>
        <w:jc w:val="both"/>
      </w:pPr>
      <w:r>
        <w:rPr>
          <w:rFonts w:ascii="Calibri" w:cs="Calibri" w:eastAsia="Calibri" w:hAnsi="Calibri"/>
          <w:color w:val="1A1A1A"/>
          <w:sz w:val="22"/>
          <w:szCs w:val="22"/>
        </w:rPr>
        <w:t xml:space="preserve">The Secretariat maintains certified translations of this Agreement's operative Articles and Annexes across every official language represented among the Parties, consistent with the equal authenticity principle Article 12.3 establishes, and prioritizes translation completion for each newly acceding Party's official language within sixty days of that Party's accession. The Secretariat maintains a standing roster of qualified legal translators experienced in international trade law terminology, ensuring translation quality that preserves the precise operative meaning of each Article's carefully calibrated present-tense, active-voice drafting.</w:t>
      </w:r>
    </w:p>
    <w:p>
      <w:pPr>
        <w:pStyle w:val="Heading2"/>
        <w:keepNext/>
        <w:spacing w:after="140" w:before="260"/>
      </w:pPr>
      <w:r>
        <w:rPr>
          <w:rFonts w:ascii="Calibri" w:cs="Calibri" w:eastAsia="Calibri" w:hAnsi="Calibri"/>
          <w:b/>
          <w:bCs/>
          <w:color w:val="1F5FA8"/>
          <w:sz w:val="24"/>
          <w:szCs w:val="24"/>
        </w:rPr>
        <w:t xml:space="preserve">AZ.2 Working Document Translation</w:t>
      </w:r>
    </w:p>
    <w:p>
      <w:pPr>
        <w:spacing w:after="200" w:line="276"/>
        <w:jc w:val="both"/>
      </w:pPr>
      <w:r>
        <w:rPr>
          <w:rFonts w:ascii="Calibri" w:cs="Calibri" w:eastAsia="Calibri" w:hAnsi="Calibri"/>
          <w:color w:val="1A1A1A"/>
          <w:sz w:val="22"/>
          <w:szCs w:val="22"/>
        </w:rPr>
        <w:t xml:space="preserve">The Communications Working Group translates the external messaging materials specified in Annex G.3 into every official language across the membership, recognizing that effective domestic political shielding under Article 9.4 depends on Parties' communications teams working from materials in their own working languages rather than translating on an ad hoc basis under time pressure during an active pressure event. The Legal Working Group similarly maintains multilingual versions of the model legislative and administrative language in Annex N and Annex AG, supporting Parties whose domestic legal drafting proceeds in a language other than English or French.</w:t>
      </w:r>
    </w:p>
    <w:p>
      <w:pPr>
        <w:pStyle w:val="Heading2"/>
        <w:keepNext/>
        <w:spacing w:after="140" w:before="260"/>
      </w:pPr>
      <w:r>
        <w:rPr>
          <w:rFonts w:ascii="Calibri" w:cs="Calibri" w:eastAsia="Calibri" w:hAnsi="Calibri"/>
          <w:b/>
          <w:bCs/>
          <w:color w:val="1F5FA8"/>
          <w:sz w:val="24"/>
          <w:szCs w:val="24"/>
        </w:rPr>
        <w:t xml:space="preserve">AZ.3 Interpretation Services for Meetings</w:t>
      </w:r>
    </w:p>
    <w:p>
      <w:pPr>
        <w:spacing w:after="200" w:line="276"/>
        <w:jc w:val="both"/>
      </w:pPr>
      <w:r>
        <w:rPr>
          <w:rFonts w:ascii="Calibri" w:cs="Calibri" w:eastAsia="Calibri" w:hAnsi="Calibri"/>
          <w:color w:val="1A1A1A"/>
          <w:sz w:val="22"/>
          <w:szCs w:val="22"/>
        </w:rPr>
        <w:t xml:space="preserve">The Secretariat provides simultaneous interpretation services for Coalition Council sessions and, where requested, Steering Committee sessions, covering the official languages actively represented among attending Party representatives at each session. This interpretation function ensures that language differences never constrain any Party representative's full and effective participation in the Framework's collective deliberation and decision-making processes.</w:t>
      </w:r>
    </w:p>
    <w:p>
      <w:pPr>
        <w:pStyle w:val="Heading1"/>
        <w:keepNext/>
        <w:spacing w:after="200" w:before="360"/>
      </w:pPr>
      <w:r>
        <w:rPr>
          <w:rFonts w:ascii="Calibri" w:cs="Calibri" w:eastAsia="Calibri" w:hAnsi="Calibri"/>
          <w:b/>
          <w:bCs/>
          <w:color w:val="0B3D91"/>
          <w:sz w:val="30"/>
          <w:szCs w:val="30"/>
        </w:rPr>
        <w:t xml:space="preserve">Annex BA: Final Administrative Provisions and Anniversary Review</w:t>
      </w:r>
    </w:p>
    <w:p>
      <w:pPr>
        <w:pStyle w:val="Heading2"/>
        <w:keepNext/>
        <w:spacing w:after="140" w:before="260"/>
      </w:pPr>
      <w:r>
        <w:rPr>
          <w:rFonts w:ascii="Calibri" w:cs="Calibri" w:eastAsia="Calibri" w:hAnsi="Calibri"/>
          <w:b/>
          <w:bCs/>
          <w:color w:val="1F5FA8"/>
          <w:sz w:val="24"/>
          <w:szCs w:val="24"/>
        </w:rPr>
        <w:t xml:space="preserve">BA.1 Annual Anniversary Review</w:t>
      </w:r>
    </w:p>
    <w:p>
      <w:pPr>
        <w:spacing w:after="200" w:line="276"/>
        <w:jc w:val="both"/>
      </w:pPr>
      <w:r>
        <w:rPr>
          <w:rFonts w:ascii="Calibri" w:cs="Calibri" w:eastAsia="Calibri" w:hAnsi="Calibri"/>
          <w:color w:val="1A1A1A"/>
          <w:sz w:val="22"/>
          <w:szCs w:val="22"/>
        </w:rPr>
        <w:t xml:space="preserve">The Coalition Council convenes a dedicated anniversary review session on or near the anniversary of this Agreement's entry into force under Article 12.4, distinct from the ordinary quarterly sessions under Article 3.1, providing a fixed annual occasion for the membership to reflect on the Framework's cumulative progress against the Annex F metrics dashboard and to consider any structural adjustments the year's accumulated experience suggests. This anniversary review complements, rather than duplicates, the substantive annual strategic review Article 10.3 specifies, focusing instead on the Framework's institutional health and administrative functioning.</w:t>
      </w:r>
    </w:p>
    <w:p>
      <w:pPr>
        <w:pStyle w:val="Heading2"/>
        <w:keepNext/>
        <w:spacing w:after="140" w:before="260"/>
      </w:pPr>
      <w:r>
        <w:rPr>
          <w:rFonts w:ascii="Calibri" w:cs="Calibri" w:eastAsia="Calibri" w:hAnsi="Calibri"/>
          <w:b/>
          <w:bCs/>
          <w:color w:val="1F5FA8"/>
          <w:sz w:val="24"/>
          <w:szCs w:val="24"/>
        </w:rPr>
        <w:t xml:space="preserve">BA.2 Institutional Health Assessment</w:t>
      </w:r>
    </w:p>
    <w:p>
      <w:pPr>
        <w:spacing w:after="200" w:line="276"/>
        <w:jc w:val="both"/>
      </w:pPr>
      <w:r>
        <w:rPr>
          <w:rFonts w:ascii="Calibri" w:cs="Calibri" w:eastAsia="Calibri" w:hAnsi="Calibri"/>
          <w:color w:val="1A1A1A"/>
          <w:sz w:val="22"/>
          <w:szCs w:val="22"/>
        </w:rPr>
        <w:t xml:space="preserve">The anniversary review session considers Working Group effectiveness, Secretariat resourcing adequacy under Annex AP, membership satisfaction with the governance procedures Annex P and Annex V establish, and any recurring administrative friction points that individual Parties or Working Groups have raised over the preceding year. The Steering Committee compiles a pre-session institutional health report drawing on structured feedback solicited from every Party, ensuring the anniversary review proceeds from a comprehensive evidentiary base rather than only the perspectives of the most vocal or most engaged Parties within the membership.</w:t>
      </w:r>
    </w:p>
    <w:p>
      <w:pPr>
        <w:pStyle w:val="Heading2"/>
        <w:keepNext/>
        <w:spacing w:after="140" w:before="260"/>
      </w:pPr>
      <w:r>
        <w:rPr>
          <w:rFonts w:ascii="Calibri" w:cs="Calibri" w:eastAsia="Calibri" w:hAnsi="Calibri"/>
          <w:b/>
          <w:bCs/>
          <w:color w:val="1F5FA8"/>
          <w:sz w:val="24"/>
          <w:szCs w:val="24"/>
        </w:rPr>
        <w:t xml:space="preserve">BA.3 Continuous Improvement</w:t>
      </w:r>
    </w:p>
    <w:p>
      <w:pPr>
        <w:spacing w:after="200" w:line="276"/>
        <w:jc w:val="both"/>
      </w:pPr>
      <w:r>
        <w:rPr>
          <w:rFonts w:ascii="Calibri" w:cs="Calibri" w:eastAsia="Calibri" w:hAnsi="Calibri"/>
          <w:color w:val="1A1A1A"/>
          <w:sz w:val="22"/>
          <w:szCs w:val="22"/>
        </w:rPr>
        <w:t xml:space="preserve">Where the anniversary review identifies administrative or procedural improvements warranting adoption, the Coalition Council implements those improvements through the simplified Steering Committee approval process Article 12.1 reserves for provisions of an implementing character, reserving the full amendment procedure only for improvements that touch the Framework's substantive rights and obligations. This continuous improvement mechanism ensures the Framework's institutional architecture, established through the considerable drafting effort this Agreement represents, continues to mature and adapt throughout its operational life rather than remaining frozen in its founding form regardless of accumulated practical experience.</w:t>
      </w:r>
    </w:p>
    <w:p>
      <w:pPr>
        <w:pStyle w:val="Heading1"/>
        <w:keepNext/>
        <w:spacing w:after="200" w:before="360"/>
      </w:pPr>
      <w:r>
        <w:rPr>
          <w:rFonts w:ascii="Calibri" w:cs="Calibri" w:eastAsia="Calibri" w:hAnsi="Calibri"/>
          <w:b/>
          <w:bCs/>
          <w:color w:val="0B3D91"/>
          <w:sz w:val="30"/>
          <w:szCs w:val="30"/>
        </w:rPr>
        <w:t xml:space="preserve">Annex BB: Coalition Expansion Beyond the Initial Target Pool</w:t>
      </w:r>
    </w:p>
    <w:p>
      <w:pPr>
        <w:pStyle w:val="Heading2"/>
        <w:keepNext/>
        <w:spacing w:after="140" w:before="260"/>
      </w:pPr>
      <w:r>
        <w:rPr>
          <w:rFonts w:ascii="Calibri" w:cs="Calibri" w:eastAsia="Calibri" w:hAnsi="Calibri"/>
          <w:b/>
          <w:bCs/>
          <w:color w:val="1F5FA8"/>
          <w:sz w:val="24"/>
          <w:szCs w:val="24"/>
        </w:rPr>
        <w:t xml:space="preserve">BB.1 Economies Beyond the Initial Eighteen-to-Twenty-Two Pool</w:t>
      </w:r>
    </w:p>
    <w:p>
      <w:pPr>
        <w:spacing w:after="200" w:line="276"/>
        <w:jc w:val="both"/>
      </w:pPr>
      <w:r>
        <w:rPr>
          <w:rFonts w:ascii="Calibri" w:cs="Calibri" w:eastAsia="Calibri" w:hAnsi="Calibri"/>
          <w:color w:val="1A1A1A"/>
          <w:sz w:val="22"/>
          <w:szCs w:val="22"/>
        </w:rPr>
        <w:t xml:space="preserve">Beyond the eighteen-to-twenty-two economies Annex A.4 identifies as the Framework's initial target pool, the Coalition Council retains standing authority under the ordinary accession procedure in Article 2.2 to admit any additional state or customs territory that subsequently faces discriminatory United States tariff measures and seeks Framework membership. The Steering Committee monitors evolving United States trade policy for indications that additional economies beyond the initial target pool face comparable tariff treatment, extending informal outreach consistent with the Annex B messaging architecture to any such economy identified through this ongoing monitoring function.</w:t>
      </w:r>
    </w:p>
    <w:p>
      <w:pPr>
        <w:pStyle w:val="Heading2"/>
        <w:keepNext/>
        <w:spacing w:after="140" w:before="260"/>
      </w:pPr>
      <w:r>
        <w:rPr>
          <w:rFonts w:ascii="Calibri" w:cs="Calibri" w:eastAsia="Calibri" w:hAnsi="Calibri"/>
          <w:b/>
          <w:bCs/>
          <w:color w:val="1F5FA8"/>
          <w:sz w:val="24"/>
          <w:szCs w:val="24"/>
        </w:rPr>
        <w:t xml:space="preserve">BB.2 Accelerated Accession for Later-Identified Economies</w:t>
      </w:r>
    </w:p>
    <w:p>
      <w:pPr>
        <w:spacing w:after="200" w:line="276"/>
        <w:jc w:val="both"/>
      </w:pPr>
      <w:r>
        <w:rPr>
          <w:rFonts w:ascii="Calibri" w:cs="Calibri" w:eastAsia="Calibri" w:hAnsi="Calibri"/>
          <w:color w:val="1A1A1A"/>
          <w:sz w:val="22"/>
          <w:szCs w:val="22"/>
        </w:rPr>
        <w:t xml:space="preserve">A later-identified prospective Party benefits from the Framework's already-established coordination infrastructure, including the model instruments in Annex K, the model legislative language in Annex N, and the technical reconciliation guidance the Tariff and Customs Working Group maintains under Article 4.2, allowing a later accession to proceed considerably faster than the Founding Party accession timeline Annex I documents. The Steering Committee designates a streamlined accession support function for later-identified Parties, drawing on the accumulated implementation experience the Founding Party cohort's own accession generates.</w:t>
      </w:r>
    </w:p>
    <w:p>
      <w:pPr>
        <w:pStyle w:val="Heading2"/>
        <w:keepNext/>
        <w:spacing w:after="140" w:before="260"/>
      </w:pPr>
      <w:r>
        <w:rPr>
          <w:rFonts w:ascii="Calibri" w:cs="Calibri" w:eastAsia="Calibri" w:hAnsi="Calibri"/>
          <w:b/>
          <w:bCs/>
          <w:color w:val="1F5FA8"/>
          <w:sz w:val="24"/>
          <w:szCs w:val="24"/>
        </w:rPr>
        <w:t xml:space="preserve">BB.3 Maintaining Coalition Coherence at Larger Scale</w:t>
      </w:r>
    </w:p>
    <w:p>
      <w:pPr>
        <w:spacing w:after="200" w:line="276"/>
        <w:jc w:val="both"/>
      </w:pPr>
      <w:r>
        <w:rPr>
          <w:rFonts w:ascii="Calibri" w:cs="Calibri" w:eastAsia="Calibri" w:hAnsi="Calibri"/>
          <w:color w:val="1A1A1A"/>
          <w:sz w:val="22"/>
          <w:szCs w:val="22"/>
        </w:rPr>
        <w:t xml:space="preserve">The Coalition Council monitors coalition size against the governance capacity the existing Article 3 structure provides, and retains authority to adjust the Steering Committee's rotating seat count under Annex P.3 or to establish additional regional coordination sub-structures within the Working Group architecture where the membership's growth beyond the initial target pool warrants structural adaptation. This scalability provision ensures the Framework's governance architecture, designed initially around a fifteen-to-twenty-two economy membership, retains its practical coordinating effectiveness even where the coalition's ultimate membership grows meaningfully beyond that initial design range.</w:t>
      </w:r>
    </w:p>
    <w:p>
      <w:pPr>
        <w:pStyle w:val="Heading1"/>
        <w:keepNext/>
        <w:spacing w:after="200" w:before="360"/>
      </w:pPr>
      <w:r>
        <w:rPr>
          <w:rFonts w:ascii="Calibri" w:cs="Calibri" w:eastAsia="Calibri" w:hAnsi="Calibri"/>
          <w:b/>
          <w:bCs/>
          <w:color w:val="0B3D91"/>
          <w:sz w:val="30"/>
          <w:szCs w:val="30"/>
        </w:rPr>
        <w:t xml:space="preserve">Annex BC: Model Text for Bilateral Side Letters</w:t>
      </w:r>
    </w:p>
    <w:p>
      <w:pPr>
        <w:spacing w:after="200" w:line="276"/>
        <w:jc w:val="both"/>
      </w:pPr>
      <w:r>
        <w:rPr>
          <w:rFonts w:ascii="Calibri" w:cs="Calibri" w:eastAsia="Calibri" w:hAnsi="Calibri"/>
          <w:color w:val="1A1A1A"/>
          <w:sz w:val="22"/>
          <w:szCs w:val="22"/>
        </w:rPr>
        <w:t xml:space="preserve">This Annex provides model text for bilateral side letters that two Parties exchange to address a matter of specific mutual relevance that does not warrant a Framework-wide amendment under Article 12.1, preserving the Framework's core operative text as a stable, uniformly applicable instrument while still accommodating legitimate bilateral clarifications between individual Parties.</w:t>
      </w:r>
    </w:p>
    <w:p>
      <w:pPr>
        <w:pStyle w:val="Heading2"/>
        <w:keepNext/>
        <w:spacing w:after="140" w:before="260"/>
      </w:pPr>
      <w:r>
        <w:rPr>
          <w:rFonts w:ascii="Calibri" w:cs="Calibri" w:eastAsia="Calibri" w:hAnsi="Calibri"/>
          <w:b/>
          <w:bCs/>
          <w:color w:val="1F5FA8"/>
          <w:sz w:val="24"/>
          <w:szCs w:val="24"/>
        </w:rPr>
        <w:t xml:space="preserve">BC.1 Permissible Subject Matter</w:t>
      </w:r>
    </w:p>
    <w:p>
      <w:pPr>
        <w:spacing w:after="200" w:line="276"/>
        <w:jc w:val="both"/>
      </w:pPr>
      <w:r>
        <w:rPr>
          <w:rFonts w:ascii="Calibri" w:cs="Calibri" w:eastAsia="Calibri" w:hAnsi="Calibri"/>
          <w:color w:val="1A1A1A"/>
          <w:sz w:val="22"/>
          <w:szCs w:val="22"/>
        </w:rPr>
        <w:t xml:space="preserve">Parties confine bilateral side letters to clarifying the application of existing Framework provisions to their specific bilateral trading relationship, such as agreeing on particular product classification conventions relevant only to trade between the two signing Parties, or documenting a specific bilateral component of the mutual market access guarantees Article 7.1 establishes. Parties do not use bilateral side letters to modify the tariff floor Article 4.1 establishes or to create an exception to the non-defection architecture Article 6 establishes, since such modifications require the full amendment procedure applicable to the entire membership rather than a bilateral instrument between two Parties alone.</w:t>
      </w:r>
    </w:p>
    <w:p>
      <w:pPr>
        <w:pStyle w:val="Heading2"/>
        <w:keepNext/>
        <w:spacing w:after="140" w:before="260"/>
      </w:pPr>
      <w:r>
        <w:rPr>
          <w:rFonts w:ascii="Calibri" w:cs="Calibri" w:eastAsia="Calibri" w:hAnsi="Calibri"/>
          <w:b/>
          <w:bCs/>
          <w:color w:val="1F5FA8"/>
          <w:sz w:val="24"/>
          <w:szCs w:val="24"/>
        </w:rPr>
        <w:t xml:space="preserve">BC.2 Notification Requirement</w:t>
      </w:r>
    </w:p>
    <w:p>
      <w:pPr>
        <w:spacing w:after="200" w:line="276"/>
        <w:jc w:val="both"/>
      </w:pPr>
      <w:r>
        <w:rPr>
          <w:rFonts w:ascii="Calibri" w:cs="Calibri" w:eastAsia="Calibri" w:hAnsi="Calibri"/>
          <w:color w:val="1A1A1A"/>
          <w:sz w:val="22"/>
          <w:szCs w:val="22"/>
        </w:rPr>
        <w:t xml:space="preserve">Parties exchanging a bilateral side letter under this Annex notify the Secretariat of the side letter's existence and general subject matter within thirty days of signature, consistent with the transparency principle that runs throughout this Agreement's governance architecture, though the side letter's full substantive text remains confidential to the two signing Parties unless both Parties consent to broader circulation. The Secretariat maintains a registry of notified side letters, without reviewing or approving their substantive content, supporting the Coalition Council's general visibility into the network of bilateral arrangements operating alongside the Framework's core multilateral text.</w:t>
      </w:r>
    </w:p>
    <w:p>
      <w:pPr>
        <w:pStyle w:val="Heading2"/>
        <w:keepNext/>
        <w:spacing w:after="140" w:before="260"/>
      </w:pPr>
      <w:r>
        <w:rPr>
          <w:rFonts w:ascii="Calibri" w:cs="Calibri" w:eastAsia="Calibri" w:hAnsi="Calibri"/>
          <w:b/>
          <w:bCs/>
          <w:color w:val="1F5FA8"/>
          <w:sz w:val="24"/>
          <w:szCs w:val="24"/>
        </w:rPr>
        <w:t xml:space="preserve">BC.3 Precedence</w:t>
      </w:r>
    </w:p>
    <w:p>
      <w:pPr>
        <w:spacing w:after="200" w:line="276"/>
        <w:jc w:val="both"/>
      </w:pPr>
      <w:r>
        <w:rPr>
          <w:rFonts w:ascii="Calibri" w:cs="Calibri" w:eastAsia="Calibri" w:hAnsi="Calibri"/>
          <w:color w:val="1A1A1A"/>
          <w:sz w:val="22"/>
          <w:szCs w:val="22"/>
        </w:rPr>
        <w:t xml:space="preserve">Where an apparent conflict arises between a bilateral side letter and the Framework's operative Articles, the operative Articles govern as between the signing Parties and every other Party, consistent with the interpretive precedence principle Annex Z.2 establishes for the relationship between Articles and Annexes more broadly. This precedence rule ensures that bilateral arrangements, however useful for addressing specific bilateral circumstances, never undermine the uniform operative core that gives the Framework's collective leverage its practical effect.</w:t>
      </w:r>
    </w:p>
    <w:p>
      <w:pPr>
        <w:pStyle w:val="Heading1"/>
        <w:keepNext/>
        <w:spacing w:after="200" w:before="360"/>
      </w:pPr>
      <w:r>
        <w:rPr>
          <w:rFonts w:ascii="Calibri" w:cs="Calibri" w:eastAsia="Calibri" w:hAnsi="Calibri"/>
          <w:b/>
          <w:bCs/>
          <w:color w:val="0B3D91"/>
          <w:sz w:val="30"/>
          <w:szCs w:val="30"/>
        </w:rPr>
        <w:t xml:space="preserve">Annex BD: Succession and Continuity Planning</w:t>
      </w:r>
    </w:p>
    <w:p>
      <w:pPr>
        <w:pStyle w:val="Heading2"/>
        <w:keepNext/>
        <w:spacing w:after="140" w:before="260"/>
      </w:pPr>
      <w:r>
        <w:rPr>
          <w:rFonts w:ascii="Calibri" w:cs="Calibri" w:eastAsia="Calibri" w:hAnsi="Calibri"/>
          <w:b/>
          <w:bCs/>
          <w:color w:val="1F5FA8"/>
          <w:sz w:val="24"/>
          <w:szCs w:val="24"/>
        </w:rPr>
        <w:t xml:space="preserve">BD.1 Depositary Succession</w:t>
      </w:r>
    </w:p>
    <w:p>
      <w:pPr>
        <w:spacing w:after="200" w:line="276"/>
        <w:jc w:val="both"/>
      </w:pPr>
      <w:r>
        <w:rPr>
          <w:rFonts w:ascii="Calibri" w:cs="Calibri" w:eastAsia="Calibri" w:hAnsi="Calibri"/>
          <w:color w:val="1A1A1A"/>
          <w:sz w:val="22"/>
          <w:szCs w:val="22"/>
        </w:rPr>
        <w:t xml:space="preserve">The Coalition Council retains authority to transfer the Depositary function Canada holds under Article 12.2 to another Full Member through the amendment procedure Article 12.1 specifies, addressing the contingency that circumstances at some future point warrant a change in the Framework's institutional home. The Coalition Council documents a formal transition protocol at the point any such transfer receives approval, ensuring the Depositary's archival and administrative continuity survives the transition without interruption to the Framework's ongoing operation.</w:t>
      </w:r>
    </w:p>
    <w:p>
      <w:pPr>
        <w:pStyle w:val="Heading2"/>
        <w:keepNext/>
        <w:spacing w:after="140" w:before="260"/>
      </w:pPr>
      <w:r>
        <w:rPr>
          <w:rFonts w:ascii="Calibri" w:cs="Calibri" w:eastAsia="Calibri" w:hAnsi="Calibri"/>
          <w:b/>
          <w:bCs/>
          <w:color w:val="1F5FA8"/>
          <w:sz w:val="24"/>
          <w:szCs w:val="24"/>
        </w:rPr>
        <w:t xml:space="preserve">BD.2 Steering Committee Continuity</w:t>
      </w:r>
    </w:p>
    <w:p>
      <w:pPr>
        <w:spacing w:after="200" w:line="276"/>
        <w:jc w:val="both"/>
      </w:pPr>
      <w:r>
        <w:rPr>
          <w:rFonts w:ascii="Calibri" w:cs="Calibri" w:eastAsia="Calibri" w:hAnsi="Calibri"/>
          <w:color w:val="1A1A1A"/>
          <w:sz w:val="22"/>
          <w:szCs w:val="22"/>
        </w:rPr>
        <w:t xml:space="preserve">Where Canada's own domestic circumstances at any point limit its capacity to continue chairing the Steering Committee, the Coalition Council designates an interim chair from among the rotating Steering Committee membership under Annex P.3, preserving continuous Steering Committee function throughout any transition period. This continuity provision applies symmetrically to any rotating Steering Committee seat, with the Governance function within the Steering Committee maintaining a standing succession plan identifying an interim representative for each seat consistent with ordinary institutional continuity practice.</w:t>
      </w:r>
    </w:p>
    <w:p>
      <w:pPr>
        <w:pStyle w:val="Heading2"/>
        <w:keepNext/>
        <w:spacing w:after="140" w:before="260"/>
      </w:pPr>
      <w:r>
        <w:rPr>
          <w:rFonts w:ascii="Calibri" w:cs="Calibri" w:eastAsia="Calibri" w:hAnsi="Calibri"/>
          <w:b/>
          <w:bCs/>
          <w:color w:val="1F5FA8"/>
          <w:sz w:val="24"/>
          <w:szCs w:val="24"/>
        </w:rPr>
        <w:t xml:space="preserve">BD.3 Institutional Memory Preservation</w:t>
      </w:r>
    </w:p>
    <w:p>
      <w:pPr>
        <w:spacing w:after="200" w:line="276"/>
        <w:jc w:val="both"/>
      </w:pPr>
      <w:r>
        <w:rPr>
          <w:rFonts w:ascii="Calibri" w:cs="Calibri" w:eastAsia="Calibri" w:hAnsi="Calibri"/>
          <w:color w:val="1A1A1A"/>
          <w:sz w:val="22"/>
          <w:szCs w:val="22"/>
        </w:rPr>
        <w:t xml:space="preserve">The Secretariat maintains a comprehensive institutional archive covering every Coalition Council and Steering Committee decision, every Working Group determination, and every amendment or supplementary provision adopted throughout the Framework's operational life, ensuring that institutional memory persists independent of any individual official's tenure within the Framework's governance structure. This archive supports both the transparency objectives Article 12.2 establishes and the practical continuity needs any long-duration multilateral institution requires to function effectively across changes in individual Party representation over time.</w:t>
      </w:r>
    </w:p>
    <w:p>
      <w:pPr>
        <w:pStyle w:val="Heading1"/>
        <w:keepNext/>
        <w:spacing w:after="200" w:before="360"/>
      </w:pPr>
      <w:r>
        <w:rPr>
          <w:rFonts w:ascii="Calibri" w:cs="Calibri" w:eastAsia="Calibri" w:hAnsi="Calibri"/>
          <w:b/>
          <w:bCs/>
          <w:color w:val="0B3D91"/>
          <w:sz w:val="30"/>
          <w:szCs w:val="30"/>
        </w:rPr>
        <w:t xml:space="preserve">Annex BE: Framework Acronyms and Abbreviations</w:t>
      </w:r>
    </w:p>
    <w:p>
      <w:pPr>
        <w:spacing w:after="200" w:line="276"/>
        <w:jc w:val="both"/>
      </w:pPr>
      <w:r>
        <w:rPr>
          <w:rFonts w:ascii="Calibri" w:cs="Calibri" w:eastAsia="Calibri" w:hAnsi="Calibri"/>
          <w:color w:val="1A1A1A"/>
          <w:sz w:val="22"/>
          <w:szCs w:val="22"/>
        </w:rPr>
        <w:t xml:space="preserve">This Annex consolidates the acronyms and abbreviations used throughout this Agreement, supporting readers and implementing officials encountering the Framework's text without the benefit of the full context each individual Article or Annex otherwise provides.</w:t>
      </w:r>
    </w:p>
    <w:p>
      <w:pPr>
        <w:pStyle w:val="ListParagraph"/>
        <w:numPr>
          <w:ilvl w:val="0"/>
          <w:numId w:val="1"/>
        </w:numPr>
        <w:spacing w:after="140" w:line="276"/>
      </w:pPr>
      <w:r>
        <w:rPr>
          <w:rFonts w:ascii="Calibri" w:cs="Calibri" w:eastAsia="Calibri" w:hAnsi="Calibri"/>
          <w:color w:val="1A1A1A"/>
          <w:sz w:val="22"/>
          <w:szCs w:val="22"/>
        </w:rPr>
        <w:t xml:space="preserve">CPRT: Coalition Plastics Retaliation Treaty, the treaty-form name for the Framework this Agreement establishes, referenced in Article 1.1.</w:t>
      </w:r>
    </w:p>
    <w:p>
      <w:pPr>
        <w:pStyle w:val="ListParagraph"/>
        <w:numPr>
          <w:ilvl w:val="0"/>
          <w:numId w:val="1"/>
        </w:numPr>
        <w:spacing w:after="140" w:line="276"/>
      </w:pPr>
      <w:r>
        <w:rPr>
          <w:rFonts w:ascii="Calibri" w:cs="Calibri" w:eastAsia="Calibri" w:hAnsi="Calibri"/>
          <w:color w:val="1A1A1A"/>
          <w:sz w:val="22"/>
          <w:szCs w:val="22"/>
        </w:rPr>
        <w:t xml:space="preserve">GATT: General Agreement on Tariffs and Trade, the foundational World Trade Organization instrument underlying the Most Favored Nation obligations Article 8.1 and Annex U.1 address.</w:t>
      </w:r>
    </w:p>
    <w:p>
      <w:pPr>
        <w:pStyle w:val="ListParagraph"/>
        <w:numPr>
          <w:ilvl w:val="0"/>
          <w:numId w:val="1"/>
        </w:numPr>
        <w:spacing w:after="140" w:line="276"/>
      </w:pPr>
      <w:r>
        <w:rPr>
          <w:rFonts w:ascii="Calibri" w:cs="Calibri" w:eastAsia="Calibri" w:hAnsi="Calibri"/>
          <w:color w:val="1A1A1A"/>
          <w:sz w:val="22"/>
          <w:szCs w:val="22"/>
        </w:rPr>
        <w:t xml:space="preserve">HS: Harmonized System, the international tariff nomenclature underlying the Article 4.2 product coverage table and the Annex H detailed schedule.</w:t>
      </w:r>
    </w:p>
    <w:p>
      <w:pPr>
        <w:pStyle w:val="ListParagraph"/>
        <w:numPr>
          <w:ilvl w:val="0"/>
          <w:numId w:val="1"/>
        </w:numPr>
        <w:spacing w:after="140" w:line="276"/>
      </w:pPr>
      <w:r>
        <w:rPr>
          <w:rFonts w:ascii="Calibri" w:cs="Calibri" w:eastAsia="Calibri" w:hAnsi="Calibri"/>
          <w:color w:val="1A1A1A"/>
          <w:sz w:val="22"/>
          <w:szCs w:val="22"/>
        </w:rPr>
        <w:t xml:space="preserve">MFN: Most Favored Nation, the non-discrimination principle central to the Framework's legal argument under Article 8.1.</w:t>
      </w:r>
    </w:p>
    <w:p>
      <w:pPr>
        <w:pStyle w:val="ListParagraph"/>
        <w:numPr>
          <w:ilvl w:val="0"/>
          <w:numId w:val="1"/>
        </w:numPr>
        <w:spacing w:after="140" w:line="276"/>
      </w:pPr>
      <w:r>
        <w:rPr>
          <w:rFonts w:ascii="Calibri" w:cs="Calibri" w:eastAsia="Calibri" w:hAnsi="Calibri"/>
          <w:color w:val="1A1A1A"/>
          <w:sz w:val="22"/>
          <w:szCs w:val="22"/>
        </w:rPr>
        <w:t xml:space="preserve">WTO: World Trade Organization, the multilateral institution whose dispute settlement mechanisms and legal framework anchor the Framework's coordinated legal strategy under Article 8.</w:t>
      </w:r>
    </w:p>
    <w:p>
      <w:pPr>
        <w:pStyle w:val="ListParagraph"/>
        <w:numPr>
          <w:ilvl w:val="0"/>
          <w:numId w:val="1"/>
        </w:numPr>
        <w:spacing w:after="140" w:line="276"/>
      </w:pPr>
      <w:r>
        <w:rPr>
          <w:rFonts w:ascii="Calibri" w:cs="Calibri" w:eastAsia="Calibri" w:hAnsi="Calibri"/>
          <w:color w:val="1A1A1A"/>
          <w:sz w:val="22"/>
          <w:szCs w:val="22"/>
        </w:rPr>
        <w:t xml:space="preserve">CPTPP: Comprehensive and Progressive Agreement for Trans-Pacific Partnership, one of the regional trade instruments referenced in Article 1.4 and Article 8.2.</w:t>
      </w:r>
    </w:p>
    <w:p>
      <w:pPr>
        <w:pStyle w:val="ListParagraph"/>
        <w:numPr>
          <w:ilvl w:val="0"/>
          <w:numId w:val="1"/>
        </w:numPr>
        <w:spacing w:after="140" w:line="276"/>
      </w:pPr>
      <w:r>
        <w:rPr>
          <w:rFonts w:ascii="Calibri" w:cs="Calibri" w:eastAsia="Calibri" w:hAnsi="Calibri"/>
          <w:color w:val="1A1A1A"/>
          <w:sz w:val="22"/>
          <w:szCs w:val="22"/>
        </w:rPr>
        <w:t xml:space="preserve">ASEAN: Association of Southeast Asian Nations, the regional grouping referenced in Annex J.9 and Annex AV.3.</w:t>
      </w:r>
    </w:p>
    <w:p>
      <w:pPr>
        <w:pStyle w:val="ListParagraph"/>
        <w:numPr>
          <w:ilvl w:val="0"/>
          <w:numId w:val="1"/>
        </w:numPr>
        <w:spacing w:after="140" w:line="276"/>
      </w:pPr>
      <w:r>
        <w:rPr>
          <w:rFonts w:ascii="Calibri" w:cs="Calibri" w:eastAsia="Calibri" w:hAnsi="Calibri"/>
          <w:color w:val="1A1A1A"/>
          <w:sz w:val="22"/>
          <w:szCs w:val="22"/>
        </w:rPr>
        <w:t xml:space="preserve">OECD: Organisation for Economic Co-operation and Development, the institution referenced in Annex AV.2 as a supplementary statistical resource.</w:t>
      </w:r>
    </w:p>
    <w:p>
      <w:pPr>
        <w:spacing w:after="100"/>
      </w:pPr>
    </w:p>
    <w:p>
      <w:pPr>
        <w:pStyle w:val="Heading1"/>
        <w:keepNext/>
        <w:spacing w:after="200" w:before="360"/>
      </w:pPr>
      <w:r>
        <w:rPr>
          <w:rFonts w:ascii="Calibri" w:cs="Calibri" w:eastAsia="Calibri" w:hAnsi="Calibri"/>
          <w:b/>
          <w:bCs/>
          <w:color w:val="0B3D91"/>
          <w:sz w:val="30"/>
          <w:szCs w:val="30"/>
        </w:rPr>
        <w:t xml:space="preserve">Annex BF: Signature and Ratification Block</w:t>
      </w:r>
    </w:p>
    <w:p>
      <w:pPr>
        <w:spacing w:after="200" w:line="276"/>
        <w:jc w:val="both"/>
      </w:pPr>
      <w:r>
        <w:rPr>
          <w:rFonts w:ascii="Calibri" w:cs="Calibri" w:eastAsia="Calibri" w:hAnsi="Calibri"/>
          <w:color w:val="1A1A1A"/>
          <w:sz w:val="22"/>
          <w:szCs w:val="22"/>
        </w:rPr>
        <w:t xml:space="preserve">This Annex provides the consolidated signature block format the Depositary applies in compiling ratification instruments from Founding Parties and subsequent acceding Parties, consistent with the accession procedure Article 2.2 establishes and the specimen instrument of accession Annex K.2 provides. Each Party's authorized representative executes this Agreement in the form below, and the Depositary maintains the complete, consolidated set of executed signature pages as part of the official archive Article 12.2 specifies.</w:t>
      </w:r>
    </w:p>
    <w:tbl>
      <w:tblPr>
        <w:tblW w:type="dxa" w:w="9350"/>
        <w:tblBorders>
          <w:top w:val="single" w:color="AAB9D6" w:sz="4"/>
          <w:left w:val="single" w:color="AAB9D6" w:sz="4"/>
          <w:bottom w:val="single" w:color="AAB9D6" w:sz="4"/>
          <w:right w:val="single" w:color="AAB9D6" w:sz="4"/>
          <w:insideH w:val="single" w:color="D3DCEE" w:sz="2"/>
          <w:insideV w:val="single" w:color="D3DCEE" w:sz="2"/>
        </w:tblBorders>
      </w:tblPr>
      <w:tblGrid>
        <w:gridCol w:w="2337"/>
        <w:gridCol w:w="2337"/>
        <w:gridCol w:w="2337"/>
        <w:gridCol w:w="2337"/>
      </w:tblGrid>
      <w:tr>
        <w:trPr>
          <w:tblHeader/>
        </w:trPr>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Party</w:t>
            </w:r>
          </w:p>
        </w:tc>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Authorized Representative</w:t>
            </w:r>
          </w:p>
        </w:tc>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 of Signature</w:t>
            </w:r>
          </w:p>
        </w:tc>
        <w:tc>
          <w:tcPr>
            <w:tcW w:type="dxa" w:w="2337"/>
            <w:shd w:fill="0B3D91"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Membership Category</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Canada</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[Authorized signatory, Government of Canada]</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[Date]</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Full Member, Lead Nation and Depositary</w:t>
            </w:r>
          </w:p>
        </w:tc>
      </w:tr>
      <w:tr>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[Founding Party]</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[Authorized signatory]</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[Date]</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[Full Member / Associate Member]</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[Founding Party]</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[Authorized signatory]</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[Date]</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[Full Member / Associate Member]</w:t>
            </w:r>
          </w:p>
        </w:tc>
      </w:tr>
      <w:tr>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[Founding Party]</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[Authorized signatory]</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[Date]</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[Full Member / Associate Member]</w:t>
            </w:r>
          </w:p>
        </w:tc>
      </w:tr>
      <w:tr>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[Founding Party]</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[Authorized signatory]</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[Date]</w:t>
            </w:r>
          </w:p>
        </w:tc>
        <w:tc>
          <w:tcPr>
            <w:tcW w:type="dxa" w:w="2337"/>
            <w:shd w:fill="F2F6FC"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[Full Member / Associate Member]</w:t>
            </w:r>
          </w:p>
        </w:tc>
      </w:tr>
      <w:tr>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[Acceding Party, subsequent round]</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[Authorized signatory]</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[Date]</w:t>
            </w:r>
          </w:p>
        </w:tc>
        <w:tc>
          <w:tcPr>
            <w:tcW w:type="dxa" w:w="2337"/>
            <w:shd w:fill="FFFFFF" w:color="auto" w:val="clear"/>
            <w:tcMar>
              <w:top w:type="dxa" w:w="70"/>
              <w:left w:type="dxa" w:w="100"/>
              <w:bottom w:type="dxa" w:w="70"/>
              <w:right w:type="dxa" w:w="100"/>
            </w:tcMar>
            <w:vAlign w:val="center"/>
          </w:tcPr>
          <w:p>
            <w:r>
              <w:rPr>
                <w:rFonts w:ascii="Calibri" w:cs="Calibri" w:eastAsia="Calibri" w:hAnsi="Calibri"/>
                <w:color w:val="1A1A1A"/>
                <w:sz w:val="20"/>
                <w:szCs w:val="20"/>
              </w:rPr>
              <w:t xml:space="preserve">[Full Member / Associate Member]</w:t>
            </w:r>
          </w:p>
        </w:tc>
      </w:tr>
    </w:tbl>
    <w:p>
      <w:pPr>
        <w:spacing w:after="200"/>
      </w:pPr>
    </w:p>
    <w:p>
      <w:pPr>
        <w:spacing w:after="200" w:line="276"/>
        <w:jc w:val="both"/>
      </w:pPr>
      <w:r>
        <w:rPr>
          <w:rFonts w:ascii="Calibri" w:cs="Calibri" w:eastAsia="Calibri" w:hAnsi="Calibri"/>
          <w:color w:val="1A1A1A"/>
          <w:sz w:val="22"/>
          <w:szCs w:val="22"/>
        </w:rPr>
        <w:t xml:space="preserve">The Depositary updates this consolidated signature record continuously as new Parties execute their instruments of accession, and circulates an updated record to the full membership following each addition, consistent with the standing public registry function Article 12.2 and Annex W.12 establish. This living record functions as the definitive, authoritative statement of the Framework's current membership at any point in time, superseding any earlier snapshot to the extent a discrepancy arises between the two.</w:t>
      </w:r>
    </w:p>
    <w:p>
      <w:pPr>
        <w:pStyle w:val="Heading1"/>
        <w:keepNext/>
        <w:spacing w:after="200" w:before="360"/>
      </w:pPr>
      <w:r>
        <w:rPr>
          <w:rFonts w:ascii="Calibri" w:cs="Calibri" w:eastAsia="Calibri" w:hAnsi="Calibri"/>
          <w:b/>
          <w:bCs/>
          <w:color w:val="0B3D91"/>
          <w:sz w:val="30"/>
          <w:szCs w:val="30"/>
        </w:rPr>
        <w:t xml:space="preserve">Annex BG: Framework Visual Identity Standards</w:t>
      </w:r>
    </w:p>
    <w:p>
      <w:pPr>
        <w:spacing w:after="200" w:line="276"/>
        <w:jc w:val="both"/>
      </w:pPr>
      <w:r>
        <w:rPr>
          <w:rFonts w:ascii="Calibri" w:cs="Calibri" w:eastAsia="Calibri" w:hAnsi="Calibri"/>
          <w:color w:val="1A1A1A"/>
          <w:sz w:val="22"/>
          <w:szCs w:val="22"/>
        </w:rPr>
        <w:t xml:space="preserve">The Communications Working Group maintains a consistent visual identity for Framework communications materials, applying the cobalt-blue color standard reflected throughout this Agreement's own formatting across public-facing summit materials, the Annex G communications toolkit, and the Framework's shared digital presence coordinated through the Secretariat. This consistent visual identity reinforces the unity theme central to the Framework's external messaging under Article 9.1, giving global media and the general public a readily recognizable visual signal of coordinated, unified coalition action distinct from any individual Party's own separate national messaging.</w:t>
      </w:r>
    </w:p>
    <w:p>
      <w:pPr>
        <w:spacing w:after="200" w:line="276"/>
        <w:jc w:val="both"/>
      </w:pPr>
      <w:r>
        <w:rPr>
          <w:rFonts w:ascii="Calibri" w:cs="Calibri" w:eastAsia="Calibri" w:hAnsi="Calibri"/>
          <w:color w:val="1A1A1A"/>
          <w:sz w:val="22"/>
          <w:szCs w:val="22"/>
        </w:rPr>
        <w:t xml:space="preserve">The Communications Working Group circulates visual identity guidelines, including approved color values, typography standards, and logo usage rules, to every Party's domestic communications team for use in jointly branded materials, while leaving each Party free to apply its own separate national visual identity for materials addressing that Party's purely domestic audience. This balance preserves the Framework's collective visual coherence for genuinely joint communications while respecting each Party's sovereign discretion over its own domestic public communications more broadly.</w:t>
      </w:r>
    </w:p>
    <w:p>
      <w:pPr>
        <w:pStyle w:val="Heading1"/>
        <w:keepNext/>
        <w:spacing w:after="200" w:before="360"/>
      </w:pPr>
      <w:r>
        <w:rPr>
          <w:rFonts w:ascii="Calibri" w:cs="Calibri" w:eastAsia="Calibri" w:hAnsi="Calibri"/>
          <w:b/>
          <w:bCs/>
          <w:color w:val="0B3D91"/>
          <w:sz w:val="30"/>
          <w:szCs w:val="30"/>
        </w:rPr>
        <w:t xml:space="preserve">Annex BH: Framework Contact Directory</w:t>
      </w:r>
    </w:p>
    <w:p>
      <w:pPr>
        <w:spacing w:after="200" w:line="276"/>
        <w:jc w:val="both"/>
      </w:pPr>
      <w:r>
        <w:rPr>
          <w:rFonts w:ascii="Calibri" w:cs="Calibri" w:eastAsia="Calibri" w:hAnsi="Calibri"/>
          <w:color w:val="1A1A1A"/>
          <w:sz w:val="22"/>
          <w:szCs w:val="22"/>
        </w:rPr>
        <w:t xml:space="preserve">The Secretariat maintains a current contact directory listing the designated Coalition Council representative, the designated Working Group point of contact for each of the four standing Working Groups, and the designated secure-channel technical contact for every Party, consistent with the coordination infrastructure Article 3.4 and Annex AC establish. The Secretariat circulates an updated directory to the full membership on a quarterly basis alongside the status reporting Article 10.4 specifies, and updates the directory promptly whenever a Party notifies a change in its designated representatives, ensuring that inter-Party and Working Group coordination never stalls on outdated contact information during a time-sensitive coordination need.</w:t>
      </w:r>
    </w:p>
    <w:p>
      <w:pPr>
        <w:spacing w:after="200" w:line="276"/>
        <w:jc w:val="both"/>
      </w:pPr>
      <w:r>
        <w:rPr>
          <w:rFonts w:ascii="Calibri" w:cs="Calibri" w:eastAsia="Calibri" w:hAnsi="Calibri"/>
          <w:color w:val="1A1A1A"/>
          <w:sz w:val="22"/>
          <w:szCs w:val="22"/>
        </w:rPr>
        <w:t xml:space="preserve">The directory format follows the same consolidated structure the Secretariat applies across its other standing reference instruments, including the public registry under Article 12.2 and Annex W.12 and the side-letter registry under Annex BC.2, reflecting the Secretariat's broader practice of maintaining consistent, readily updatable reference documentation across every administrative function this Agreement assigns to it. This consistency reduces the administrative burden on both the Secretariat itself and on the individual Party officials who rely on these reference instruments throughout the Framework's ongoing operation.</w:t>
      </w:r>
    </w:p>
    <w:p>
      <w:pPr>
        <w:pStyle w:val="Heading1"/>
        <w:keepNext/>
        <w:spacing w:after="200" w:before="360"/>
      </w:pPr>
      <w:r>
        <w:rPr>
          <w:rFonts w:ascii="Calibri" w:cs="Calibri" w:eastAsia="Calibri" w:hAnsi="Calibri"/>
          <w:b/>
          <w:bCs/>
          <w:color w:val="0B3D91"/>
          <w:sz w:val="30"/>
          <w:szCs w:val="30"/>
        </w:rPr>
        <w:t xml:space="preserve">Annex Q: Closing Statement</w:t>
      </w:r>
    </w:p>
    <w:p>
      <w:pPr>
        <w:spacing w:after="200" w:line="276"/>
        <w:jc w:val="both"/>
      </w:pPr>
      <w:r>
        <w:rPr>
          <w:rFonts w:ascii="Calibri" w:cs="Calibri" w:eastAsia="Calibri" w:hAnsi="Calibri"/>
          <w:color w:val="1A1A1A"/>
          <w:sz w:val="22"/>
          <w:szCs w:val="22"/>
        </w:rPr>
        <w:t xml:space="preserve">The Coalition Plastics Retaliation and Tariff Harmonization Framework establishes a complete, operative, and implementable architecture through which Canada leads a coordinated coalition response to discriminatory United States tariff measures. The Framework's Articles establish binding operative commitments across membership, governance, tariff measures, exemptions, discipline, solidarity, legal strategy, communications, monitoring, and settlement, while the Annexes translate those Articles into the concrete outreach plans, discipline mechanisms, escalation ladders, risk mitigations, metrics dashboards, communications toolkits, tariff schedules, and implementation timelines that give the Framework its practical operating capacity from the date of signature forward. The Parties adopt this Agreement with the shared understanding that its coordinated architecture achieves what individual, uncoordinated action cannot: genuine, durable economic leverage sufficient to bring United States trade policy back into alignment with the rules-based multilateral trading system that serves every Party's long-term economic interest.</w:t>
      </w:r>
    </w:p>
    <w:p>
      <w:pPr>
        <w:spacing w:after="200" w:line="276"/>
        <w:jc w:val="both"/>
      </w:pPr>
      <w:r>
        <w:rPr>
          <w:rFonts w:ascii="Calibri" w:cs="Calibri" w:eastAsia="Calibri" w:hAnsi="Calibri"/>
          <w:color w:val="1A1A1A"/>
          <w:sz w:val="22"/>
          <w:szCs w:val="22"/>
        </w:rPr>
        <w:t xml:space="preserve">Canada undertakes the Lead Nation and Depositary role set out across these Articles and Annexes with a clear-eyed understanding of the diplomatic effort the outreach plan in Annex B demands, the discipline the non-defection architecture in Article 6 requires of every Party equally, and the sustained institutional commitment the governance structure in Article 3 sustains over the Framework's full operating life. The completed architecture this Agreement records, from its founding Preamble through its final supplementary Annex, gives the Parties a ready instrument for immediate signature, ratification, and coordinated implementation from the date each Party's accession takes effect forward.</w:t>
      </w:r>
    </w:p>
    <w:sectPr>
      <w:footerReference w:type="default" r:id="rId7"/>
      <w:pgSz w:w="11906" w:h="16838" w:orient="portrait"/>
      <w:pgMar w:top="1134" w:right="1134" w:bottom="1134"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84C4" w:sz="4" w:space="4"/>
      </w:pBdr>
      <w:jc w:val="center"/>
    </w:pPr>
    <w:r>
      <w:rPr>
        <w:rFonts w:ascii="Calibri" w:cs="Calibri" w:eastAsia="Calibri" w:hAnsi="Calibri"/>
        <w:color w:val="1F5FA8"/>
        <w:sz w:val="16"/>
        <w:szCs w:val="16"/>
      </w:rPr>
      <w:t xml:space="preserve">The Plastics Tariff Harmonization and Implementation Agreement  ·  Page </w:t>
    </w:r>
    <w:r>
      <w:rPr>
        <w:rFonts w:ascii="Calibri" w:cs="Calibri" w:eastAsia="Calibri" w:hAnsi="Calibri"/>
        <w:color w:val="1F5F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2026-08-29T12:33:33.083Z</dcterms:created>
  <dcterms:modified xsi:type="dcterms:W3CDTF">2026-08-29T12:33:33.083Z</dcterms:modified>
</cp:coreProperties>
</file>

<file path=docProps/custom.xml><?xml version="1.0" encoding="utf-8"?>
<Properties xmlns="http://schemas.openxmlformats.org/officeDocument/2006/custom-properties" xmlns:vt="http://schemas.openxmlformats.org/officeDocument/2006/docPropsVTypes"/>
</file>